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BE70CC" w:rsidRDefault="00E273E3" w:rsidP="002659F3">
      <w:pPr>
        <w:widowControl/>
        <w:jc w:val="center"/>
        <w:rPr>
          <w:b/>
        </w:rPr>
      </w:pPr>
      <w:bookmarkStart w:id="0" w:name="_GoBack"/>
      <w:bookmarkEnd w:id="0"/>
      <w:r w:rsidRPr="00BE70CC">
        <w:rPr>
          <w:b/>
          <w:kern w:val="0"/>
          <w:szCs w:val="22"/>
        </w:rPr>
        <w:t>Before</w:t>
      </w:r>
      <w:r w:rsidRPr="00BE70CC">
        <w:rPr>
          <w:b/>
        </w:rPr>
        <w:t xml:space="preserve"> the</w:t>
      </w:r>
    </w:p>
    <w:p w:rsidR="00E273E3" w:rsidRPr="00BE70CC" w:rsidRDefault="00E273E3" w:rsidP="002659F3">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RDefault="00E273E3" w:rsidP="002659F3">
      <w:pPr>
        <w:pStyle w:val="StyleBoldCentered"/>
        <w:widowControl/>
        <w:rPr>
          <w:rFonts w:ascii="Times New Roman" w:hAnsi="Times New Roman"/>
        </w:rPr>
      </w:pPr>
      <w:smartTag w:uri="urn:schemas-microsoft-com:office:smarttags" w:element="City">
        <w:smartTag w:uri="urn:schemas-microsoft-com:office:smarttags" w:element="place">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BE70CC">
        <w:tc>
          <w:tcPr>
            <w:tcW w:w="4698" w:type="dxa"/>
          </w:tcPr>
          <w:p w:rsidR="00E273E3" w:rsidRPr="00BE70CC" w:rsidRDefault="00E273E3" w:rsidP="002659F3">
            <w:pPr>
              <w:widowControl/>
              <w:suppressAutoHyphens/>
              <w:rPr>
                <w:spacing w:val="-2"/>
              </w:rPr>
            </w:pPr>
            <w:r w:rsidRPr="00BE70CC">
              <w:rPr>
                <w:spacing w:val="-2"/>
              </w:rPr>
              <w:t>In the Matter of</w:t>
            </w:r>
          </w:p>
          <w:p w:rsidR="00E273E3" w:rsidRPr="00BE70CC" w:rsidRDefault="00E273E3" w:rsidP="002659F3">
            <w:pPr>
              <w:widowControl/>
              <w:suppressAutoHyphens/>
              <w:rPr>
                <w:spacing w:val="-2"/>
              </w:rPr>
            </w:pPr>
          </w:p>
          <w:p w:rsidR="00E273E3" w:rsidRPr="00BE70CC" w:rsidRDefault="0059424F" w:rsidP="002659F3">
            <w:pPr>
              <w:widowControl/>
              <w:suppressAutoHyphens/>
              <w:rPr>
                <w:spacing w:val="-2"/>
              </w:rPr>
            </w:pPr>
            <w:r>
              <w:rPr>
                <w:spacing w:val="-2"/>
              </w:rPr>
              <w:t>FreeEats.com, Inc.</w:t>
            </w:r>
            <w:r w:rsidR="00E273E3" w:rsidRPr="00BE70CC">
              <w:rPr>
                <w:spacing w:val="-2"/>
              </w:rPr>
              <w:t xml:space="preserve"> </w:t>
            </w:r>
          </w:p>
        </w:tc>
        <w:tc>
          <w:tcPr>
            <w:tcW w:w="630" w:type="dxa"/>
          </w:tcPr>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p>
        </w:tc>
        <w:tc>
          <w:tcPr>
            <w:tcW w:w="4248" w:type="dxa"/>
          </w:tcPr>
          <w:p w:rsidR="00E273E3" w:rsidRPr="00BE70CC" w:rsidRDefault="00E273E3" w:rsidP="002659F3">
            <w:pPr>
              <w:widowControl/>
              <w:suppressAutoHyphens/>
              <w:rPr>
                <w:spacing w:val="-2"/>
              </w:rPr>
            </w:pPr>
          </w:p>
          <w:p w:rsidR="00E273E3" w:rsidRPr="00BE70CC" w:rsidRDefault="00E273E3" w:rsidP="002659F3">
            <w:pPr>
              <w:widowControl/>
              <w:suppressAutoHyphens/>
              <w:rPr>
                <w:spacing w:val="-2"/>
              </w:rPr>
            </w:pPr>
          </w:p>
          <w:p w:rsidR="00E273E3" w:rsidRPr="00BE70CC" w:rsidRDefault="00E273E3" w:rsidP="00EE05DB">
            <w:pPr>
              <w:widowControl/>
              <w:suppressAutoHyphens/>
              <w:ind w:left="432"/>
              <w:rPr>
                <w:spacing w:val="-2"/>
              </w:rPr>
            </w:pPr>
            <w:r w:rsidRPr="00BE70CC">
              <w:rPr>
                <w:spacing w:val="-2"/>
              </w:rPr>
              <w:t>File No.:  EB-</w:t>
            </w:r>
            <w:r w:rsidR="0059424F">
              <w:rPr>
                <w:spacing w:val="-2"/>
              </w:rPr>
              <w:t>TCD</w:t>
            </w:r>
            <w:r w:rsidRPr="00BE70CC">
              <w:rPr>
                <w:spacing w:val="-2"/>
              </w:rPr>
              <w:t>-</w:t>
            </w:r>
            <w:r w:rsidR="0059424F">
              <w:rPr>
                <w:spacing w:val="-2"/>
              </w:rPr>
              <w:t>13</w:t>
            </w:r>
            <w:r w:rsidRPr="00BE70CC">
              <w:rPr>
                <w:spacing w:val="-2"/>
              </w:rPr>
              <w:t>-</w:t>
            </w:r>
            <w:r w:rsidR="0059424F">
              <w:rPr>
                <w:spacing w:val="-2"/>
              </w:rPr>
              <w:t>00007717</w:t>
            </w:r>
          </w:p>
          <w:p w:rsidR="00E273E3" w:rsidRPr="00BE70CC" w:rsidRDefault="00600EA1" w:rsidP="00EE05DB">
            <w:pPr>
              <w:widowControl/>
              <w:suppressAutoHyphens/>
              <w:ind w:left="432"/>
              <w:rPr>
                <w:spacing w:val="-2"/>
              </w:rPr>
            </w:pPr>
            <w:r w:rsidRPr="00BE70CC">
              <w:rPr>
                <w:spacing w:val="-2"/>
              </w:rPr>
              <w:t xml:space="preserve">  </w:t>
            </w:r>
          </w:p>
          <w:p w:rsidR="00E273E3" w:rsidRPr="00BE70CC" w:rsidRDefault="00E273E3" w:rsidP="00153904">
            <w:pPr>
              <w:widowControl/>
              <w:suppressAutoHyphens/>
              <w:ind w:left="432"/>
              <w:rPr>
                <w:spacing w:val="-2"/>
              </w:rPr>
            </w:pPr>
          </w:p>
        </w:tc>
      </w:tr>
    </w:tbl>
    <w:p w:rsidR="00E273E3" w:rsidRPr="00BE70CC" w:rsidRDefault="004F6A54" w:rsidP="002659F3">
      <w:pPr>
        <w:pStyle w:val="StyleBoldCentered"/>
        <w:widowControl/>
        <w:spacing w:after="220"/>
      </w:pPr>
      <w:r w:rsidRPr="00BE70CC">
        <w:t xml:space="preserve">CITATION AND </w:t>
      </w:r>
      <w:r w:rsidR="00E273E3" w:rsidRPr="00BE70CC">
        <w:t>ORDER</w:t>
      </w:r>
    </w:p>
    <w:p w:rsidR="005321F0" w:rsidRPr="00BE70CC" w:rsidRDefault="00240579" w:rsidP="005321F0">
      <w:pPr>
        <w:spacing w:after="240"/>
        <w:jc w:val="center"/>
        <w:rPr>
          <w:b/>
          <w:szCs w:val="22"/>
        </w:rPr>
      </w:pPr>
      <w:r>
        <w:rPr>
          <w:b/>
          <w:szCs w:val="22"/>
        </w:rPr>
        <w:t>FAILURE TO COMPLY WITH AN FCC ORDER</w:t>
      </w:r>
    </w:p>
    <w:p w:rsidR="00E273E3" w:rsidRPr="00BE70CC" w:rsidRDefault="00E273E3" w:rsidP="00226191">
      <w:pPr>
        <w:widowControl/>
        <w:tabs>
          <w:tab w:val="right" w:pos="9360"/>
        </w:tabs>
        <w:suppressAutoHyphens/>
        <w:rPr>
          <w:spacing w:val="-2"/>
        </w:rPr>
      </w:pPr>
      <w:r w:rsidRPr="00BE70CC">
        <w:rPr>
          <w:b/>
          <w:spacing w:val="-2"/>
        </w:rPr>
        <w:t xml:space="preserve">Adopted:  </w:t>
      </w:r>
      <w:r w:rsidR="00F30D55">
        <w:rPr>
          <w:b/>
          <w:spacing w:val="-2"/>
        </w:rPr>
        <w:t xml:space="preserve">March </w:t>
      </w:r>
      <w:r w:rsidR="00625B29">
        <w:rPr>
          <w:b/>
          <w:spacing w:val="-2"/>
        </w:rPr>
        <w:t>2</w:t>
      </w:r>
      <w:r w:rsidR="00617818">
        <w:rPr>
          <w:b/>
          <w:spacing w:val="-2"/>
        </w:rPr>
        <w:t>4</w:t>
      </w:r>
      <w:r w:rsidR="00F30D55">
        <w:rPr>
          <w:b/>
          <w:spacing w:val="-2"/>
        </w:rPr>
        <w:t>, 2015</w:t>
      </w:r>
      <w:r w:rsidR="006D2212" w:rsidRPr="00BE70CC">
        <w:rPr>
          <w:b/>
          <w:spacing w:val="-2"/>
        </w:rPr>
        <w:tab/>
        <w:t xml:space="preserve">Released:  </w:t>
      </w:r>
      <w:r w:rsidR="00F30D55">
        <w:rPr>
          <w:b/>
          <w:spacing w:val="-2"/>
        </w:rPr>
        <w:t xml:space="preserve">March </w:t>
      </w:r>
      <w:r w:rsidR="00625B29">
        <w:rPr>
          <w:b/>
          <w:spacing w:val="-2"/>
        </w:rPr>
        <w:t>2</w:t>
      </w:r>
      <w:r w:rsidR="00617818">
        <w:rPr>
          <w:b/>
          <w:spacing w:val="-2"/>
        </w:rPr>
        <w:t>4</w:t>
      </w:r>
      <w:r w:rsidR="00F30D55">
        <w:rPr>
          <w:b/>
          <w:spacing w:val="-2"/>
        </w:rPr>
        <w:t>, 2015</w:t>
      </w:r>
    </w:p>
    <w:p w:rsidR="00E273E3" w:rsidRPr="00BE70CC" w:rsidRDefault="00E273E3" w:rsidP="00EE05DB">
      <w:pPr>
        <w:widowControl/>
        <w:jc w:val="center"/>
      </w:pPr>
    </w:p>
    <w:p w:rsidR="00E273E3" w:rsidRPr="00BE70CC" w:rsidRDefault="00E273E3" w:rsidP="002659F3">
      <w:pPr>
        <w:widowControl/>
        <w:rPr>
          <w:spacing w:val="-2"/>
        </w:rPr>
      </w:pPr>
      <w:r w:rsidRPr="00BE70CC">
        <w:t xml:space="preserve">By the </w:t>
      </w:r>
      <w:r w:rsidR="00240579">
        <w:t>Chief, Telecommunications Consumers Division</w:t>
      </w:r>
      <w:r w:rsidR="00240579">
        <w:rPr>
          <w:noProof/>
          <w:szCs w:val="22"/>
        </w:rPr>
        <w:t>, Enforcement Bureau</w:t>
      </w:r>
      <w:r w:rsidR="00240579">
        <w:rPr>
          <w:spacing w:val="-2"/>
        </w:rPr>
        <w:t>:</w:t>
      </w:r>
    </w:p>
    <w:p w:rsidR="00E273E3" w:rsidRPr="00BE70CC" w:rsidRDefault="00E273E3" w:rsidP="002659F3">
      <w:pPr>
        <w:widowControl/>
        <w:rPr>
          <w:spacing w:val="-2"/>
        </w:rPr>
      </w:pPr>
    </w:p>
    <w:p w:rsidR="00E273E3" w:rsidRPr="00BE70CC" w:rsidRDefault="00500FF2" w:rsidP="00226191">
      <w:pPr>
        <w:pStyle w:val="Heading1"/>
      </w:pPr>
      <w:bookmarkStart w:id="1" w:name="_Toc379288998"/>
      <w:bookmarkStart w:id="2" w:name="_Toc379365499"/>
      <w:r w:rsidRPr="00BE70CC">
        <w:t>NOTICE OF CITATION</w:t>
      </w:r>
      <w:bookmarkEnd w:id="1"/>
      <w:bookmarkEnd w:id="2"/>
    </w:p>
    <w:p w:rsidR="00A204BA" w:rsidRPr="00BE70CC" w:rsidRDefault="0077224C" w:rsidP="00C07DC3">
      <w:pPr>
        <w:pStyle w:val="ParaNum"/>
        <w:tabs>
          <w:tab w:val="clear" w:pos="1080"/>
        </w:tabs>
      </w:pPr>
      <w:r>
        <w:t>T</w:t>
      </w:r>
      <w:r w:rsidR="00500FF2" w:rsidRPr="00BE70CC">
        <w:t xml:space="preserve">his </w:t>
      </w:r>
      <w:r w:rsidR="00500FF2" w:rsidRPr="00BE70CC">
        <w:rPr>
          <w:b/>
        </w:rPr>
        <w:t>CITATION AND ORDER</w:t>
      </w:r>
      <w:r w:rsidR="00716E89" w:rsidRPr="00BE70CC">
        <w:rPr>
          <w:b/>
        </w:rPr>
        <w:t xml:space="preserve"> </w:t>
      </w:r>
      <w:r w:rsidR="00716E89" w:rsidRPr="00BE70CC">
        <w:t>(Citation)</w:t>
      </w:r>
      <w:r>
        <w:t>, notifies</w:t>
      </w:r>
      <w:r w:rsidR="00500FF2" w:rsidRPr="00BE70CC">
        <w:t xml:space="preserve"> </w:t>
      </w:r>
      <w:r w:rsidR="0059424F">
        <w:t>FreeEats.com, Inc.</w:t>
      </w:r>
      <w:r w:rsidR="00E273E3" w:rsidRPr="00BE70CC">
        <w:t xml:space="preserve"> (</w:t>
      </w:r>
      <w:r w:rsidR="00AB4CC8">
        <w:t>FreeEats</w:t>
      </w:r>
      <w:r w:rsidR="00EC33CF">
        <w:t xml:space="preserve"> or Company</w:t>
      </w:r>
      <w:r w:rsidR="00E273E3" w:rsidRPr="00BE70CC">
        <w:t xml:space="preserve">) </w:t>
      </w:r>
      <w:r w:rsidR="00500FF2" w:rsidRPr="00BE70CC">
        <w:t xml:space="preserve">that it </w:t>
      </w:r>
      <w:r w:rsidR="00AB4CC8">
        <w:t>has violated federal law by failing to comply with an order to produce documents and answ</w:t>
      </w:r>
      <w:r w:rsidR="00EC33CF">
        <w:t>ers to an FCC Letter of Inquiry</w:t>
      </w:r>
      <w:r w:rsidR="00500FF2" w:rsidRPr="00BE70CC">
        <w:t xml:space="preserve">.  We therefore direct </w:t>
      </w:r>
      <w:r w:rsidR="0059424F">
        <w:t>FreeEats</w:t>
      </w:r>
      <w:r w:rsidR="00500FF2" w:rsidRPr="00BE70CC">
        <w:t xml:space="preserve"> to take immediate steps to comply </w:t>
      </w:r>
      <w:r w:rsidR="00F30D55">
        <w:t>by submitting all outstanding responses and responsive documents as required by the Letter of Inquiry sent to the Company on December 4, 2014</w:t>
      </w:r>
      <w:r w:rsidR="00500FF2" w:rsidRPr="00BE70CC">
        <w:t xml:space="preserve">.  If </w:t>
      </w:r>
      <w:r w:rsidR="0059424F">
        <w:t>FreeEats</w:t>
      </w:r>
      <w:r w:rsidR="00500FF2" w:rsidRPr="00BE70CC">
        <w:t xml:space="preserve"> fails to comply with </w:t>
      </w:r>
      <w:r w:rsidR="00F30D55">
        <w:t>the law</w:t>
      </w:r>
      <w:r w:rsidR="00500FF2" w:rsidRPr="00BE70CC">
        <w:t>, it may be liable for significant fines</w:t>
      </w:r>
      <w:r w:rsidR="00F30D55">
        <w:t xml:space="preserve">, </w:t>
      </w:r>
      <w:r w:rsidR="008C0FB2" w:rsidRPr="00BE70CC">
        <w:t xml:space="preserve">including </w:t>
      </w:r>
      <w:r w:rsidR="008B27C1" w:rsidRPr="00BE70CC">
        <w:t>fines of up to $</w:t>
      </w:r>
      <w:r w:rsidR="00F30D55">
        <w:t>16</w:t>
      </w:r>
      <w:r w:rsidR="008B27C1" w:rsidRPr="00BE70CC">
        <w:t>,</w:t>
      </w:r>
      <w:r w:rsidR="00F30D55">
        <w:t>000</w:t>
      </w:r>
      <w:r w:rsidR="008B27C1" w:rsidRPr="00BE70CC">
        <w:t xml:space="preserve"> per day</w:t>
      </w:r>
      <w:r w:rsidR="00F30D55">
        <w:t xml:space="preserve"> that the Company fails to fully respond to the Letter of Inquiry, and ot</w:t>
      </w:r>
      <w:r w:rsidR="008B27C1" w:rsidRPr="00BE70CC">
        <w:t xml:space="preserve">her sanctions. </w:t>
      </w:r>
    </w:p>
    <w:p w:rsidR="00EF1FDD" w:rsidRPr="00BE70CC" w:rsidRDefault="00B85F3E" w:rsidP="00716E89">
      <w:pPr>
        <w:pStyle w:val="ParaNum"/>
        <w:tabs>
          <w:tab w:val="clear" w:pos="1080"/>
          <w:tab w:val="num" w:pos="1440"/>
        </w:tabs>
      </w:pPr>
      <w:bookmarkStart w:id="3" w:name="_Ref413078791"/>
      <w:r w:rsidRPr="00BE70CC">
        <w:rPr>
          <w:b/>
          <w:i/>
        </w:rPr>
        <w:t xml:space="preserve">Notice of Duty to Comply with </w:t>
      </w:r>
      <w:r w:rsidR="00F6754D" w:rsidRPr="00BE70CC">
        <w:rPr>
          <w:b/>
          <w:i/>
        </w:rPr>
        <w:t>the Law</w:t>
      </w:r>
      <w:r w:rsidRPr="00BE70CC">
        <w:t xml:space="preserve">:  </w:t>
      </w:r>
      <w:r w:rsidR="00716E89" w:rsidRPr="00BE70CC">
        <w:t xml:space="preserve">We issue this Citation pursuant to Section 503(b)(5) of the Communications Act of 1934, as amended (Act), which </w:t>
      </w:r>
      <w:r w:rsidR="00727F4F" w:rsidRPr="00BE70CC">
        <w:t xml:space="preserve">states that the Commission may not impose </w:t>
      </w:r>
      <w:r w:rsidR="00716E89" w:rsidRPr="00BE70CC">
        <w:t>monetary forfeitures against non-regulatees who violate Commission rules or the Act</w:t>
      </w:r>
      <w:r w:rsidR="00727F4F" w:rsidRPr="00BE70CC">
        <w:t xml:space="preserve"> </w:t>
      </w:r>
      <w:r w:rsidR="00C42D39" w:rsidRPr="00BE70CC">
        <w:t>unless and until</w:t>
      </w:r>
      <w:r w:rsidR="00BF39AF" w:rsidRPr="00BE70CC">
        <w:t xml:space="preserve">: </w:t>
      </w:r>
      <w:r w:rsidR="00716E89" w:rsidRPr="00BE70CC">
        <w:t xml:space="preserve"> (a)</w:t>
      </w:r>
      <w:r w:rsidR="00C42D39" w:rsidRPr="00BE70CC">
        <w:t xml:space="preserve"> the Commission</w:t>
      </w:r>
      <w:r w:rsidR="00716E89" w:rsidRPr="00BE70CC">
        <w:t xml:space="preserve"> issues a citation to the violator</w:t>
      </w:r>
      <w:r w:rsidR="00C42D39" w:rsidRPr="00BE70CC">
        <w:t xml:space="preserve">; (b) the Commission </w:t>
      </w:r>
      <w:r w:rsidR="00716E89" w:rsidRPr="00BE70CC">
        <w:t>provides the violator a reasonable opportunity to respond; and (c) the violator subsequently engages in conduct described in the citation.</w:t>
      </w:r>
      <w:r w:rsidR="00716E89" w:rsidRPr="00BE70CC">
        <w:rPr>
          <w:rStyle w:val="FootnoteReference"/>
          <w:kern w:val="2"/>
          <w:szCs w:val="22"/>
        </w:rPr>
        <w:footnoteReference w:id="2"/>
      </w:r>
      <w:r w:rsidR="00716E89" w:rsidRPr="00BE70CC">
        <w:t xml:space="preserve">  </w:t>
      </w:r>
      <w:r w:rsidR="006E6234" w:rsidRPr="00BE70CC">
        <w:t xml:space="preserve">Accordingly, </w:t>
      </w:r>
      <w:r w:rsidR="0059424F">
        <w:t>FreeEats</w:t>
      </w:r>
      <w:r w:rsidR="00BF790E" w:rsidRPr="00BE70CC">
        <w:t xml:space="preserve"> </w:t>
      </w:r>
      <w:r w:rsidR="00BF790E" w:rsidRPr="00BE70CC">
        <w:rPr>
          <w:kern w:val="2"/>
        </w:rPr>
        <w:t xml:space="preserve">is hereby on notice that it must comply with </w:t>
      </w:r>
      <w:r w:rsidR="00F30D55">
        <w:rPr>
          <w:kern w:val="2"/>
        </w:rPr>
        <w:t>the FCC’s order to produce responses and documents as required by the terms of the Letter of Inquiry sent to the Company on December 4, 2014</w:t>
      </w:r>
      <w:r w:rsidR="00BF790E" w:rsidRPr="00BE70CC">
        <w:rPr>
          <w:color w:val="000000"/>
          <w:kern w:val="2"/>
        </w:rPr>
        <w:t>.</w:t>
      </w:r>
      <w:r w:rsidR="000E3600" w:rsidRPr="00BE70CC">
        <w:rPr>
          <w:rStyle w:val="FootnoteReference"/>
          <w:kern w:val="2"/>
        </w:rPr>
        <w:footnoteReference w:id="3"/>
      </w:r>
      <w:r w:rsidR="00BF790E" w:rsidRPr="00BE70CC">
        <w:rPr>
          <w:color w:val="000000"/>
          <w:kern w:val="2"/>
        </w:rPr>
        <w:t xml:space="preserve">  I</w:t>
      </w:r>
      <w:r w:rsidR="00BF790E" w:rsidRPr="00BE70CC">
        <w:t xml:space="preserve">f </w:t>
      </w:r>
      <w:r w:rsidR="0059424F">
        <w:t>FreeEats</w:t>
      </w:r>
      <w:r w:rsidR="00BF790E" w:rsidRPr="00BE70CC">
        <w:t xml:space="preserve"> </w:t>
      </w:r>
      <w:r w:rsidR="00BF790E" w:rsidRPr="00BE70CC">
        <w:rPr>
          <w:kern w:val="2"/>
        </w:rPr>
        <w:t xml:space="preserve">subsequently engages in any conduct of the type </w:t>
      </w:r>
      <w:r w:rsidR="00C42D39" w:rsidRPr="00BE70CC">
        <w:rPr>
          <w:kern w:val="2"/>
        </w:rPr>
        <w:t>this Citation describes</w:t>
      </w:r>
      <w:r w:rsidR="00BF790E" w:rsidRPr="00BE70CC">
        <w:rPr>
          <w:kern w:val="2"/>
        </w:rPr>
        <w:t xml:space="preserve"> —</w:t>
      </w:r>
      <w:r w:rsidR="00C42D39" w:rsidRPr="00BE70CC">
        <w:rPr>
          <w:kern w:val="2"/>
        </w:rPr>
        <w:t xml:space="preserve"> </w:t>
      </w:r>
      <w:r w:rsidR="00BF790E" w:rsidRPr="00BE70CC">
        <w:rPr>
          <w:kern w:val="2"/>
        </w:rPr>
        <w:t xml:space="preserve">and specifically </w:t>
      </w:r>
      <w:r w:rsidR="00F30D55">
        <w:rPr>
          <w:kern w:val="2"/>
        </w:rPr>
        <w:t xml:space="preserve">failing to respond to </w:t>
      </w:r>
      <w:r w:rsidR="007C0564">
        <w:rPr>
          <w:kern w:val="2"/>
        </w:rPr>
        <w:t>the FCC’s</w:t>
      </w:r>
      <w:r w:rsidR="00970438">
        <w:rPr>
          <w:kern w:val="2"/>
        </w:rPr>
        <w:t xml:space="preserve"> inquiries </w:t>
      </w:r>
      <w:r w:rsidR="00BF790E" w:rsidRPr="00BE70CC">
        <w:t>—</w:t>
      </w:r>
      <w:r w:rsidR="00C42D39" w:rsidRPr="00BE70CC">
        <w:t xml:space="preserve"> </w:t>
      </w:r>
      <w:r w:rsidR="0059424F">
        <w:t>FreeEats</w:t>
      </w:r>
      <w:r w:rsidR="00BF790E" w:rsidRPr="00BE70CC">
        <w:rPr>
          <w:kern w:val="2"/>
        </w:rPr>
        <w:t xml:space="preserve"> may be subject to civil penalties, including but not limited to, substantial monetary forfeitures</w:t>
      </w:r>
      <w:r w:rsidR="00EF7A32" w:rsidRPr="00BE70CC">
        <w:rPr>
          <w:kern w:val="2"/>
        </w:rPr>
        <w:t xml:space="preserve"> </w:t>
      </w:r>
      <w:r w:rsidR="00970438">
        <w:rPr>
          <w:kern w:val="2"/>
        </w:rPr>
        <w:t>or other penalties</w:t>
      </w:r>
      <w:r w:rsidR="00BF790E" w:rsidRPr="00BE70CC">
        <w:rPr>
          <w:kern w:val="2"/>
        </w:rPr>
        <w:t>.  In assessing such forfeitures, the Commission may consider both the conduct that led to this Citation and the conduct following it.</w:t>
      </w:r>
      <w:r w:rsidR="00BF790E" w:rsidRPr="00BE70CC">
        <w:rPr>
          <w:kern w:val="2"/>
          <w:vertAlign w:val="superscript"/>
        </w:rPr>
        <w:footnoteReference w:id="4"/>
      </w:r>
      <w:bookmarkEnd w:id="3"/>
    </w:p>
    <w:p w:rsidR="008B27C1" w:rsidRPr="00BE70CC" w:rsidRDefault="00BF790E" w:rsidP="00BF790E">
      <w:pPr>
        <w:pStyle w:val="ParaNum"/>
        <w:tabs>
          <w:tab w:val="clear" w:pos="1080"/>
          <w:tab w:val="num" w:pos="1440"/>
        </w:tabs>
      </w:pPr>
      <w:r w:rsidRPr="00BE70CC">
        <w:rPr>
          <w:i/>
          <w:kern w:val="0"/>
        </w:rPr>
        <w:t xml:space="preserve">Notice of Duty to </w:t>
      </w:r>
      <w:r w:rsidR="006B730D" w:rsidRPr="00BE70CC">
        <w:rPr>
          <w:i/>
          <w:kern w:val="0"/>
        </w:rPr>
        <w:t>Provide Information</w:t>
      </w:r>
      <w:r w:rsidR="00F6754D" w:rsidRPr="00BE70CC">
        <w:rPr>
          <w:kern w:val="0"/>
        </w:rPr>
        <w:t xml:space="preserve">:  </w:t>
      </w:r>
      <w:r w:rsidR="006E6234" w:rsidRPr="00BE70CC">
        <w:rPr>
          <w:szCs w:val="22"/>
        </w:rPr>
        <w:t>Pursuant to Sections 4(i), 4(j), and 403 of the Act</w:t>
      </w:r>
      <w:r w:rsidR="00EE36BE">
        <w:rPr>
          <w:szCs w:val="22"/>
        </w:rPr>
        <w:t>,</w:t>
      </w:r>
      <w:r w:rsidR="00EE36BE">
        <w:rPr>
          <w:rStyle w:val="FootnoteReference"/>
          <w:szCs w:val="22"/>
        </w:rPr>
        <w:footnoteReference w:id="5"/>
      </w:r>
      <w:r w:rsidR="006E6234" w:rsidRPr="00BE70CC">
        <w:rPr>
          <w:kern w:val="0"/>
        </w:rPr>
        <w:t xml:space="preserve"> </w:t>
      </w:r>
      <w:r w:rsidR="00F6754D" w:rsidRPr="00BE70CC">
        <w:t xml:space="preserve">we direct </w:t>
      </w:r>
      <w:r w:rsidR="0059424F">
        <w:t>FreeEats</w:t>
      </w:r>
      <w:r w:rsidR="00F6754D" w:rsidRPr="00BE70CC">
        <w:t xml:space="preserve"> to res</w:t>
      </w:r>
      <w:r w:rsidR="00A83EFC" w:rsidRPr="00BE70CC">
        <w:t xml:space="preserve">pond in writing, within </w:t>
      </w:r>
      <w:r w:rsidR="00F6754D" w:rsidRPr="00BE70CC">
        <w:t xml:space="preserve">30 calendar days after the release date of this Citation, </w:t>
      </w:r>
      <w:r w:rsidR="00122BB3" w:rsidRPr="00BE70CC">
        <w:t>to</w:t>
      </w:r>
      <w:r w:rsidRPr="00BE70CC">
        <w:t xml:space="preserve"> the questions</w:t>
      </w:r>
      <w:r w:rsidR="00AB4CC8">
        <w:t xml:space="preserve"> and requests for documents</w:t>
      </w:r>
      <w:r w:rsidRPr="00BE70CC">
        <w:t xml:space="preserve"> set out in </w:t>
      </w:r>
      <w:r w:rsidRPr="0052387A">
        <w:t xml:space="preserve">paragraph </w:t>
      </w:r>
      <w:r w:rsidR="00115611">
        <w:fldChar w:fldCharType="begin"/>
      </w:r>
      <w:r w:rsidR="00115611">
        <w:instrText xml:space="preserve"> REF _Ref413078730 \r </w:instrText>
      </w:r>
      <w:r w:rsidR="00115611">
        <w:fldChar w:fldCharType="separate"/>
      </w:r>
      <w:r w:rsidR="00617818">
        <w:t>10</w:t>
      </w:r>
      <w:r w:rsidR="00115611">
        <w:fldChar w:fldCharType="end"/>
      </w:r>
      <w:r w:rsidRPr="00BE70CC">
        <w:t>, below</w:t>
      </w:r>
      <w:r w:rsidR="00EF7A32" w:rsidRPr="00BE70CC">
        <w:t>.</w:t>
      </w:r>
      <w:r w:rsidR="006E6234" w:rsidRPr="00BE70CC">
        <w:rPr>
          <w:kern w:val="0"/>
        </w:rPr>
        <w:t xml:space="preserve">  </w:t>
      </w:r>
      <w:r w:rsidR="00716E89" w:rsidRPr="00BE70CC">
        <w:t xml:space="preserve"> </w:t>
      </w:r>
      <w:r w:rsidR="00097330" w:rsidRPr="00BE70CC">
        <w:rPr>
          <w:i/>
        </w:rPr>
        <w:t xml:space="preserve"> </w:t>
      </w:r>
      <w:r w:rsidR="008B27C1" w:rsidRPr="00BE70CC">
        <w:rPr>
          <w:i/>
        </w:rPr>
        <w:t xml:space="preserve">  </w:t>
      </w:r>
    </w:p>
    <w:p w:rsidR="00E273E3" w:rsidRDefault="00E273E3" w:rsidP="00226191">
      <w:pPr>
        <w:pStyle w:val="Heading1"/>
      </w:pPr>
      <w:bookmarkStart w:id="4" w:name="_Toc379288999"/>
      <w:bookmarkStart w:id="5" w:name="_Toc379365500"/>
      <w:r w:rsidRPr="00BE70CC">
        <w:lastRenderedPageBreak/>
        <w:t>BACKGROUND</w:t>
      </w:r>
      <w:bookmarkEnd w:id="4"/>
      <w:bookmarkEnd w:id="5"/>
      <w:r w:rsidR="00A8604A" w:rsidRPr="00BE70CC">
        <w:t xml:space="preserve"> </w:t>
      </w:r>
    </w:p>
    <w:p w:rsidR="00970E03" w:rsidRDefault="00EC33CF" w:rsidP="00EC33CF">
      <w:pPr>
        <w:pStyle w:val="ParaNum"/>
      </w:pPr>
      <w:bookmarkStart w:id="6" w:name="_Ref413078918"/>
      <w:r>
        <w:t xml:space="preserve">The </w:t>
      </w:r>
      <w:bookmarkStart w:id="7" w:name="comebackhere"/>
      <w:bookmarkEnd w:id="7"/>
      <w:r>
        <w:t xml:space="preserve">Bureau’s Telecommunications Consumers Division (Division) is investigating the Company </w:t>
      </w:r>
      <w:r>
        <w:rPr>
          <w:szCs w:val="24"/>
        </w:rPr>
        <w:t>for its compliance with federal laws and FCC regulations concerning the use of automatic dialing equipment and the federal Do-Not-Call regulations, specifically, Section 227(b) of the Communications Act and Section 64.1200 of the FCC’s rules.</w:t>
      </w:r>
      <w:r>
        <w:rPr>
          <w:rStyle w:val="FootnoteReference"/>
        </w:rPr>
        <w:footnoteReference w:id="6"/>
      </w:r>
      <w:r>
        <w:rPr>
          <w:szCs w:val="24"/>
        </w:rPr>
        <w:t xml:space="preserve"> </w:t>
      </w:r>
      <w:r>
        <w:t xml:space="preserve"> On December 4, 2014, the Division sent a Letter of Inquiry by certified mail and email to FreeEats initiating its investigation.</w:t>
      </w:r>
      <w:r>
        <w:rPr>
          <w:rStyle w:val="FootnoteReference"/>
        </w:rPr>
        <w:footnoteReference w:id="7"/>
      </w:r>
      <w:r>
        <w:t xml:space="preserve">  Ronald Jacobs, attorney for FreeEats, responded via telephone </w:t>
      </w:r>
      <w:r w:rsidRPr="00625B29">
        <w:t>on December 8, 2014</w:t>
      </w:r>
      <w:r w:rsidR="006A7A28">
        <w:t xml:space="preserve">.  Mr. Jacobs </w:t>
      </w:r>
      <w:r w:rsidR="006A7A28" w:rsidRPr="001036BD">
        <w:t>acknowledged receipt of the LOI</w:t>
      </w:r>
      <w:r w:rsidR="00304D9E">
        <w:t>.  He explained that he</w:t>
      </w:r>
      <w:r w:rsidR="006A7A28">
        <w:t xml:space="preserve"> called </w:t>
      </w:r>
      <w:r w:rsidR="00970E03">
        <w:t>to discuss the investigation and to request permission to file the LOI response in multiple productions.  Division staff granted the request to respond in multiple productions, at which time counsel for FreeEats stated that he would contact the Division again to work out a production schedule.  Counsel for FreeEats</w:t>
      </w:r>
      <w:r w:rsidR="006A7A28">
        <w:t>, however, did not</w:t>
      </w:r>
      <w:r w:rsidR="00970E03">
        <w:t xml:space="preserve"> </w:t>
      </w:r>
      <w:r w:rsidR="006A7A28">
        <w:t>subsequently</w:t>
      </w:r>
      <w:r w:rsidR="00970E03">
        <w:t xml:space="preserve"> contact the Division.</w:t>
      </w:r>
      <w:bookmarkEnd w:id="6"/>
    </w:p>
    <w:p w:rsidR="00EC33CF" w:rsidRDefault="00970E03" w:rsidP="00EC33CF">
      <w:pPr>
        <w:pStyle w:val="ParaNum"/>
      </w:pPr>
      <w:r>
        <w:t xml:space="preserve">On January </w:t>
      </w:r>
      <w:r w:rsidR="00BC4A1C">
        <w:t>3</w:t>
      </w:r>
      <w:r>
        <w:t xml:space="preserve">0, 2015, Division staff called Ronald Jacobs to remind </w:t>
      </w:r>
      <w:r w:rsidR="00BC4A1C">
        <w:t>FreeEats</w:t>
      </w:r>
      <w:r>
        <w:t xml:space="preserve"> that</w:t>
      </w:r>
      <w:r w:rsidR="00BC4A1C">
        <w:t xml:space="preserve"> the response to the LOI</w:t>
      </w:r>
      <w:r>
        <w:t xml:space="preserve"> was more than </w:t>
      </w:r>
      <w:r w:rsidR="00BC4A1C">
        <w:t>three</w:t>
      </w:r>
      <w:r>
        <w:t xml:space="preserve"> weeks overdue </w:t>
      </w:r>
      <w:r w:rsidR="00BC4A1C">
        <w:t xml:space="preserve">and to inquire about the status of the Company’s responses and production of documents.  Mr. Jacobs </w:t>
      </w:r>
      <w:r w:rsidR="006A7A28">
        <w:t>admitted that the Company’s response was overdue</w:t>
      </w:r>
      <w:r w:rsidR="00BC4A1C">
        <w:t>.  Mr. Jacobs stated that the Company would provide an initial production of responses and documents the week of February 2, 2015, and that it would follow the initial production with a second production the week of February 9, 2015.  FreeEats did not respond, however, until February 20, 2015, when it submitted a partial narrative response.</w:t>
      </w:r>
      <w:r w:rsidR="0095383F">
        <w:rPr>
          <w:rStyle w:val="FootnoteReference"/>
        </w:rPr>
        <w:footnoteReference w:id="8"/>
      </w:r>
      <w:r w:rsidR="0095383F">
        <w:t xml:space="preserve">  The February 20 Response answered only the first 24 out of 35 LOI questions, omitting response to all of the Division’s document requests.</w:t>
      </w:r>
    </w:p>
    <w:p w:rsidR="00BC4A1C" w:rsidRPr="00EC33CF" w:rsidRDefault="00BC4A1C" w:rsidP="00EC33CF">
      <w:pPr>
        <w:pStyle w:val="ParaNum"/>
      </w:pPr>
      <w:bookmarkStart w:id="8" w:name="_Ref413078924"/>
      <w:r>
        <w:t xml:space="preserve">On </w:t>
      </w:r>
      <w:r w:rsidR="0095383F">
        <w:t>February 27, 2015, Division staff contacted counsel for FreeEats via email about the Company’s failure to submit a complete and timely response to the LOI.</w:t>
      </w:r>
      <w:r w:rsidR="0095383F">
        <w:rPr>
          <w:rStyle w:val="FootnoteReference"/>
        </w:rPr>
        <w:footnoteReference w:id="9"/>
      </w:r>
      <w:r w:rsidR="0095383F">
        <w:t xml:space="preserve">  The Division </w:t>
      </w:r>
      <w:r w:rsidR="00346496">
        <w:t>granted a one week extension, to March 6, 2015, in which to fully respond to the LOI.</w:t>
      </w:r>
      <w:r w:rsidR="00625B29">
        <w:t xml:space="preserve">  FreeEats subsequently provided a second partial response on March 5, 2015,</w:t>
      </w:r>
      <w:r w:rsidR="00625B29">
        <w:rPr>
          <w:rStyle w:val="FootnoteReference"/>
        </w:rPr>
        <w:footnoteReference w:id="10"/>
      </w:r>
      <w:r w:rsidR="00625B29">
        <w:t xml:space="preserve"> and a third partial response on March 9, 2015,</w:t>
      </w:r>
      <w:r w:rsidR="00625B29">
        <w:rPr>
          <w:rStyle w:val="FootnoteReference"/>
        </w:rPr>
        <w:footnoteReference w:id="11"/>
      </w:r>
      <w:r w:rsidR="00625B29">
        <w:t xml:space="preserve"> after the </w:t>
      </w:r>
      <w:r w:rsidR="00625B29">
        <w:lastRenderedPageBreak/>
        <w:t>extended deadline.</w:t>
      </w:r>
      <w:r w:rsidR="00346496">
        <w:t xml:space="preserve">  </w:t>
      </w:r>
      <w:r w:rsidR="00625B29">
        <w:t>The March 5 Response and March 9 Response contained some of the pending documents and responses owed to the Commission, but not all of them.</w:t>
      </w:r>
      <w:r w:rsidR="00625B29">
        <w:rPr>
          <w:rStyle w:val="FootnoteReference"/>
        </w:rPr>
        <w:footnoteReference w:id="12"/>
      </w:r>
      <w:r w:rsidR="00625B29">
        <w:t xml:space="preserve">  As of the date of this Citation, the Company has</w:t>
      </w:r>
      <w:r w:rsidR="00346496">
        <w:t xml:space="preserve"> </w:t>
      </w:r>
      <w:r w:rsidR="00625B29">
        <w:t>not</w:t>
      </w:r>
      <w:r w:rsidR="00346496">
        <w:t xml:space="preserve"> provide</w:t>
      </w:r>
      <w:r w:rsidR="00625B29">
        <w:t>d</w:t>
      </w:r>
      <w:r w:rsidR="00346496">
        <w:t xml:space="preserve"> </w:t>
      </w:r>
      <w:r w:rsidR="00625B29">
        <w:t xml:space="preserve">all of </w:t>
      </w:r>
      <w:r w:rsidR="00346496">
        <w:t xml:space="preserve">the documents and responses </w:t>
      </w:r>
      <w:r w:rsidR="00625B29">
        <w:t>required by the LOI</w:t>
      </w:r>
      <w:r w:rsidR="00346496">
        <w:t>.</w:t>
      </w:r>
      <w:bookmarkEnd w:id="8"/>
    </w:p>
    <w:p w:rsidR="0096675D" w:rsidRPr="00BE70CC" w:rsidRDefault="0096675D" w:rsidP="00226191">
      <w:pPr>
        <w:pStyle w:val="Heading1"/>
      </w:pPr>
      <w:r w:rsidRPr="00BE70CC">
        <w:t xml:space="preserve">aPPLICABLE LAW </w:t>
      </w:r>
      <w:r w:rsidR="00654D13" w:rsidRPr="00BE70CC">
        <w:t>and violations</w:t>
      </w:r>
    </w:p>
    <w:p w:rsidR="0096675D" w:rsidRDefault="00EC33CF" w:rsidP="00F50F55">
      <w:pPr>
        <w:pStyle w:val="ParaNum"/>
        <w:numPr>
          <w:ilvl w:val="0"/>
          <w:numId w:val="1"/>
        </w:numPr>
        <w:tabs>
          <w:tab w:val="clear" w:pos="1080"/>
          <w:tab w:val="num" w:pos="1440"/>
        </w:tabs>
      </w:pPr>
      <w:r>
        <w:t>Sections 4(i), 4(j), and 403 of the Communications Act</w:t>
      </w:r>
      <w:r>
        <w:rPr>
          <w:rStyle w:val="FootnoteReference"/>
        </w:rPr>
        <w:footnoteReference w:id="13"/>
      </w:r>
      <w:r>
        <w:t xml:space="preserve"> afford the Commission broad authority to investigate potential violations of the Act.  Section 4(i) authorizes the Commission to “issue such orders, not inconsistent with this [Act], as may be necessary in the execution of its functions.”</w:t>
      </w:r>
      <w:r>
        <w:rPr>
          <w:rStyle w:val="FootnoteReference"/>
        </w:rPr>
        <w:footnoteReference w:id="14"/>
      </w:r>
      <w:r>
        <w:t xml:space="preserve">  Section 4(j) states that “[t]he Commission may conduct its proceedings in such manner as will best conduce to the proper dispatch of business and to the ends of justice.”</w:t>
      </w:r>
      <w:r>
        <w:rPr>
          <w:rStyle w:val="FootnoteReference"/>
        </w:rPr>
        <w:footnoteReference w:id="15"/>
      </w:r>
      <w:r>
        <w:t xml:space="preserve">  Section 403 grants the Commission “full authority and power at any time to institute an inquiry, on its own motion, in any case and as to any matter or thing concerning which complaint is authorized to be made, to or before the Commission by any provision of this [Act], or concerning which any question may arise under any of the provisions of this [Act], or relating to the enforcement of any of the provisions of this [Act].”</w:t>
      </w:r>
      <w:r>
        <w:rPr>
          <w:rStyle w:val="FootnoteReference"/>
        </w:rPr>
        <w:footnoteReference w:id="16"/>
      </w:r>
      <w:r>
        <w:t xml:space="preserve">  Further, Section 403 gives “[t]he Commission . . . the power to make and enforce any order or orders” relating to its inquiries into compliance with the Act.</w:t>
      </w:r>
      <w:r>
        <w:rPr>
          <w:rStyle w:val="FootnoteReference"/>
        </w:rPr>
        <w:footnoteReference w:id="17"/>
      </w:r>
    </w:p>
    <w:p w:rsidR="00390158" w:rsidRDefault="00390158" w:rsidP="00F50F55">
      <w:pPr>
        <w:pStyle w:val="ParaNum"/>
        <w:numPr>
          <w:ilvl w:val="0"/>
          <w:numId w:val="1"/>
        </w:numPr>
        <w:tabs>
          <w:tab w:val="clear" w:pos="1080"/>
          <w:tab w:val="num" w:pos="1440"/>
        </w:tabs>
      </w:pPr>
      <w:r>
        <w:t>Pursuant to this authority,</w:t>
      </w:r>
      <w:r w:rsidR="00304D9E">
        <w:t xml:space="preserve"> as described in the Background, above,</w:t>
      </w:r>
      <w:r>
        <w:t xml:space="preserve"> the Division sent an LOI to FreeEats</w:t>
      </w:r>
      <w:r w:rsidR="00304D9E">
        <w:t>.  The LOI</w:t>
      </w:r>
      <w:r>
        <w:t xml:space="preserve"> direct</w:t>
      </w:r>
      <w:r w:rsidR="00304D9E">
        <w:t>ed</w:t>
      </w:r>
      <w:r>
        <w:t xml:space="preserve"> the Company to provide certain information and documents in connection with </w:t>
      </w:r>
      <w:r w:rsidR="00304D9E">
        <w:t>the Division’s</w:t>
      </w:r>
      <w:r>
        <w:t xml:space="preserve"> investigation into the Company’s compliance with </w:t>
      </w:r>
      <w:r>
        <w:rPr>
          <w:szCs w:val="24"/>
        </w:rPr>
        <w:t>Section 227(b) of the Act and Section 64.1200 of the FCC’s rules.</w:t>
      </w:r>
      <w:r>
        <w:rPr>
          <w:rStyle w:val="FootnoteReference"/>
        </w:rPr>
        <w:footnoteReference w:id="18"/>
      </w:r>
      <w:r>
        <w:rPr>
          <w:szCs w:val="24"/>
        </w:rPr>
        <w:t xml:space="preserve"> </w:t>
      </w:r>
      <w:r>
        <w:t>The Company has failed to provide</w:t>
      </w:r>
      <w:r w:rsidR="00625B29">
        <w:t xml:space="preserve"> all of</w:t>
      </w:r>
      <w:r>
        <w:t xml:space="preserve"> the documents it is required to produce under the LOI.  A party may not ignore the directives in a Commission order issued by the Bureau pursuant to delegated authority in an LOI.</w:t>
      </w:r>
      <w:r>
        <w:rPr>
          <w:rStyle w:val="FootnoteReference"/>
        </w:rPr>
        <w:footnoteReference w:id="19"/>
      </w:r>
      <w:r>
        <w:t xml:space="preserve">  FreeEats’ violation is particularly egregious, first because “[m]isconduct of this type exhibits contempt for the Commission’s authority and threatens to compromise the Commission’s ability to adequately investigate violations of its rules,”</w:t>
      </w:r>
      <w:r>
        <w:rPr>
          <w:rStyle w:val="FootnoteReference"/>
        </w:rPr>
        <w:footnoteReference w:id="20"/>
      </w:r>
      <w:r>
        <w:t xml:space="preserve"> and second because of the wide latitude of additional time the Division gave the Company to respond.</w:t>
      </w:r>
      <w:r>
        <w:rPr>
          <w:rStyle w:val="FootnoteReference"/>
        </w:rPr>
        <w:footnoteReference w:id="21"/>
      </w:r>
    </w:p>
    <w:p w:rsidR="00390158" w:rsidRPr="00BE70CC" w:rsidRDefault="00390158" w:rsidP="00304D9E">
      <w:pPr>
        <w:pStyle w:val="ParaNum"/>
        <w:widowControl/>
        <w:numPr>
          <w:ilvl w:val="0"/>
          <w:numId w:val="1"/>
        </w:numPr>
        <w:tabs>
          <w:tab w:val="clear" w:pos="1080"/>
          <w:tab w:val="num" w:pos="1440"/>
        </w:tabs>
      </w:pPr>
      <w:r>
        <w:t xml:space="preserve">Accordingly, we find that FreeEats has violated a Commission order by failing to provide the information and documents required by the LOI and by the </w:t>
      </w:r>
      <w:r w:rsidR="00625B29">
        <w:t xml:space="preserve">extended </w:t>
      </w:r>
      <w:r>
        <w:t>filing date of March 6, 2015.</w:t>
      </w:r>
    </w:p>
    <w:p w:rsidR="00E273E3" w:rsidRPr="00BE70CC" w:rsidRDefault="00467066" w:rsidP="00226191">
      <w:pPr>
        <w:pStyle w:val="Heading1"/>
      </w:pPr>
      <w:r w:rsidRPr="00BE70CC">
        <w:t xml:space="preserve">Request </w:t>
      </w:r>
      <w:r w:rsidR="00B85F3E" w:rsidRPr="00BE70CC">
        <w:t xml:space="preserve">FOR INFORMATION </w:t>
      </w:r>
    </w:p>
    <w:p w:rsidR="006E6234" w:rsidRPr="00BE70CC" w:rsidRDefault="00EC43A5" w:rsidP="006E6234">
      <w:pPr>
        <w:pStyle w:val="ParaNum"/>
        <w:tabs>
          <w:tab w:val="clear" w:pos="1080"/>
          <w:tab w:val="num" w:pos="1440"/>
        </w:tabs>
      </w:pPr>
      <w:bookmarkStart w:id="9" w:name="_Ref413078730"/>
      <w:r w:rsidRPr="00BE70CC">
        <w:t>W</w:t>
      </w:r>
      <w:r w:rsidR="005942FC" w:rsidRPr="00BE70CC">
        <w:t xml:space="preserve">e direct </w:t>
      </w:r>
      <w:r w:rsidR="0059424F">
        <w:t>FreeEats</w:t>
      </w:r>
      <w:r w:rsidR="005942FC" w:rsidRPr="00BE70CC">
        <w:t xml:space="preserve"> to respond to the following inquiries and </w:t>
      </w:r>
      <w:r w:rsidRPr="00BE70CC">
        <w:t xml:space="preserve">provide the </w:t>
      </w:r>
      <w:r w:rsidR="005942FC" w:rsidRPr="00BE70CC">
        <w:t>request</w:t>
      </w:r>
      <w:r w:rsidRPr="00BE70CC">
        <w:t>ed</w:t>
      </w:r>
      <w:r w:rsidR="00390158">
        <w:t xml:space="preserve"> documents</w:t>
      </w:r>
      <w:r w:rsidR="005942FC" w:rsidRPr="00BE70CC">
        <w:t xml:space="preserve"> within 30 days from the release date of this Citation:</w:t>
      </w:r>
      <w:bookmarkEnd w:id="9"/>
      <w:r w:rsidR="005942FC" w:rsidRPr="00BE70CC">
        <w:t xml:space="preserve">  </w:t>
      </w:r>
    </w:p>
    <w:p w:rsidR="005942FC" w:rsidRPr="00BE70CC" w:rsidRDefault="00346496" w:rsidP="00F50F55">
      <w:pPr>
        <w:pStyle w:val="ParaNum"/>
        <w:numPr>
          <w:ilvl w:val="0"/>
          <w:numId w:val="20"/>
        </w:numPr>
        <w:tabs>
          <w:tab w:val="left" w:pos="1440"/>
        </w:tabs>
        <w:rPr>
          <w:szCs w:val="22"/>
        </w:rPr>
      </w:pPr>
      <w:r>
        <w:rPr>
          <w:szCs w:val="22"/>
        </w:rPr>
        <w:t xml:space="preserve">Provide </w:t>
      </w:r>
      <w:r w:rsidR="00625B29">
        <w:rPr>
          <w:szCs w:val="22"/>
        </w:rPr>
        <w:t xml:space="preserve">all of </w:t>
      </w:r>
      <w:r>
        <w:rPr>
          <w:szCs w:val="22"/>
        </w:rPr>
        <w:t xml:space="preserve">the information and documents </w:t>
      </w:r>
      <w:r w:rsidR="00625B29">
        <w:rPr>
          <w:szCs w:val="22"/>
        </w:rPr>
        <w:t>called for</w:t>
      </w:r>
      <w:r>
        <w:rPr>
          <w:szCs w:val="22"/>
        </w:rPr>
        <w:t xml:space="preserve"> in Questions 25 through 35 of the LOI</w:t>
      </w:r>
      <w:r w:rsidR="00625B29">
        <w:rPr>
          <w:szCs w:val="22"/>
        </w:rPr>
        <w:t xml:space="preserve"> that have not already been produced</w:t>
      </w:r>
      <w:r w:rsidR="005942FC" w:rsidRPr="00BE70CC">
        <w:t>.</w:t>
      </w:r>
    </w:p>
    <w:p w:rsidR="006B730D" w:rsidRPr="00BE70CC" w:rsidRDefault="00346496" w:rsidP="00F50F55">
      <w:pPr>
        <w:pStyle w:val="ParaNum"/>
        <w:numPr>
          <w:ilvl w:val="0"/>
          <w:numId w:val="20"/>
        </w:numPr>
        <w:tabs>
          <w:tab w:val="left" w:pos="1440"/>
        </w:tabs>
        <w:rPr>
          <w:szCs w:val="22"/>
        </w:rPr>
      </w:pPr>
      <w:r>
        <w:rPr>
          <w:szCs w:val="22"/>
        </w:rPr>
        <w:t xml:space="preserve">Provide </w:t>
      </w:r>
      <w:r>
        <w:rPr>
          <w:szCs w:val="24"/>
        </w:rPr>
        <w:t xml:space="preserve">an affidavit or declaration under penalty of perjury, signed and dated by an authorized officer of the Company with personal knowledge of the representations provided in the Company’s </w:t>
      </w:r>
      <w:r w:rsidR="00540EBF">
        <w:rPr>
          <w:szCs w:val="24"/>
        </w:rPr>
        <w:t>February 20 Response</w:t>
      </w:r>
      <w:r>
        <w:rPr>
          <w:szCs w:val="24"/>
        </w:rPr>
        <w:t>,</w:t>
      </w:r>
      <w:r w:rsidR="00625B29">
        <w:rPr>
          <w:szCs w:val="24"/>
        </w:rPr>
        <w:t xml:space="preserve"> March 5 Response, and March 9 Response,</w:t>
      </w:r>
      <w:r>
        <w:rPr>
          <w:szCs w:val="24"/>
        </w:rPr>
        <w:t xml:space="preserve"> verifying the truth and accuracy of the information therein and that all of the information requested by </w:t>
      </w:r>
      <w:r w:rsidR="00540EBF">
        <w:rPr>
          <w:szCs w:val="24"/>
        </w:rPr>
        <w:t>the</w:t>
      </w:r>
      <w:r>
        <w:rPr>
          <w:szCs w:val="24"/>
        </w:rPr>
        <w:t xml:space="preserve"> LOI that are in the Company’s possession, custody, control </w:t>
      </w:r>
      <w:r w:rsidR="00540EBF">
        <w:rPr>
          <w:szCs w:val="24"/>
        </w:rPr>
        <w:t>or knowledge have been produced</w:t>
      </w:r>
      <w:r w:rsidR="006B730D" w:rsidRPr="00BE70CC">
        <w:t>.</w:t>
      </w:r>
    </w:p>
    <w:p w:rsidR="004D3233" w:rsidRPr="00BE70CC" w:rsidRDefault="002E3DE5" w:rsidP="003343CA">
      <w:pPr>
        <w:pStyle w:val="Heading1"/>
      </w:pPr>
      <w:bookmarkStart w:id="10" w:name="SR;716"/>
      <w:bookmarkStart w:id="11" w:name="SR;717"/>
      <w:bookmarkEnd w:id="10"/>
      <w:bookmarkEnd w:id="11"/>
      <w:r w:rsidRPr="00BE70CC">
        <w:t>Op</w:t>
      </w:r>
      <w:r w:rsidR="0096675D" w:rsidRPr="00BE70CC">
        <w:t>portunity</w:t>
      </w:r>
      <w:r w:rsidRPr="00BE70CC">
        <w:t xml:space="preserve"> to </w:t>
      </w:r>
      <w:r w:rsidR="004D3233" w:rsidRPr="00BE70CC">
        <w:t>respond to this citation</w:t>
      </w:r>
    </w:p>
    <w:p w:rsidR="00886C3A" w:rsidRPr="00BE70CC" w:rsidRDefault="0059424F" w:rsidP="00886C3A">
      <w:pPr>
        <w:pStyle w:val="ParaNum"/>
        <w:tabs>
          <w:tab w:val="clear" w:pos="1080"/>
          <w:tab w:val="num" w:pos="1440"/>
        </w:tabs>
        <w:rPr>
          <w:kern w:val="2"/>
        </w:rPr>
      </w:pPr>
      <w:r>
        <w:t>FreeEats</w:t>
      </w:r>
      <w:r w:rsidR="00886C3A" w:rsidRPr="00BE70CC">
        <w:t xml:space="preserve"> </w:t>
      </w:r>
      <w:r w:rsidR="00886C3A" w:rsidRPr="00BE70CC">
        <w:rPr>
          <w:kern w:val="2"/>
          <w:szCs w:val="22"/>
        </w:rPr>
        <w:t xml:space="preserve">may respond to this Citation and challenge the factual and legal findings herein within 30 calendar days from the </w:t>
      </w:r>
      <w:r w:rsidR="00B122C3" w:rsidRPr="00BE70CC">
        <w:rPr>
          <w:kern w:val="2"/>
          <w:szCs w:val="22"/>
        </w:rPr>
        <w:t xml:space="preserve">release date of this Citation by any of the following methods:  </w:t>
      </w:r>
      <w:r w:rsidR="00886C3A" w:rsidRPr="00BE70CC">
        <w:rPr>
          <w:kern w:val="2"/>
          <w:szCs w:val="22"/>
        </w:rPr>
        <w:t xml:space="preserve">(1) </w:t>
      </w:r>
      <w:r w:rsidR="00B122C3" w:rsidRPr="00BE70CC">
        <w:rPr>
          <w:kern w:val="2"/>
          <w:szCs w:val="22"/>
        </w:rPr>
        <w:t xml:space="preserve">a </w:t>
      </w:r>
      <w:r w:rsidR="00886C3A" w:rsidRPr="00BE70CC">
        <w:rPr>
          <w:kern w:val="2"/>
          <w:szCs w:val="22"/>
        </w:rPr>
        <w:t xml:space="preserve">written statement, (2) a teleconference interview, or (3) a personal interview at the Commission </w:t>
      </w:r>
      <w:r w:rsidR="00E25D8B">
        <w:rPr>
          <w:kern w:val="2"/>
          <w:szCs w:val="22"/>
        </w:rPr>
        <w:t xml:space="preserve">Headquarters or </w:t>
      </w:r>
      <w:r w:rsidR="00886C3A" w:rsidRPr="00BE70CC">
        <w:rPr>
          <w:kern w:val="2"/>
          <w:szCs w:val="22"/>
        </w:rPr>
        <w:t xml:space="preserve">Field Office nearest to </w:t>
      </w:r>
      <w:r>
        <w:t>FreeEats</w:t>
      </w:r>
      <w:r w:rsidR="00E25D8B">
        <w:rPr>
          <w:kern w:val="2"/>
          <w:szCs w:val="22"/>
        </w:rPr>
        <w:t>’</w:t>
      </w:r>
      <w:r w:rsidR="00F22E6D" w:rsidRPr="00BE70CC">
        <w:rPr>
          <w:kern w:val="2"/>
          <w:szCs w:val="22"/>
        </w:rPr>
        <w:t xml:space="preserve"> place of business</w:t>
      </w:r>
      <w:r w:rsidR="0090510E">
        <w:rPr>
          <w:kern w:val="2"/>
          <w:szCs w:val="22"/>
        </w:rPr>
        <w:t>.  T</w:t>
      </w:r>
      <w:r w:rsidR="00F22E6D" w:rsidRPr="00BE70CC">
        <w:rPr>
          <w:kern w:val="2"/>
          <w:szCs w:val="22"/>
        </w:rPr>
        <w:t xml:space="preserve">he Commission Office nearest </w:t>
      </w:r>
      <w:r>
        <w:t>FreeEats</w:t>
      </w:r>
      <w:r w:rsidR="00F22E6D" w:rsidRPr="00BE70CC">
        <w:t xml:space="preserve"> </w:t>
      </w:r>
      <w:r w:rsidR="00F50F55">
        <w:rPr>
          <w:kern w:val="2"/>
          <w:szCs w:val="22"/>
        </w:rPr>
        <w:t xml:space="preserve">is </w:t>
      </w:r>
      <w:r w:rsidR="00E25D8B">
        <w:rPr>
          <w:kern w:val="2"/>
          <w:szCs w:val="22"/>
        </w:rPr>
        <w:t xml:space="preserve">FCC Headquarters, </w:t>
      </w:r>
      <w:r w:rsidR="00F50F55">
        <w:rPr>
          <w:kern w:val="2"/>
          <w:szCs w:val="22"/>
        </w:rPr>
        <w:t xml:space="preserve">located in </w:t>
      </w:r>
      <w:r w:rsidR="00E25D8B">
        <w:rPr>
          <w:kern w:val="2"/>
          <w:szCs w:val="22"/>
        </w:rPr>
        <w:t>Washington, DC</w:t>
      </w:r>
      <w:r w:rsidR="00F22E6D" w:rsidRPr="00BE70CC">
        <w:rPr>
          <w:kern w:val="2"/>
          <w:szCs w:val="22"/>
        </w:rPr>
        <w:t>.</w:t>
      </w:r>
      <w:r w:rsidR="00886C3A" w:rsidRPr="00BE70CC">
        <w:rPr>
          <w:kern w:val="2"/>
          <w:szCs w:val="22"/>
        </w:rPr>
        <w:t xml:space="preserve">     </w:t>
      </w:r>
    </w:p>
    <w:p w:rsidR="00886C3A" w:rsidRPr="00BE70CC" w:rsidRDefault="00886C3A" w:rsidP="00F50F55">
      <w:pPr>
        <w:pStyle w:val="ParaNum"/>
        <w:widowControl/>
        <w:numPr>
          <w:ilvl w:val="0"/>
          <w:numId w:val="10"/>
        </w:numPr>
        <w:tabs>
          <w:tab w:val="clear" w:pos="1080"/>
        </w:tabs>
        <w:spacing w:after="220"/>
        <w:rPr>
          <w:kern w:val="2"/>
          <w:szCs w:val="22"/>
        </w:rPr>
      </w:pPr>
      <w:r w:rsidRPr="00BE70CC">
        <w:rPr>
          <w:kern w:val="2"/>
          <w:szCs w:val="22"/>
        </w:rPr>
        <w:t xml:space="preserve">If </w:t>
      </w:r>
      <w:r w:rsidR="0059424F">
        <w:t>FreeEats</w:t>
      </w:r>
      <w:r w:rsidRPr="00BE70CC">
        <w:t xml:space="preserve"> </w:t>
      </w:r>
      <w:r w:rsidR="00F22E6D" w:rsidRPr="00BE70CC">
        <w:rPr>
          <w:kern w:val="2"/>
          <w:szCs w:val="22"/>
        </w:rPr>
        <w:t>requests</w:t>
      </w:r>
      <w:r w:rsidRPr="00BE70CC">
        <w:rPr>
          <w:kern w:val="2"/>
          <w:szCs w:val="22"/>
        </w:rPr>
        <w:t xml:space="preserve"> a teleconference or pers</w:t>
      </w:r>
      <w:r w:rsidR="00F22E6D" w:rsidRPr="00BE70CC">
        <w:rPr>
          <w:kern w:val="2"/>
          <w:szCs w:val="22"/>
        </w:rPr>
        <w:t xml:space="preserve">onal interview, </w:t>
      </w:r>
      <w:r w:rsidRPr="00BE70CC">
        <w:rPr>
          <w:kern w:val="2"/>
          <w:szCs w:val="22"/>
        </w:rPr>
        <w:t xml:space="preserve">contact </w:t>
      </w:r>
      <w:r w:rsidR="00E25D8B">
        <w:rPr>
          <w:kern w:val="2"/>
          <w:szCs w:val="22"/>
        </w:rPr>
        <w:t>Kristi Thompson, Deputy Division Chief, EB-TCD,</w:t>
      </w:r>
      <w:r w:rsidRPr="00BE70CC">
        <w:rPr>
          <w:kern w:val="2"/>
          <w:szCs w:val="22"/>
        </w:rPr>
        <w:t xml:space="preserve"> </w:t>
      </w:r>
      <w:r w:rsidRPr="00BE70CC">
        <w:rPr>
          <w:noProof/>
          <w:color w:val="000000"/>
          <w:szCs w:val="22"/>
        </w:rPr>
        <w:t>at (</w:t>
      </w:r>
      <w:r w:rsidR="00E25D8B">
        <w:rPr>
          <w:noProof/>
          <w:color w:val="000000"/>
          <w:szCs w:val="22"/>
        </w:rPr>
        <w:t>202</w:t>
      </w:r>
      <w:r w:rsidRPr="00BE70CC">
        <w:rPr>
          <w:noProof/>
          <w:color w:val="000000"/>
          <w:szCs w:val="22"/>
        </w:rPr>
        <w:t xml:space="preserve">) </w:t>
      </w:r>
      <w:r w:rsidR="00E25D8B">
        <w:rPr>
          <w:noProof/>
          <w:color w:val="000000"/>
          <w:szCs w:val="22"/>
        </w:rPr>
        <w:t>418</w:t>
      </w:r>
      <w:r w:rsidRPr="00BE70CC">
        <w:rPr>
          <w:noProof/>
          <w:color w:val="000000"/>
          <w:szCs w:val="22"/>
        </w:rPr>
        <w:t>-</w:t>
      </w:r>
      <w:r w:rsidR="00E25D8B">
        <w:rPr>
          <w:noProof/>
          <w:color w:val="000000"/>
          <w:szCs w:val="22"/>
        </w:rPr>
        <w:t>1318</w:t>
      </w:r>
      <w:r w:rsidRPr="00BE70CC">
        <w:rPr>
          <w:kern w:val="2"/>
          <w:szCs w:val="22"/>
        </w:rPr>
        <w:t xml:space="preserve">.  </w:t>
      </w:r>
      <w:r w:rsidR="00F22E6D" w:rsidRPr="00BE70CC">
        <w:rPr>
          <w:kern w:val="2"/>
          <w:szCs w:val="22"/>
        </w:rPr>
        <w:t xml:space="preserve">We </w:t>
      </w:r>
      <w:r w:rsidRPr="00BE70CC">
        <w:rPr>
          <w:kern w:val="2"/>
          <w:szCs w:val="22"/>
        </w:rPr>
        <w:t xml:space="preserve">note that such teleconference or interview must take place within 30 calendar days of the </w:t>
      </w:r>
      <w:r w:rsidR="00C22E21" w:rsidRPr="00BE70CC">
        <w:rPr>
          <w:kern w:val="2"/>
          <w:szCs w:val="22"/>
        </w:rPr>
        <w:t xml:space="preserve">release </w:t>
      </w:r>
      <w:r w:rsidRPr="00BE70CC">
        <w:rPr>
          <w:kern w:val="2"/>
          <w:szCs w:val="22"/>
        </w:rPr>
        <w:t xml:space="preserve">date of this Citation.  If </w:t>
      </w:r>
      <w:r w:rsidR="0059424F">
        <w:t>FreeEats</w:t>
      </w:r>
      <w:r w:rsidRPr="00BE70CC">
        <w:t xml:space="preserve"> </w:t>
      </w:r>
      <w:r w:rsidRPr="00BE70CC">
        <w:rPr>
          <w:kern w:val="2"/>
          <w:szCs w:val="22"/>
        </w:rPr>
        <w:t xml:space="preserve">prefers to submit a written response with supporting documentation, it must send the response within 30 calendar days of the </w:t>
      </w:r>
      <w:r w:rsidR="00C22E21" w:rsidRPr="00BE70CC">
        <w:rPr>
          <w:kern w:val="2"/>
          <w:szCs w:val="22"/>
        </w:rPr>
        <w:t xml:space="preserve">release </w:t>
      </w:r>
      <w:r w:rsidRPr="00BE70CC">
        <w:rPr>
          <w:kern w:val="2"/>
          <w:szCs w:val="22"/>
        </w:rPr>
        <w:t>date of this Citation to the contact and address provided in paragraph</w:t>
      </w:r>
      <w:r w:rsidR="00D82A8B" w:rsidRPr="00BE70CC">
        <w:rPr>
          <w:kern w:val="2"/>
          <w:szCs w:val="22"/>
        </w:rPr>
        <w:t xml:space="preserve"> </w:t>
      </w:r>
      <w:r w:rsidRPr="00BE70CC">
        <w:rPr>
          <w:kern w:val="2"/>
          <w:szCs w:val="22"/>
        </w:rPr>
        <w:t>below.</w:t>
      </w:r>
    </w:p>
    <w:p w:rsidR="00886C3A" w:rsidRPr="00BE70CC" w:rsidRDefault="00886C3A" w:rsidP="00886C3A">
      <w:pPr>
        <w:pStyle w:val="ParaNum"/>
        <w:widowControl/>
        <w:numPr>
          <w:ilvl w:val="0"/>
          <w:numId w:val="10"/>
        </w:numPr>
        <w:tabs>
          <w:tab w:val="clear" w:pos="1080"/>
          <w:tab w:val="left" w:pos="1440"/>
        </w:tabs>
        <w:spacing w:after="220"/>
        <w:rPr>
          <w:kern w:val="2"/>
          <w:szCs w:val="22"/>
        </w:rPr>
      </w:pPr>
      <w:r w:rsidRPr="00BE70CC">
        <w:rPr>
          <w:kern w:val="2"/>
          <w:szCs w:val="22"/>
        </w:rPr>
        <w:t>All written communications should be sent to the address below.</w:t>
      </w:r>
    </w:p>
    <w:p w:rsidR="00E25D8B" w:rsidRPr="008B1BBC" w:rsidRDefault="00E25D8B" w:rsidP="00E25D8B">
      <w:pPr>
        <w:pStyle w:val="ParaNum"/>
        <w:numPr>
          <w:ilvl w:val="0"/>
          <w:numId w:val="0"/>
        </w:numPr>
        <w:spacing w:after="0"/>
        <w:ind w:left="1440" w:firstLine="720"/>
      </w:pPr>
      <w:r>
        <w:t>Kristi Thompson</w:t>
      </w:r>
      <w:r w:rsidRPr="008B1BBC">
        <w:t xml:space="preserve">, </w:t>
      </w:r>
      <w:r>
        <w:t xml:space="preserve">Deputy </w:t>
      </w:r>
      <w:r w:rsidRPr="008B1BBC">
        <w:t>Chief</w:t>
      </w:r>
    </w:p>
    <w:p w:rsidR="00E25D8B" w:rsidRDefault="00E25D8B" w:rsidP="00E25D8B">
      <w:pPr>
        <w:pStyle w:val="ParaNum"/>
        <w:numPr>
          <w:ilvl w:val="0"/>
          <w:numId w:val="0"/>
        </w:numPr>
        <w:spacing w:after="0"/>
        <w:ind w:left="1440" w:firstLine="720"/>
      </w:pPr>
      <w:r w:rsidRPr="008B1BBC">
        <w:t>Telecommunications Consumers Division</w:t>
      </w:r>
    </w:p>
    <w:p w:rsidR="00E25D8B" w:rsidRPr="008B1BBC" w:rsidRDefault="00E25D8B" w:rsidP="00E25D8B">
      <w:pPr>
        <w:pStyle w:val="ParaNum"/>
        <w:numPr>
          <w:ilvl w:val="0"/>
          <w:numId w:val="0"/>
        </w:numPr>
        <w:spacing w:after="0"/>
        <w:ind w:left="1440" w:firstLine="720"/>
      </w:pPr>
      <w:r w:rsidRPr="008B1BBC">
        <w:t>Enforcement Bureau</w:t>
      </w:r>
    </w:p>
    <w:p w:rsidR="00E25D8B" w:rsidRPr="008B1BBC" w:rsidRDefault="00E25D8B" w:rsidP="00E25D8B">
      <w:pPr>
        <w:pStyle w:val="ParaNum"/>
        <w:numPr>
          <w:ilvl w:val="0"/>
          <w:numId w:val="0"/>
        </w:numPr>
        <w:spacing w:after="0"/>
        <w:ind w:left="1440" w:firstLine="720"/>
      </w:pPr>
      <w:r w:rsidRPr="008B1BBC">
        <w:t>Federal Communications Commission</w:t>
      </w:r>
    </w:p>
    <w:p w:rsidR="00E25D8B" w:rsidRPr="008B1BBC" w:rsidRDefault="00E25D8B" w:rsidP="00E25D8B">
      <w:pPr>
        <w:pStyle w:val="ParaNum"/>
        <w:numPr>
          <w:ilvl w:val="0"/>
          <w:numId w:val="0"/>
        </w:numPr>
        <w:spacing w:after="0"/>
        <w:ind w:left="1440" w:firstLine="720"/>
      </w:pPr>
      <w:r w:rsidRPr="008B1BBC">
        <w:t>445 12th Street, SW, Rm. 4-C22</w:t>
      </w:r>
      <w:r>
        <w:t>0</w:t>
      </w:r>
    </w:p>
    <w:p w:rsidR="00886C3A" w:rsidRPr="00BE70CC" w:rsidRDefault="00E25D8B" w:rsidP="00E25D8B">
      <w:pPr>
        <w:ind w:left="1440" w:firstLine="720"/>
      </w:pPr>
      <w:r w:rsidRPr="008B1BBC">
        <w:t>Washington, DC 20554</w:t>
      </w:r>
    </w:p>
    <w:p w:rsidR="00886C3A" w:rsidRPr="00BE70CC" w:rsidRDefault="00886C3A" w:rsidP="00886C3A">
      <w:pPr>
        <w:ind w:left="1440" w:firstLine="720"/>
        <w:rPr>
          <w:noProof/>
        </w:rPr>
      </w:pPr>
      <w:r w:rsidRPr="00BE70CC">
        <w:rPr>
          <w:b/>
          <w:noProof/>
        </w:rPr>
        <w:t xml:space="preserve">Re: </w:t>
      </w:r>
      <w:r w:rsidR="00E25D8B" w:rsidRPr="00E25D8B">
        <w:rPr>
          <w:b/>
          <w:spacing w:val="-2"/>
        </w:rPr>
        <w:t>EB-TCD-13-00007717</w:t>
      </w:r>
    </w:p>
    <w:p w:rsidR="00886C3A" w:rsidRPr="00BE70CC" w:rsidRDefault="00886C3A" w:rsidP="00886C3A">
      <w:pPr>
        <w:pStyle w:val="ParaNum"/>
        <w:widowControl/>
        <w:numPr>
          <w:ilvl w:val="0"/>
          <w:numId w:val="0"/>
        </w:numPr>
        <w:spacing w:after="0"/>
        <w:ind w:left="2160"/>
        <w:rPr>
          <w:b/>
          <w:noProof/>
          <w:szCs w:val="22"/>
        </w:rPr>
      </w:pPr>
    </w:p>
    <w:p w:rsidR="00886C3A" w:rsidRPr="00BE70CC" w:rsidRDefault="00886C3A" w:rsidP="00886C3A">
      <w:pPr>
        <w:pStyle w:val="ParaNum"/>
        <w:widowControl/>
        <w:numPr>
          <w:ilvl w:val="0"/>
          <w:numId w:val="10"/>
        </w:numPr>
        <w:tabs>
          <w:tab w:val="clear" w:pos="1080"/>
          <w:tab w:val="left" w:pos="1440"/>
        </w:tabs>
        <w:spacing w:after="220"/>
        <w:rPr>
          <w:kern w:val="2"/>
          <w:szCs w:val="22"/>
        </w:rPr>
      </w:pPr>
      <w:r w:rsidRPr="00BE70CC">
        <w:rPr>
          <w:kern w:val="2"/>
          <w:szCs w:val="22"/>
        </w:rPr>
        <w:t xml:space="preserve">Upon request, the Commission will make reasonable accommodations for persons with disabilities.  If applicable, </w:t>
      </w:r>
      <w:r w:rsidR="0059424F">
        <w:t>FreeEats</w:t>
      </w:r>
      <w:r w:rsidRPr="00BE70CC">
        <w:t xml:space="preserve"> </w:t>
      </w:r>
      <w:r w:rsidRPr="00BE70CC">
        <w:rPr>
          <w:kern w:val="2"/>
          <w:szCs w:val="22"/>
        </w:rPr>
        <w:t xml:space="preserve">should provide a description of the accommodation required, and include as much detail as possible, and also provide </w:t>
      </w:r>
      <w:r w:rsidR="00C22E21" w:rsidRPr="00BE70CC">
        <w:rPr>
          <w:kern w:val="2"/>
          <w:szCs w:val="22"/>
        </w:rPr>
        <w:t xml:space="preserve">a telephone number and other </w:t>
      </w:r>
      <w:r w:rsidRPr="00BE70CC">
        <w:rPr>
          <w:kern w:val="2"/>
          <w:szCs w:val="22"/>
        </w:rPr>
        <w:t xml:space="preserve">contact information.  </w:t>
      </w:r>
      <w:r w:rsidR="0059424F">
        <w:t>FreeEats</w:t>
      </w:r>
      <w:r w:rsidRPr="00BE70CC">
        <w:t xml:space="preserve"> </w:t>
      </w:r>
      <w:r w:rsidR="00436E88" w:rsidRPr="00BE70CC">
        <w:rPr>
          <w:kern w:val="2"/>
          <w:szCs w:val="22"/>
        </w:rPr>
        <w:t xml:space="preserve">should allow at least five </w:t>
      </w:r>
      <w:r w:rsidRPr="00BE70CC">
        <w:rPr>
          <w:kern w:val="2"/>
          <w:szCs w:val="22"/>
        </w:rPr>
        <w:t xml:space="preserve">business days advance notice; last minute requests will be accepted, but may be impossible to fill.  </w:t>
      </w:r>
      <w:r w:rsidR="0059424F">
        <w:t>FreeEats</w:t>
      </w:r>
      <w:r w:rsidRPr="00BE70CC">
        <w:t xml:space="preserve"> </w:t>
      </w:r>
      <w:r w:rsidRPr="00BE70CC">
        <w:rPr>
          <w:kern w:val="2"/>
          <w:szCs w:val="22"/>
        </w:rPr>
        <w:t>should send an e-mail to fcc504@fcc.gov or call the FCC’s Consumer &amp; Governmental Affairs Bureau:</w:t>
      </w:r>
    </w:p>
    <w:p w:rsidR="00886C3A" w:rsidRPr="00BE70CC" w:rsidRDefault="00886C3A" w:rsidP="00886C3A">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RDefault="00886C3A" w:rsidP="00886C3A">
      <w:pPr>
        <w:spacing w:after="220"/>
        <w:rPr>
          <w:kern w:val="2"/>
          <w:szCs w:val="22"/>
        </w:rPr>
      </w:pPr>
      <w:r w:rsidRPr="00BE70CC">
        <w:rPr>
          <w:kern w:val="2"/>
          <w:szCs w:val="22"/>
        </w:rPr>
        <w:tab/>
      </w:r>
      <w:r w:rsidRPr="00BE70CC">
        <w:rPr>
          <w:kern w:val="2"/>
          <w:szCs w:val="22"/>
        </w:rPr>
        <w:tab/>
        <w:t>202-418-0530 (voice), 202-418-0432 (tty);</w:t>
      </w:r>
    </w:p>
    <w:p w:rsidR="00886C3A" w:rsidRPr="00BE70CC" w:rsidRDefault="00886C3A" w:rsidP="00886C3A">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886C3A" w:rsidRPr="00BE70CC" w:rsidRDefault="00886C3A" w:rsidP="00886C3A">
      <w:pPr>
        <w:pStyle w:val="ParaNum"/>
        <w:widowControl/>
        <w:numPr>
          <w:ilvl w:val="0"/>
          <w:numId w:val="10"/>
        </w:numPr>
        <w:tabs>
          <w:tab w:val="clear" w:pos="1080"/>
          <w:tab w:val="left" w:pos="1440"/>
        </w:tabs>
        <w:rPr>
          <w:szCs w:val="22"/>
        </w:rPr>
      </w:pPr>
      <w:r w:rsidRPr="00BE70CC">
        <w:rPr>
          <w:kern w:val="2"/>
          <w:szCs w:val="22"/>
        </w:rPr>
        <w:t xml:space="preserve">We advise </w:t>
      </w:r>
      <w:r w:rsidR="0059424F">
        <w:t>FreeEats</w:t>
      </w:r>
      <w:r w:rsidRPr="00BE70CC">
        <w:t xml:space="preserve"> </w:t>
      </w:r>
      <w:r w:rsidRPr="00BE70CC">
        <w:rPr>
          <w:kern w:val="2"/>
          <w:szCs w:val="22"/>
        </w:rPr>
        <w:t>th</w:t>
      </w:r>
      <w:r w:rsidRPr="00BE70CC">
        <w:rPr>
          <w:szCs w:val="22"/>
        </w:rPr>
        <w:t>at it is a violation of Section 1.17 of the Rules</w:t>
      </w:r>
      <w:r w:rsidR="0090510E">
        <w:rPr>
          <w:rStyle w:val="FootnoteReference"/>
          <w:szCs w:val="22"/>
        </w:rPr>
        <w:footnoteReference w:id="22"/>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RDefault="00886C3A" w:rsidP="00886C3A">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RDefault="00886C3A" w:rsidP="00886C3A">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sidR="0090510E">
        <w:rPr>
          <w:rStyle w:val="FootnoteReference"/>
          <w:kern w:val="2"/>
          <w:szCs w:val="22"/>
        </w:rPr>
        <w:footnoteReference w:id="23"/>
      </w:r>
    </w:p>
    <w:p w:rsidR="00886C3A"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Violations of Section 1.17 of the Rules or the criminal statute referenced above may result in further legal action, including monetary forfeitures pursuant to Section 503 of the</w:t>
      </w:r>
      <w:r w:rsidR="003C4AD3">
        <w:rPr>
          <w:kern w:val="2"/>
          <w:szCs w:val="22"/>
        </w:rPr>
        <w:t xml:space="preserve"> </w:t>
      </w:r>
      <w:r w:rsidRPr="00BE70CC">
        <w:rPr>
          <w:kern w:val="2"/>
          <w:szCs w:val="22"/>
        </w:rPr>
        <w:t>Act.</w:t>
      </w:r>
    </w:p>
    <w:p w:rsidR="004D3233"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 xml:space="preserve">Finally, we warn </w:t>
      </w:r>
      <w:r w:rsidR="0059424F">
        <w:t>FreeEats</w:t>
      </w:r>
      <w:r w:rsidRPr="00BE70CC">
        <w:t xml:space="preserve"> </w:t>
      </w:r>
      <w:r w:rsidRPr="00BE70CC">
        <w:rPr>
          <w:kern w:val="2"/>
          <w:szCs w:val="22"/>
        </w:rPr>
        <w:t xml:space="preserve">that, under the </w:t>
      </w:r>
      <w:r w:rsidR="00436E88" w:rsidRPr="00BE70CC">
        <w:rPr>
          <w:kern w:val="2"/>
          <w:szCs w:val="22"/>
        </w:rPr>
        <w:t>Privacy Act of 1974</w:t>
      </w:r>
      <w:r w:rsidR="003C4AD3">
        <w:rPr>
          <w:kern w:val="2"/>
          <w:szCs w:val="22"/>
        </w:rPr>
        <w:t>,</w:t>
      </w:r>
      <w:r w:rsidR="003C4AD3">
        <w:rPr>
          <w:rStyle w:val="FootnoteReference"/>
          <w:kern w:val="2"/>
          <w:szCs w:val="22"/>
        </w:rPr>
        <w:footnoteReference w:id="24"/>
      </w:r>
      <w:r w:rsidR="00436E88" w:rsidRPr="00BE70CC">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59424F">
        <w:t>FreeEats</w:t>
      </w:r>
      <w:r w:rsidRPr="00BE70CC">
        <w:rPr>
          <w:kern w:val="2"/>
          <w:szCs w:val="22"/>
        </w:rPr>
        <w:t xml:space="preserve">’ compliance with the Act and </w:t>
      </w:r>
      <w:r w:rsidR="003C4AD3">
        <w:rPr>
          <w:kern w:val="2"/>
          <w:szCs w:val="22"/>
        </w:rPr>
        <w:t>R</w:t>
      </w:r>
      <w:r w:rsidRPr="00BE70CC">
        <w:rPr>
          <w:kern w:val="2"/>
          <w:szCs w:val="22"/>
        </w:rPr>
        <w:t>ules.</w:t>
      </w:r>
    </w:p>
    <w:p w:rsidR="003343CA" w:rsidRPr="00BE70CC" w:rsidRDefault="004D3233" w:rsidP="003C4AD3">
      <w:pPr>
        <w:pStyle w:val="Heading1"/>
      </w:pPr>
      <w:r w:rsidRPr="00BE70CC">
        <w:t>future violations</w:t>
      </w:r>
    </w:p>
    <w:p w:rsidR="005B4CEA" w:rsidRPr="00BE70CC" w:rsidRDefault="00886C3A" w:rsidP="00F50F55">
      <w:pPr>
        <w:pStyle w:val="ParaNum"/>
        <w:numPr>
          <w:ilvl w:val="0"/>
          <w:numId w:val="29"/>
        </w:numPr>
        <w:tabs>
          <w:tab w:val="clear" w:pos="1080"/>
        </w:tabs>
      </w:pPr>
      <w:r w:rsidRPr="00BE70CC">
        <w:t xml:space="preserve">If, after receipt of this Citation, </w:t>
      </w:r>
      <w:r w:rsidR="00E25D8B">
        <w:t>FreeEats</w:t>
      </w:r>
      <w:r w:rsidRPr="00BE70CC">
        <w:t xml:space="preserve"> again violates the </w:t>
      </w:r>
      <w:r w:rsidR="003C4AD3">
        <w:t>Act</w:t>
      </w:r>
      <w:r w:rsidRPr="00BE70CC">
        <w:t xml:space="preserve"> by engaging in conduct of the type described herein, the Commission may impose </w:t>
      </w:r>
      <w:r w:rsidR="00D05B66" w:rsidRPr="00BE70CC">
        <w:t xml:space="preserve">sanctions </w:t>
      </w:r>
      <w:r w:rsidRPr="00BE70CC">
        <w:t xml:space="preserve">for each such violation.  For example, the </w:t>
      </w:r>
      <w:r w:rsidR="00D05B66" w:rsidRPr="00BE70CC">
        <w:t>Commission m</w:t>
      </w:r>
      <w:r w:rsidR="00654D13" w:rsidRPr="00BE70CC">
        <w:t>ay impose monetary forfeitures</w:t>
      </w:r>
      <w:r w:rsidR="00E25D8B">
        <w:t xml:space="preserve"> </w:t>
      </w:r>
      <w:r w:rsidR="00E25D8B" w:rsidRPr="004C4CC0">
        <w:t>of up to $16,000 for each such violation or each day of a continuing violation</w:t>
      </w:r>
      <w:r w:rsidR="00E25D8B">
        <w:t>,</w:t>
      </w:r>
      <w:r w:rsidR="00E25D8B" w:rsidRPr="004C4CC0">
        <w:t xml:space="preserve"> up to </w:t>
      </w:r>
      <w:r w:rsidR="00E25D8B">
        <w:t xml:space="preserve">a statutory maximum of </w:t>
      </w:r>
      <w:r w:rsidR="00E25D8B" w:rsidRPr="004C4CC0">
        <w:t>$112,500 for</w:t>
      </w:r>
      <w:r w:rsidR="00E25D8B">
        <w:t xml:space="preserve"> any single continuing violation.</w:t>
      </w:r>
      <w:r w:rsidR="00E25D8B">
        <w:rPr>
          <w:rStyle w:val="FootnoteReference"/>
        </w:rPr>
        <w:footnoteReference w:id="25"/>
      </w:r>
      <w:r w:rsidR="00654D13" w:rsidRPr="00BE70CC">
        <w:t xml:space="preserve"> </w:t>
      </w:r>
      <w:r w:rsidR="00D05B66" w:rsidRPr="00BE70CC">
        <w:t xml:space="preserve"> </w:t>
      </w:r>
      <w:r w:rsidRPr="00BE70CC">
        <w:t>The Commission may fur</w:t>
      </w:r>
      <w:r w:rsidR="00C22E21" w:rsidRPr="00BE70CC">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sidRPr="00BE70CC">
        <w:rPr>
          <w:rStyle w:val="FootnoteReference"/>
          <w:szCs w:val="22"/>
        </w:rPr>
        <w:footnoteReference w:id="26"/>
      </w:r>
      <w:r w:rsidRPr="00BE70CC">
        <w:t xml:space="preserve">  Further, as discussed above, the Commission may assess forfeitures on both the conduct that led to this Citation and the conduct following it.</w:t>
      </w:r>
      <w:r w:rsidRPr="00BE70CC">
        <w:rPr>
          <w:rStyle w:val="FootnoteReference"/>
          <w:szCs w:val="22"/>
        </w:rPr>
        <w:footnoteReference w:id="27"/>
      </w:r>
    </w:p>
    <w:p w:rsidR="003343CA" w:rsidRPr="00BE70CC" w:rsidRDefault="003343CA" w:rsidP="003343CA">
      <w:pPr>
        <w:pStyle w:val="Heading1"/>
      </w:pPr>
      <w:r w:rsidRPr="00BE70CC">
        <w:t>ORDERING CLAUSES</w:t>
      </w:r>
    </w:p>
    <w:p w:rsidR="0077073F" w:rsidRPr="00BE70CC" w:rsidRDefault="003343CA" w:rsidP="001164C6">
      <w:pPr>
        <w:pStyle w:val="ParaNum"/>
        <w:tabs>
          <w:tab w:val="clear" w:pos="1080"/>
          <w:tab w:val="num" w:pos="1440"/>
        </w:tabs>
        <w:rPr>
          <w:kern w:val="2"/>
          <w:szCs w:val="22"/>
        </w:rPr>
      </w:pPr>
      <w:r w:rsidRPr="00BE70CC">
        <w:t xml:space="preserve">Accordingly, </w:t>
      </w:r>
      <w:r w:rsidRPr="00BE70CC">
        <w:rPr>
          <w:b/>
        </w:rPr>
        <w:t>IT IS ORDERED</w:t>
      </w:r>
      <w:r w:rsidRPr="00BE70CC">
        <w:t xml:space="preserve"> </w:t>
      </w:r>
      <w:r w:rsidR="009A01CF" w:rsidRPr="00BE70CC">
        <w:t>that</w:t>
      </w:r>
      <w:r w:rsidRPr="00BE70CC">
        <w:t xml:space="preserve">, pursuant to </w:t>
      </w:r>
      <w:r w:rsidR="00C93DFC" w:rsidRPr="00BE70CC">
        <w:rPr>
          <w:noProof/>
          <w:color w:val="000000"/>
          <w:szCs w:val="22"/>
        </w:rPr>
        <w:t>Sections 4(i)</w:t>
      </w:r>
      <w:r w:rsidR="007C0564">
        <w:rPr>
          <w:noProof/>
          <w:color w:val="000000"/>
          <w:szCs w:val="22"/>
        </w:rPr>
        <w:t>,</w:t>
      </w:r>
      <w:r w:rsidR="00C93DFC" w:rsidRPr="00BE70CC">
        <w:rPr>
          <w:noProof/>
          <w:color w:val="000000"/>
          <w:szCs w:val="22"/>
        </w:rPr>
        <w:t xml:space="preserve"> 4(j)</w:t>
      </w:r>
      <w:r w:rsidR="007C0564">
        <w:rPr>
          <w:noProof/>
          <w:color w:val="000000"/>
          <w:szCs w:val="22"/>
        </w:rPr>
        <w:t>, and 403</w:t>
      </w:r>
      <w:r w:rsidR="00C93DFC" w:rsidRPr="00BE70CC">
        <w:rPr>
          <w:noProof/>
          <w:color w:val="000000"/>
          <w:szCs w:val="22"/>
        </w:rPr>
        <w:t xml:space="preserve"> of the </w:t>
      </w:r>
      <w:r w:rsidR="003C4AD3">
        <w:rPr>
          <w:noProof/>
          <w:color w:val="000000"/>
          <w:szCs w:val="22"/>
        </w:rPr>
        <w:t>Act</w:t>
      </w:r>
      <w:r w:rsidR="00C93DFC" w:rsidRPr="00BE70CC">
        <w:rPr>
          <w:noProof/>
          <w:color w:val="000000"/>
          <w:szCs w:val="22"/>
        </w:rPr>
        <w:t>,</w:t>
      </w:r>
      <w:r w:rsidR="00E87690" w:rsidRPr="00BE70CC">
        <w:rPr>
          <w:rStyle w:val="FootnoteReference"/>
          <w:noProof/>
          <w:color w:val="000000"/>
          <w:szCs w:val="22"/>
        </w:rPr>
        <w:footnoteReference w:id="28"/>
      </w:r>
      <w:r w:rsidR="00C93DFC" w:rsidRPr="00BE70CC">
        <w:rPr>
          <w:noProof/>
          <w:color w:val="000000"/>
          <w:szCs w:val="22"/>
        </w:rPr>
        <w:t xml:space="preserve"> </w:t>
      </w:r>
      <w:r w:rsidR="0059424F">
        <w:t>FreeEats.com, Inc.</w:t>
      </w:r>
      <w:r w:rsidR="00C93DFC" w:rsidRPr="00BE70CC">
        <w:t xml:space="preserve"> </w:t>
      </w:r>
      <w:r w:rsidR="00C93DFC" w:rsidRPr="00BE70CC">
        <w:rPr>
          <w:noProof/>
          <w:color w:val="000000"/>
          <w:szCs w:val="22"/>
        </w:rPr>
        <w:t xml:space="preserve">must </w:t>
      </w:r>
      <w:r w:rsidR="007C0564">
        <w:rPr>
          <w:noProof/>
          <w:color w:val="000000"/>
          <w:szCs w:val="22"/>
        </w:rPr>
        <w:t xml:space="preserve">comply with Commission orders to </w:t>
      </w:r>
      <w:r w:rsidR="007C0564">
        <w:t>provide information and documents as required by the Commission’s Letters of Inquiry</w:t>
      </w:r>
      <w:r w:rsidR="00C93DFC" w:rsidRPr="00BE70CC">
        <w:rPr>
          <w:noProof/>
          <w:color w:val="000000"/>
          <w:szCs w:val="22"/>
        </w:rPr>
        <w:t xml:space="preserve">.  </w:t>
      </w:r>
    </w:p>
    <w:p w:rsidR="003343CA" w:rsidRPr="00BE70CC" w:rsidRDefault="001164C6" w:rsidP="009A31E8">
      <w:pPr>
        <w:pStyle w:val="ParaNum"/>
        <w:tabs>
          <w:tab w:val="clear" w:pos="1080"/>
          <w:tab w:val="num" w:pos="1440"/>
        </w:tabs>
        <w:rPr>
          <w:noProof/>
        </w:rPr>
      </w:pPr>
      <w:r w:rsidRPr="00BE70CC">
        <w:rPr>
          <w:b/>
          <w:noProof/>
        </w:rPr>
        <w:t>IT IS FURTHER ORDERED</w:t>
      </w:r>
      <w:r w:rsidRPr="00BE70CC">
        <w:rPr>
          <w:noProof/>
        </w:rPr>
        <w:t xml:space="preserve"> that, pursuant to </w:t>
      </w:r>
      <w:r w:rsidR="008F21BF" w:rsidRPr="00BE70CC">
        <w:rPr>
          <w:noProof/>
        </w:rPr>
        <w:t>Sections 4(i), 4(j), and 403 of the Act</w:t>
      </w:r>
      <w:r w:rsidRPr="00BE70CC">
        <w:rPr>
          <w:noProof/>
        </w:rPr>
        <w:t>,</w:t>
      </w:r>
      <w:r w:rsidR="005F7995" w:rsidRPr="00BE70CC">
        <w:rPr>
          <w:rStyle w:val="FootnoteReference"/>
          <w:noProof/>
          <w:szCs w:val="22"/>
        </w:rPr>
        <w:footnoteReference w:id="29"/>
      </w:r>
      <w:r w:rsidRPr="00BE70CC">
        <w:rPr>
          <w:noProof/>
        </w:rPr>
        <w:t xml:space="preserve">  </w:t>
      </w:r>
      <w:r w:rsidR="0059424F">
        <w:rPr>
          <w:noProof/>
        </w:rPr>
        <w:t>FreeEats.com, Inc.</w:t>
      </w:r>
      <w:r w:rsidRPr="00BE70CC">
        <w:rPr>
          <w:noProof/>
        </w:rPr>
        <w:t xml:space="preserve"> must provide the written info</w:t>
      </w:r>
      <w:r w:rsidR="00DE45C6" w:rsidRPr="00BE70CC">
        <w:rPr>
          <w:noProof/>
        </w:rPr>
        <w:t xml:space="preserve">rmation </w:t>
      </w:r>
      <w:r w:rsidR="00DE45C6" w:rsidRPr="007C0564">
        <w:rPr>
          <w:noProof/>
        </w:rPr>
        <w:t xml:space="preserve">requested in paragraph </w:t>
      </w:r>
      <w:r w:rsidR="007C0564" w:rsidRPr="007C0564">
        <w:rPr>
          <w:noProof/>
        </w:rPr>
        <w:fldChar w:fldCharType="begin"/>
      </w:r>
      <w:r w:rsidR="007C0564" w:rsidRPr="007C0564">
        <w:rPr>
          <w:noProof/>
        </w:rPr>
        <w:instrText xml:space="preserve"> REF _Ref413078730 \r </w:instrText>
      </w:r>
      <w:r w:rsidR="007C0564">
        <w:rPr>
          <w:noProof/>
        </w:rPr>
        <w:instrText xml:space="preserve"> \* MERGEFORMAT </w:instrText>
      </w:r>
      <w:r w:rsidR="007C0564" w:rsidRPr="007C0564">
        <w:rPr>
          <w:noProof/>
        </w:rPr>
        <w:fldChar w:fldCharType="separate"/>
      </w:r>
      <w:r w:rsidR="00617818">
        <w:rPr>
          <w:noProof/>
        </w:rPr>
        <w:t>10</w:t>
      </w:r>
      <w:r w:rsidR="007C0564" w:rsidRPr="007C0564">
        <w:rPr>
          <w:noProof/>
        </w:rPr>
        <w:fldChar w:fldCharType="end"/>
      </w:r>
      <w:r w:rsidR="00350389" w:rsidRPr="007C0564">
        <w:rPr>
          <w:noProof/>
        </w:rPr>
        <w:t>, above</w:t>
      </w:r>
      <w:r w:rsidR="00350389" w:rsidRPr="00BE70CC">
        <w:rPr>
          <w:noProof/>
        </w:rPr>
        <w:t xml:space="preserve">.  </w:t>
      </w:r>
      <w:r w:rsidR="0059424F">
        <w:rPr>
          <w:noProof/>
        </w:rPr>
        <w:t>FreeEats.com, Inc.</w:t>
      </w:r>
      <w:r w:rsidR="00350389" w:rsidRPr="00BE70CC">
        <w:rPr>
          <w:noProof/>
        </w:rPr>
        <w:t xml:space="preserve"> must </w:t>
      </w:r>
      <w:r w:rsidR="00350389" w:rsidRPr="00BE70CC">
        <w:rPr>
          <w:noProof/>
          <w:color w:val="000000"/>
          <w:szCs w:val="22"/>
        </w:rPr>
        <w:t>support its responses with an affidavit or declaration under penalty of perjury, signed and dat</w:t>
      </w:r>
      <w:r w:rsidR="008E2010" w:rsidRPr="00BE70CC">
        <w:rPr>
          <w:noProof/>
          <w:color w:val="000000"/>
          <w:szCs w:val="22"/>
        </w:rPr>
        <w:t xml:space="preserve">ed by an authorized officer of </w:t>
      </w:r>
      <w:r w:rsidR="0059424F">
        <w:rPr>
          <w:noProof/>
          <w:color w:val="000000"/>
          <w:szCs w:val="22"/>
        </w:rPr>
        <w:t>FreeEats.com, Inc.</w:t>
      </w:r>
      <w:r w:rsidR="00350389" w:rsidRPr="00BE70CC">
        <w:rPr>
          <w:noProof/>
          <w:color w:val="000000"/>
          <w:szCs w:val="22"/>
        </w:rPr>
        <w:t xml:space="preserve"> with personal knowledge of the representations provided in the </w:t>
      </w:r>
      <w:r w:rsidR="008E2010" w:rsidRPr="00BE70CC">
        <w:rPr>
          <w:noProof/>
          <w:color w:val="000000"/>
          <w:szCs w:val="22"/>
        </w:rPr>
        <w:t>res</w:t>
      </w:r>
      <w:r w:rsidR="00350389" w:rsidRPr="00BE70CC">
        <w:rPr>
          <w:noProof/>
          <w:color w:val="000000"/>
          <w:szCs w:val="22"/>
        </w:rPr>
        <w:t xml:space="preserve">ponse, verifying the truth and accuracy of the information therein and that all of the </w:t>
      </w:r>
      <w:r w:rsidR="008E2010" w:rsidRPr="00BE70CC">
        <w:rPr>
          <w:noProof/>
          <w:color w:val="000000"/>
          <w:szCs w:val="22"/>
        </w:rPr>
        <w:t xml:space="preserve">information requested </w:t>
      </w:r>
      <w:r w:rsidR="00350389" w:rsidRPr="00BE70CC">
        <w:rPr>
          <w:noProof/>
          <w:color w:val="000000"/>
          <w:szCs w:val="22"/>
        </w:rPr>
        <w:t>ha</w:t>
      </w:r>
      <w:r w:rsidR="008E2010" w:rsidRPr="00BE70CC">
        <w:rPr>
          <w:noProof/>
          <w:color w:val="000000"/>
          <w:szCs w:val="22"/>
        </w:rPr>
        <w:t>s</w:t>
      </w:r>
      <w:r w:rsidR="00350389" w:rsidRPr="00BE70CC">
        <w:rPr>
          <w:noProof/>
          <w:color w:val="000000"/>
          <w:szCs w:val="22"/>
        </w:rPr>
        <w:t xml:space="preserve"> been produced</w:t>
      </w:r>
      <w:r w:rsidR="00350389" w:rsidRPr="00BE70CC">
        <w:rPr>
          <w:noProof/>
        </w:rPr>
        <w:t xml:space="preserve">.  </w:t>
      </w:r>
      <w:r w:rsidR="008E2010" w:rsidRPr="00BE70CC">
        <w:rPr>
          <w:szCs w:val="24"/>
        </w:rPr>
        <w:t>All such declarations provided must comply with Section</w:t>
      </w:r>
      <w:r w:rsidR="002D63C3">
        <w:rPr>
          <w:szCs w:val="24"/>
        </w:rPr>
        <w:t xml:space="preserve"> 1.16 of the </w:t>
      </w:r>
      <w:r w:rsidR="003C4AD3">
        <w:rPr>
          <w:szCs w:val="24"/>
        </w:rPr>
        <w:t>R</w:t>
      </w:r>
      <w:r w:rsidR="002D63C3">
        <w:rPr>
          <w:szCs w:val="24"/>
        </w:rPr>
        <w:t>ules</w:t>
      </w:r>
      <w:r w:rsidR="008E2010" w:rsidRPr="00BE70CC">
        <w:rPr>
          <w:szCs w:val="24"/>
        </w:rPr>
        <w:t xml:space="preserve"> and be substantially in the form set forth therein.</w:t>
      </w:r>
      <w:r w:rsidR="008E2010" w:rsidRPr="00BE70CC">
        <w:rPr>
          <w:szCs w:val="24"/>
          <w:vertAlign w:val="superscript"/>
        </w:rPr>
        <w:footnoteReference w:id="30"/>
      </w:r>
      <w:r w:rsidR="008E2010" w:rsidRPr="00BE70CC">
        <w:rPr>
          <w:szCs w:val="24"/>
        </w:rPr>
        <w:t xml:space="preserve">  </w:t>
      </w:r>
      <w:r w:rsidR="00350389" w:rsidRPr="00BE70CC">
        <w:rPr>
          <w:noProof/>
        </w:rPr>
        <w:t xml:space="preserve">The </w:t>
      </w:r>
      <w:r w:rsidR="002D63C3">
        <w:rPr>
          <w:noProof/>
        </w:rPr>
        <w:t>FCC must receive the response within 30</w:t>
      </w:r>
      <w:r w:rsidRPr="00BE70CC">
        <w:rPr>
          <w:noProof/>
        </w:rPr>
        <w:t xml:space="preserve"> calendar days</w:t>
      </w:r>
      <w:r w:rsidR="002D63C3">
        <w:rPr>
          <w:noProof/>
        </w:rPr>
        <w:t xml:space="preserve"> of </w:t>
      </w:r>
      <w:r w:rsidRPr="00BE70CC">
        <w:rPr>
          <w:noProof/>
        </w:rPr>
        <w:t>the release date of this Citation and Order.</w:t>
      </w:r>
    </w:p>
    <w:p w:rsidR="003343CA" w:rsidRPr="00BE70CC" w:rsidRDefault="003343CA" w:rsidP="009A31E8">
      <w:pPr>
        <w:pStyle w:val="ParaNum"/>
        <w:tabs>
          <w:tab w:val="clear" w:pos="1080"/>
          <w:tab w:val="num" w:pos="1440"/>
        </w:tabs>
      </w:pPr>
      <w:r w:rsidRPr="00BE70CC">
        <w:rPr>
          <w:b/>
        </w:rPr>
        <w:t>IT IS FURTHER ORDERED</w:t>
      </w:r>
      <w:r w:rsidRPr="00BE70CC">
        <w:t xml:space="preserve"> that a copy of this </w:t>
      </w:r>
      <w:r w:rsidR="009E53A5" w:rsidRPr="00BE70CC">
        <w:t>Citation and</w:t>
      </w:r>
      <w:r w:rsidRPr="00BE70CC">
        <w:t xml:space="preserve"> Order </w:t>
      </w:r>
      <w:r w:rsidR="00EE36BE" w:rsidRPr="00380C37">
        <w:rPr>
          <w:color w:val="000000" w:themeColor="text1"/>
          <w:szCs w:val="22"/>
        </w:rPr>
        <w:t xml:space="preserve">shall be sent by first class mail and certified mail, return receipt requested, to </w:t>
      </w:r>
      <w:r w:rsidR="00AA69D4">
        <w:rPr>
          <w:color w:val="000000" w:themeColor="text1"/>
          <w:szCs w:val="22"/>
        </w:rPr>
        <w:t>Mr. Gabriel Joseph</w:t>
      </w:r>
      <w:r w:rsidR="00EE36BE" w:rsidRPr="00380C37">
        <w:rPr>
          <w:color w:val="000000" w:themeColor="text1"/>
          <w:szCs w:val="22"/>
        </w:rPr>
        <w:t xml:space="preserve">, </w:t>
      </w:r>
      <w:r w:rsidR="00AA69D4">
        <w:rPr>
          <w:color w:val="000000" w:themeColor="text1"/>
          <w:szCs w:val="22"/>
        </w:rPr>
        <w:t>President</w:t>
      </w:r>
      <w:r w:rsidR="00EE36BE" w:rsidRPr="00380C37">
        <w:rPr>
          <w:color w:val="000000" w:themeColor="text1"/>
          <w:szCs w:val="22"/>
        </w:rPr>
        <w:t xml:space="preserve">, </w:t>
      </w:r>
      <w:r w:rsidR="00AA69D4">
        <w:rPr>
          <w:color w:val="000000" w:themeColor="text1"/>
          <w:szCs w:val="22"/>
        </w:rPr>
        <w:t>FreeEats.com, Inc.</w:t>
      </w:r>
      <w:r w:rsidR="00EE36BE" w:rsidRPr="00380C37">
        <w:rPr>
          <w:color w:val="000000" w:themeColor="text1"/>
          <w:szCs w:val="22"/>
        </w:rPr>
        <w:t xml:space="preserve">, </w:t>
      </w:r>
      <w:r w:rsidR="00625B29">
        <w:rPr>
          <w:color w:val="000000" w:themeColor="text1"/>
          <w:szCs w:val="22"/>
        </w:rPr>
        <w:t>14001C St. Germain Drive, Suite 353, Centreville, VA 20121</w:t>
      </w:r>
      <w:r w:rsidR="00EE36BE">
        <w:rPr>
          <w:color w:val="000000" w:themeColor="text1"/>
          <w:szCs w:val="22"/>
        </w:rPr>
        <w:t>,</w:t>
      </w:r>
      <w:r w:rsidR="00EE36BE" w:rsidRPr="00380C37">
        <w:rPr>
          <w:color w:val="000000" w:themeColor="text1"/>
          <w:szCs w:val="22"/>
        </w:rPr>
        <w:t xml:space="preserve"> and to </w:t>
      </w:r>
      <w:r w:rsidR="00AA69D4">
        <w:rPr>
          <w:color w:val="000000" w:themeColor="text1"/>
          <w:szCs w:val="22"/>
        </w:rPr>
        <w:t>Ronald M. Jacobs</w:t>
      </w:r>
      <w:r w:rsidR="00EE36BE" w:rsidRPr="00380C37">
        <w:rPr>
          <w:color w:val="000000" w:themeColor="text1"/>
          <w:szCs w:val="22"/>
        </w:rPr>
        <w:t xml:space="preserve">, Esq., </w:t>
      </w:r>
      <w:r w:rsidR="00AA69D4">
        <w:rPr>
          <w:color w:val="000000" w:themeColor="text1"/>
          <w:szCs w:val="22"/>
        </w:rPr>
        <w:t>Venable LLP</w:t>
      </w:r>
      <w:r w:rsidR="00EE36BE" w:rsidRPr="00380C37">
        <w:rPr>
          <w:color w:val="000000" w:themeColor="text1"/>
          <w:szCs w:val="22"/>
        </w:rPr>
        <w:t xml:space="preserve">, </w:t>
      </w:r>
      <w:r w:rsidR="00AA69D4">
        <w:rPr>
          <w:color w:val="000000" w:themeColor="text1"/>
          <w:szCs w:val="22"/>
        </w:rPr>
        <w:t>575 7th St. NW, Washington, DC 20004</w:t>
      </w:r>
      <w:r w:rsidR="00EE36BE" w:rsidRPr="00380C37">
        <w:rPr>
          <w:color w:val="000000" w:themeColor="text1"/>
          <w:szCs w:val="22"/>
        </w:rPr>
        <w:t>.</w:t>
      </w:r>
    </w:p>
    <w:p w:rsidR="003343CA" w:rsidRPr="00BE70CC" w:rsidRDefault="003343CA" w:rsidP="003343CA"/>
    <w:p w:rsidR="003343CA" w:rsidRPr="00BE70CC" w:rsidRDefault="003343CA" w:rsidP="003343CA"/>
    <w:p w:rsidR="003343CA" w:rsidRPr="00BE70CC" w:rsidRDefault="003343CA" w:rsidP="005E6F60">
      <w:pPr>
        <w:ind w:left="3600" w:firstLine="720"/>
      </w:pPr>
      <w:r w:rsidRPr="00BE70CC">
        <w:t>FEDERAL COMMUNICATIONS COMMISSION</w:t>
      </w:r>
    </w:p>
    <w:p w:rsidR="003343CA" w:rsidRPr="00BE70CC" w:rsidRDefault="003343CA" w:rsidP="003343CA">
      <w:pPr>
        <w:ind w:left="4410"/>
      </w:pPr>
    </w:p>
    <w:p w:rsidR="003343CA" w:rsidRPr="00BE70CC" w:rsidRDefault="003343CA" w:rsidP="003343CA">
      <w:pPr>
        <w:ind w:left="4410"/>
      </w:pPr>
    </w:p>
    <w:p w:rsidR="003343CA" w:rsidRPr="00BE70CC" w:rsidRDefault="003343CA" w:rsidP="003343CA">
      <w:pPr>
        <w:ind w:left="4410"/>
      </w:pPr>
    </w:p>
    <w:p w:rsidR="003343CA" w:rsidRPr="00BE70CC" w:rsidRDefault="003343CA" w:rsidP="003343CA">
      <w:pPr>
        <w:ind w:left="4410"/>
      </w:pPr>
    </w:p>
    <w:p w:rsidR="00EE36BE" w:rsidRPr="006D73F2" w:rsidRDefault="0090194B" w:rsidP="003C4AD3">
      <w:pPr>
        <w:tabs>
          <w:tab w:val="left" w:pos="0"/>
          <w:tab w:val="left" w:pos="720"/>
          <w:tab w:val="left" w:pos="1440"/>
        </w:tabs>
        <w:suppressAutoHyphens/>
        <w:spacing w:line="240" w:lineRule="atLeast"/>
        <w:ind w:left="4320"/>
        <w:rPr>
          <w:szCs w:val="22"/>
        </w:rPr>
      </w:pPr>
      <w:r>
        <w:rPr>
          <w:szCs w:val="22"/>
        </w:rPr>
        <w:t>Richard A. Hindman</w:t>
      </w:r>
      <w:r w:rsidR="00EE36BE" w:rsidRPr="006D73F2">
        <w:rPr>
          <w:szCs w:val="22"/>
        </w:rPr>
        <w:t xml:space="preserve"> </w:t>
      </w:r>
    </w:p>
    <w:p w:rsidR="00EE36BE" w:rsidRDefault="0090194B" w:rsidP="003C4AD3">
      <w:pPr>
        <w:ind w:left="4320"/>
        <w:rPr>
          <w:szCs w:val="22"/>
        </w:rPr>
      </w:pPr>
      <w:r>
        <w:rPr>
          <w:szCs w:val="22"/>
        </w:rPr>
        <w:t>Division Chief</w:t>
      </w:r>
    </w:p>
    <w:p w:rsidR="0090194B" w:rsidRDefault="0090194B" w:rsidP="003C4AD3">
      <w:pPr>
        <w:ind w:left="4320"/>
        <w:rPr>
          <w:szCs w:val="22"/>
        </w:rPr>
      </w:pPr>
      <w:r>
        <w:rPr>
          <w:szCs w:val="22"/>
        </w:rPr>
        <w:t>Telecommunications Consumers Division</w:t>
      </w:r>
    </w:p>
    <w:p w:rsidR="0090194B" w:rsidRPr="006D73F2" w:rsidRDefault="0090194B" w:rsidP="003C4AD3">
      <w:pPr>
        <w:ind w:left="4320"/>
        <w:rPr>
          <w:szCs w:val="22"/>
        </w:rPr>
      </w:pPr>
      <w:r>
        <w:rPr>
          <w:szCs w:val="22"/>
        </w:rPr>
        <w:t>Enforcement Bureau</w:t>
      </w:r>
    </w:p>
    <w:p w:rsidR="00715666" w:rsidRPr="00F32480" w:rsidRDefault="00715666" w:rsidP="00EE36BE">
      <w:pPr>
        <w:widowControl/>
        <w:tabs>
          <w:tab w:val="left" w:pos="0"/>
          <w:tab w:val="left" w:pos="720"/>
          <w:tab w:val="left" w:pos="1440"/>
        </w:tabs>
        <w:suppressAutoHyphens/>
        <w:spacing w:line="240" w:lineRule="atLeast"/>
      </w:pPr>
    </w:p>
    <w:p w:rsidR="003343CA" w:rsidRPr="00F32480" w:rsidRDefault="003343CA" w:rsidP="003343CA"/>
    <w:p w:rsidR="00E273E3" w:rsidRDefault="00E273E3" w:rsidP="003343CA">
      <w:pPr>
        <w:pStyle w:val="ParaNum"/>
        <w:numPr>
          <w:ilvl w:val="0"/>
          <w:numId w:val="0"/>
        </w:numPr>
        <w:ind w:left="720"/>
        <w:rPr>
          <w:szCs w:val="22"/>
        </w:rPr>
      </w:pPr>
    </w:p>
    <w:sectPr w:rsidR="00E273E3" w:rsidSect="00F50F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C8" w:rsidRDefault="00EA45C8">
      <w:pPr>
        <w:spacing w:line="20" w:lineRule="exact"/>
      </w:pPr>
    </w:p>
  </w:endnote>
  <w:endnote w:type="continuationSeparator" w:id="0">
    <w:p w:rsidR="00EA45C8" w:rsidRDefault="00EA45C8">
      <w:r>
        <w:t xml:space="preserve"> </w:t>
      </w:r>
    </w:p>
  </w:endnote>
  <w:endnote w:type="continuationNotice" w:id="1">
    <w:p w:rsidR="00EA45C8" w:rsidRDefault="00EA45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Default="005D1BA6">
    <w:pPr>
      <w:pStyle w:val="Footer"/>
      <w:framePr w:wrap="around" w:vAnchor="text" w:hAnchor="margin" w:xAlign="center" w:y="1"/>
    </w:pPr>
    <w:r>
      <w:fldChar w:fldCharType="begin"/>
    </w:r>
    <w:r>
      <w:instrText xml:space="preserve">PAGE  </w:instrText>
    </w:r>
    <w:r>
      <w:fldChar w:fldCharType="end"/>
    </w:r>
  </w:p>
  <w:p w:rsidR="005D1BA6" w:rsidRDefault="005D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Default="005D1BA6">
    <w:pPr>
      <w:pStyle w:val="Footer"/>
      <w:framePr w:wrap="around" w:vAnchor="text" w:hAnchor="margin" w:xAlign="center" w:y="1"/>
    </w:pPr>
    <w:r>
      <w:fldChar w:fldCharType="begin"/>
    </w:r>
    <w:r>
      <w:instrText xml:space="preserve">PAGE  </w:instrText>
    </w:r>
    <w:r>
      <w:fldChar w:fldCharType="separate"/>
    </w:r>
    <w:r w:rsidR="00115611">
      <w:rPr>
        <w:noProof/>
      </w:rPr>
      <w:t>2</w:t>
    </w:r>
    <w:r>
      <w:rPr>
        <w:noProof/>
      </w:rPr>
      <w:fldChar w:fldCharType="end"/>
    </w:r>
  </w:p>
  <w:p w:rsidR="005D1BA6" w:rsidRDefault="005D1BA6">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81" w:rsidRDefault="00EF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C8" w:rsidRDefault="00EA45C8">
      <w:r>
        <w:separator/>
      </w:r>
    </w:p>
  </w:footnote>
  <w:footnote w:type="continuationSeparator" w:id="0">
    <w:p w:rsidR="00EA45C8" w:rsidRDefault="00EA45C8">
      <w:pPr>
        <w:rPr>
          <w:sz w:val="20"/>
        </w:rPr>
      </w:pPr>
      <w:r>
        <w:rPr>
          <w:sz w:val="20"/>
        </w:rPr>
        <w:t xml:space="preserve">(Continued from previous page)  </w:t>
      </w:r>
      <w:r>
        <w:rPr>
          <w:sz w:val="20"/>
        </w:rPr>
        <w:separator/>
      </w:r>
    </w:p>
  </w:footnote>
  <w:footnote w:type="continuationNotice" w:id="1">
    <w:p w:rsidR="00EA45C8" w:rsidRDefault="00EA45C8">
      <w:pPr>
        <w:rPr>
          <w:sz w:val="20"/>
        </w:rPr>
      </w:pPr>
      <w:r>
        <w:rPr>
          <w:sz w:val="20"/>
        </w:rPr>
        <w:t>(continued….)</w:t>
      </w:r>
    </w:p>
  </w:footnote>
  <w:footnote w:id="2">
    <w:p w:rsidR="005D1BA6" w:rsidRPr="002D63C3" w:rsidRDefault="005D1BA6" w:rsidP="003C4AD3">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3">
    <w:p w:rsidR="005D1BA6" w:rsidRPr="002D63C3" w:rsidRDefault="005D1BA6" w:rsidP="003C4AD3">
      <w:pPr>
        <w:pStyle w:val="FootnoteText"/>
      </w:pPr>
      <w:r w:rsidRPr="002D63C3">
        <w:rPr>
          <w:rStyle w:val="FootnoteReference"/>
        </w:rPr>
        <w:footnoteRef/>
      </w:r>
      <w:r w:rsidR="00C42D39" w:rsidRPr="002D63C3">
        <w:t xml:space="preserve"> </w:t>
      </w:r>
      <w:r w:rsidR="00F30D55">
        <w:t>47 U.S.C. §§ 154(i), 154(j), 403</w:t>
      </w:r>
      <w:r w:rsidRPr="002D63C3">
        <w:t xml:space="preserve">. </w:t>
      </w:r>
    </w:p>
  </w:footnote>
  <w:footnote w:id="4">
    <w:p w:rsidR="005D1BA6" w:rsidRPr="002D63C3" w:rsidRDefault="005D1BA6" w:rsidP="003C4AD3">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5">
    <w:p w:rsidR="00EE36BE" w:rsidRDefault="00EE36BE" w:rsidP="003C4AD3">
      <w:pPr>
        <w:pStyle w:val="FootnoteText"/>
      </w:pPr>
      <w:r>
        <w:rPr>
          <w:rStyle w:val="FootnoteReference"/>
        </w:rPr>
        <w:footnoteRef/>
      </w:r>
      <w:r>
        <w:t xml:space="preserve"> </w:t>
      </w:r>
      <w:r w:rsidRPr="00BE70CC">
        <w:rPr>
          <w:kern w:val="20"/>
        </w:rPr>
        <w:t>47 U.S.C. §§ 154(i), 154(j), 403</w:t>
      </w:r>
      <w:r>
        <w:rPr>
          <w:kern w:val="20"/>
        </w:rPr>
        <w:t>.</w:t>
      </w:r>
    </w:p>
  </w:footnote>
  <w:footnote w:id="6">
    <w:p w:rsidR="00EC33CF" w:rsidRPr="002625C3" w:rsidRDefault="00EC33CF" w:rsidP="00EC33CF">
      <w:pPr>
        <w:pStyle w:val="FootnoteText"/>
      </w:pPr>
      <w:r>
        <w:rPr>
          <w:rStyle w:val="FootnoteReference"/>
        </w:rPr>
        <w:footnoteRef/>
      </w:r>
      <w:r>
        <w:t xml:space="preserve"> Section 227(b)(1)(A) of the Communications Act and Section 64.1200(a)(1) of the Commission’s rules specify that unless a call is made for emergency purposes or with the prior express consent of the called party, it is unlawful for any person within the United States, or any person outside the United States if the recipient is within the United States, to initiate calls using an automatic telephone dialing system or an artificial or prerecorded voice: 1) to any emergency telephone line (including any “911” line and any emergency line of a hospital, medical physician or service office, health care facility, poison control center, or fire protection or law enforcement agency); 2) to the telephone line of any guest room or patient room of a hospital, health care facility, elderly home, or similar establishment; or 3) to any telephone number assigned to a paging service, cellular telephone service, specialized mobile radio service, or other radio common carrier service, or any service for which the called party is charged for the call.  </w:t>
      </w:r>
      <w:r>
        <w:rPr>
          <w:i/>
        </w:rPr>
        <w:t xml:space="preserve">See </w:t>
      </w:r>
      <w:r>
        <w:t xml:space="preserve">47 U.S.C. § 227(b)(1)(A)(i)—(iii); 47 C.F.R. § 64.1200(a)(1)(i)—(iii).  By making prerecorded message calls on behalf of itself or third parties (its clients), </w:t>
      </w:r>
      <w:r w:rsidR="00540EBF">
        <w:t>FreeEats</w:t>
      </w:r>
      <w:r>
        <w:t xml:space="preserve"> necessarily “initiates” calls for the purposes of Section 64.1200 of the FCC’s rules.  </w:t>
      </w:r>
      <w:r>
        <w:rPr>
          <w:i/>
        </w:rPr>
        <w:t xml:space="preserve">See </w:t>
      </w:r>
      <w:r w:rsidRPr="0034136B">
        <w:rPr>
          <w:i/>
        </w:rPr>
        <w:t>Joint Petitio</w:t>
      </w:r>
      <w:r>
        <w:rPr>
          <w:i/>
        </w:rPr>
        <w:t xml:space="preserve">n Filed by DISH Network, LLC, </w:t>
      </w:r>
      <w:r w:rsidRPr="0034136B">
        <w:rPr>
          <w:i/>
        </w:rPr>
        <w:t>for Declaratory Ruling Concerning the Telephone Consumer Protection Act (TCPA) Rules</w:t>
      </w:r>
      <w:r>
        <w:t xml:space="preserve">, Declaratory Ruling, </w:t>
      </w:r>
      <w:r w:rsidRPr="0034136B">
        <w:t>FCC 13-54, 2013 WL 1934349</w:t>
      </w:r>
      <w:r>
        <w:t>, at para. 26 (May 9, 2013) (“a person or entity ‘initiates’ a telephone call when it takes the steps necessary to physically place a telephone call.”)</w:t>
      </w:r>
      <w:r w:rsidR="00C07C33">
        <w:t xml:space="preserve">; </w:t>
      </w:r>
      <w:r w:rsidR="00C07C33">
        <w:rPr>
          <w:i/>
        </w:rPr>
        <w:t>see also</w:t>
      </w:r>
      <w:r w:rsidR="00C07C33">
        <w:t xml:space="preserve"> </w:t>
      </w:r>
      <w:r w:rsidR="00C07C33">
        <w:rPr>
          <w:i/>
        </w:rPr>
        <w:t xml:space="preserve">Dialing Services, </w:t>
      </w:r>
      <w:r w:rsidR="00C07C33" w:rsidRPr="00003C29">
        <w:rPr>
          <w:i/>
        </w:rPr>
        <w:t>LLC</w:t>
      </w:r>
      <w:r w:rsidR="00C07C33" w:rsidRPr="00003C29">
        <w:t>, Notice</w:t>
      </w:r>
      <w:r w:rsidR="00C07C33">
        <w:t xml:space="preserve"> of Apparent Liability for Forfeiture, 29 FCC Rc</w:t>
      </w:r>
      <w:r w:rsidR="00F73F5F">
        <w:t>d 5537 (2014)</w:t>
      </w:r>
      <w:r>
        <w:t>.</w:t>
      </w:r>
    </w:p>
  </w:footnote>
  <w:footnote w:id="7">
    <w:p w:rsidR="00EC33CF" w:rsidRDefault="00EC33CF">
      <w:pPr>
        <w:pStyle w:val="FootnoteText"/>
      </w:pPr>
      <w:r>
        <w:rPr>
          <w:rStyle w:val="FootnoteReference"/>
        </w:rPr>
        <w:footnoteRef/>
      </w:r>
      <w:r>
        <w:t xml:space="preserve"> Letter from Kristi Thompson, Deputy Chief, Telecommunications Consumers Division, Enforcement Bureau, Federal Communications Commission, to FreeEats, Inc., dba ccAdvertising (December 4, 2014) (on file in EB-TCD-13-00007717) (LOI).</w:t>
      </w:r>
    </w:p>
  </w:footnote>
  <w:footnote w:id="8">
    <w:p w:rsidR="0095383F" w:rsidRDefault="0095383F">
      <w:pPr>
        <w:pStyle w:val="FootnoteText"/>
      </w:pPr>
      <w:r>
        <w:rPr>
          <w:rStyle w:val="FootnoteReference"/>
        </w:rPr>
        <w:footnoteRef/>
      </w:r>
      <w:r>
        <w:t xml:space="preserve"> Letter from Ronald M. Jacobs, Venable LLP, Counsel for FreeEats.com, Inc., to Kristi Thompson, Deputy Chief, Telecommunications Consumers Division, Enforcement Bureau, Federal Communications Commission (February 20, 2015) (on file in EB-TCD-13-00007717) (February 20 Response).</w:t>
      </w:r>
    </w:p>
  </w:footnote>
  <w:footnote w:id="9">
    <w:p w:rsidR="0095383F" w:rsidRDefault="0095383F">
      <w:pPr>
        <w:pStyle w:val="FootnoteText"/>
      </w:pPr>
      <w:r>
        <w:rPr>
          <w:rStyle w:val="FootnoteReference"/>
        </w:rPr>
        <w:footnoteRef/>
      </w:r>
      <w:r>
        <w:t xml:space="preserve"> </w:t>
      </w:r>
      <w:r>
        <w:rPr>
          <w:i/>
        </w:rPr>
        <w:t>See</w:t>
      </w:r>
      <w:r>
        <w:t xml:space="preserve"> E-mail from Kristi Thompson, Deputy Division Chief, Telecommunications Consumers Division, Enforcement Bureau, Federal Communications Commission, to Ronald M. Jacobs, Venable LLP, Counsel for FreeEats.com, Inc., (February 27, 2015, 4:44 PM EST) (on file in EB-TCD-13-00007717).</w:t>
      </w:r>
    </w:p>
  </w:footnote>
  <w:footnote w:id="10">
    <w:p w:rsidR="00625B29" w:rsidRDefault="00625B29">
      <w:pPr>
        <w:pStyle w:val="FootnoteText"/>
      </w:pPr>
      <w:r>
        <w:rPr>
          <w:rStyle w:val="FootnoteReference"/>
        </w:rPr>
        <w:footnoteRef/>
      </w:r>
      <w:r>
        <w:t xml:space="preserve"> </w:t>
      </w:r>
      <w:r>
        <w:rPr>
          <w:i/>
        </w:rPr>
        <w:t>See</w:t>
      </w:r>
      <w:r>
        <w:t xml:space="preserve"> E-mail from Ronald M. Jacobs, Venable LLP, Counsel for FreeEats.com, Inc., to Kristi Thompson, Deputy Chief, Telecommunications Consumers Division, Enforcement Bureau, Federal Communications Commission (March 5, 2015</w:t>
      </w:r>
      <w:r w:rsidR="00416BF3">
        <w:t>, 4:35 PM EST</w:t>
      </w:r>
      <w:r>
        <w:t>) (on file in EB-TCD-13-00007717) (March 5 Response).</w:t>
      </w:r>
    </w:p>
  </w:footnote>
  <w:footnote w:id="11">
    <w:p w:rsidR="00625B29" w:rsidRDefault="00625B29">
      <w:pPr>
        <w:pStyle w:val="FootnoteText"/>
      </w:pPr>
      <w:r>
        <w:rPr>
          <w:rStyle w:val="FootnoteReference"/>
        </w:rPr>
        <w:footnoteRef/>
      </w:r>
      <w:r>
        <w:t xml:space="preserve"> </w:t>
      </w:r>
      <w:r>
        <w:rPr>
          <w:i/>
        </w:rPr>
        <w:t>See</w:t>
      </w:r>
      <w:r>
        <w:t xml:space="preserve"> E-mail from Ronald M. Jacobs, Venable LLP, Counsel for FreeEats.com, Inc., to Kristi Thompson, Deputy Chief, Telecommunications Consumers Division, Enforcement Bureau, Federal Communications Commission (March 9, 2015</w:t>
      </w:r>
      <w:r w:rsidR="00416BF3">
        <w:t>, 7:41 PM EDT</w:t>
      </w:r>
      <w:r>
        <w:t>) (on file in EB-TCD-13-00007717) (March 9 Response).</w:t>
      </w:r>
    </w:p>
  </w:footnote>
  <w:footnote w:id="12">
    <w:p w:rsidR="00625B29" w:rsidRPr="00625B29" w:rsidRDefault="00625B29">
      <w:pPr>
        <w:pStyle w:val="FootnoteText"/>
      </w:pPr>
      <w:r>
        <w:rPr>
          <w:rStyle w:val="FootnoteReference"/>
        </w:rPr>
        <w:footnoteRef/>
      </w:r>
      <w:r>
        <w:t xml:space="preserve"> </w:t>
      </w:r>
      <w:r>
        <w:rPr>
          <w:i/>
        </w:rPr>
        <w:t>See</w:t>
      </w:r>
      <w:r>
        <w:t xml:space="preserve"> E-mail from Ronald M. Jacobs, Venable LLP, Counsel for FreeEats.com, Inc., to Kristi Thompson, Deputy Chief, Telecommunications Consumers Division, Enforcement Bureau, Federal Communications Commission (March 19, 2015</w:t>
      </w:r>
      <w:r w:rsidR="00416BF3">
        <w:t>, 11:21 AM EDT</w:t>
      </w:r>
      <w:r>
        <w:t>) (on file in EB-TCD-13-00007717) (</w:t>
      </w:r>
      <w:r w:rsidR="00C07C33">
        <w:t xml:space="preserve">stating that the Company </w:t>
      </w:r>
      <w:r w:rsidR="00416BF3">
        <w:t>had not finished the</w:t>
      </w:r>
      <w:r w:rsidR="00C07C33">
        <w:t xml:space="preserve"> process of gathering documents for production as of March 19, 2015</w:t>
      </w:r>
      <w:r>
        <w:t>).</w:t>
      </w:r>
    </w:p>
  </w:footnote>
  <w:footnote w:id="13">
    <w:p w:rsidR="00EC33CF" w:rsidRDefault="00EC33CF" w:rsidP="00EC33CF">
      <w:pPr>
        <w:pStyle w:val="FootnoteText"/>
      </w:pPr>
      <w:r>
        <w:rPr>
          <w:rStyle w:val="FootnoteReference"/>
        </w:rPr>
        <w:footnoteRef/>
      </w:r>
      <w:r>
        <w:t xml:space="preserve">  47 U.S.C. §§ 154(i), 154(j), 403.</w:t>
      </w:r>
    </w:p>
  </w:footnote>
  <w:footnote w:id="14">
    <w:p w:rsidR="00EC33CF" w:rsidRDefault="00EC33CF" w:rsidP="00EC33CF">
      <w:pPr>
        <w:pStyle w:val="FootnoteText"/>
      </w:pPr>
      <w:r>
        <w:rPr>
          <w:rStyle w:val="FootnoteReference"/>
        </w:rPr>
        <w:footnoteRef/>
      </w:r>
      <w:r>
        <w:t xml:space="preserve">  47 U.S.C. § 154(i). </w:t>
      </w:r>
    </w:p>
  </w:footnote>
  <w:footnote w:id="15">
    <w:p w:rsidR="00EC33CF" w:rsidRDefault="00EC33CF" w:rsidP="00EC33CF">
      <w:pPr>
        <w:pStyle w:val="FootnoteText"/>
      </w:pPr>
      <w:r>
        <w:rPr>
          <w:rStyle w:val="FootnoteReference"/>
        </w:rPr>
        <w:footnoteRef/>
      </w:r>
      <w:r>
        <w:t xml:space="preserve">  47 U.S.C. § 154(j). </w:t>
      </w:r>
    </w:p>
  </w:footnote>
  <w:footnote w:id="16">
    <w:p w:rsidR="00EC33CF" w:rsidRDefault="00EC33CF" w:rsidP="00EC33CF">
      <w:pPr>
        <w:pStyle w:val="FootnoteText"/>
      </w:pPr>
      <w:r>
        <w:rPr>
          <w:rStyle w:val="FootnoteReference"/>
        </w:rPr>
        <w:footnoteRef/>
      </w:r>
      <w:r>
        <w:t xml:space="preserve">  47 U.S.C. § 403.</w:t>
      </w:r>
    </w:p>
  </w:footnote>
  <w:footnote w:id="17">
    <w:p w:rsidR="00EC33CF" w:rsidRPr="00681C6C" w:rsidRDefault="00EC33CF" w:rsidP="00EC33CF">
      <w:pPr>
        <w:pStyle w:val="FootnoteText"/>
      </w:pPr>
      <w:r>
        <w:rPr>
          <w:rStyle w:val="FootnoteReference"/>
        </w:rPr>
        <w:footnoteRef/>
      </w:r>
      <w:r>
        <w:t xml:space="preserve"> </w:t>
      </w:r>
      <w:r>
        <w:rPr>
          <w:i/>
        </w:rPr>
        <w:t>Id</w:t>
      </w:r>
      <w:r>
        <w:t>.</w:t>
      </w:r>
    </w:p>
  </w:footnote>
  <w:footnote w:id="18">
    <w:p w:rsidR="00390158" w:rsidRDefault="00390158" w:rsidP="00390158">
      <w:pPr>
        <w:pStyle w:val="FootnoteText"/>
      </w:pPr>
      <w:r>
        <w:rPr>
          <w:rStyle w:val="FootnoteReference"/>
        </w:rPr>
        <w:footnoteRef/>
      </w:r>
      <w:r>
        <w:t xml:space="preserve"> 47 U.S.C. § 227(b)(1)(A)(i)-(iii); 47 C.F.R. § 64.1200(a)(1)(i)-(iii).</w:t>
      </w:r>
    </w:p>
  </w:footnote>
  <w:footnote w:id="19">
    <w:p w:rsidR="00390158" w:rsidRPr="00E345E7" w:rsidRDefault="00390158" w:rsidP="00390158">
      <w:pPr>
        <w:pStyle w:val="FootnoteText"/>
      </w:pPr>
      <w:r>
        <w:rPr>
          <w:rStyle w:val="FootnoteReference"/>
        </w:rPr>
        <w:footnoteRef/>
      </w:r>
      <w:r>
        <w:t xml:space="preserve"> </w:t>
      </w:r>
      <w:r w:rsidRPr="00001E5B">
        <w:rPr>
          <w:i/>
        </w:rPr>
        <w:t xml:space="preserve">See </w:t>
      </w:r>
      <w:r w:rsidRPr="00001E5B">
        <w:t xml:space="preserve">47 U.S.C. § 503(b)(1)(B).  </w:t>
      </w:r>
      <w:r w:rsidRPr="00001E5B">
        <w:rPr>
          <w:i/>
        </w:rPr>
        <w:t>See also Technical Commc</w:t>
      </w:r>
      <w:r>
        <w:rPr>
          <w:i/>
        </w:rPr>
        <w:t>’</w:t>
      </w:r>
      <w:r w:rsidRPr="00001E5B">
        <w:rPr>
          <w:i/>
        </w:rPr>
        <w:t>n Network, LLC</w:t>
      </w:r>
      <w:r w:rsidRPr="00001E5B">
        <w:t xml:space="preserve">, </w:t>
      </w:r>
      <w:r>
        <w:t xml:space="preserve">Notice of </w:t>
      </w:r>
      <w:r w:rsidRPr="00001E5B">
        <w:t>Apparent Liability for Forfeiture</w:t>
      </w:r>
      <w:r>
        <w:t xml:space="preserve"> and Order</w:t>
      </w:r>
      <w:r w:rsidRPr="00001E5B">
        <w:t>, 28 FCC Rcd 1018 (</w:t>
      </w:r>
      <w:r>
        <w:t xml:space="preserve">Enf. Bur. </w:t>
      </w:r>
      <w:r w:rsidRPr="00001E5B">
        <w:t>2013)</w:t>
      </w:r>
      <w:r>
        <w:t xml:space="preserve"> (TCN NAL)</w:t>
      </w:r>
      <w:r w:rsidRPr="00001E5B">
        <w:t xml:space="preserve">; </w:t>
      </w:r>
      <w:r w:rsidRPr="00001E5B">
        <w:rPr>
          <w:i/>
        </w:rPr>
        <w:t>Net One Int</w:t>
      </w:r>
      <w:r>
        <w:rPr>
          <w:i/>
        </w:rPr>
        <w:t>’</w:t>
      </w:r>
      <w:r w:rsidRPr="00001E5B">
        <w:rPr>
          <w:i/>
        </w:rPr>
        <w:t>l Net One, LLC Farrahtel Int</w:t>
      </w:r>
      <w:r>
        <w:rPr>
          <w:i/>
        </w:rPr>
        <w:t>’</w:t>
      </w:r>
      <w:r w:rsidRPr="00001E5B">
        <w:rPr>
          <w:i/>
        </w:rPr>
        <w:t>l, LLC</w:t>
      </w:r>
      <w:r>
        <w:rPr>
          <w:i/>
        </w:rPr>
        <w:t>,</w:t>
      </w:r>
      <w:r w:rsidRPr="00001E5B">
        <w:t> Notice of Apparent Liability for Forfeiture and Order, 26 FCC Rcd 16493 (Enf. Bur. 2011);</w:t>
      </w:r>
      <w:r>
        <w:t xml:space="preserve"> </w:t>
      </w:r>
      <w:r w:rsidRPr="00001E5B">
        <w:rPr>
          <w:i/>
        </w:rPr>
        <w:t>LDC Commc</w:t>
      </w:r>
      <w:r>
        <w:rPr>
          <w:i/>
        </w:rPr>
        <w:t>’</w:t>
      </w:r>
      <w:r w:rsidRPr="00001E5B">
        <w:rPr>
          <w:i/>
        </w:rPr>
        <w:t>n</w:t>
      </w:r>
      <w:r>
        <w:rPr>
          <w:i/>
        </w:rPr>
        <w:t>s</w:t>
      </w:r>
      <w:r w:rsidRPr="00001E5B">
        <w:rPr>
          <w:i/>
        </w:rPr>
        <w:t>, Inc.</w:t>
      </w:r>
      <w:r w:rsidRPr="00001E5B">
        <w:t>, Notice of Apparent Liability for Forfeiture and Order</w:t>
      </w:r>
      <w:r>
        <w:t>,</w:t>
      </w:r>
      <w:r w:rsidRPr="00001E5B">
        <w:t xml:space="preserve"> 27 FCC Rcd 300 (Enf. Bur. 2012); </w:t>
      </w:r>
      <w:r w:rsidRPr="00001E5B">
        <w:rPr>
          <w:i/>
        </w:rPr>
        <w:t>SBC Commc</w:t>
      </w:r>
      <w:r>
        <w:rPr>
          <w:i/>
        </w:rPr>
        <w:t>’</w:t>
      </w:r>
      <w:r w:rsidRPr="00001E5B">
        <w:rPr>
          <w:i/>
        </w:rPr>
        <w:t>n</w:t>
      </w:r>
      <w:r>
        <w:rPr>
          <w:i/>
        </w:rPr>
        <w:t>s</w:t>
      </w:r>
      <w:r w:rsidRPr="00001E5B">
        <w:rPr>
          <w:i/>
        </w:rPr>
        <w:t>, Inc</w:t>
      </w:r>
      <w:r w:rsidRPr="00001E5B">
        <w:t>., Forfeiture</w:t>
      </w:r>
      <w:r>
        <w:t xml:space="preserve"> Order, 17 FCC Rcd 7589 (2000)</w:t>
      </w:r>
      <w:r w:rsidRPr="00001E5B">
        <w:t>.</w:t>
      </w:r>
    </w:p>
  </w:footnote>
  <w:footnote w:id="20">
    <w:p w:rsidR="00390158" w:rsidRPr="0058653A" w:rsidRDefault="00390158" w:rsidP="00390158">
      <w:pPr>
        <w:pStyle w:val="FootnoteText"/>
      </w:pPr>
      <w:r>
        <w:rPr>
          <w:rStyle w:val="FootnoteReference"/>
        </w:rPr>
        <w:footnoteRef/>
      </w:r>
      <w:r>
        <w:t xml:space="preserve"> </w:t>
      </w:r>
      <w:r>
        <w:rPr>
          <w:i/>
        </w:rPr>
        <w:t xml:space="preserve">See </w:t>
      </w:r>
      <w:r>
        <w:t>TCN NAL, 28 FCC Rcd at1020;</w:t>
      </w:r>
      <w:r>
        <w:rPr>
          <w:i/>
        </w:rPr>
        <w:t xml:space="preserve"> Fox Television Stations, Inc.</w:t>
      </w:r>
      <w:r>
        <w:t xml:space="preserve">, Notice of </w:t>
      </w:r>
      <w:r w:rsidRPr="00001E5B">
        <w:t>Apparent Liability for Forfeiture, 2</w:t>
      </w:r>
      <w:r>
        <w:t>5</w:t>
      </w:r>
      <w:r w:rsidRPr="00001E5B">
        <w:t xml:space="preserve"> FCC Rcd </w:t>
      </w:r>
      <w:r>
        <w:t>7074, 7081</w:t>
      </w:r>
      <w:r w:rsidRPr="00001E5B">
        <w:t xml:space="preserve"> (</w:t>
      </w:r>
      <w:r>
        <w:t xml:space="preserve">Enf. Bur. </w:t>
      </w:r>
      <w:r w:rsidRPr="00001E5B">
        <w:t>201</w:t>
      </w:r>
      <w:r>
        <w:t>0) (</w:t>
      </w:r>
      <w:r w:rsidRPr="00E3186C">
        <w:rPr>
          <w:i/>
        </w:rPr>
        <w:t>Fox Television Stations</w:t>
      </w:r>
      <w:r>
        <w:t>).</w:t>
      </w:r>
    </w:p>
  </w:footnote>
  <w:footnote w:id="21">
    <w:p w:rsidR="00390158" w:rsidRPr="0024101A" w:rsidRDefault="00390158" w:rsidP="00390158">
      <w:pPr>
        <w:pStyle w:val="FootnoteText"/>
      </w:pPr>
      <w:r>
        <w:rPr>
          <w:rStyle w:val="FootnoteReference"/>
        </w:rPr>
        <w:footnoteRef/>
      </w:r>
      <w:r>
        <w:t xml:space="preserve"> </w:t>
      </w:r>
      <w:r>
        <w:rPr>
          <w:i/>
        </w:rPr>
        <w:t xml:space="preserve">See </w:t>
      </w:r>
      <w:r w:rsidRPr="007C0564">
        <w:t xml:space="preserve">paras. </w:t>
      </w:r>
      <w:r w:rsidR="00115611">
        <w:fldChar w:fldCharType="begin"/>
      </w:r>
      <w:r w:rsidR="00115611">
        <w:instrText xml:space="preserve"> REF _Ref413078918 \r </w:instrText>
      </w:r>
      <w:r w:rsidR="00115611">
        <w:fldChar w:fldCharType="separate"/>
      </w:r>
      <w:r w:rsidR="00617818">
        <w:t>4</w:t>
      </w:r>
      <w:r w:rsidR="00115611">
        <w:fldChar w:fldCharType="end"/>
      </w:r>
      <w:r w:rsidRPr="007C0564">
        <w:t>-</w:t>
      </w:r>
      <w:r w:rsidR="00115611">
        <w:fldChar w:fldCharType="begin"/>
      </w:r>
      <w:r w:rsidR="00115611">
        <w:instrText xml:space="preserve"> REF _Ref413078924 \r </w:instrText>
      </w:r>
      <w:r w:rsidR="00115611">
        <w:fldChar w:fldCharType="separate"/>
      </w:r>
      <w:r w:rsidR="00617818">
        <w:t>6</w:t>
      </w:r>
      <w:r w:rsidR="00115611">
        <w:fldChar w:fldCharType="end"/>
      </w:r>
      <w:r w:rsidRPr="007C0564">
        <w:t>, above;</w:t>
      </w:r>
      <w:r>
        <w:t xml:space="preserve"> </w:t>
      </w:r>
      <w:r>
        <w:rPr>
          <w:i/>
        </w:rPr>
        <w:t>see also</w:t>
      </w:r>
      <w:r>
        <w:t xml:space="preserve"> </w:t>
      </w:r>
      <w:r w:rsidRPr="00E3186C">
        <w:rPr>
          <w:i/>
        </w:rPr>
        <w:t>Fox Television Stations</w:t>
      </w:r>
      <w:r>
        <w:t>, 25 FCC Rcd at 7081 (“</w:t>
      </w:r>
      <w:r w:rsidRPr="00E3186C">
        <w:rPr>
          <w:b/>
        </w:rPr>
        <w:t>Prompt</w:t>
      </w:r>
      <w:r>
        <w:t xml:space="preserve"> and full responses to Bureau inquiry letters are </w:t>
      </w:r>
      <w:r w:rsidRPr="00E3186C">
        <w:rPr>
          <w:b/>
        </w:rPr>
        <w:t>essential</w:t>
      </w:r>
      <w:r>
        <w:t xml:space="preserve"> to the Commission’s enforcement function.”) (emphasis added).</w:t>
      </w:r>
    </w:p>
  </w:footnote>
  <w:footnote w:id="22">
    <w:p w:rsidR="0090510E" w:rsidRDefault="0090510E">
      <w:pPr>
        <w:pStyle w:val="FootnoteText"/>
      </w:pPr>
      <w:r>
        <w:rPr>
          <w:rStyle w:val="FootnoteReference"/>
        </w:rPr>
        <w:footnoteRef/>
      </w:r>
      <w:r>
        <w:t xml:space="preserve"> </w:t>
      </w:r>
      <w:r w:rsidRPr="00BE70CC">
        <w:rPr>
          <w:szCs w:val="22"/>
        </w:rPr>
        <w:t>47 C.F.R. § 1.17</w:t>
      </w:r>
      <w:r>
        <w:rPr>
          <w:szCs w:val="22"/>
        </w:rPr>
        <w:t>.</w:t>
      </w:r>
    </w:p>
  </w:footnote>
  <w:footnote w:id="23">
    <w:p w:rsidR="0090510E" w:rsidRDefault="0090510E">
      <w:pPr>
        <w:pStyle w:val="FootnoteText"/>
      </w:pPr>
      <w:r>
        <w:rPr>
          <w:rStyle w:val="FootnoteReference"/>
        </w:rPr>
        <w:footnoteRef/>
      </w:r>
      <w:r>
        <w:t xml:space="preserve"> </w:t>
      </w:r>
      <w:r w:rsidRPr="00BE70CC">
        <w:rPr>
          <w:kern w:val="2"/>
          <w:szCs w:val="22"/>
        </w:rPr>
        <w:t>18 U.S.C. § 1001</w:t>
      </w:r>
      <w:r>
        <w:rPr>
          <w:kern w:val="2"/>
          <w:szCs w:val="22"/>
        </w:rPr>
        <w:t>.</w:t>
      </w:r>
    </w:p>
  </w:footnote>
  <w:footnote w:id="24">
    <w:p w:rsidR="003C4AD3" w:rsidRDefault="003C4AD3">
      <w:pPr>
        <w:pStyle w:val="FootnoteText"/>
      </w:pPr>
      <w:r>
        <w:rPr>
          <w:rStyle w:val="FootnoteReference"/>
        </w:rPr>
        <w:footnoteRef/>
      </w:r>
      <w:r>
        <w:t xml:space="preserve"> </w:t>
      </w:r>
      <w:r w:rsidRPr="00BE70CC">
        <w:rPr>
          <w:kern w:val="2"/>
          <w:szCs w:val="22"/>
        </w:rPr>
        <w:t>5 U.S.C. § 552a(e)(3)</w:t>
      </w:r>
      <w:r>
        <w:rPr>
          <w:kern w:val="2"/>
          <w:szCs w:val="22"/>
        </w:rPr>
        <w:t>.</w:t>
      </w:r>
    </w:p>
  </w:footnote>
  <w:footnote w:id="25">
    <w:p w:rsidR="00E25D8B" w:rsidRDefault="00E25D8B" w:rsidP="00E25D8B">
      <w:pPr>
        <w:pStyle w:val="FootnoteText"/>
        <w:keepNext/>
      </w:pPr>
      <w:r>
        <w:rPr>
          <w:rStyle w:val="FootnoteReference"/>
        </w:rPr>
        <w:footnoteRef/>
      </w:r>
      <w:r>
        <w:t xml:space="preserve"> </w:t>
      </w:r>
      <w:r w:rsidRPr="008D7045">
        <w:t>47 U.S.C. § 503(b)(2)(</w:t>
      </w:r>
      <w:r>
        <w:t>D</w:t>
      </w:r>
      <w:r w:rsidRPr="008D7045">
        <w:t>).  Section 503(b)(2)(</w:t>
      </w:r>
      <w:r>
        <w:t>D</w:t>
      </w:r>
      <w:r w:rsidRPr="008D7045">
        <w:t xml:space="preserve">) provides for forfeitures of up to $10,000 for each violation </w:t>
      </w:r>
      <w:r>
        <w:t xml:space="preserve">or each day of a continuing violation, up to a maximum of $75,000 for a single continuing violation </w:t>
      </w:r>
      <w:r w:rsidRPr="008D7045">
        <w:t xml:space="preserve">in cases, as </w:t>
      </w:r>
      <w:r>
        <w:t>here</w:t>
      </w:r>
      <w:r w:rsidRPr="008D7045">
        <w:t xml:space="preserve">, where the violation does not involve a Commission licensee </w:t>
      </w:r>
      <w:r>
        <w:t xml:space="preserve">or </w:t>
      </w:r>
      <w:r w:rsidRPr="008D7045">
        <w:t xml:space="preserve">common carriers, among others.  </w:t>
      </w:r>
      <w:r w:rsidRPr="008D7045">
        <w:rPr>
          <w:i/>
        </w:rPr>
        <w:t>See</w:t>
      </w:r>
      <w:r w:rsidRPr="008D7045">
        <w:t xml:space="preserve"> 47 U.S.C. </w:t>
      </w:r>
      <w:r>
        <w:br/>
      </w:r>
      <w:r w:rsidRPr="008D7045">
        <w:t>§ 503(b)(2)(</w:t>
      </w:r>
      <w:r>
        <w:t>D</w:t>
      </w:r>
      <w:r w:rsidRPr="008D7045">
        <w:t xml:space="preserve">).  In accordance with the inflation adjustment requirements contained in the Debt Collection Improvement Act of 1996, Pub. L. </w:t>
      </w:r>
      <w:r>
        <w:t xml:space="preserve">No. </w:t>
      </w:r>
      <w:r w:rsidRPr="008D7045">
        <w:t>104-134, Sec. 31001, 110 Stat. 1321, the Commission implemented an increase of the maximum statutory forfeiture under section 503(b)(2)(</w:t>
      </w:r>
      <w:r>
        <w:t>D</w:t>
      </w:r>
      <w:r w:rsidRPr="008D7045">
        <w:t>) to $16,000</w:t>
      </w:r>
      <w:r>
        <w:t xml:space="preserve"> for each violation or each day of a continuing violation, up to a maximum of $112,500 for any single continuing violation</w:t>
      </w:r>
      <w:r w:rsidRPr="008D7045">
        <w:t xml:space="preserve">.  </w:t>
      </w:r>
      <w:r w:rsidRPr="008D7045">
        <w:rPr>
          <w:i/>
        </w:rPr>
        <w:t>See</w:t>
      </w:r>
      <w:r w:rsidRPr="008D7045">
        <w:t xml:space="preserve"> 47 C.F.R. §</w:t>
      </w:r>
      <w:r>
        <w:t xml:space="preserve"> </w:t>
      </w:r>
      <w:r w:rsidRPr="008D7045">
        <w:t>1.80(b)</w:t>
      </w:r>
      <w:r>
        <w:t xml:space="preserve">.  </w:t>
      </w:r>
      <w:r w:rsidRPr="008D7045">
        <w:rPr>
          <w:i/>
        </w:rPr>
        <w:t>See also Amendment of Section 1.80(b) of the Commission’s Rules, Adjustment of Forfeiture Maxima to Reflect Inflation,</w:t>
      </w:r>
      <w:r w:rsidRPr="008D7045">
        <w:t xml:space="preserve"> 23 FCC Rcd 9845 (2008) (amendment of section 1.80(b) to reflect inflation increased the forfeiture maxim</w:t>
      </w:r>
      <w:r>
        <w:t>a applicable in this case</w:t>
      </w:r>
      <w:r w:rsidRPr="008D7045">
        <w:t>).</w:t>
      </w:r>
    </w:p>
  </w:footnote>
  <w:footnote w:id="26">
    <w:p w:rsidR="005D1BA6" w:rsidRPr="002D63C3" w:rsidRDefault="005D1BA6">
      <w:pPr>
        <w:pStyle w:val="FootnoteText"/>
      </w:pPr>
      <w:r w:rsidRPr="002D63C3">
        <w:rPr>
          <w:rStyle w:val="FootnoteReference"/>
        </w:rPr>
        <w:footnoteRef/>
      </w:r>
      <w:r w:rsidRPr="002D63C3">
        <w:t xml:space="preserve"> </w:t>
      </w:r>
      <w:r w:rsidRPr="002D63C3">
        <w:rPr>
          <w:i/>
        </w:rPr>
        <w:t>See</w:t>
      </w:r>
      <w:r w:rsidRPr="002D63C3">
        <w:t xml:space="preserve"> 47 U.S.C. § 503(b)(2)(E); 47 C.F.R. § 1.80(b)(8).</w:t>
      </w:r>
    </w:p>
  </w:footnote>
  <w:footnote w:id="27">
    <w:p w:rsidR="005D1BA6" w:rsidRPr="002D63C3" w:rsidRDefault="005D1BA6">
      <w:pPr>
        <w:pStyle w:val="FootnoteText"/>
      </w:pPr>
      <w:r w:rsidRPr="002D63C3">
        <w:rPr>
          <w:rStyle w:val="FootnoteReference"/>
        </w:rPr>
        <w:footnoteRef/>
      </w:r>
      <w:r w:rsidRPr="002D63C3">
        <w:t xml:space="preserve"> </w:t>
      </w:r>
      <w:r w:rsidRPr="007C0564">
        <w:rPr>
          <w:i/>
        </w:rPr>
        <w:t>See</w:t>
      </w:r>
      <w:r w:rsidRPr="007C0564">
        <w:t xml:space="preserve"> </w:t>
      </w:r>
      <w:r w:rsidR="002D63C3" w:rsidRPr="007C0564">
        <w:rPr>
          <w:i/>
        </w:rPr>
        <w:t xml:space="preserve">supra </w:t>
      </w:r>
      <w:r w:rsidRPr="007C0564">
        <w:t xml:space="preserve">paragraph </w:t>
      </w:r>
      <w:r w:rsidR="00115611">
        <w:fldChar w:fldCharType="begin"/>
      </w:r>
      <w:r w:rsidR="00115611">
        <w:instrText xml:space="preserve"> REF _Ref413078791 \r </w:instrText>
      </w:r>
      <w:r w:rsidR="00115611">
        <w:fldChar w:fldCharType="separate"/>
      </w:r>
      <w:r w:rsidR="00617818">
        <w:t>2</w:t>
      </w:r>
      <w:r w:rsidR="00115611">
        <w:fldChar w:fldCharType="end"/>
      </w:r>
      <w:r w:rsidRPr="007C0564">
        <w:t>.</w:t>
      </w:r>
      <w:r w:rsidRPr="002D63C3">
        <w:t xml:space="preserve">  </w:t>
      </w:r>
    </w:p>
  </w:footnote>
  <w:footnote w:id="28">
    <w:p w:rsidR="005D1BA6" w:rsidRPr="002D63C3" w:rsidRDefault="005D1BA6">
      <w:pPr>
        <w:pStyle w:val="FootnoteText"/>
      </w:pPr>
      <w:r w:rsidRPr="002D63C3">
        <w:rPr>
          <w:rStyle w:val="FootnoteReference"/>
        </w:rPr>
        <w:footnoteRef/>
      </w:r>
      <w:r w:rsidRPr="002D63C3">
        <w:t xml:space="preserve"> 47 U.S.C. §§ 154(i), 154(j).</w:t>
      </w:r>
    </w:p>
  </w:footnote>
  <w:footnote w:id="29">
    <w:p w:rsidR="005D1BA6" w:rsidRPr="002D63C3" w:rsidRDefault="005D1BA6">
      <w:pPr>
        <w:pStyle w:val="FootnoteText"/>
      </w:pPr>
      <w:r w:rsidRPr="002D63C3">
        <w:rPr>
          <w:rStyle w:val="FootnoteReference"/>
        </w:rPr>
        <w:footnoteRef/>
      </w:r>
      <w:r w:rsidRPr="002D63C3">
        <w:t xml:space="preserve"> 47 U.S.C. §§ 154(i), 154(j), 403.</w:t>
      </w:r>
    </w:p>
  </w:footnote>
  <w:footnote w:id="30">
    <w:p w:rsidR="005D1BA6" w:rsidRDefault="005D1BA6">
      <w:pPr>
        <w:pStyle w:val="FootnoteText"/>
      </w:pPr>
      <w:r w:rsidRPr="002D63C3">
        <w:rPr>
          <w:rStyle w:val="FootnoteReference"/>
        </w:rPr>
        <w:footnoteRef/>
      </w:r>
      <w:r w:rsidRPr="002D63C3">
        <w:t xml:space="preserve"> 47 C.F.R.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81" w:rsidRDefault="00EF5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Pr="001B048F" w:rsidRDefault="005D1BA6" w:rsidP="001B048F">
    <w:pPr>
      <w:pStyle w:val="Header"/>
      <w:rPr>
        <w:b w:val="0"/>
      </w:rPr>
    </w:pPr>
    <w:r>
      <w:rPr>
        <w:noProof/>
      </w:rPr>
      <mc:AlternateContent>
        <mc:Choice Requires="wps">
          <w:drawing>
            <wp:anchor distT="0" distB="0" distL="114300" distR="114300" simplePos="0" relativeHeight="251658240" behindDoc="1" locked="0" layoutInCell="0" allowOverlap="1" wp14:anchorId="432339F0" wp14:editId="3972722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BE70CC">
      <w:rPr>
        <w:spacing w:val="-2"/>
      </w:rPr>
      <w:t xml:space="preserve">DA </w:t>
    </w:r>
    <w:r w:rsidR="00F30D55">
      <w:rPr>
        <w:spacing w:val="-2"/>
      </w:rPr>
      <w:t>15</w:t>
    </w:r>
    <w:r w:rsidRPr="00BE70CC">
      <w:rPr>
        <w:spacing w:val="-2"/>
      </w:rPr>
      <w:t>-</w:t>
    </w:r>
    <w:r w:rsidR="00617818">
      <w:rPr>
        <w:spacing w:val="-2"/>
      </w:rPr>
      <w:t>369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Pr="001B048F" w:rsidRDefault="005D1BA6" w:rsidP="001B048F">
    <w:pPr>
      <w:pStyle w:val="Header"/>
      <w:rPr>
        <w:b w:val="0"/>
      </w:rPr>
    </w:pPr>
    <w:r w:rsidRPr="00EE36BE">
      <w:rPr>
        <w:noProof/>
      </w:rPr>
      <mc:AlternateContent>
        <mc:Choice Requires="wps">
          <w:drawing>
            <wp:anchor distT="0" distB="0" distL="114300" distR="114300" simplePos="0" relativeHeight="251657216" behindDoc="1" locked="0" layoutInCell="0" allowOverlap="1" wp14:anchorId="177FE34B" wp14:editId="203F78C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EE36BE">
      <w:tab/>
      <w:t>Federal Communications Commission</w:t>
    </w:r>
    <w:r w:rsidRPr="00EE36BE">
      <w:tab/>
    </w:r>
    <w:r w:rsidRPr="00F50F55">
      <w:rPr>
        <w:spacing w:val="-2"/>
      </w:rPr>
      <w:t xml:space="preserve">DA </w:t>
    </w:r>
    <w:r w:rsidR="00F30D55">
      <w:rPr>
        <w:spacing w:val="-2"/>
      </w:rPr>
      <w:t>15</w:t>
    </w:r>
    <w:r w:rsidRPr="00F50F55">
      <w:rPr>
        <w:spacing w:val="-2"/>
      </w:rPr>
      <w:t>-</w:t>
    </w:r>
    <w:r w:rsidR="00617818">
      <w:rPr>
        <w:spacing w:val="-2"/>
      </w:rPr>
      <w:t>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DBD4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14462"/>
    <w:rsid w:val="000174F9"/>
    <w:rsid w:val="00022C58"/>
    <w:rsid w:val="000264B4"/>
    <w:rsid w:val="00031AE8"/>
    <w:rsid w:val="00036D58"/>
    <w:rsid w:val="00046E05"/>
    <w:rsid w:val="000604EB"/>
    <w:rsid w:val="0006278C"/>
    <w:rsid w:val="00062C44"/>
    <w:rsid w:val="000649FE"/>
    <w:rsid w:val="00071A40"/>
    <w:rsid w:val="00071E3F"/>
    <w:rsid w:val="00072D7D"/>
    <w:rsid w:val="00074717"/>
    <w:rsid w:val="00080535"/>
    <w:rsid w:val="000824AC"/>
    <w:rsid w:val="000853AD"/>
    <w:rsid w:val="00086824"/>
    <w:rsid w:val="00091AE4"/>
    <w:rsid w:val="00092506"/>
    <w:rsid w:val="000962DF"/>
    <w:rsid w:val="00097330"/>
    <w:rsid w:val="00097F82"/>
    <w:rsid w:val="000A3E68"/>
    <w:rsid w:val="000A4776"/>
    <w:rsid w:val="000B14C3"/>
    <w:rsid w:val="000B1C2B"/>
    <w:rsid w:val="000B29ED"/>
    <w:rsid w:val="000B7657"/>
    <w:rsid w:val="000C6050"/>
    <w:rsid w:val="000D1391"/>
    <w:rsid w:val="000E1951"/>
    <w:rsid w:val="000E2707"/>
    <w:rsid w:val="000E3600"/>
    <w:rsid w:val="000F1155"/>
    <w:rsid w:val="00100646"/>
    <w:rsid w:val="00105A35"/>
    <w:rsid w:val="00111822"/>
    <w:rsid w:val="0011337B"/>
    <w:rsid w:val="00115611"/>
    <w:rsid w:val="001164C6"/>
    <w:rsid w:val="0011687C"/>
    <w:rsid w:val="001205FE"/>
    <w:rsid w:val="00122BB3"/>
    <w:rsid w:val="0012427E"/>
    <w:rsid w:val="00126C88"/>
    <w:rsid w:val="00135F7F"/>
    <w:rsid w:val="00136476"/>
    <w:rsid w:val="001426F0"/>
    <w:rsid w:val="00145E08"/>
    <w:rsid w:val="001532B1"/>
    <w:rsid w:val="00153904"/>
    <w:rsid w:val="00153CE0"/>
    <w:rsid w:val="00162161"/>
    <w:rsid w:val="00164D9B"/>
    <w:rsid w:val="001715BD"/>
    <w:rsid w:val="001740BB"/>
    <w:rsid w:val="00180026"/>
    <w:rsid w:val="001819AF"/>
    <w:rsid w:val="001829BE"/>
    <w:rsid w:val="00192DF0"/>
    <w:rsid w:val="001A29EF"/>
    <w:rsid w:val="001A2F40"/>
    <w:rsid w:val="001A38A4"/>
    <w:rsid w:val="001A69BA"/>
    <w:rsid w:val="001A79FB"/>
    <w:rsid w:val="001B048F"/>
    <w:rsid w:val="001C3156"/>
    <w:rsid w:val="001C3B35"/>
    <w:rsid w:val="001C42B3"/>
    <w:rsid w:val="001D1CEF"/>
    <w:rsid w:val="001E135C"/>
    <w:rsid w:val="001E1906"/>
    <w:rsid w:val="001E36EE"/>
    <w:rsid w:val="001E401B"/>
    <w:rsid w:val="001F2B76"/>
    <w:rsid w:val="001F5AA4"/>
    <w:rsid w:val="001F7EE0"/>
    <w:rsid w:val="0021315C"/>
    <w:rsid w:val="002146E2"/>
    <w:rsid w:val="00223173"/>
    <w:rsid w:val="00226191"/>
    <w:rsid w:val="0022665A"/>
    <w:rsid w:val="00236820"/>
    <w:rsid w:val="00240579"/>
    <w:rsid w:val="00246222"/>
    <w:rsid w:val="00250EDF"/>
    <w:rsid w:val="00252799"/>
    <w:rsid w:val="00256862"/>
    <w:rsid w:val="00256904"/>
    <w:rsid w:val="00256B42"/>
    <w:rsid w:val="002659F3"/>
    <w:rsid w:val="00265FC9"/>
    <w:rsid w:val="00270CD1"/>
    <w:rsid w:val="002710C5"/>
    <w:rsid w:val="0027183B"/>
    <w:rsid w:val="002718D7"/>
    <w:rsid w:val="00283E59"/>
    <w:rsid w:val="00287564"/>
    <w:rsid w:val="0029651F"/>
    <w:rsid w:val="002966A1"/>
    <w:rsid w:val="00297424"/>
    <w:rsid w:val="002A1963"/>
    <w:rsid w:val="002B7493"/>
    <w:rsid w:val="002C12AD"/>
    <w:rsid w:val="002C2218"/>
    <w:rsid w:val="002C66A2"/>
    <w:rsid w:val="002D3A88"/>
    <w:rsid w:val="002D4CD9"/>
    <w:rsid w:val="002D63C3"/>
    <w:rsid w:val="002D6A81"/>
    <w:rsid w:val="002D74C4"/>
    <w:rsid w:val="002E046E"/>
    <w:rsid w:val="002E1671"/>
    <w:rsid w:val="002E3ACE"/>
    <w:rsid w:val="002E3DE5"/>
    <w:rsid w:val="002E43B6"/>
    <w:rsid w:val="002E6027"/>
    <w:rsid w:val="002F2ACB"/>
    <w:rsid w:val="00304D9E"/>
    <w:rsid w:val="00306C34"/>
    <w:rsid w:val="00306C50"/>
    <w:rsid w:val="0032053D"/>
    <w:rsid w:val="0032244D"/>
    <w:rsid w:val="00325463"/>
    <w:rsid w:val="00331B47"/>
    <w:rsid w:val="00331D4E"/>
    <w:rsid w:val="003343CA"/>
    <w:rsid w:val="003368A3"/>
    <w:rsid w:val="003368E2"/>
    <w:rsid w:val="003400E9"/>
    <w:rsid w:val="00340246"/>
    <w:rsid w:val="00344871"/>
    <w:rsid w:val="00345F40"/>
    <w:rsid w:val="00346496"/>
    <w:rsid w:val="00346DCB"/>
    <w:rsid w:val="003472A7"/>
    <w:rsid w:val="00347397"/>
    <w:rsid w:val="00350389"/>
    <w:rsid w:val="00353E9D"/>
    <w:rsid w:val="00361B43"/>
    <w:rsid w:val="003623B1"/>
    <w:rsid w:val="00367723"/>
    <w:rsid w:val="00383C2B"/>
    <w:rsid w:val="00390158"/>
    <w:rsid w:val="0039768C"/>
    <w:rsid w:val="003A07BF"/>
    <w:rsid w:val="003A4346"/>
    <w:rsid w:val="003A4767"/>
    <w:rsid w:val="003A5530"/>
    <w:rsid w:val="003A6F0A"/>
    <w:rsid w:val="003B18EB"/>
    <w:rsid w:val="003B4544"/>
    <w:rsid w:val="003B5341"/>
    <w:rsid w:val="003B5EF6"/>
    <w:rsid w:val="003B6F75"/>
    <w:rsid w:val="003C0BCF"/>
    <w:rsid w:val="003C4AD3"/>
    <w:rsid w:val="003C6559"/>
    <w:rsid w:val="003D5B63"/>
    <w:rsid w:val="003D5BD6"/>
    <w:rsid w:val="003E36EC"/>
    <w:rsid w:val="003E3782"/>
    <w:rsid w:val="003E4BA1"/>
    <w:rsid w:val="003E5CB1"/>
    <w:rsid w:val="003E7003"/>
    <w:rsid w:val="003F2F66"/>
    <w:rsid w:val="004016AD"/>
    <w:rsid w:val="00403B86"/>
    <w:rsid w:val="00415670"/>
    <w:rsid w:val="00416BF3"/>
    <w:rsid w:val="00416F51"/>
    <w:rsid w:val="004200CE"/>
    <w:rsid w:val="0042056B"/>
    <w:rsid w:val="00426316"/>
    <w:rsid w:val="00431572"/>
    <w:rsid w:val="00436A9E"/>
    <w:rsid w:val="00436E88"/>
    <w:rsid w:val="00452C14"/>
    <w:rsid w:val="00457AE7"/>
    <w:rsid w:val="00466CC6"/>
    <w:rsid w:val="00467066"/>
    <w:rsid w:val="0047221C"/>
    <w:rsid w:val="004736A1"/>
    <w:rsid w:val="004806B5"/>
    <w:rsid w:val="00494E42"/>
    <w:rsid w:val="004C3EDB"/>
    <w:rsid w:val="004C4957"/>
    <w:rsid w:val="004D3233"/>
    <w:rsid w:val="004E218D"/>
    <w:rsid w:val="004E4FD9"/>
    <w:rsid w:val="004E5D01"/>
    <w:rsid w:val="004F0990"/>
    <w:rsid w:val="004F6A54"/>
    <w:rsid w:val="00500FF2"/>
    <w:rsid w:val="00505616"/>
    <w:rsid w:val="00512A5C"/>
    <w:rsid w:val="00514466"/>
    <w:rsid w:val="00514B5F"/>
    <w:rsid w:val="005214C9"/>
    <w:rsid w:val="00522727"/>
    <w:rsid w:val="0052387A"/>
    <w:rsid w:val="00526086"/>
    <w:rsid w:val="00526174"/>
    <w:rsid w:val="005321F0"/>
    <w:rsid w:val="00535D18"/>
    <w:rsid w:val="00537EE6"/>
    <w:rsid w:val="00540EBF"/>
    <w:rsid w:val="005415C8"/>
    <w:rsid w:val="0054220C"/>
    <w:rsid w:val="005440C1"/>
    <w:rsid w:val="00545EF8"/>
    <w:rsid w:val="00547654"/>
    <w:rsid w:val="00552923"/>
    <w:rsid w:val="00557BF1"/>
    <w:rsid w:val="00560703"/>
    <w:rsid w:val="0056704D"/>
    <w:rsid w:val="00567C95"/>
    <w:rsid w:val="00567D8D"/>
    <w:rsid w:val="0059424F"/>
    <w:rsid w:val="005942FC"/>
    <w:rsid w:val="0059732E"/>
    <w:rsid w:val="005A72DD"/>
    <w:rsid w:val="005B1C29"/>
    <w:rsid w:val="005B3158"/>
    <w:rsid w:val="005B4CEA"/>
    <w:rsid w:val="005B67ED"/>
    <w:rsid w:val="005C2A5A"/>
    <w:rsid w:val="005C30D4"/>
    <w:rsid w:val="005D1BA6"/>
    <w:rsid w:val="005D250F"/>
    <w:rsid w:val="005D364B"/>
    <w:rsid w:val="005D4F7D"/>
    <w:rsid w:val="005E3D9F"/>
    <w:rsid w:val="005E6F60"/>
    <w:rsid w:val="005F7995"/>
    <w:rsid w:val="00600EA1"/>
    <w:rsid w:val="006020E8"/>
    <w:rsid w:val="00603106"/>
    <w:rsid w:val="00616616"/>
    <w:rsid w:val="006168A4"/>
    <w:rsid w:val="00617818"/>
    <w:rsid w:val="00622396"/>
    <w:rsid w:val="00624EEA"/>
    <w:rsid w:val="00625B29"/>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6968"/>
    <w:rsid w:val="006877E7"/>
    <w:rsid w:val="006956FE"/>
    <w:rsid w:val="006A6FD0"/>
    <w:rsid w:val="006A7A28"/>
    <w:rsid w:val="006B080E"/>
    <w:rsid w:val="006B730D"/>
    <w:rsid w:val="006C1DED"/>
    <w:rsid w:val="006D2212"/>
    <w:rsid w:val="006D550A"/>
    <w:rsid w:val="006D7FF3"/>
    <w:rsid w:val="006E3B0D"/>
    <w:rsid w:val="006E6234"/>
    <w:rsid w:val="006E728E"/>
    <w:rsid w:val="00704843"/>
    <w:rsid w:val="007115F7"/>
    <w:rsid w:val="00714FD7"/>
    <w:rsid w:val="00715666"/>
    <w:rsid w:val="00716E89"/>
    <w:rsid w:val="0072776E"/>
    <w:rsid w:val="00727F4F"/>
    <w:rsid w:val="00731211"/>
    <w:rsid w:val="0073326F"/>
    <w:rsid w:val="00743885"/>
    <w:rsid w:val="00743CDB"/>
    <w:rsid w:val="00745AB4"/>
    <w:rsid w:val="007470E1"/>
    <w:rsid w:val="007479D6"/>
    <w:rsid w:val="00752D0E"/>
    <w:rsid w:val="00753BD2"/>
    <w:rsid w:val="00755564"/>
    <w:rsid w:val="00757E63"/>
    <w:rsid w:val="00765619"/>
    <w:rsid w:val="0077073F"/>
    <w:rsid w:val="0077103F"/>
    <w:rsid w:val="0077224C"/>
    <w:rsid w:val="00782257"/>
    <w:rsid w:val="00785772"/>
    <w:rsid w:val="00787DBC"/>
    <w:rsid w:val="00791577"/>
    <w:rsid w:val="007A2AF2"/>
    <w:rsid w:val="007A4004"/>
    <w:rsid w:val="007A400F"/>
    <w:rsid w:val="007B1B20"/>
    <w:rsid w:val="007B1C3F"/>
    <w:rsid w:val="007B25BE"/>
    <w:rsid w:val="007C0564"/>
    <w:rsid w:val="007C197B"/>
    <w:rsid w:val="007C3555"/>
    <w:rsid w:val="007C3802"/>
    <w:rsid w:val="007C3FB4"/>
    <w:rsid w:val="007C416C"/>
    <w:rsid w:val="007D517D"/>
    <w:rsid w:val="007D5BA0"/>
    <w:rsid w:val="007E39BB"/>
    <w:rsid w:val="007F3C22"/>
    <w:rsid w:val="0080144D"/>
    <w:rsid w:val="00804AA7"/>
    <w:rsid w:val="00806AEF"/>
    <w:rsid w:val="00817123"/>
    <w:rsid w:val="008218CC"/>
    <w:rsid w:val="00823395"/>
    <w:rsid w:val="00835377"/>
    <w:rsid w:val="00836DF6"/>
    <w:rsid w:val="0084691E"/>
    <w:rsid w:val="00854197"/>
    <w:rsid w:val="0086293F"/>
    <w:rsid w:val="00862B6D"/>
    <w:rsid w:val="008635E6"/>
    <w:rsid w:val="008661A4"/>
    <w:rsid w:val="008666BC"/>
    <w:rsid w:val="00874CFC"/>
    <w:rsid w:val="00884BC0"/>
    <w:rsid w:val="00886C3A"/>
    <w:rsid w:val="00890DC3"/>
    <w:rsid w:val="008A1A2C"/>
    <w:rsid w:val="008B1964"/>
    <w:rsid w:val="008B27C1"/>
    <w:rsid w:val="008B7FFE"/>
    <w:rsid w:val="008C0FB2"/>
    <w:rsid w:val="008D6AFE"/>
    <w:rsid w:val="008E0D87"/>
    <w:rsid w:val="008E2010"/>
    <w:rsid w:val="008F0F79"/>
    <w:rsid w:val="008F21BF"/>
    <w:rsid w:val="008F3480"/>
    <w:rsid w:val="009012DC"/>
    <w:rsid w:val="0090194B"/>
    <w:rsid w:val="00901EA9"/>
    <w:rsid w:val="0090510E"/>
    <w:rsid w:val="00913674"/>
    <w:rsid w:val="009150E9"/>
    <w:rsid w:val="00920FB9"/>
    <w:rsid w:val="00922BC7"/>
    <w:rsid w:val="00924198"/>
    <w:rsid w:val="009244F0"/>
    <w:rsid w:val="0093638C"/>
    <w:rsid w:val="00937A4E"/>
    <w:rsid w:val="0095383F"/>
    <w:rsid w:val="00955661"/>
    <w:rsid w:val="0096675D"/>
    <w:rsid w:val="00970438"/>
    <w:rsid w:val="00970E03"/>
    <w:rsid w:val="009714F0"/>
    <w:rsid w:val="0097633D"/>
    <w:rsid w:val="00980AA0"/>
    <w:rsid w:val="00981A39"/>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E44EE"/>
    <w:rsid w:val="009E53A5"/>
    <w:rsid w:val="009E708F"/>
    <w:rsid w:val="009E73FC"/>
    <w:rsid w:val="00A002F4"/>
    <w:rsid w:val="00A00AE0"/>
    <w:rsid w:val="00A01D1A"/>
    <w:rsid w:val="00A047AF"/>
    <w:rsid w:val="00A0567A"/>
    <w:rsid w:val="00A10460"/>
    <w:rsid w:val="00A14E35"/>
    <w:rsid w:val="00A174D4"/>
    <w:rsid w:val="00A204BA"/>
    <w:rsid w:val="00A20570"/>
    <w:rsid w:val="00A223C9"/>
    <w:rsid w:val="00A230E1"/>
    <w:rsid w:val="00A24CD1"/>
    <w:rsid w:val="00A26C54"/>
    <w:rsid w:val="00A35D97"/>
    <w:rsid w:val="00A3796D"/>
    <w:rsid w:val="00A41565"/>
    <w:rsid w:val="00A42341"/>
    <w:rsid w:val="00A45420"/>
    <w:rsid w:val="00A52CEE"/>
    <w:rsid w:val="00A83EFC"/>
    <w:rsid w:val="00A8604A"/>
    <w:rsid w:val="00A92C53"/>
    <w:rsid w:val="00A95983"/>
    <w:rsid w:val="00AA19E7"/>
    <w:rsid w:val="00AA1C42"/>
    <w:rsid w:val="00AA614F"/>
    <w:rsid w:val="00AA69D4"/>
    <w:rsid w:val="00AB2A81"/>
    <w:rsid w:val="00AB3FF0"/>
    <w:rsid w:val="00AB4CC8"/>
    <w:rsid w:val="00AC08EF"/>
    <w:rsid w:val="00AC0A30"/>
    <w:rsid w:val="00AC262E"/>
    <w:rsid w:val="00AC7682"/>
    <w:rsid w:val="00AC7905"/>
    <w:rsid w:val="00AD35D3"/>
    <w:rsid w:val="00AD525D"/>
    <w:rsid w:val="00AE4E71"/>
    <w:rsid w:val="00AE6CDF"/>
    <w:rsid w:val="00AF2483"/>
    <w:rsid w:val="00AF6122"/>
    <w:rsid w:val="00B046DF"/>
    <w:rsid w:val="00B0601B"/>
    <w:rsid w:val="00B102D9"/>
    <w:rsid w:val="00B106C6"/>
    <w:rsid w:val="00B122C3"/>
    <w:rsid w:val="00B20811"/>
    <w:rsid w:val="00B21753"/>
    <w:rsid w:val="00B246DD"/>
    <w:rsid w:val="00B26603"/>
    <w:rsid w:val="00B307A4"/>
    <w:rsid w:val="00B52F5E"/>
    <w:rsid w:val="00B661C1"/>
    <w:rsid w:val="00B70A0B"/>
    <w:rsid w:val="00B72A6B"/>
    <w:rsid w:val="00B7385F"/>
    <w:rsid w:val="00B8042F"/>
    <w:rsid w:val="00B84DAA"/>
    <w:rsid w:val="00B85F3E"/>
    <w:rsid w:val="00BA0DEA"/>
    <w:rsid w:val="00BB18C9"/>
    <w:rsid w:val="00BB2B10"/>
    <w:rsid w:val="00BB4888"/>
    <w:rsid w:val="00BB6D6F"/>
    <w:rsid w:val="00BC09DE"/>
    <w:rsid w:val="00BC3C88"/>
    <w:rsid w:val="00BC3FB6"/>
    <w:rsid w:val="00BC4A1C"/>
    <w:rsid w:val="00BD0B73"/>
    <w:rsid w:val="00BD5C10"/>
    <w:rsid w:val="00BD747D"/>
    <w:rsid w:val="00BE70CC"/>
    <w:rsid w:val="00BF0CB5"/>
    <w:rsid w:val="00BF39AF"/>
    <w:rsid w:val="00BF790E"/>
    <w:rsid w:val="00C02572"/>
    <w:rsid w:val="00C063BE"/>
    <w:rsid w:val="00C07C33"/>
    <w:rsid w:val="00C07DC3"/>
    <w:rsid w:val="00C11CF4"/>
    <w:rsid w:val="00C128B3"/>
    <w:rsid w:val="00C135FF"/>
    <w:rsid w:val="00C14EBB"/>
    <w:rsid w:val="00C211BD"/>
    <w:rsid w:val="00C22E21"/>
    <w:rsid w:val="00C2400C"/>
    <w:rsid w:val="00C26770"/>
    <w:rsid w:val="00C26850"/>
    <w:rsid w:val="00C30219"/>
    <w:rsid w:val="00C30B5C"/>
    <w:rsid w:val="00C32B5E"/>
    <w:rsid w:val="00C42D39"/>
    <w:rsid w:val="00C5575E"/>
    <w:rsid w:val="00C56DF8"/>
    <w:rsid w:val="00C710A4"/>
    <w:rsid w:val="00C7583B"/>
    <w:rsid w:val="00C8027D"/>
    <w:rsid w:val="00C80AB7"/>
    <w:rsid w:val="00C81248"/>
    <w:rsid w:val="00C81DFC"/>
    <w:rsid w:val="00C82A24"/>
    <w:rsid w:val="00C835A2"/>
    <w:rsid w:val="00C855E5"/>
    <w:rsid w:val="00C93DFC"/>
    <w:rsid w:val="00C9559E"/>
    <w:rsid w:val="00C9673A"/>
    <w:rsid w:val="00C97F25"/>
    <w:rsid w:val="00CA74A0"/>
    <w:rsid w:val="00CB6E37"/>
    <w:rsid w:val="00CC660D"/>
    <w:rsid w:val="00CC6B2D"/>
    <w:rsid w:val="00CD7A1B"/>
    <w:rsid w:val="00CE3004"/>
    <w:rsid w:val="00CF0BCD"/>
    <w:rsid w:val="00CF2340"/>
    <w:rsid w:val="00CF537E"/>
    <w:rsid w:val="00CF6B67"/>
    <w:rsid w:val="00D05B66"/>
    <w:rsid w:val="00D137D5"/>
    <w:rsid w:val="00D15C2F"/>
    <w:rsid w:val="00D23943"/>
    <w:rsid w:val="00D249F3"/>
    <w:rsid w:val="00D417DA"/>
    <w:rsid w:val="00D51005"/>
    <w:rsid w:val="00D55192"/>
    <w:rsid w:val="00D603A8"/>
    <w:rsid w:val="00D70675"/>
    <w:rsid w:val="00D708C9"/>
    <w:rsid w:val="00D70FC6"/>
    <w:rsid w:val="00D75D1C"/>
    <w:rsid w:val="00D77881"/>
    <w:rsid w:val="00D82A8B"/>
    <w:rsid w:val="00DB04B0"/>
    <w:rsid w:val="00DB110F"/>
    <w:rsid w:val="00DB209B"/>
    <w:rsid w:val="00DC68F5"/>
    <w:rsid w:val="00DD066D"/>
    <w:rsid w:val="00DD17B4"/>
    <w:rsid w:val="00DD355E"/>
    <w:rsid w:val="00DE45C6"/>
    <w:rsid w:val="00DF2FC3"/>
    <w:rsid w:val="00DF461A"/>
    <w:rsid w:val="00DF49C5"/>
    <w:rsid w:val="00E03C5E"/>
    <w:rsid w:val="00E0401A"/>
    <w:rsid w:val="00E136B4"/>
    <w:rsid w:val="00E20614"/>
    <w:rsid w:val="00E216B3"/>
    <w:rsid w:val="00E25D8B"/>
    <w:rsid w:val="00E273E3"/>
    <w:rsid w:val="00E32B89"/>
    <w:rsid w:val="00E35FB5"/>
    <w:rsid w:val="00E37301"/>
    <w:rsid w:val="00E40344"/>
    <w:rsid w:val="00E41348"/>
    <w:rsid w:val="00E44BA5"/>
    <w:rsid w:val="00E51553"/>
    <w:rsid w:val="00E51F9F"/>
    <w:rsid w:val="00E57ED1"/>
    <w:rsid w:val="00E61780"/>
    <w:rsid w:val="00E650AE"/>
    <w:rsid w:val="00E6792A"/>
    <w:rsid w:val="00E74600"/>
    <w:rsid w:val="00E87690"/>
    <w:rsid w:val="00E9402D"/>
    <w:rsid w:val="00E95342"/>
    <w:rsid w:val="00EA45C8"/>
    <w:rsid w:val="00EA7BC5"/>
    <w:rsid w:val="00EB5C8E"/>
    <w:rsid w:val="00EB73B3"/>
    <w:rsid w:val="00EC01C8"/>
    <w:rsid w:val="00EC33CF"/>
    <w:rsid w:val="00EC389E"/>
    <w:rsid w:val="00EC43A5"/>
    <w:rsid w:val="00EC59F7"/>
    <w:rsid w:val="00EC6192"/>
    <w:rsid w:val="00ED001A"/>
    <w:rsid w:val="00ED5A07"/>
    <w:rsid w:val="00ED7F11"/>
    <w:rsid w:val="00EE05DB"/>
    <w:rsid w:val="00EE194C"/>
    <w:rsid w:val="00EE36BE"/>
    <w:rsid w:val="00EE6E00"/>
    <w:rsid w:val="00EF1FDD"/>
    <w:rsid w:val="00EF23E9"/>
    <w:rsid w:val="00EF2D22"/>
    <w:rsid w:val="00EF3412"/>
    <w:rsid w:val="00EF49F0"/>
    <w:rsid w:val="00EF5681"/>
    <w:rsid w:val="00EF5B91"/>
    <w:rsid w:val="00EF7A32"/>
    <w:rsid w:val="00F0262C"/>
    <w:rsid w:val="00F03DF9"/>
    <w:rsid w:val="00F122FD"/>
    <w:rsid w:val="00F156C3"/>
    <w:rsid w:val="00F15E74"/>
    <w:rsid w:val="00F16485"/>
    <w:rsid w:val="00F210F9"/>
    <w:rsid w:val="00F22E6D"/>
    <w:rsid w:val="00F30D55"/>
    <w:rsid w:val="00F35991"/>
    <w:rsid w:val="00F50F55"/>
    <w:rsid w:val="00F51AF3"/>
    <w:rsid w:val="00F6754D"/>
    <w:rsid w:val="00F73F5F"/>
    <w:rsid w:val="00F80BCB"/>
    <w:rsid w:val="00F83951"/>
    <w:rsid w:val="00F84343"/>
    <w:rsid w:val="00F85D8D"/>
    <w:rsid w:val="00F8613C"/>
    <w:rsid w:val="00F90362"/>
    <w:rsid w:val="00F93126"/>
    <w:rsid w:val="00F9326A"/>
    <w:rsid w:val="00FA2BC9"/>
    <w:rsid w:val="00FA3463"/>
    <w:rsid w:val="00FA581C"/>
    <w:rsid w:val="00FB450C"/>
    <w:rsid w:val="00FC1C58"/>
    <w:rsid w:val="00FC7FFE"/>
    <w:rsid w:val="00FD0A5B"/>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2160</Words>
  <Characters>11544</Characters>
  <Application>Microsoft Office Word</Application>
  <DocSecurity>0</DocSecurity>
  <Lines>196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2015-03-24T16:14:00Z</dcterms:created>
  <dcterms:modified xsi:type="dcterms:W3CDTF">2015-03-24T16:14:00Z</dcterms:modified>
  <cp:category> </cp:category>
  <cp:contentStatus> </cp:contentStatus>
</cp:coreProperties>
</file>