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96" w:rsidRDefault="00F34D54">
      <w:pPr>
        <w:suppressAutoHyphens/>
        <w:outlineLvl w:val="0"/>
      </w:pPr>
      <w:bookmarkStart w:id="0" w:name="_GoBack"/>
      <w:bookmarkEnd w:id="0"/>
      <w:r>
        <w:rPr>
          <w:noProof/>
        </w:rPr>
        <w:drawing>
          <wp:anchor distT="155575" distB="155575" distL="155575" distR="155575" simplePos="0" relativeHeight="251658240" behindDoc="0" locked="0" layoutInCell="1" allowOverlap="1" wp14:anchorId="707D02C7" wp14:editId="06E07A84">
            <wp:simplePos x="0" y="0"/>
            <wp:positionH relativeFrom="page">
              <wp:posOffset>251460</wp:posOffset>
            </wp:positionH>
            <wp:positionV relativeFrom="page">
              <wp:posOffset>802640</wp:posOffset>
            </wp:positionV>
            <wp:extent cx="600075" cy="6096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96">
        <w:rPr>
          <w:b/>
          <w:sz w:val="96"/>
        </w:rPr>
        <w:t>PUBLIC NOTICE</w:t>
      </w:r>
    </w:p>
    <w:p w:rsidR="00FF5F96" w:rsidRDefault="00F34D54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C8D4EB" wp14:editId="6F9D39B3">
                <wp:simplePos x="0" y="0"/>
                <wp:positionH relativeFrom="column">
                  <wp:posOffset>3246120</wp:posOffset>
                </wp:positionH>
                <wp:positionV relativeFrom="paragraph">
                  <wp:posOffset>-5715</wp:posOffset>
                </wp:positionV>
                <wp:extent cx="2194560" cy="731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F96" w:rsidRDefault="00FF5F96">
                            <w:pPr>
                              <w:spacing w:before="40"/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  <w:t>News Media Information 202 / 418-0500</w:t>
                            </w:r>
                          </w:p>
                          <w:p w:rsidR="00FF5F96" w:rsidRDefault="00FF5F9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  <w:t xml:space="preserve">Internet: </w:t>
                            </w:r>
                            <w:bookmarkStart w:id="1" w:name="_Hlt233824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ttp://www.fcc.gov</w:t>
                            </w:r>
                          </w:p>
                          <w:p w:rsidR="00FF5F96" w:rsidRDefault="00FF5F9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TTY: 1-888-835-5322</w:t>
                            </w:r>
                          </w:p>
                          <w:p w:rsidR="00FF5F96" w:rsidRDefault="00FF5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6pt;margin-top:-.45pt;width:172.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oP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" o:allowincell="f" filled="f" stroked="f">
                <v:textbox>
                  <w:txbxContent>
                    <w:p w:rsidR="00FF5F96" w:rsidRDefault="00FF5F96">
                      <w:pPr>
                        <w:spacing w:before="40"/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br/>
                        <w:t>News Media Information 202 / 418-0500</w:t>
                      </w:r>
                    </w:p>
                    <w:p w:rsidR="00FF5F96" w:rsidRDefault="00FF5F96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Internet: </w:t>
                      </w:r>
                      <w:bookmarkStart w:id="1" w:name="_Hlt233824"/>
                      <w:r>
                        <w:rPr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>
                        <w:rPr>
                          <w:rFonts w:ascii="Arial" w:hAnsi="Arial"/>
                          <w:b/>
                          <w:sz w:val="16"/>
                        </w:rPr>
                        <w:t>ttp://www.fcc.gov</w:t>
                      </w:r>
                    </w:p>
                    <w:p w:rsidR="00FF5F96" w:rsidRDefault="00FF5F96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TTY: 1-888-835-5322</w:t>
                      </w:r>
                    </w:p>
                    <w:p w:rsidR="00FF5F96" w:rsidRDefault="00FF5F96"/>
                  </w:txbxContent>
                </v:textbox>
              </v:shape>
            </w:pict>
          </mc:Fallback>
        </mc:AlternateContent>
      </w:r>
    </w:p>
    <w:p w:rsidR="00FF5F96" w:rsidRDefault="00FF5F96">
      <w:pPr>
        <w:suppressAutoHyphens/>
        <w:outlineLvl w:val="0"/>
        <w:rPr>
          <w:b/>
        </w:rPr>
      </w:pPr>
      <w:r>
        <w:rPr>
          <w:b/>
        </w:rPr>
        <w:t>Federal Communications Commission</w:t>
      </w:r>
    </w:p>
    <w:p w:rsidR="00FF5F96" w:rsidRDefault="00FF5F96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b/>
        </w:rPr>
      </w:pPr>
      <w:r>
        <w:rPr>
          <w:b/>
        </w:rPr>
        <w:t>445 12th St., S.W.</w:t>
      </w:r>
    </w:p>
    <w:p w:rsidR="00FF5F96" w:rsidRDefault="00FF5F96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outlineLvl w:val="0"/>
      </w:pPr>
      <w:r>
        <w:rPr>
          <w:b/>
        </w:rPr>
        <w:t>Washington, D.C. 20554</w:t>
      </w:r>
    </w:p>
    <w:p w:rsidR="00FF5F96" w:rsidRDefault="00FF5F96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p w:rsidR="00FF5F96" w:rsidRDefault="00D01BCD">
      <w:pPr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 </w:t>
      </w:r>
      <w:r w:rsidR="00106B11">
        <w:rPr>
          <w:color w:val="000000"/>
          <w:sz w:val="22"/>
          <w:szCs w:val="22"/>
        </w:rPr>
        <w:t>15-</w:t>
      </w:r>
      <w:r w:rsidR="000C4A07">
        <w:rPr>
          <w:color w:val="000000"/>
          <w:sz w:val="22"/>
          <w:szCs w:val="22"/>
        </w:rPr>
        <w:t>380</w:t>
      </w:r>
    </w:p>
    <w:p w:rsidR="00FF5F96" w:rsidRDefault="000E0B7E">
      <w:pPr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March </w:t>
      </w:r>
      <w:r w:rsidR="00D01BCD">
        <w:rPr>
          <w:color w:val="000000"/>
          <w:sz w:val="22"/>
          <w:szCs w:val="22"/>
        </w:rPr>
        <w:t>27</w:t>
      </w:r>
      <w:r w:rsidR="00FF5F96">
        <w:rPr>
          <w:color w:val="000000"/>
          <w:sz w:val="22"/>
          <w:szCs w:val="22"/>
        </w:rPr>
        <w:t>, 201</w:t>
      </w:r>
      <w:r w:rsidR="003F3BC3">
        <w:rPr>
          <w:color w:val="000000"/>
          <w:sz w:val="22"/>
          <w:szCs w:val="22"/>
        </w:rPr>
        <w:t>5</w:t>
      </w:r>
    </w:p>
    <w:p w:rsidR="00FF5F96" w:rsidRDefault="00FF5F96">
      <w:pPr>
        <w:jc w:val="right"/>
        <w:outlineLvl w:val="0"/>
        <w:rPr>
          <w:color w:val="000000"/>
          <w:sz w:val="22"/>
          <w:szCs w:val="22"/>
        </w:rPr>
      </w:pPr>
    </w:p>
    <w:p w:rsidR="00A94CB6" w:rsidRDefault="00CE6368" w:rsidP="00DB72A0">
      <w:pPr>
        <w:pStyle w:val="BodyText"/>
        <w:jc w:val="center"/>
        <w:rPr>
          <w:b/>
          <w:szCs w:val="22"/>
        </w:rPr>
      </w:pPr>
      <w:bookmarkStart w:id="2" w:name="OLE_LINK1"/>
      <w:bookmarkStart w:id="3" w:name="OLE_LINK2"/>
      <w:r w:rsidRPr="00CE6368">
        <w:rPr>
          <w:b/>
          <w:szCs w:val="22"/>
        </w:rPr>
        <w:t>SECTION 43.62</w:t>
      </w:r>
      <w:r>
        <w:rPr>
          <w:b/>
          <w:szCs w:val="22"/>
        </w:rPr>
        <w:t xml:space="preserve"> </w:t>
      </w:r>
      <w:r w:rsidR="00D01BCD">
        <w:rPr>
          <w:b/>
          <w:szCs w:val="22"/>
        </w:rPr>
        <w:t xml:space="preserve">ONLINE FILING SYSTEM </w:t>
      </w:r>
      <w:r w:rsidR="006E76E4">
        <w:rPr>
          <w:b/>
          <w:szCs w:val="22"/>
        </w:rPr>
        <w:t>CAN BE</w:t>
      </w:r>
      <w:r w:rsidR="00DB72A0">
        <w:rPr>
          <w:b/>
          <w:szCs w:val="22"/>
        </w:rPr>
        <w:t xml:space="preserve"> </w:t>
      </w:r>
      <w:r>
        <w:rPr>
          <w:b/>
          <w:szCs w:val="22"/>
        </w:rPr>
        <w:t>ACC</w:t>
      </w:r>
      <w:r w:rsidR="006E76E4">
        <w:rPr>
          <w:b/>
          <w:szCs w:val="22"/>
        </w:rPr>
        <w:t>ESSED FOR</w:t>
      </w:r>
      <w:r>
        <w:rPr>
          <w:b/>
          <w:szCs w:val="22"/>
        </w:rPr>
        <w:t xml:space="preserve"> ELECTRONIC FILINGS OF</w:t>
      </w:r>
      <w:r w:rsidR="003969C6">
        <w:rPr>
          <w:b/>
          <w:szCs w:val="22"/>
        </w:rPr>
        <w:t xml:space="preserve"> </w:t>
      </w:r>
      <w:r w:rsidR="00DB72A0">
        <w:rPr>
          <w:b/>
          <w:szCs w:val="22"/>
        </w:rPr>
        <w:t>S</w:t>
      </w:r>
      <w:r w:rsidR="00D603DF">
        <w:rPr>
          <w:b/>
          <w:szCs w:val="22"/>
        </w:rPr>
        <w:t xml:space="preserve">ECTION 43.62 </w:t>
      </w:r>
      <w:r w:rsidR="0089457B">
        <w:rPr>
          <w:b/>
          <w:szCs w:val="22"/>
        </w:rPr>
        <w:t xml:space="preserve">INTERNATIONAL </w:t>
      </w:r>
      <w:r w:rsidR="00A94CB6">
        <w:rPr>
          <w:b/>
          <w:szCs w:val="22"/>
        </w:rPr>
        <w:t xml:space="preserve">CIRCUIT CAPACITY REPORTS </w:t>
      </w:r>
      <w:r>
        <w:rPr>
          <w:b/>
          <w:szCs w:val="22"/>
        </w:rPr>
        <w:t>FROM MARCH 30, 2015 TO APRIL 30, 2015</w:t>
      </w:r>
    </w:p>
    <w:p w:rsidR="00A94CB6" w:rsidRDefault="00A94CB6">
      <w:pPr>
        <w:pStyle w:val="BodyText"/>
        <w:jc w:val="center"/>
        <w:rPr>
          <w:b/>
          <w:szCs w:val="22"/>
        </w:rPr>
      </w:pPr>
    </w:p>
    <w:p w:rsidR="003969C6" w:rsidRDefault="003969C6" w:rsidP="003969C6">
      <w:pPr>
        <w:pStyle w:val="BodyText"/>
        <w:jc w:val="center"/>
        <w:rPr>
          <w:b/>
          <w:szCs w:val="22"/>
        </w:rPr>
      </w:pPr>
      <w:r>
        <w:rPr>
          <w:b/>
          <w:szCs w:val="22"/>
        </w:rPr>
        <w:t xml:space="preserve">Section 43.62 Online Filing System will Allow </w:t>
      </w:r>
      <w:r w:rsidR="00CE6368">
        <w:rPr>
          <w:b/>
          <w:szCs w:val="22"/>
        </w:rPr>
        <w:t xml:space="preserve">Submarine Cable Capacity Holders </w:t>
      </w:r>
      <w:r>
        <w:rPr>
          <w:b/>
          <w:szCs w:val="22"/>
        </w:rPr>
        <w:t xml:space="preserve">to </w:t>
      </w:r>
    </w:p>
    <w:p w:rsidR="003F3BC3" w:rsidRDefault="00DB72A0" w:rsidP="003969C6">
      <w:pPr>
        <w:pStyle w:val="BodyText"/>
        <w:jc w:val="center"/>
        <w:rPr>
          <w:b/>
          <w:szCs w:val="22"/>
        </w:rPr>
      </w:pPr>
      <w:r>
        <w:rPr>
          <w:b/>
          <w:szCs w:val="22"/>
        </w:rPr>
        <w:t>Report</w:t>
      </w:r>
      <w:r w:rsidR="003969C6">
        <w:rPr>
          <w:b/>
          <w:szCs w:val="22"/>
        </w:rPr>
        <w:t xml:space="preserve"> Negative Circuit Capacity Numbers </w:t>
      </w:r>
      <w:r>
        <w:rPr>
          <w:b/>
          <w:szCs w:val="22"/>
        </w:rPr>
        <w:t>as Appropriate</w:t>
      </w:r>
    </w:p>
    <w:p w:rsidR="003F3BC3" w:rsidRDefault="003F3BC3">
      <w:pPr>
        <w:pStyle w:val="BodyText"/>
        <w:jc w:val="center"/>
        <w:rPr>
          <w:b/>
          <w:szCs w:val="22"/>
        </w:rPr>
      </w:pPr>
    </w:p>
    <w:p w:rsidR="00FF5F96" w:rsidRDefault="00FF5F96">
      <w:pPr>
        <w:pStyle w:val="BodyText"/>
        <w:jc w:val="center"/>
        <w:rPr>
          <w:b/>
          <w:szCs w:val="22"/>
        </w:rPr>
      </w:pPr>
      <w:r>
        <w:rPr>
          <w:b/>
          <w:szCs w:val="22"/>
        </w:rPr>
        <w:t>IB Docket No. 04-112</w:t>
      </w:r>
    </w:p>
    <w:bookmarkEnd w:id="2"/>
    <w:bookmarkEnd w:id="3"/>
    <w:p w:rsidR="00FF5F96" w:rsidRDefault="00FF5F96">
      <w:pPr>
        <w:keepNext/>
        <w:rPr>
          <w:sz w:val="22"/>
          <w:szCs w:val="22"/>
        </w:rPr>
      </w:pPr>
    </w:p>
    <w:p w:rsidR="001448C4" w:rsidRDefault="00700363" w:rsidP="00112E24">
      <w:pPr>
        <w:ind w:firstLine="720"/>
        <w:rPr>
          <w:sz w:val="22"/>
          <w:szCs w:val="22"/>
        </w:rPr>
      </w:pPr>
      <w:r>
        <w:rPr>
          <w:sz w:val="22"/>
          <w:szCs w:val="22"/>
        </w:rPr>
        <w:t>Starting</w:t>
      </w:r>
      <w:r w:rsidR="00114573">
        <w:rPr>
          <w:sz w:val="22"/>
          <w:szCs w:val="22"/>
        </w:rPr>
        <w:t xml:space="preserve"> March 30, 2015, the Section 43.62 online filing system </w:t>
      </w:r>
      <w:r>
        <w:rPr>
          <w:sz w:val="22"/>
          <w:szCs w:val="22"/>
        </w:rPr>
        <w:t>can</w:t>
      </w:r>
      <w:r w:rsidR="00114573">
        <w:rPr>
          <w:sz w:val="22"/>
          <w:szCs w:val="22"/>
        </w:rPr>
        <w:t xml:space="preserve"> be </w:t>
      </w:r>
      <w:r>
        <w:rPr>
          <w:sz w:val="22"/>
          <w:szCs w:val="22"/>
        </w:rPr>
        <w:t>accessed</w:t>
      </w:r>
      <w:r w:rsidR="00114573">
        <w:rPr>
          <w:sz w:val="22"/>
          <w:szCs w:val="22"/>
        </w:rPr>
        <w:t xml:space="preserve"> </w:t>
      </w:r>
      <w:r>
        <w:rPr>
          <w:sz w:val="22"/>
          <w:szCs w:val="22"/>
        </w:rPr>
        <w:t>using</w:t>
      </w:r>
      <w:r w:rsidR="00114573">
        <w:rPr>
          <w:sz w:val="22"/>
          <w:szCs w:val="22"/>
        </w:rPr>
        <w:t xml:space="preserve"> this link:</w:t>
      </w:r>
      <w:r w:rsidR="00AE3D94">
        <w:rPr>
          <w:sz w:val="22"/>
          <w:szCs w:val="22"/>
        </w:rPr>
        <w:t xml:space="preserve"> </w:t>
      </w:r>
      <w:hyperlink r:id="rId9" w:history="1">
        <w:r w:rsidR="00AE3D94" w:rsidRPr="00AE3D94">
          <w:rPr>
            <w:rStyle w:val="Hyperlink"/>
            <w:sz w:val="22"/>
            <w:szCs w:val="22"/>
          </w:rPr>
          <w:t>Section 43.62 Online Filing System</w:t>
        </w:r>
      </w:hyperlink>
      <w:r w:rsidR="00114573">
        <w:rPr>
          <w:sz w:val="22"/>
          <w:szCs w:val="22"/>
        </w:rPr>
        <w:t xml:space="preserve"> </w:t>
      </w:r>
      <w:r w:rsidR="00AE3D94">
        <w:rPr>
          <w:sz w:val="22"/>
          <w:szCs w:val="22"/>
        </w:rPr>
        <w:t>.</w:t>
      </w:r>
      <w:r w:rsidR="00114573">
        <w:rPr>
          <w:sz w:val="22"/>
          <w:szCs w:val="22"/>
        </w:rPr>
        <w:t xml:space="preserve"> </w:t>
      </w:r>
      <w:r w:rsidR="00B41048">
        <w:rPr>
          <w:rStyle w:val="FootnoteReference"/>
          <w:sz w:val="22"/>
          <w:szCs w:val="22"/>
        </w:rPr>
        <w:footnoteReference w:id="2"/>
      </w:r>
      <w:r w:rsidR="001145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14573">
        <w:rPr>
          <w:sz w:val="22"/>
          <w:szCs w:val="22"/>
        </w:rPr>
        <w:t>As both rules and online filing system are new this year,</w:t>
      </w:r>
      <w:r w:rsidR="00114573">
        <w:rPr>
          <w:rStyle w:val="FootnoteReference"/>
          <w:sz w:val="22"/>
          <w:szCs w:val="22"/>
        </w:rPr>
        <w:footnoteReference w:id="3"/>
      </w:r>
      <w:r w:rsidR="00114573">
        <w:rPr>
          <w:sz w:val="22"/>
          <w:szCs w:val="22"/>
        </w:rPr>
        <w:t xml:space="preserve"> we urge circuit capacity holders to file their reports as early as possible.</w:t>
      </w:r>
      <w:r w:rsidR="00E94B54">
        <w:rPr>
          <w:sz w:val="22"/>
          <w:szCs w:val="22"/>
        </w:rPr>
        <w:t xml:space="preserve">  For this year only, </w:t>
      </w:r>
      <w:r>
        <w:rPr>
          <w:sz w:val="22"/>
          <w:szCs w:val="22"/>
        </w:rPr>
        <w:t xml:space="preserve">circuit capacity </w:t>
      </w:r>
      <w:r w:rsidR="00E94B54">
        <w:rPr>
          <w:sz w:val="22"/>
          <w:szCs w:val="22"/>
        </w:rPr>
        <w:t xml:space="preserve">reports </w:t>
      </w:r>
      <w:r>
        <w:rPr>
          <w:sz w:val="22"/>
          <w:szCs w:val="22"/>
        </w:rPr>
        <w:t xml:space="preserve">as of </w:t>
      </w:r>
      <w:r w:rsidR="00523588">
        <w:rPr>
          <w:sz w:val="22"/>
          <w:szCs w:val="22"/>
        </w:rPr>
        <w:t xml:space="preserve">December 31, 2014 </w:t>
      </w:r>
      <w:r w:rsidR="00E94B54">
        <w:rPr>
          <w:sz w:val="22"/>
          <w:szCs w:val="22"/>
        </w:rPr>
        <w:t>will be due by April 30, 2015.</w:t>
      </w:r>
      <w:r w:rsidR="00E94B54">
        <w:rPr>
          <w:rStyle w:val="FootnoteReference"/>
          <w:sz w:val="22"/>
          <w:szCs w:val="22"/>
        </w:rPr>
        <w:footnoteReference w:id="4"/>
      </w:r>
      <w:r w:rsidR="003969C6">
        <w:rPr>
          <w:sz w:val="22"/>
          <w:szCs w:val="22"/>
        </w:rPr>
        <w:t xml:space="preserve"> </w:t>
      </w:r>
      <w:r w:rsidR="003969C6" w:rsidDel="003969C6">
        <w:rPr>
          <w:sz w:val="22"/>
          <w:szCs w:val="22"/>
        </w:rPr>
        <w:t xml:space="preserve"> </w:t>
      </w:r>
      <w:r w:rsidR="001448C4">
        <w:rPr>
          <w:sz w:val="22"/>
          <w:szCs w:val="22"/>
        </w:rPr>
        <w:t xml:space="preserve">Letters notifying that circuits have been discontinued should be emailed to </w:t>
      </w:r>
      <w:hyperlink r:id="rId10" w:history="1">
        <w:r w:rsidR="001448C4" w:rsidRPr="00183656">
          <w:rPr>
            <w:rStyle w:val="Hyperlink"/>
            <w:sz w:val="22"/>
            <w:szCs w:val="22"/>
          </w:rPr>
          <w:t>Circuit.Capacity@fcc.gov</w:t>
        </w:r>
      </w:hyperlink>
      <w:r w:rsidR="001448C4">
        <w:rPr>
          <w:sz w:val="22"/>
          <w:szCs w:val="22"/>
        </w:rPr>
        <w:t xml:space="preserve">. </w:t>
      </w:r>
    </w:p>
    <w:p w:rsidR="001448C4" w:rsidRDefault="001448C4" w:rsidP="00112E24">
      <w:pPr>
        <w:ind w:firstLine="720"/>
        <w:rPr>
          <w:sz w:val="22"/>
          <w:szCs w:val="22"/>
        </w:rPr>
      </w:pPr>
    </w:p>
    <w:p w:rsidR="00D94126" w:rsidRPr="003777C8" w:rsidRDefault="00734E2B" w:rsidP="00112E24">
      <w:pPr>
        <w:ind w:firstLine="720"/>
        <w:rPr>
          <w:sz w:val="22"/>
          <w:szCs w:val="22"/>
        </w:rPr>
      </w:pPr>
      <w:r>
        <w:rPr>
          <w:sz w:val="22"/>
          <w:szCs w:val="22"/>
        </w:rPr>
        <w:t>We remind that t</w:t>
      </w:r>
      <w:r w:rsidRPr="00734E2B">
        <w:rPr>
          <w:sz w:val="22"/>
          <w:szCs w:val="22"/>
        </w:rPr>
        <w:t xml:space="preserve">he </w:t>
      </w:r>
      <w:r w:rsidRPr="00734E2B">
        <w:rPr>
          <w:i/>
          <w:sz w:val="22"/>
          <w:szCs w:val="22"/>
        </w:rPr>
        <w:t>Filing Manual for Section 43.62 Annual Reports</w:t>
      </w:r>
      <w:r w:rsidRPr="00734E2B">
        <w:rPr>
          <w:sz w:val="22"/>
          <w:szCs w:val="22"/>
        </w:rPr>
        <w:t xml:space="preserve"> sets forth instructions on how to file the reports</w:t>
      </w:r>
      <w:r w:rsidR="00577922">
        <w:rPr>
          <w:sz w:val="22"/>
          <w:szCs w:val="22"/>
        </w:rPr>
        <w:t xml:space="preserve"> using Section 43.62 online filing system</w:t>
      </w:r>
      <w:r w:rsidRPr="00734E2B">
        <w:rPr>
          <w:sz w:val="22"/>
          <w:szCs w:val="22"/>
        </w:rPr>
        <w:t>, including who must file, which of the reports to file, the information that each report must contain, and the filing procedures</w:t>
      </w:r>
      <w:r>
        <w:rPr>
          <w:sz w:val="22"/>
          <w:szCs w:val="22"/>
        </w:rPr>
        <w:t>.</w:t>
      </w:r>
      <w:r w:rsidR="00AE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24503">
        <w:rPr>
          <w:sz w:val="22"/>
          <w:szCs w:val="22"/>
        </w:rPr>
        <w:t xml:space="preserve">In addition, </w:t>
      </w:r>
      <w:r w:rsidR="003969C6">
        <w:rPr>
          <w:sz w:val="22"/>
          <w:szCs w:val="22"/>
        </w:rPr>
        <w:t>we clarify an omission</w:t>
      </w:r>
      <w:r w:rsidR="00BF3C49">
        <w:rPr>
          <w:sz w:val="22"/>
          <w:szCs w:val="22"/>
        </w:rPr>
        <w:t xml:space="preserve"> in the </w:t>
      </w:r>
      <w:r w:rsidR="00BF3C49" w:rsidRPr="003777C8">
        <w:rPr>
          <w:i/>
          <w:sz w:val="22"/>
          <w:szCs w:val="22"/>
        </w:rPr>
        <w:t>Filing Manual for Section 43.62 Annual Reports</w:t>
      </w:r>
      <w:r w:rsidR="003969C6">
        <w:rPr>
          <w:sz w:val="22"/>
          <w:szCs w:val="22"/>
        </w:rPr>
        <w:t xml:space="preserve">. </w:t>
      </w:r>
      <w:r w:rsidR="00624503">
        <w:rPr>
          <w:sz w:val="22"/>
          <w:szCs w:val="22"/>
        </w:rPr>
        <w:t xml:space="preserve"> </w:t>
      </w:r>
      <w:r w:rsidR="003969C6">
        <w:rPr>
          <w:sz w:val="22"/>
          <w:szCs w:val="22"/>
        </w:rPr>
        <w:t xml:space="preserve">Section 43.62 </w:t>
      </w:r>
      <w:r>
        <w:rPr>
          <w:sz w:val="22"/>
          <w:szCs w:val="22"/>
        </w:rPr>
        <w:t>o</w:t>
      </w:r>
      <w:r w:rsidR="003969C6">
        <w:rPr>
          <w:sz w:val="22"/>
          <w:szCs w:val="22"/>
        </w:rPr>
        <w:t xml:space="preserve">nline </w:t>
      </w:r>
      <w:r>
        <w:rPr>
          <w:sz w:val="22"/>
          <w:szCs w:val="22"/>
        </w:rPr>
        <w:t>f</w:t>
      </w:r>
      <w:r w:rsidR="003969C6">
        <w:rPr>
          <w:sz w:val="22"/>
          <w:szCs w:val="22"/>
        </w:rPr>
        <w:t xml:space="preserve">iling </w:t>
      </w:r>
      <w:r>
        <w:rPr>
          <w:sz w:val="22"/>
          <w:szCs w:val="22"/>
        </w:rPr>
        <w:t>s</w:t>
      </w:r>
      <w:r w:rsidR="003969C6">
        <w:rPr>
          <w:sz w:val="22"/>
          <w:szCs w:val="22"/>
        </w:rPr>
        <w:t>ystem will allow reporting of negative numbers for International cable capacity</w:t>
      </w:r>
      <w:r>
        <w:rPr>
          <w:sz w:val="22"/>
          <w:szCs w:val="22"/>
        </w:rPr>
        <w:t xml:space="preserve"> as appropriate</w:t>
      </w:r>
      <w:r w:rsidR="00700363">
        <w:rPr>
          <w:sz w:val="22"/>
          <w:szCs w:val="22"/>
        </w:rPr>
        <w:t xml:space="preserve">.  </w:t>
      </w:r>
      <w:r w:rsidR="003969C6">
        <w:rPr>
          <w:sz w:val="22"/>
          <w:szCs w:val="22"/>
        </w:rPr>
        <w:t>The new P</w:t>
      </w:r>
      <w:r w:rsidR="00D94126">
        <w:rPr>
          <w:sz w:val="22"/>
          <w:szCs w:val="22"/>
        </w:rPr>
        <w:t xml:space="preserve">aragraph 21 </w:t>
      </w:r>
      <w:r w:rsidR="00700363">
        <w:rPr>
          <w:sz w:val="22"/>
          <w:szCs w:val="22"/>
        </w:rPr>
        <w:t xml:space="preserve">of the </w:t>
      </w:r>
      <w:r w:rsidR="00700363" w:rsidRPr="00700363">
        <w:rPr>
          <w:i/>
          <w:sz w:val="22"/>
          <w:szCs w:val="22"/>
        </w:rPr>
        <w:t>Filing Manual for Section 43.62 Annual Reports</w:t>
      </w:r>
      <w:r w:rsidR="00700363">
        <w:rPr>
          <w:sz w:val="22"/>
          <w:szCs w:val="22"/>
        </w:rPr>
        <w:t xml:space="preserve"> </w:t>
      </w:r>
      <w:r w:rsidR="00E94B54">
        <w:rPr>
          <w:sz w:val="22"/>
          <w:szCs w:val="22"/>
        </w:rPr>
        <w:t>read</w:t>
      </w:r>
      <w:r w:rsidR="00700363">
        <w:rPr>
          <w:sz w:val="22"/>
          <w:szCs w:val="22"/>
        </w:rPr>
        <w:t>s</w:t>
      </w:r>
      <w:r w:rsidR="00E94B54">
        <w:rPr>
          <w:sz w:val="22"/>
          <w:szCs w:val="22"/>
        </w:rPr>
        <w:t xml:space="preserve"> </w:t>
      </w:r>
      <w:r w:rsidR="003777C8">
        <w:rPr>
          <w:sz w:val="22"/>
          <w:szCs w:val="22"/>
        </w:rPr>
        <w:t xml:space="preserve">as follows (new </w:t>
      </w:r>
      <w:r w:rsidR="00700363">
        <w:rPr>
          <w:sz w:val="22"/>
          <w:szCs w:val="22"/>
        </w:rPr>
        <w:t xml:space="preserve">clarified </w:t>
      </w:r>
      <w:r w:rsidR="003777C8">
        <w:rPr>
          <w:sz w:val="22"/>
          <w:szCs w:val="22"/>
        </w:rPr>
        <w:t xml:space="preserve">language in </w:t>
      </w:r>
      <w:r w:rsidR="003777C8">
        <w:rPr>
          <w:i/>
          <w:sz w:val="22"/>
          <w:szCs w:val="22"/>
        </w:rPr>
        <w:t>italics</w:t>
      </w:r>
      <w:r w:rsidR="003777C8">
        <w:rPr>
          <w:sz w:val="22"/>
          <w:szCs w:val="22"/>
        </w:rPr>
        <w:t>):</w:t>
      </w:r>
    </w:p>
    <w:p w:rsidR="003777C8" w:rsidRDefault="003777C8" w:rsidP="00112E24">
      <w:pPr>
        <w:ind w:firstLine="720"/>
        <w:rPr>
          <w:sz w:val="22"/>
          <w:szCs w:val="22"/>
        </w:rPr>
      </w:pPr>
    </w:p>
    <w:p w:rsidR="003777C8" w:rsidRDefault="003777C8" w:rsidP="003777C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3777C8">
        <w:rPr>
          <w:sz w:val="22"/>
          <w:szCs w:val="22"/>
        </w:rPr>
        <w:t>21.</w:t>
      </w:r>
      <w:r w:rsidRPr="003777C8">
        <w:rPr>
          <w:sz w:val="22"/>
          <w:szCs w:val="22"/>
        </w:rPr>
        <w:tab/>
        <w:t xml:space="preserve">Negative Numbers.  File customer revenue without subtracting any expenses, allowances for uncollectible accounts or settlement payouts, and without </w:t>
      </w:r>
      <w:r w:rsidRPr="003777C8">
        <w:rPr>
          <w:sz w:val="22"/>
          <w:szCs w:val="22"/>
        </w:rPr>
        <w:lastRenderedPageBreak/>
        <w:t>making out-of-period adjustments.  Do not report any negative numbers for customer revenue or other filed data</w:t>
      </w:r>
      <w:r>
        <w:rPr>
          <w:sz w:val="22"/>
          <w:szCs w:val="22"/>
        </w:rPr>
        <w:t xml:space="preserve">, </w:t>
      </w:r>
      <w:r w:rsidRPr="003777C8">
        <w:rPr>
          <w:i/>
          <w:sz w:val="22"/>
          <w:szCs w:val="22"/>
        </w:rPr>
        <w:t xml:space="preserve">except that Net IRUs (column b) and Net ICLs (column c) in the Circuit Capacity Report – International Submarine Cable Capacity – Capacity Holders </w:t>
      </w:r>
      <w:r w:rsidR="00686A12">
        <w:rPr>
          <w:i/>
          <w:sz w:val="22"/>
          <w:szCs w:val="22"/>
        </w:rPr>
        <w:t xml:space="preserve">chart </w:t>
      </w:r>
      <w:r w:rsidRPr="003777C8">
        <w:rPr>
          <w:i/>
          <w:sz w:val="22"/>
          <w:szCs w:val="22"/>
        </w:rPr>
        <w:t>may be negative</w:t>
      </w:r>
      <w:r w:rsidRPr="003777C8">
        <w:rPr>
          <w:sz w:val="22"/>
          <w:szCs w:val="22"/>
        </w:rPr>
        <w:t>.</w:t>
      </w:r>
      <w:r w:rsidR="00624503">
        <w:rPr>
          <w:sz w:val="22"/>
          <w:szCs w:val="22"/>
        </w:rPr>
        <w:t>”</w:t>
      </w:r>
    </w:p>
    <w:p w:rsidR="003777C8" w:rsidRPr="00D94126" w:rsidRDefault="003777C8" w:rsidP="0022216D">
      <w:pPr>
        <w:rPr>
          <w:sz w:val="22"/>
          <w:szCs w:val="22"/>
        </w:rPr>
      </w:pPr>
    </w:p>
    <w:p w:rsidR="00744715" w:rsidRDefault="00FF5F96" w:rsidP="00112E24">
      <w:pPr>
        <w:keepNext/>
        <w:ind w:firstLine="720"/>
        <w:rPr>
          <w:sz w:val="22"/>
          <w:szCs w:val="22"/>
        </w:rPr>
      </w:pPr>
      <w:r>
        <w:rPr>
          <w:sz w:val="22"/>
          <w:szCs w:val="22"/>
        </w:rPr>
        <w:t>For additional information</w:t>
      </w:r>
      <w:r w:rsidR="00744715">
        <w:rPr>
          <w:sz w:val="22"/>
          <w:szCs w:val="22"/>
        </w:rPr>
        <w:t xml:space="preserve"> about Circuit Capacity</w:t>
      </w:r>
      <w:r w:rsidR="001448C4">
        <w:rPr>
          <w:sz w:val="22"/>
          <w:szCs w:val="22"/>
        </w:rPr>
        <w:t xml:space="preserve"> reports</w:t>
      </w:r>
      <w:r>
        <w:rPr>
          <w:sz w:val="22"/>
          <w:szCs w:val="22"/>
        </w:rPr>
        <w:t>, contact:</w:t>
      </w:r>
      <w:r w:rsidR="005E725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David Krech, Policy Division, International Bureau, </w:t>
      </w:r>
      <w:hyperlink r:id="rId11" w:history="1">
        <w:r>
          <w:rPr>
            <w:rStyle w:val="Hyperlink"/>
            <w:sz w:val="22"/>
            <w:szCs w:val="22"/>
          </w:rPr>
          <w:t>David.Krech@fcc.gov</w:t>
        </w:r>
      </w:hyperlink>
      <w:r>
        <w:rPr>
          <w:sz w:val="22"/>
          <w:szCs w:val="22"/>
        </w:rPr>
        <w:t>, 202-418-7443</w:t>
      </w:r>
      <w:r w:rsidR="002C6B03">
        <w:rPr>
          <w:sz w:val="22"/>
          <w:szCs w:val="22"/>
        </w:rPr>
        <w:t xml:space="preserve">; Cathy Hsu, Policy Division, International Bureau, </w:t>
      </w:r>
      <w:hyperlink r:id="rId12" w:history="1">
        <w:r w:rsidR="006A2BCC" w:rsidRPr="002F6358">
          <w:rPr>
            <w:rStyle w:val="Hyperlink"/>
            <w:sz w:val="22"/>
            <w:szCs w:val="22"/>
          </w:rPr>
          <w:t>Cathy.Hsu@fcc.gov</w:t>
        </w:r>
      </w:hyperlink>
      <w:r w:rsidR="00744715">
        <w:rPr>
          <w:sz w:val="22"/>
          <w:szCs w:val="22"/>
        </w:rPr>
        <w:t>, 202-418-2114.</w:t>
      </w:r>
    </w:p>
    <w:p w:rsidR="00744715" w:rsidRDefault="00744715" w:rsidP="00112E24">
      <w:pPr>
        <w:keepNext/>
        <w:ind w:firstLine="720"/>
        <w:rPr>
          <w:sz w:val="22"/>
          <w:szCs w:val="22"/>
        </w:rPr>
      </w:pPr>
    </w:p>
    <w:p w:rsidR="00FF5F96" w:rsidRDefault="00744715" w:rsidP="00112E24">
      <w:pPr>
        <w:keepNext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For additional information about </w:t>
      </w:r>
      <w:r w:rsidR="00700363">
        <w:rPr>
          <w:sz w:val="22"/>
          <w:szCs w:val="22"/>
        </w:rPr>
        <w:t xml:space="preserve">Section 43.62 </w:t>
      </w:r>
      <w:r>
        <w:rPr>
          <w:sz w:val="22"/>
          <w:szCs w:val="22"/>
        </w:rPr>
        <w:t xml:space="preserve">online filing system, contact: </w:t>
      </w:r>
      <w:r w:rsidR="00C73124">
        <w:rPr>
          <w:sz w:val="22"/>
          <w:szCs w:val="22"/>
        </w:rPr>
        <w:t xml:space="preserve"> Irene Wu, Policy </w:t>
      </w:r>
      <w:r w:rsidR="002C6B03">
        <w:rPr>
          <w:sz w:val="22"/>
          <w:szCs w:val="22"/>
        </w:rPr>
        <w:t xml:space="preserve">Division, International Bureau, </w:t>
      </w:r>
      <w:hyperlink r:id="rId13" w:history="1">
        <w:r w:rsidR="002C6B03" w:rsidRPr="002F6358">
          <w:rPr>
            <w:rStyle w:val="Hyperlink"/>
            <w:sz w:val="22"/>
            <w:szCs w:val="22"/>
          </w:rPr>
          <w:t>Irene.Wu@fcc.gov</w:t>
        </w:r>
      </w:hyperlink>
      <w:r w:rsidR="002C6B03">
        <w:rPr>
          <w:sz w:val="22"/>
          <w:szCs w:val="22"/>
        </w:rPr>
        <w:t>, 202-418-1623</w:t>
      </w:r>
      <w:r w:rsidR="00D94126">
        <w:rPr>
          <w:sz w:val="22"/>
          <w:szCs w:val="22"/>
        </w:rPr>
        <w:t>;</w:t>
      </w:r>
      <w:r>
        <w:rPr>
          <w:sz w:val="22"/>
          <w:szCs w:val="22"/>
        </w:rPr>
        <w:t xml:space="preserve"> Kathleen Campbell, International Bureau, 202-418-0753, </w:t>
      </w:r>
      <w:hyperlink r:id="rId14" w:history="1">
        <w:r w:rsidR="006A04F6" w:rsidRPr="00A647DB">
          <w:rPr>
            <w:rStyle w:val="Hyperlink"/>
            <w:sz w:val="22"/>
            <w:szCs w:val="22"/>
          </w:rPr>
          <w:t>Kathleen.Campbell@fcc.gov</w:t>
        </w:r>
      </w:hyperlink>
      <w:r w:rsidR="006A04F6">
        <w:rPr>
          <w:sz w:val="22"/>
          <w:szCs w:val="22"/>
        </w:rPr>
        <w:t xml:space="preserve">. </w:t>
      </w:r>
    </w:p>
    <w:p w:rsidR="00CA2511" w:rsidRDefault="001448C4" w:rsidP="00112E24">
      <w:pPr>
        <w:keepNext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48C4" w:rsidRDefault="001448C4" w:rsidP="00112E24">
      <w:pPr>
        <w:keepNext/>
        <w:ind w:firstLine="720"/>
        <w:rPr>
          <w:sz w:val="22"/>
          <w:szCs w:val="22"/>
        </w:rPr>
      </w:pPr>
    </w:p>
    <w:p w:rsidR="00606B33" w:rsidRDefault="00FF5F9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 FCC -</w:t>
      </w:r>
    </w:p>
    <w:sectPr w:rsidR="00606B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800" w:bottom="1440" w:left="180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F8" w:rsidRDefault="00045DF8">
      <w:r>
        <w:separator/>
      </w:r>
    </w:p>
  </w:endnote>
  <w:endnote w:type="continuationSeparator" w:id="0">
    <w:p w:rsidR="00045DF8" w:rsidRDefault="00045DF8">
      <w:r>
        <w:continuationSeparator/>
      </w:r>
    </w:p>
  </w:endnote>
  <w:endnote w:type="continuationNotice" w:id="1">
    <w:p w:rsidR="00045DF8" w:rsidRDefault="00045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96" w:rsidRDefault="00FF5F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482">
      <w:rPr>
        <w:rStyle w:val="PageNumber"/>
        <w:noProof/>
      </w:rPr>
      <w:t>2</w:t>
    </w:r>
    <w:r>
      <w:rPr>
        <w:rStyle w:val="PageNumber"/>
      </w:rPr>
      <w:fldChar w:fldCharType="end"/>
    </w:r>
  </w:p>
  <w:p w:rsidR="00FF5F96" w:rsidRDefault="00FF5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96" w:rsidRDefault="00FF5F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3B3">
      <w:rPr>
        <w:rStyle w:val="PageNumber"/>
        <w:noProof/>
      </w:rPr>
      <w:t>2</w:t>
    </w:r>
    <w:r>
      <w:rPr>
        <w:rStyle w:val="PageNumber"/>
      </w:rPr>
      <w:fldChar w:fldCharType="end"/>
    </w:r>
  </w:p>
  <w:p w:rsidR="00FF5F96" w:rsidRDefault="00FF5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B3" w:rsidRDefault="00542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F8" w:rsidRDefault="00045DF8">
      <w:r>
        <w:separator/>
      </w:r>
    </w:p>
  </w:footnote>
  <w:footnote w:type="continuationSeparator" w:id="0">
    <w:p w:rsidR="00045DF8" w:rsidRDefault="00045DF8">
      <w:r>
        <w:continuationSeparator/>
      </w:r>
    </w:p>
  </w:footnote>
  <w:footnote w:type="continuationNotice" w:id="1">
    <w:p w:rsidR="00045DF8" w:rsidRDefault="00045DF8"/>
  </w:footnote>
  <w:footnote w:id="2">
    <w:p w:rsidR="00B41048" w:rsidRDefault="00B41048" w:rsidP="00AE3D9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431549">
        <w:t xml:space="preserve">The Section 43.62 online filing system is at </w:t>
      </w:r>
      <w:hyperlink r:id="rId1" w:history="1">
        <w:r w:rsidR="00431549">
          <w:rPr>
            <w:rStyle w:val="Hyperlink"/>
          </w:rPr>
          <w:t>https://apps2.fcc.gov/section4362/login.xhtml</w:t>
        </w:r>
      </w:hyperlink>
      <w:r w:rsidR="00431549">
        <w:t xml:space="preserve">.  A link to the online filing system and related documents is available </w:t>
      </w:r>
      <w:hyperlink r:id="rId2" w:history="1">
        <w:r w:rsidR="00431549" w:rsidRPr="00431549">
          <w:rPr>
            <w:rStyle w:val="Hyperlink"/>
          </w:rPr>
          <w:t>FCC Encyclopedia Section 43.62 Online Filing System</w:t>
        </w:r>
      </w:hyperlink>
      <w:r w:rsidR="00431549">
        <w:t xml:space="preserve"> (</w:t>
      </w:r>
      <w:r w:rsidR="00431549" w:rsidRPr="00431549">
        <w:t>http://www.fcc.gov/encyclopedia/section-4362-online-filing</w:t>
      </w:r>
      <w:r w:rsidR="00431549">
        <w:t>)</w:t>
      </w:r>
      <w:r w:rsidR="00CA0217">
        <w:t>.</w:t>
      </w:r>
    </w:p>
  </w:footnote>
  <w:footnote w:id="3">
    <w:p w:rsidR="00114573" w:rsidRPr="003F3BC3" w:rsidRDefault="00114573" w:rsidP="00106B11">
      <w:pPr>
        <w:spacing w:after="120"/>
      </w:pPr>
      <w:r>
        <w:rPr>
          <w:rStyle w:val="FootnoteReference"/>
        </w:rPr>
        <w:footnoteRef/>
      </w:r>
      <w:r>
        <w:t xml:space="preserve"> </w:t>
      </w:r>
      <w:r w:rsidRPr="00A46035">
        <w:t>On February 11, 2015, Section 43.62 of the Commission’s rules went into effect.</w:t>
      </w:r>
      <w:r>
        <w:t xml:space="preserve"> </w:t>
      </w:r>
      <w:r w:rsidR="00700363">
        <w:t xml:space="preserve"> </w:t>
      </w:r>
      <w:r>
        <w:rPr>
          <w:i/>
        </w:rPr>
        <w:t xml:space="preserve">See </w:t>
      </w:r>
      <w:r>
        <w:t xml:space="preserve">International Bureau Announces That Section 43.62 International Reporting Requirements Are Effective As Of February 11, 2015, IB Docket No. 04-112, </w:t>
      </w:r>
      <w:r w:rsidRPr="00E479BF">
        <w:rPr>
          <w:i/>
        </w:rPr>
        <w:t>Public Notice</w:t>
      </w:r>
      <w:r>
        <w:t>, DA 15-211 (Int’l Bur. rel. Feb. 13, 2015)</w:t>
      </w:r>
      <w:r>
        <w:rPr>
          <w:i/>
        </w:rPr>
        <w:t xml:space="preserve"> </w:t>
      </w:r>
      <w:r>
        <w:t>(</w:t>
      </w:r>
      <w:r>
        <w:rPr>
          <w:i/>
        </w:rPr>
        <w:t xml:space="preserve">citing </w:t>
      </w:r>
      <w:r>
        <w:t xml:space="preserve">80 Fed. Reg. 7547 (Feb. 11, 2015)). Hyperlink: </w:t>
      </w:r>
      <w:hyperlink r:id="rId3" w:history="1">
        <w:r>
          <w:rPr>
            <w:rStyle w:val="Hyperlink"/>
          </w:rPr>
          <w:t>DA 15-211</w:t>
        </w:r>
      </w:hyperlink>
      <w:r w:rsidRPr="00B07A25">
        <w:t>,.</w:t>
      </w:r>
      <w:r>
        <w:t xml:space="preserve">  </w:t>
      </w:r>
      <w:r w:rsidRPr="00114573">
        <w:rPr>
          <w:i/>
        </w:rPr>
        <w:t>See also</w:t>
      </w:r>
      <w:r>
        <w:t xml:space="preserve"> 47 C.F.R. § 43.62.    </w:t>
      </w:r>
    </w:p>
  </w:footnote>
  <w:footnote w:id="4">
    <w:p w:rsidR="00E94B54" w:rsidRDefault="00E94B54" w:rsidP="00106B1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International Bureau Announces Filing Window for Annual Section 43.62 International Circuit Capacity Reports. IB Docket No. 04-112, </w:t>
      </w:r>
      <w:r w:rsidRPr="00E479BF">
        <w:rPr>
          <w:i/>
        </w:rPr>
        <w:t>Public Notice</w:t>
      </w:r>
      <w:r>
        <w:t>, DA 15-298 (Int’l Bur. rel. Mar. 9, 2015) (</w:t>
      </w:r>
      <w:r>
        <w:rPr>
          <w:i/>
        </w:rPr>
        <w:t xml:space="preserve">citing </w:t>
      </w:r>
      <w:r>
        <w:t xml:space="preserve">80 Fed Reg. 7547 (Feb. 11, 2015)). Hyperlinks: </w:t>
      </w:r>
      <w:hyperlink r:id="rId4" w:history="1">
        <w:r>
          <w:rPr>
            <w:rStyle w:val="Hyperlink"/>
          </w:rPr>
          <w:t>DA 15-298</w:t>
        </w:r>
      </w:hyperlink>
      <w:r>
        <w:rPr>
          <w:color w:val="1F497D"/>
        </w:rPr>
        <w:t xml:space="preserve">. </w:t>
      </w:r>
      <w:r w:rsidR="00523D9F">
        <w:rPr>
          <w:color w:val="1F497D"/>
        </w:rPr>
        <w:t xml:space="preserve"> </w:t>
      </w:r>
      <w:r>
        <w:t>Circuit capacity holders may be subject to fines and forfeitures for failure to file their reports.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B3" w:rsidRDefault="00542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96" w:rsidRPr="005423B3" w:rsidRDefault="00FF5F96" w:rsidP="00542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B3" w:rsidRDefault="00542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FF7"/>
    <w:multiLevelType w:val="singleLevel"/>
    <w:tmpl w:val="10921A46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0E714F"/>
    <w:multiLevelType w:val="multilevel"/>
    <w:tmpl w:val="774A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85637"/>
    <w:multiLevelType w:val="hybridMultilevel"/>
    <w:tmpl w:val="9842C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A7438"/>
    <w:multiLevelType w:val="hybridMultilevel"/>
    <w:tmpl w:val="CBD8C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72BAB"/>
    <w:multiLevelType w:val="hybridMultilevel"/>
    <w:tmpl w:val="F280B698"/>
    <w:lvl w:ilvl="0" w:tplc="6CBA9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F72"/>
    <w:multiLevelType w:val="hybridMultilevel"/>
    <w:tmpl w:val="5DDAE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338F5"/>
    <w:multiLevelType w:val="hybridMultilevel"/>
    <w:tmpl w:val="82D00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E6733"/>
    <w:multiLevelType w:val="hybridMultilevel"/>
    <w:tmpl w:val="244CECE4"/>
    <w:lvl w:ilvl="0" w:tplc="2076BC38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5942A2"/>
    <w:multiLevelType w:val="multilevel"/>
    <w:tmpl w:val="147A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4033A"/>
    <w:multiLevelType w:val="hybridMultilevel"/>
    <w:tmpl w:val="07E6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6BC38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97DB2"/>
    <w:multiLevelType w:val="multilevel"/>
    <w:tmpl w:val="5DD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74D6A"/>
    <w:multiLevelType w:val="multilevel"/>
    <w:tmpl w:val="263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B38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703ECE"/>
    <w:multiLevelType w:val="hybridMultilevel"/>
    <w:tmpl w:val="46EC6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A82770"/>
    <w:multiLevelType w:val="hybridMultilevel"/>
    <w:tmpl w:val="7E7E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74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1B0455"/>
    <w:multiLevelType w:val="hybridMultilevel"/>
    <w:tmpl w:val="5A8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85B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40B03"/>
    <w:multiLevelType w:val="multilevel"/>
    <w:tmpl w:val="07E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B016D"/>
    <w:multiLevelType w:val="multilevel"/>
    <w:tmpl w:val="07E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1C4CE3"/>
    <w:multiLevelType w:val="hybridMultilevel"/>
    <w:tmpl w:val="D6FC116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3E763F5"/>
    <w:multiLevelType w:val="hybridMultilevel"/>
    <w:tmpl w:val="DA6265BC"/>
    <w:lvl w:ilvl="0" w:tplc="AEEC2048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4F58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3F56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8B4555"/>
    <w:multiLevelType w:val="hybridMultilevel"/>
    <w:tmpl w:val="B038E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C4EC4"/>
    <w:multiLevelType w:val="hybridMultilevel"/>
    <w:tmpl w:val="0D1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E4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ED4940"/>
    <w:multiLevelType w:val="multilevel"/>
    <w:tmpl w:val="5DD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92598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28">
    <w:nsid w:val="52362AA3"/>
    <w:multiLevelType w:val="hybridMultilevel"/>
    <w:tmpl w:val="CCCC2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56709"/>
    <w:multiLevelType w:val="multilevel"/>
    <w:tmpl w:val="0190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3A5687"/>
    <w:multiLevelType w:val="hybridMultilevel"/>
    <w:tmpl w:val="499438B6"/>
    <w:lvl w:ilvl="0" w:tplc="352650B2">
      <w:start w:val="1"/>
      <w:numFmt w:val="lowerLetter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1">
    <w:nsid w:val="59747975"/>
    <w:multiLevelType w:val="hybridMultilevel"/>
    <w:tmpl w:val="9F3A1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E977CB"/>
    <w:multiLevelType w:val="hybridMultilevel"/>
    <w:tmpl w:val="11A43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4730A8"/>
    <w:multiLevelType w:val="hybridMultilevel"/>
    <w:tmpl w:val="A618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28189C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35">
    <w:nsid w:val="647955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C7A51F4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37">
    <w:nsid w:val="6F9625D5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38">
    <w:nsid w:val="72056BC5"/>
    <w:multiLevelType w:val="multilevel"/>
    <w:tmpl w:val="5DD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C406A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40">
    <w:nsid w:val="774B5714"/>
    <w:multiLevelType w:val="multilevel"/>
    <w:tmpl w:val="AF10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515E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7F36157D"/>
    <w:multiLevelType w:val="multilevel"/>
    <w:tmpl w:val="82D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38564B"/>
    <w:multiLevelType w:val="multilevel"/>
    <w:tmpl w:val="8A82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5"/>
  </w:num>
  <w:num w:numId="3">
    <w:abstractNumId w:val="41"/>
  </w:num>
  <w:num w:numId="4">
    <w:abstractNumId w:val="22"/>
  </w:num>
  <w:num w:numId="5">
    <w:abstractNumId w:val="21"/>
  </w:num>
  <w:num w:numId="6">
    <w:abstractNumId w:val="35"/>
  </w:num>
  <w:num w:numId="7">
    <w:abstractNumId w:val="12"/>
  </w:num>
  <w:num w:numId="8">
    <w:abstractNumId w:val="15"/>
  </w:num>
  <w:num w:numId="9">
    <w:abstractNumId w:val="34"/>
  </w:num>
  <w:num w:numId="10">
    <w:abstractNumId w:val="37"/>
  </w:num>
  <w:num w:numId="11">
    <w:abstractNumId w:val="36"/>
  </w:num>
  <w:num w:numId="12">
    <w:abstractNumId w:val="27"/>
  </w:num>
  <w:num w:numId="13">
    <w:abstractNumId w:val="39"/>
  </w:num>
  <w:num w:numId="14">
    <w:abstractNumId w:val="6"/>
  </w:num>
  <w:num w:numId="15">
    <w:abstractNumId w:val="42"/>
  </w:num>
  <w:num w:numId="16">
    <w:abstractNumId w:val="33"/>
  </w:num>
  <w:num w:numId="17">
    <w:abstractNumId w:val="31"/>
  </w:num>
  <w:num w:numId="18">
    <w:abstractNumId w:val="14"/>
  </w:num>
  <w:num w:numId="19">
    <w:abstractNumId w:val="28"/>
  </w:num>
  <w:num w:numId="20">
    <w:abstractNumId w:val="13"/>
  </w:num>
  <w:num w:numId="21">
    <w:abstractNumId w:val="5"/>
  </w:num>
  <w:num w:numId="22">
    <w:abstractNumId w:val="26"/>
  </w:num>
  <w:num w:numId="23">
    <w:abstractNumId w:val="38"/>
  </w:num>
  <w:num w:numId="24">
    <w:abstractNumId w:val="9"/>
  </w:num>
  <w:num w:numId="25">
    <w:abstractNumId w:val="10"/>
  </w:num>
  <w:num w:numId="26">
    <w:abstractNumId w:val="18"/>
  </w:num>
  <w:num w:numId="27">
    <w:abstractNumId w:val="17"/>
  </w:num>
  <w:num w:numId="28">
    <w:abstractNumId w:val="20"/>
  </w:num>
  <w:num w:numId="29">
    <w:abstractNumId w:val="7"/>
  </w:num>
  <w:num w:numId="30">
    <w:abstractNumId w:val="3"/>
  </w:num>
  <w:num w:numId="31">
    <w:abstractNumId w:val="19"/>
  </w:num>
  <w:num w:numId="32">
    <w:abstractNumId w:val="2"/>
  </w:num>
  <w:num w:numId="33">
    <w:abstractNumId w:val="16"/>
  </w:num>
  <w:num w:numId="34">
    <w:abstractNumId w:val="8"/>
  </w:num>
  <w:num w:numId="35">
    <w:abstractNumId w:val="1"/>
  </w:num>
  <w:num w:numId="36">
    <w:abstractNumId w:val="11"/>
  </w:num>
  <w:num w:numId="37">
    <w:abstractNumId w:val="40"/>
  </w:num>
  <w:num w:numId="38">
    <w:abstractNumId w:val="29"/>
  </w:num>
  <w:num w:numId="39">
    <w:abstractNumId w:val="43"/>
  </w:num>
  <w:num w:numId="40">
    <w:abstractNumId w:val="23"/>
  </w:num>
  <w:num w:numId="41">
    <w:abstractNumId w:val="4"/>
  </w:num>
  <w:num w:numId="42">
    <w:abstractNumId w:val="30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D5"/>
    <w:rsid w:val="000103E1"/>
    <w:rsid w:val="000435A7"/>
    <w:rsid w:val="00043AA2"/>
    <w:rsid w:val="00045DF8"/>
    <w:rsid w:val="0008023A"/>
    <w:rsid w:val="000B31B9"/>
    <w:rsid w:val="000C4A07"/>
    <w:rsid w:val="000E0B7E"/>
    <w:rsid w:val="000E3FB8"/>
    <w:rsid w:val="000F76E5"/>
    <w:rsid w:val="001053EE"/>
    <w:rsid w:val="00106B11"/>
    <w:rsid w:val="00112E24"/>
    <w:rsid w:val="00114573"/>
    <w:rsid w:val="00133FAE"/>
    <w:rsid w:val="001448C4"/>
    <w:rsid w:val="00171BE4"/>
    <w:rsid w:val="00175FE4"/>
    <w:rsid w:val="001F0DFF"/>
    <w:rsid w:val="0022216D"/>
    <w:rsid w:val="00264C54"/>
    <w:rsid w:val="002C6B03"/>
    <w:rsid w:val="00307936"/>
    <w:rsid w:val="00313825"/>
    <w:rsid w:val="00323BD8"/>
    <w:rsid w:val="003325C3"/>
    <w:rsid w:val="003371D8"/>
    <w:rsid w:val="003379D5"/>
    <w:rsid w:val="003420A9"/>
    <w:rsid w:val="003777C8"/>
    <w:rsid w:val="00382D18"/>
    <w:rsid w:val="00393729"/>
    <w:rsid w:val="003969C6"/>
    <w:rsid w:val="003E3EA0"/>
    <w:rsid w:val="003F3BC3"/>
    <w:rsid w:val="00415D24"/>
    <w:rsid w:val="004170F7"/>
    <w:rsid w:val="00431549"/>
    <w:rsid w:val="00461657"/>
    <w:rsid w:val="004A4A6A"/>
    <w:rsid w:val="004D0930"/>
    <w:rsid w:val="004D1C4F"/>
    <w:rsid w:val="004E25A7"/>
    <w:rsid w:val="004E5A83"/>
    <w:rsid w:val="004E7142"/>
    <w:rsid w:val="00523588"/>
    <w:rsid w:val="005239D1"/>
    <w:rsid w:val="00523D9F"/>
    <w:rsid w:val="005423B3"/>
    <w:rsid w:val="005571AC"/>
    <w:rsid w:val="00577922"/>
    <w:rsid w:val="0058028E"/>
    <w:rsid w:val="0059141D"/>
    <w:rsid w:val="005956DF"/>
    <w:rsid w:val="005962FD"/>
    <w:rsid w:val="005A7254"/>
    <w:rsid w:val="005E7258"/>
    <w:rsid w:val="00606B33"/>
    <w:rsid w:val="00624503"/>
    <w:rsid w:val="0064419F"/>
    <w:rsid w:val="00656334"/>
    <w:rsid w:val="006839AD"/>
    <w:rsid w:val="00686A12"/>
    <w:rsid w:val="006A04F6"/>
    <w:rsid w:val="006A2BCC"/>
    <w:rsid w:val="006E0FC6"/>
    <w:rsid w:val="006E76E4"/>
    <w:rsid w:val="006F49A4"/>
    <w:rsid w:val="00700363"/>
    <w:rsid w:val="00721482"/>
    <w:rsid w:val="007223A4"/>
    <w:rsid w:val="007318E1"/>
    <w:rsid w:val="00734E2B"/>
    <w:rsid w:val="00744715"/>
    <w:rsid w:val="007B2EED"/>
    <w:rsid w:val="007C31BD"/>
    <w:rsid w:val="007E321E"/>
    <w:rsid w:val="007F2A61"/>
    <w:rsid w:val="007F3F80"/>
    <w:rsid w:val="007F65DE"/>
    <w:rsid w:val="00846F80"/>
    <w:rsid w:val="00877BC4"/>
    <w:rsid w:val="0089457B"/>
    <w:rsid w:val="008C5E72"/>
    <w:rsid w:val="008E2713"/>
    <w:rsid w:val="008E6371"/>
    <w:rsid w:val="008E6FCA"/>
    <w:rsid w:val="008F5013"/>
    <w:rsid w:val="00907B37"/>
    <w:rsid w:val="00910371"/>
    <w:rsid w:val="00913D1C"/>
    <w:rsid w:val="00914B09"/>
    <w:rsid w:val="0092382F"/>
    <w:rsid w:val="009324E7"/>
    <w:rsid w:val="0099710A"/>
    <w:rsid w:val="009A54BD"/>
    <w:rsid w:val="009E4E76"/>
    <w:rsid w:val="009E5A93"/>
    <w:rsid w:val="00A158A8"/>
    <w:rsid w:val="00A33045"/>
    <w:rsid w:val="00A47569"/>
    <w:rsid w:val="00A612EA"/>
    <w:rsid w:val="00A62147"/>
    <w:rsid w:val="00A94CB6"/>
    <w:rsid w:val="00AA2DBE"/>
    <w:rsid w:val="00AC49C6"/>
    <w:rsid w:val="00AE3D94"/>
    <w:rsid w:val="00AE7CB5"/>
    <w:rsid w:val="00B07A25"/>
    <w:rsid w:val="00B24004"/>
    <w:rsid w:val="00B337EF"/>
    <w:rsid w:val="00B36BE2"/>
    <w:rsid w:val="00B37B0A"/>
    <w:rsid w:val="00B41048"/>
    <w:rsid w:val="00B47B5A"/>
    <w:rsid w:val="00B500C3"/>
    <w:rsid w:val="00B85034"/>
    <w:rsid w:val="00B8590E"/>
    <w:rsid w:val="00BA6D7A"/>
    <w:rsid w:val="00BB150E"/>
    <w:rsid w:val="00BB310C"/>
    <w:rsid w:val="00BF3C49"/>
    <w:rsid w:val="00BF61D2"/>
    <w:rsid w:val="00BF7070"/>
    <w:rsid w:val="00C33037"/>
    <w:rsid w:val="00C73124"/>
    <w:rsid w:val="00C83884"/>
    <w:rsid w:val="00C973D4"/>
    <w:rsid w:val="00CA0217"/>
    <w:rsid w:val="00CA2511"/>
    <w:rsid w:val="00CA7E5B"/>
    <w:rsid w:val="00CB61E2"/>
    <w:rsid w:val="00CD3CB5"/>
    <w:rsid w:val="00CE2E4A"/>
    <w:rsid w:val="00CE4359"/>
    <w:rsid w:val="00CE5D7D"/>
    <w:rsid w:val="00CE6368"/>
    <w:rsid w:val="00D01BCD"/>
    <w:rsid w:val="00D37A44"/>
    <w:rsid w:val="00D42781"/>
    <w:rsid w:val="00D572AA"/>
    <w:rsid w:val="00D603DF"/>
    <w:rsid w:val="00D6451A"/>
    <w:rsid w:val="00D6661B"/>
    <w:rsid w:val="00D72683"/>
    <w:rsid w:val="00D94126"/>
    <w:rsid w:val="00DB0F7B"/>
    <w:rsid w:val="00DB72A0"/>
    <w:rsid w:val="00DD2805"/>
    <w:rsid w:val="00DF5521"/>
    <w:rsid w:val="00E107A6"/>
    <w:rsid w:val="00E119B9"/>
    <w:rsid w:val="00E1279F"/>
    <w:rsid w:val="00E41B60"/>
    <w:rsid w:val="00E479BF"/>
    <w:rsid w:val="00E83425"/>
    <w:rsid w:val="00E919ED"/>
    <w:rsid w:val="00E94B54"/>
    <w:rsid w:val="00EA66A7"/>
    <w:rsid w:val="00EB365E"/>
    <w:rsid w:val="00EB7EE1"/>
    <w:rsid w:val="00ED7A6B"/>
    <w:rsid w:val="00ED7F1F"/>
    <w:rsid w:val="00F34D54"/>
    <w:rsid w:val="00F37D96"/>
    <w:rsid w:val="00F4718A"/>
    <w:rsid w:val="00F6244B"/>
    <w:rsid w:val="00F84751"/>
    <w:rsid w:val="00FB4D67"/>
    <w:rsid w:val="00FE57FA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autoRedefine/>
    <w:pPr>
      <w:numPr>
        <w:numId w:val="1"/>
      </w:numPr>
      <w:tabs>
        <w:tab w:val="left" w:pos="1440"/>
      </w:tabs>
      <w:spacing w:after="240"/>
    </w:pPr>
    <w:rPr>
      <w:noProof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suppressAutoHyphens/>
    </w:pPr>
    <w:rPr>
      <w:snapToGrid w:val="0"/>
      <w:kern w:val="28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suppressAutoHyphens/>
    </w:pPr>
    <w:rPr>
      <w:snapToGrid w:val="0"/>
      <w:kern w:val="28"/>
      <w:sz w:val="24"/>
    </w:rPr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BodyText2">
    <w:name w:val="Body Text 2"/>
    <w:basedOn w:val="Normal"/>
    <w:rPr>
      <w:sz w:val="23"/>
    </w:rPr>
  </w:style>
  <w:style w:type="paragraph" w:styleId="BodyText3">
    <w:name w:val="Body Text 3"/>
    <w:basedOn w:val="Normal"/>
    <w:rPr>
      <w:rFonts w:ascii="MS Sans Serif" w:hAnsi="MS Sans Serif"/>
      <w:snapToGrid w:val="0"/>
      <w:color w:val="0000FF"/>
      <w:sz w:val="17"/>
    </w:rPr>
  </w:style>
  <w:style w:type="paragraph" w:styleId="FootnoteText">
    <w:name w:val="footnote text"/>
    <w:aliases w:val="ALTS FOOTNOTE,fn,Footnote Text Char2 Char2,Footnote Text Char Char1 Char,Footnote Text Char2 Char2 Char Char,fn Char1,ALTS FOOTNOTE Ch,ALTS FOOTNOTE C"/>
    <w:basedOn w:val="Normal"/>
    <w:link w:val="FootnoteTextChar"/>
    <w:semiHidden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semiHidden/>
    <w:rPr>
      <w:vertAlign w:val="superscript"/>
    </w:rPr>
  </w:style>
  <w:style w:type="paragraph" w:styleId="BodyTextIndent2">
    <w:name w:val="Body Text Indent 2"/>
    <w:basedOn w:val="Normal"/>
    <w:pPr>
      <w:ind w:left="360"/>
    </w:pPr>
    <w:rPr>
      <w:snapToGrid w:val="0"/>
      <w:sz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aliases w:val="ALTS FOOTNOTE Char,fn Char,Footnote Text Char2 Char2 Char,Footnote Text Char Char1 Char Char,Footnote Text Char2 Char2 Char Char Char,fn Char1 Char,ALTS FOOTNOTE Ch Char,ALTS FOOTNOTE C Char"/>
    <w:link w:val="FootnoteText"/>
    <w:semiHidden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A2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autoRedefine/>
    <w:pPr>
      <w:numPr>
        <w:numId w:val="1"/>
      </w:numPr>
      <w:tabs>
        <w:tab w:val="left" w:pos="1440"/>
      </w:tabs>
      <w:spacing w:after="240"/>
    </w:pPr>
    <w:rPr>
      <w:noProof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suppressAutoHyphens/>
    </w:pPr>
    <w:rPr>
      <w:snapToGrid w:val="0"/>
      <w:kern w:val="28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suppressAutoHyphens/>
    </w:pPr>
    <w:rPr>
      <w:snapToGrid w:val="0"/>
      <w:kern w:val="28"/>
      <w:sz w:val="24"/>
    </w:rPr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BodyText2">
    <w:name w:val="Body Text 2"/>
    <w:basedOn w:val="Normal"/>
    <w:rPr>
      <w:sz w:val="23"/>
    </w:rPr>
  </w:style>
  <w:style w:type="paragraph" w:styleId="BodyText3">
    <w:name w:val="Body Text 3"/>
    <w:basedOn w:val="Normal"/>
    <w:rPr>
      <w:rFonts w:ascii="MS Sans Serif" w:hAnsi="MS Sans Serif"/>
      <w:snapToGrid w:val="0"/>
      <w:color w:val="0000FF"/>
      <w:sz w:val="17"/>
    </w:rPr>
  </w:style>
  <w:style w:type="paragraph" w:styleId="FootnoteText">
    <w:name w:val="footnote text"/>
    <w:aliases w:val="ALTS FOOTNOTE,fn,Footnote Text Char2 Char2,Footnote Text Char Char1 Char,Footnote Text Char2 Char2 Char Char,fn Char1,ALTS FOOTNOTE Ch,ALTS FOOTNOTE C"/>
    <w:basedOn w:val="Normal"/>
    <w:link w:val="FootnoteTextChar"/>
    <w:semiHidden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semiHidden/>
    <w:rPr>
      <w:vertAlign w:val="superscript"/>
    </w:rPr>
  </w:style>
  <w:style w:type="paragraph" w:styleId="BodyTextIndent2">
    <w:name w:val="Body Text Indent 2"/>
    <w:basedOn w:val="Normal"/>
    <w:pPr>
      <w:ind w:left="360"/>
    </w:pPr>
    <w:rPr>
      <w:snapToGrid w:val="0"/>
      <w:sz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aliases w:val="ALTS FOOTNOTE Char,fn Char,Footnote Text Char2 Char2 Char,Footnote Text Char Char1 Char Char,Footnote Text Char2 Char2 Char Char Char,fn Char1 Char,ALTS FOOTNOTE Ch Char,ALTS FOOTNOTE C Char"/>
    <w:link w:val="FootnoteText"/>
    <w:semiHidden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A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ene.Wu@fcc.gov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athy.Hsu@fcc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vid.Krech@fcc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ircuit.Capacity@fcc.gov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apps2.fcc.gov/section4362/login.xhtml" TargetMode="External"/><Relationship Id="rId14" Type="http://schemas.openxmlformats.org/officeDocument/2006/relationships/hyperlink" Target="mailto:Kathleen.Campbell@fcc.gov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c.gov/document/section-4362-effective-february-11-2015" TargetMode="External"/><Relationship Id="rId2" Type="http://schemas.openxmlformats.org/officeDocument/2006/relationships/hyperlink" Target="http://www.fcc.gov/encyclopedia/section-4362-online-filing" TargetMode="External"/><Relationship Id="rId1" Type="http://schemas.openxmlformats.org/officeDocument/2006/relationships/hyperlink" Target="https://apps2.fcc.gov/section4362/login.xhtml" TargetMode="External"/><Relationship Id="rId4" Type="http://schemas.openxmlformats.org/officeDocument/2006/relationships/hyperlink" Target="http://www.fcc.gov/document/filing-window-section-4362-international-circuit-capacity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2113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2469</CharactersWithSpaces>
  <SharedDoc>false</SharedDoc>
  <HyperlinkBase> </HyperlinkBase>
  <HLinks>
    <vt:vector size="6" baseType="variant"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mailto:David.Krech@fcc.gov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2008-09-04T13:37:00Z</cp:lastPrinted>
  <dcterms:created xsi:type="dcterms:W3CDTF">2015-03-27T14:52:00Z</dcterms:created>
  <dcterms:modified xsi:type="dcterms:W3CDTF">2015-03-27T14:52:00Z</dcterms:modified>
  <cp:category> </cp:category>
  <cp:contentStatus> </cp:contentStatus>
</cp:coreProperties>
</file>