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DE18FD" w:rsidRDefault="00E01DEC" w:rsidP="00602C40">
      <w:pPr>
        <w:pStyle w:val="Header"/>
        <w:tabs>
          <w:tab w:val="clear" w:pos="4320"/>
          <w:tab w:val="clear" w:pos="8640"/>
        </w:tabs>
        <w:ind w:left="720" w:right="720"/>
        <w:jc w:val="right"/>
        <w:rPr>
          <w:b/>
          <w:szCs w:val="22"/>
        </w:rPr>
        <w:sectPr w:rsidR="00602577" w:rsidRPr="00DE18FD" w:rsidSect="009A2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pgNumType w:start="1"/>
          <w:cols w:space="720"/>
          <w:titlePg/>
          <w:docGrid w:linePitch="299"/>
        </w:sectPr>
      </w:pPr>
      <w:bookmarkStart w:id="1" w:name="_GoBack"/>
      <w:bookmarkEnd w:id="1"/>
      <w:r>
        <w:rPr>
          <w:b/>
          <w:szCs w:val="22"/>
        </w:rPr>
        <w:t>DA 15-382</w:t>
      </w:r>
    </w:p>
    <w:p w:rsidR="00602C40" w:rsidRPr="00602C40" w:rsidRDefault="00602C40" w:rsidP="00DE18FD">
      <w:pPr>
        <w:jc w:val="right"/>
        <w:rPr>
          <w:szCs w:val="22"/>
        </w:rPr>
      </w:pPr>
    </w:p>
    <w:p w:rsidR="00602577" w:rsidRPr="00DE18FD" w:rsidRDefault="00602C40" w:rsidP="00DE18FD">
      <w:pPr>
        <w:jc w:val="right"/>
        <w:rPr>
          <w:b/>
          <w:szCs w:val="22"/>
        </w:rPr>
      </w:pPr>
      <w:r w:rsidRPr="00DE18FD">
        <w:rPr>
          <w:b/>
          <w:szCs w:val="22"/>
        </w:rPr>
        <w:t xml:space="preserve">Released: </w:t>
      </w:r>
      <w:r w:rsidR="001660E5" w:rsidRPr="00DE18FD">
        <w:rPr>
          <w:b/>
          <w:szCs w:val="22"/>
        </w:rPr>
        <w:t xml:space="preserve">March </w:t>
      </w:r>
      <w:r w:rsidR="00A27651" w:rsidRPr="00DE18FD">
        <w:rPr>
          <w:b/>
          <w:szCs w:val="22"/>
        </w:rPr>
        <w:t>27</w:t>
      </w:r>
      <w:r w:rsidR="001660E5" w:rsidRPr="00DE18FD">
        <w:rPr>
          <w:b/>
          <w:szCs w:val="22"/>
        </w:rPr>
        <w:t>, 2015</w:t>
      </w:r>
    </w:p>
    <w:p w:rsidR="00602577" w:rsidRPr="00602C40" w:rsidRDefault="00602577">
      <w:pPr>
        <w:jc w:val="right"/>
        <w:rPr>
          <w:szCs w:val="22"/>
        </w:rPr>
      </w:pPr>
    </w:p>
    <w:p w:rsidR="00602577" w:rsidRPr="00602C40" w:rsidRDefault="00C236BF" w:rsidP="00073F39">
      <w:pPr>
        <w:spacing w:after="240"/>
        <w:jc w:val="center"/>
        <w:rPr>
          <w:b/>
          <w:szCs w:val="22"/>
        </w:rPr>
      </w:pPr>
      <w:r w:rsidRPr="00602C40">
        <w:rPr>
          <w:b/>
          <w:szCs w:val="22"/>
        </w:rPr>
        <w:t xml:space="preserve">COMMENT DEADLINES </w:t>
      </w:r>
      <w:r w:rsidR="00073F39" w:rsidRPr="00602C40">
        <w:rPr>
          <w:b/>
          <w:szCs w:val="22"/>
        </w:rPr>
        <w:t xml:space="preserve">FURTHER </w:t>
      </w:r>
      <w:r w:rsidRPr="00602C40">
        <w:rPr>
          <w:b/>
          <w:szCs w:val="22"/>
        </w:rPr>
        <w:t>EXTENDED IN SPECIAL ACCESS PROCEEDING</w:t>
      </w:r>
    </w:p>
    <w:p w:rsidR="00602577" w:rsidRPr="00602C40" w:rsidRDefault="0098573B" w:rsidP="0098573B">
      <w:pPr>
        <w:spacing w:after="240"/>
        <w:jc w:val="center"/>
        <w:rPr>
          <w:szCs w:val="22"/>
        </w:rPr>
      </w:pPr>
      <w:r w:rsidRPr="00602C40">
        <w:rPr>
          <w:b/>
          <w:szCs w:val="22"/>
        </w:rPr>
        <w:t>WC Docket No. 05-25; RM-10593</w:t>
      </w:r>
    </w:p>
    <w:p w:rsidR="00602577" w:rsidRPr="00602C40" w:rsidRDefault="0098573B" w:rsidP="0098573B">
      <w:pPr>
        <w:pStyle w:val="NoSpacing"/>
        <w:rPr>
          <w:b/>
          <w:szCs w:val="22"/>
        </w:rPr>
      </w:pPr>
      <w:r w:rsidRPr="00602C40">
        <w:rPr>
          <w:b/>
          <w:szCs w:val="22"/>
        </w:rPr>
        <w:t xml:space="preserve">New Comment Date: </w:t>
      </w:r>
      <w:r w:rsidR="001660E5" w:rsidRPr="00602C40">
        <w:rPr>
          <w:b/>
          <w:szCs w:val="22"/>
        </w:rPr>
        <w:t>July 1</w:t>
      </w:r>
      <w:r w:rsidR="00390C28" w:rsidRPr="00602C40">
        <w:rPr>
          <w:b/>
          <w:szCs w:val="22"/>
        </w:rPr>
        <w:t>, 2015</w:t>
      </w:r>
    </w:p>
    <w:p w:rsidR="0098573B" w:rsidRPr="00602C40" w:rsidRDefault="0098573B" w:rsidP="008D2986">
      <w:pPr>
        <w:pStyle w:val="NoSpacing"/>
        <w:rPr>
          <w:b/>
          <w:szCs w:val="22"/>
        </w:rPr>
      </w:pPr>
      <w:r w:rsidRPr="00602C40">
        <w:rPr>
          <w:b/>
          <w:szCs w:val="22"/>
        </w:rPr>
        <w:t xml:space="preserve">New Reply </w:t>
      </w:r>
      <w:r w:rsidR="00A452EF">
        <w:rPr>
          <w:b/>
          <w:szCs w:val="22"/>
        </w:rPr>
        <w:t xml:space="preserve">Comment </w:t>
      </w:r>
      <w:r w:rsidRPr="00602C40">
        <w:rPr>
          <w:b/>
          <w:szCs w:val="22"/>
        </w:rPr>
        <w:t xml:space="preserve">Date: </w:t>
      </w:r>
      <w:r w:rsidR="001660E5" w:rsidRPr="00602C40">
        <w:rPr>
          <w:b/>
          <w:szCs w:val="22"/>
        </w:rPr>
        <w:t>July 22</w:t>
      </w:r>
      <w:r w:rsidR="00390C28" w:rsidRPr="00602C40">
        <w:rPr>
          <w:b/>
          <w:szCs w:val="22"/>
        </w:rPr>
        <w:t>, 2015</w:t>
      </w:r>
    </w:p>
    <w:p w:rsidR="008D2986" w:rsidRPr="00602C40" w:rsidRDefault="0098573B" w:rsidP="008D2986">
      <w:pPr>
        <w:pStyle w:val="NoSpacing"/>
        <w:rPr>
          <w:szCs w:val="22"/>
        </w:rPr>
      </w:pPr>
      <w:r w:rsidRPr="00602C40">
        <w:rPr>
          <w:szCs w:val="22"/>
        </w:rPr>
        <w:tab/>
      </w:r>
    </w:p>
    <w:p w:rsidR="00A23B67" w:rsidRPr="00602C40" w:rsidRDefault="00FC37E2" w:rsidP="00A23B67">
      <w:pPr>
        <w:ind w:firstLine="720"/>
        <w:outlineLvl w:val="0"/>
        <w:rPr>
          <w:szCs w:val="22"/>
        </w:rPr>
      </w:pPr>
      <w:r w:rsidRPr="00602C40">
        <w:rPr>
          <w:szCs w:val="22"/>
        </w:rPr>
        <w:t>T</w:t>
      </w:r>
      <w:r w:rsidR="00A23B67" w:rsidRPr="00602C40">
        <w:rPr>
          <w:szCs w:val="22"/>
        </w:rPr>
        <w:t xml:space="preserve">he Wireline Competition Bureau (Bureau) </w:t>
      </w:r>
      <w:r w:rsidR="00A21F8D" w:rsidRPr="00602C40">
        <w:rPr>
          <w:szCs w:val="22"/>
        </w:rPr>
        <w:t xml:space="preserve">hereby </w:t>
      </w:r>
      <w:r w:rsidR="00A23B67" w:rsidRPr="00602C40">
        <w:rPr>
          <w:szCs w:val="22"/>
        </w:rPr>
        <w:t xml:space="preserve">extends the deadlines </w:t>
      </w:r>
      <w:r w:rsidR="00A21F8D" w:rsidRPr="00602C40">
        <w:rPr>
          <w:szCs w:val="22"/>
        </w:rPr>
        <w:t>for interested parties to file comments and reply comments in response to Section IV.B</w:t>
      </w:r>
      <w:r w:rsidR="001E455C" w:rsidRPr="00602C40">
        <w:rPr>
          <w:szCs w:val="22"/>
        </w:rPr>
        <w:t xml:space="preserve"> of </w:t>
      </w:r>
      <w:r w:rsidR="00A21F8D" w:rsidRPr="00602C40">
        <w:rPr>
          <w:szCs w:val="22"/>
        </w:rPr>
        <w:t xml:space="preserve">the </w:t>
      </w:r>
      <w:r w:rsidR="00A21F8D" w:rsidRPr="00602C40">
        <w:rPr>
          <w:i/>
          <w:szCs w:val="22"/>
        </w:rPr>
        <w:t>Special Access FNPRM</w:t>
      </w:r>
      <w:r w:rsidR="00A21F8D" w:rsidRPr="00602C40">
        <w:rPr>
          <w:szCs w:val="22"/>
        </w:rPr>
        <w:t xml:space="preserve"> in the Commission’s special access rulemaking proceeding.</w:t>
      </w:r>
      <w:r w:rsidR="001E455C" w:rsidRPr="00602C40">
        <w:rPr>
          <w:rStyle w:val="FootnoteReference"/>
          <w:szCs w:val="22"/>
        </w:rPr>
        <w:footnoteReference w:id="1"/>
      </w:r>
      <w:r w:rsidR="00A21F8D" w:rsidRPr="00602C40">
        <w:rPr>
          <w:szCs w:val="22"/>
        </w:rPr>
        <w:t xml:space="preserve">  Comments are now due </w:t>
      </w:r>
      <w:r w:rsidR="001E455C" w:rsidRPr="00602C40">
        <w:rPr>
          <w:szCs w:val="22"/>
        </w:rPr>
        <w:t>by</w:t>
      </w:r>
      <w:r w:rsidR="00A23B67" w:rsidRPr="00602C40">
        <w:rPr>
          <w:szCs w:val="22"/>
        </w:rPr>
        <w:t xml:space="preserve"> </w:t>
      </w:r>
      <w:r w:rsidR="001660E5" w:rsidRPr="00602C40">
        <w:rPr>
          <w:szCs w:val="22"/>
        </w:rPr>
        <w:t>July 1</w:t>
      </w:r>
      <w:r w:rsidR="00957ED5" w:rsidRPr="00602C40">
        <w:rPr>
          <w:szCs w:val="22"/>
        </w:rPr>
        <w:t>, 2015</w:t>
      </w:r>
      <w:r w:rsidR="001E455C" w:rsidRPr="00602C40">
        <w:rPr>
          <w:szCs w:val="22"/>
        </w:rPr>
        <w:t xml:space="preserve">. </w:t>
      </w:r>
      <w:r w:rsidR="00A23B67" w:rsidRPr="00602C40">
        <w:rPr>
          <w:szCs w:val="22"/>
        </w:rPr>
        <w:t xml:space="preserve"> </w:t>
      </w:r>
      <w:r w:rsidR="001E455C" w:rsidRPr="00602C40">
        <w:rPr>
          <w:szCs w:val="22"/>
        </w:rPr>
        <w:t>R</w:t>
      </w:r>
      <w:r w:rsidR="00A23B67" w:rsidRPr="00602C40">
        <w:rPr>
          <w:szCs w:val="22"/>
        </w:rPr>
        <w:t xml:space="preserve">eply comments </w:t>
      </w:r>
      <w:r w:rsidR="001E455C" w:rsidRPr="00602C40">
        <w:rPr>
          <w:szCs w:val="22"/>
        </w:rPr>
        <w:t xml:space="preserve">are due by </w:t>
      </w:r>
      <w:r w:rsidR="001660E5" w:rsidRPr="00602C40">
        <w:rPr>
          <w:szCs w:val="22"/>
        </w:rPr>
        <w:t>July 22</w:t>
      </w:r>
      <w:r w:rsidR="00957ED5" w:rsidRPr="00602C40">
        <w:rPr>
          <w:szCs w:val="22"/>
        </w:rPr>
        <w:t>, 2015</w:t>
      </w:r>
      <w:r w:rsidR="00A23B67" w:rsidRPr="00602C40">
        <w:rPr>
          <w:szCs w:val="22"/>
        </w:rPr>
        <w:t>.</w:t>
      </w:r>
    </w:p>
    <w:p w:rsidR="00A23B67" w:rsidRPr="00602C40" w:rsidRDefault="00A23B67" w:rsidP="00F6202C">
      <w:pPr>
        <w:ind w:firstLine="720"/>
        <w:outlineLvl w:val="0"/>
        <w:rPr>
          <w:szCs w:val="22"/>
        </w:rPr>
      </w:pPr>
    </w:p>
    <w:p w:rsidR="00F6202C" w:rsidRPr="00F6202C" w:rsidRDefault="00F6202C" w:rsidP="00F6202C">
      <w:pPr>
        <w:ind w:firstLine="720"/>
        <w:outlineLvl w:val="0"/>
      </w:pPr>
      <w:r w:rsidRPr="00602C40">
        <w:rPr>
          <w:szCs w:val="22"/>
        </w:rPr>
        <w:t>On December 11, 2012, the Commission adopted a</w:t>
      </w:r>
      <w:r w:rsidR="001E455C" w:rsidRPr="00602C40">
        <w:rPr>
          <w:szCs w:val="22"/>
        </w:rPr>
        <w:t>n order</w:t>
      </w:r>
      <w:r w:rsidRPr="00602C40">
        <w:rPr>
          <w:szCs w:val="22"/>
        </w:rPr>
        <w:t xml:space="preserve"> requiring providers and purchasers of</w:t>
      </w:r>
      <w:r w:rsidRPr="00F6202C">
        <w:t xml:space="preserve"> special access and certain entities providing “best efforts” service to submit data and information for a comprehensive evaluation of the special access market.</w:t>
      </w:r>
      <w:r w:rsidRPr="00F6202C">
        <w:rPr>
          <w:vertAlign w:val="superscript"/>
        </w:rPr>
        <w:footnoteReference w:id="2"/>
      </w:r>
      <w:r w:rsidRPr="00F6202C">
        <w:t xml:space="preserve">  In </w:t>
      </w:r>
      <w:r w:rsidR="001E455C">
        <w:t xml:space="preserve">Section IV.B of </w:t>
      </w:r>
      <w:r w:rsidRPr="00F6202C">
        <w:t xml:space="preserve">the </w:t>
      </w:r>
      <w:r w:rsidRPr="00F6202C">
        <w:rPr>
          <w:i/>
        </w:rPr>
        <w:t>Special Access FNPRM</w:t>
      </w:r>
      <w:r w:rsidR="001E455C">
        <w:rPr>
          <w:i/>
        </w:rPr>
        <w:t xml:space="preserve"> </w:t>
      </w:r>
      <w:r w:rsidR="001E455C">
        <w:t>accompanying th</w:t>
      </w:r>
      <w:r w:rsidR="0086000E">
        <w:t>at</w:t>
      </w:r>
      <w:r w:rsidR="001E455C">
        <w:t xml:space="preserve"> order</w:t>
      </w:r>
      <w:r w:rsidRPr="00F6202C">
        <w:t>, the Commission sought comment on possible changes to its rules for the special access services provided by incumbent local exchange carriers in price cap areas.</w:t>
      </w:r>
      <w:r w:rsidRPr="00F6202C">
        <w:rPr>
          <w:vertAlign w:val="superscript"/>
        </w:rPr>
        <w:footnoteReference w:id="3"/>
      </w:r>
      <w:r w:rsidRPr="00F6202C">
        <w:t xml:space="preserve">  The </w:t>
      </w:r>
      <w:r w:rsidR="00D42C83">
        <w:t xml:space="preserve">Commission set the </w:t>
      </w:r>
      <w:r w:rsidR="0086000E">
        <w:t xml:space="preserve">comment deadlines </w:t>
      </w:r>
      <w:r w:rsidR="0033796E">
        <w:t xml:space="preserve">on this portion of the </w:t>
      </w:r>
      <w:r w:rsidR="0033796E" w:rsidRPr="009A2515">
        <w:rPr>
          <w:i/>
        </w:rPr>
        <w:t>Special Access FNPRM</w:t>
      </w:r>
      <w:r w:rsidR="0033796E">
        <w:t xml:space="preserve"> </w:t>
      </w:r>
      <w:r w:rsidR="00D42C83">
        <w:t xml:space="preserve">several months ahead of </w:t>
      </w:r>
      <w:r w:rsidR="00A452EF">
        <w:t>its</w:t>
      </w:r>
      <w:r w:rsidR="0033796E">
        <w:t xml:space="preserve"> </w:t>
      </w:r>
      <w:r w:rsidR="00D42C83">
        <w:t xml:space="preserve">release </w:t>
      </w:r>
      <w:r w:rsidR="0033796E">
        <w:t xml:space="preserve">date </w:t>
      </w:r>
      <w:r w:rsidR="0086000E">
        <w:t xml:space="preserve">to give </w:t>
      </w:r>
      <w:r w:rsidRPr="00F6202C">
        <w:t xml:space="preserve">interested parties </w:t>
      </w:r>
      <w:r w:rsidR="00FE24DD">
        <w:t>an opportunity to review th</w:t>
      </w:r>
      <w:r w:rsidR="0086000E">
        <w:t xml:space="preserve">e </w:t>
      </w:r>
      <w:r w:rsidR="00FE24DD">
        <w:t xml:space="preserve">information </w:t>
      </w:r>
      <w:r w:rsidR="0086000E">
        <w:t xml:space="preserve">collected </w:t>
      </w:r>
      <w:r w:rsidR="00FE24DD">
        <w:t xml:space="preserve">before </w:t>
      </w:r>
      <w:r w:rsidR="0033796E">
        <w:t>filing</w:t>
      </w:r>
      <w:r w:rsidR="00FE24DD">
        <w:t xml:space="preserve"> comments</w:t>
      </w:r>
      <w:r w:rsidRPr="00F6202C">
        <w:t>.</w:t>
      </w:r>
      <w:r w:rsidRPr="00F6202C">
        <w:rPr>
          <w:vertAlign w:val="superscript"/>
        </w:rPr>
        <w:footnoteReference w:id="4"/>
      </w:r>
      <w:r w:rsidRPr="00F6202C">
        <w:t xml:space="preserve">  </w:t>
      </w:r>
    </w:p>
    <w:p w:rsidR="00F6202C" w:rsidRPr="00F6202C" w:rsidRDefault="00F6202C" w:rsidP="00F6202C">
      <w:pPr>
        <w:ind w:firstLine="720"/>
        <w:outlineLvl w:val="0"/>
      </w:pPr>
    </w:p>
    <w:p w:rsidR="00F6202C" w:rsidRPr="00F6202C" w:rsidRDefault="0095734C" w:rsidP="00F6202C">
      <w:pPr>
        <w:ind w:firstLine="720"/>
        <w:outlineLvl w:val="0"/>
      </w:pPr>
      <w:r>
        <w:rPr>
          <w:snapToGrid w:val="0"/>
          <w:kern w:val="28"/>
          <w:szCs w:val="22"/>
        </w:rPr>
        <w:t xml:space="preserve">The </w:t>
      </w:r>
      <w:r w:rsidR="0033796E">
        <w:rPr>
          <w:snapToGrid w:val="0"/>
          <w:kern w:val="28"/>
          <w:szCs w:val="22"/>
        </w:rPr>
        <w:t xml:space="preserve">final </w:t>
      </w:r>
      <w:r>
        <w:rPr>
          <w:snapToGrid w:val="0"/>
          <w:kern w:val="28"/>
          <w:szCs w:val="22"/>
        </w:rPr>
        <w:t xml:space="preserve">deadline for responding to the </w:t>
      </w:r>
      <w:r w:rsidR="00710332">
        <w:rPr>
          <w:snapToGrid w:val="0"/>
          <w:kern w:val="28"/>
          <w:szCs w:val="22"/>
        </w:rPr>
        <w:t xml:space="preserve">data </w:t>
      </w:r>
      <w:r>
        <w:rPr>
          <w:snapToGrid w:val="0"/>
          <w:kern w:val="28"/>
          <w:szCs w:val="22"/>
        </w:rPr>
        <w:t xml:space="preserve">collection </w:t>
      </w:r>
      <w:r w:rsidR="00A452EF">
        <w:rPr>
          <w:snapToGrid w:val="0"/>
          <w:kern w:val="28"/>
          <w:szCs w:val="22"/>
        </w:rPr>
        <w:t>was</w:t>
      </w:r>
      <w:r>
        <w:rPr>
          <w:snapToGrid w:val="0"/>
          <w:kern w:val="28"/>
          <w:szCs w:val="22"/>
        </w:rPr>
        <w:t xml:space="preserve"> February 27, 201</w:t>
      </w:r>
      <w:r w:rsidR="0033796E">
        <w:rPr>
          <w:snapToGrid w:val="0"/>
          <w:kern w:val="28"/>
          <w:szCs w:val="22"/>
        </w:rPr>
        <w:t>5</w:t>
      </w:r>
      <w:r w:rsidR="000441FD">
        <w:rPr>
          <w:snapToGrid w:val="0"/>
          <w:kern w:val="28"/>
          <w:szCs w:val="22"/>
        </w:rPr>
        <w:t>.</w:t>
      </w:r>
      <w:r w:rsidR="000441FD">
        <w:rPr>
          <w:rStyle w:val="FootnoteReference"/>
          <w:snapToGrid w:val="0"/>
          <w:kern w:val="28"/>
          <w:szCs w:val="22"/>
        </w:rPr>
        <w:footnoteReference w:id="5"/>
      </w:r>
      <w:r w:rsidR="000441FD">
        <w:rPr>
          <w:snapToGrid w:val="0"/>
          <w:kern w:val="28"/>
          <w:szCs w:val="22"/>
        </w:rPr>
        <w:t xml:space="preserve"> </w:t>
      </w:r>
      <w:r>
        <w:rPr>
          <w:snapToGrid w:val="0"/>
          <w:kern w:val="28"/>
          <w:szCs w:val="22"/>
        </w:rPr>
        <w:t xml:space="preserve"> </w:t>
      </w:r>
      <w:r w:rsidR="0062541A">
        <w:rPr>
          <w:snapToGrid w:val="0"/>
          <w:kern w:val="28"/>
          <w:szCs w:val="22"/>
        </w:rPr>
        <w:t>The</w:t>
      </w:r>
      <w:r w:rsidR="0062541A" w:rsidRPr="001D7595">
        <w:rPr>
          <w:snapToGrid w:val="0"/>
          <w:kern w:val="28"/>
          <w:szCs w:val="22"/>
        </w:rPr>
        <w:t xml:space="preserve"> Bureau </w:t>
      </w:r>
      <w:r w:rsidR="008A0316">
        <w:rPr>
          <w:snapToGrid w:val="0"/>
          <w:kern w:val="28"/>
          <w:szCs w:val="22"/>
        </w:rPr>
        <w:t xml:space="preserve">is in the process of </w:t>
      </w:r>
      <w:r w:rsidR="001E455C">
        <w:rPr>
          <w:snapToGrid w:val="0"/>
          <w:kern w:val="28"/>
          <w:szCs w:val="22"/>
        </w:rPr>
        <w:t xml:space="preserve">facilitating public access to the collected </w:t>
      </w:r>
      <w:r>
        <w:rPr>
          <w:snapToGrid w:val="0"/>
          <w:kern w:val="28"/>
          <w:szCs w:val="22"/>
        </w:rPr>
        <w:t xml:space="preserve">data </w:t>
      </w:r>
      <w:r w:rsidR="008A0316">
        <w:rPr>
          <w:snapToGrid w:val="0"/>
          <w:kern w:val="28"/>
          <w:szCs w:val="22"/>
        </w:rPr>
        <w:t xml:space="preserve">consistent with the </w:t>
      </w:r>
      <w:r w:rsidR="001E455C">
        <w:rPr>
          <w:snapToGrid w:val="0"/>
          <w:kern w:val="28"/>
          <w:szCs w:val="22"/>
        </w:rPr>
        <w:t xml:space="preserve">restrictions contained in </w:t>
      </w:r>
      <w:r w:rsidR="001E455C">
        <w:rPr>
          <w:snapToGrid w:val="0"/>
          <w:kern w:val="28"/>
          <w:szCs w:val="22"/>
        </w:rPr>
        <w:lastRenderedPageBreak/>
        <w:t xml:space="preserve">the </w:t>
      </w:r>
      <w:r w:rsidR="008A0316">
        <w:rPr>
          <w:snapToGrid w:val="0"/>
          <w:kern w:val="28"/>
          <w:szCs w:val="22"/>
        </w:rPr>
        <w:t>protective order</w:t>
      </w:r>
      <w:r w:rsidR="000441FD">
        <w:rPr>
          <w:snapToGrid w:val="0"/>
          <w:kern w:val="28"/>
          <w:szCs w:val="22"/>
        </w:rPr>
        <w:t xml:space="preserve"> </w:t>
      </w:r>
      <w:r w:rsidR="0033796E">
        <w:rPr>
          <w:snapToGrid w:val="0"/>
          <w:kern w:val="28"/>
          <w:szCs w:val="22"/>
        </w:rPr>
        <w:t>released on October 1, 201</w:t>
      </w:r>
      <w:r w:rsidR="00A452EF">
        <w:rPr>
          <w:snapToGrid w:val="0"/>
          <w:kern w:val="28"/>
          <w:szCs w:val="22"/>
        </w:rPr>
        <w:t>4</w:t>
      </w:r>
      <w:r w:rsidR="0033796E">
        <w:rPr>
          <w:snapToGrid w:val="0"/>
          <w:kern w:val="28"/>
          <w:szCs w:val="22"/>
        </w:rPr>
        <w:t>,</w:t>
      </w:r>
      <w:r w:rsidR="001E455C">
        <w:rPr>
          <w:snapToGrid w:val="0"/>
          <w:kern w:val="28"/>
          <w:szCs w:val="22"/>
        </w:rPr>
        <w:t xml:space="preserve"> </w:t>
      </w:r>
      <w:r w:rsidR="008313E6">
        <w:rPr>
          <w:snapToGrid w:val="0"/>
          <w:kern w:val="28"/>
          <w:szCs w:val="22"/>
        </w:rPr>
        <w:t xml:space="preserve">but has </w:t>
      </w:r>
      <w:r w:rsidR="000441FD">
        <w:rPr>
          <w:snapToGrid w:val="0"/>
          <w:kern w:val="28"/>
          <w:szCs w:val="22"/>
        </w:rPr>
        <w:t>not yet made th</w:t>
      </w:r>
      <w:r w:rsidR="00A452EF">
        <w:rPr>
          <w:snapToGrid w:val="0"/>
          <w:kern w:val="28"/>
          <w:szCs w:val="22"/>
        </w:rPr>
        <w:t>e data</w:t>
      </w:r>
      <w:r w:rsidR="000441FD">
        <w:rPr>
          <w:snapToGrid w:val="0"/>
          <w:kern w:val="28"/>
          <w:szCs w:val="22"/>
        </w:rPr>
        <w:t xml:space="preserve"> available</w:t>
      </w:r>
      <w:r w:rsidR="00002A48">
        <w:rPr>
          <w:snapToGrid w:val="0"/>
          <w:kern w:val="28"/>
          <w:szCs w:val="22"/>
        </w:rPr>
        <w:t>.</w:t>
      </w:r>
      <w:r w:rsidR="00ED33C2">
        <w:rPr>
          <w:rStyle w:val="FootnoteReference"/>
          <w:snapToGrid w:val="0"/>
          <w:kern w:val="28"/>
          <w:szCs w:val="22"/>
        </w:rPr>
        <w:footnoteReference w:id="6"/>
      </w:r>
      <w:r w:rsidR="00002A48">
        <w:rPr>
          <w:snapToGrid w:val="0"/>
          <w:kern w:val="28"/>
          <w:szCs w:val="22"/>
        </w:rPr>
        <w:t xml:space="preserve"> </w:t>
      </w:r>
      <w:r w:rsidR="000441FD">
        <w:rPr>
          <w:snapToGrid w:val="0"/>
          <w:kern w:val="28"/>
          <w:szCs w:val="22"/>
        </w:rPr>
        <w:t xml:space="preserve"> </w:t>
      </w:r>
      <w:r w:rsidR="0033796E">
        <w:rPr>
          <w:snapToGrid w:val="0"/>
          <w:kern w:val="28"/>
          <w:szCs w:val="22"/>
        </w:rPr>
        <w:t>Accordingly, there is insufficient time for the public to access and review this information before filing comments and repl</w:t>
      </w:r>
      <w:r w:rsidR="00A452EF">
        <w:rPr>
          <w:snapToGrid w:val="0"/>
          <w:kern w:val="28"/>
          <w:szCs w:val="22"/>
        </w:rPr>
        <w:t>y comments</w:t>
      </w:r>
      <w:r w:rsidR="0033796E">
        <w:rPr>
          <w:snapToGrid w:val="0"/>
          <w:kern w:val="28"/>
          <w:szCs w:val="22"/>
        </w:rPr>
        <w:t xml:space="preserve"> under the current deadlines, </w:t>
      </w:r>
      <w:r w:rsidR="000441FD" w:rsidRPr="000441FD">
        <w:rPr>
          <w:snapToGrid w:val="0"/>
          <w:kern w:val="28"/>
          <w:szCs w:val="22"/>
        </w:rPr>
        <w:t>April 6, 2015 and May 18, 2015, respectively</w:t>
      </w:r>
      <w:r w:rsidR="000441FD">
        <w:rPr>
          <w:snapToGrid w:val="0"/>
          <w:kern w:val="28"/>
          <w:szCs w:val="22"/>
        </w:rPr>
        <w:t>.</w:t>
      </w:r>
      <w:r w:rsidR="000441FD">
        <w:rPr>
          <w:rStyle w:val="FootnoteReference"/>
          <w:snapToGrid w:val="0"/>
          <w:kern w:val="28"/>
          <w:szCs w:val="22"/>
        </w:rPr>
        <w:footnoteReference w:id="7"/>
      </w:r>
      <w:r w:rsidR="000441FD">
        <w:rPr>
          <w:snapToGrid w:val="0"/>
          <w:kern w:val="28"/>
          <w:szCs w:val="22"/>
        </w:rPr>
        <w:t xml:space="preserve">  </w:t>
      </w:r>
      <w:r w:rsidR="0033796E">
        <w:rPr>
          <w:snapToGrid w:val="0"/>
          <w:kern w:val="28"/>
          <w:szCs w:val="22"/>
        </w:rPr>
        <w:t xml:space="preserve">The Bureau therefore </w:t>
      </w:r>
      <w:r w:rsidR="00F6202C" w:rsidRPr="00F6202C">
        <w:t>extend</w:t>
      </w:r>
      <w:r w:rsidR="0033796E">
        <w:t>s</w:t>
      </w:r>
      <w:r w:rsidR="00F6202C" w:rsidRPr="00F6202C">
        <w:t xml:space="preserve"> the deadline</w:t>
      </w:r>
      <w:r w:rsidR="008313E6">
        <w:t>s</w:t>
      </w:r>
      <w:r w:rsidR="00F6202C" w:rsidRPr="00F6202C">
        <w:t xml:space="preserve"> for filing comments and reply comments.</w:t>
      </w:r>
      <w:r w:rsidR="00F6202C" w:rsidRPr="00F6202C">
        <w:rPr>
          <w:vertAlign w:val="superscript"/>
        </w:rPr>
        <w:footnoteReference w:id="8"/>
      </w:r>
      <w:r w:rsidR="00F6202C" w:rsidRPr="00F6202C">
        <w:t xml:space="preserve">  </w:t>
      </w:r>
      <w:r w:rsidR="0033796E">
        <w:t>C</w:t>
      </w:r>
      <w:r w:rsidR="00F6202C" w:rsidRPr="00F6202C">
        <w:t>omment</w:t>
      </w:r>
      <w:r w:rsidR="0033796E">
        <w:t>s are now due</w:t>
      </w:r>
      <w:r w:rsidR="00F6202C" w:rsidRPr="00F6202C">
        <w:t xml:space="preserve"> </w:t>
      </w:r>
      <w:r w:rsidR="0033796E">
        <w:t xml:space="preserve">by </w:t>
      </w:r>
      <w:r w:rsidR="001660E5">
        <w:t>July 1</w:t>
      </w:r>
      <w:r w:rsidR="008935B7">
        <w:t>, 2015</w:t>
      </w:r>
      <w:r w:rsidR="00D17814">
        <w:t xml:space="preserve">, and </w:t>
      </w:r>
      <w:r w:rsidR="0062541A">
        <w:t>repl</w:t>
      </w:r>
      <w:r w:rsidR="00A452EF">
        <w:t>y comments</w:t>
      </w:r>
      <w:r w:rsidR="0033796E">
        <w:t xml:space="preserve"> are due by </w:t>
      </w:r>
      <w:r w:rsidR="001660E5">
        <w:t>July 22</w:t>
      </w:r>
      <w:r w:rsidR="008935B7">
        <w:t>, 2015</w:t>
      </w:r>
      <w:r w:rsidR="00F6202C" w:rsidRPr="00F6202C">
        <w:t xml:space="preserve">. </w:t>
      </w:r>
    </w:p>
    <w:p w:rsidR="00F6202C" w:rsidRPr="00F6202C" w:rsidRDefault="00F6202C" w:rsidP="00F6202C">
      <w:pPr>
        <w:ind w:firstLine="720"/>
        <w:outlineLvl w:val="0"/>
      </w:pPr>
    </w:p>
    <w:p w:rsidR="00F6202C" w:rsidRPr="00F6202C" w:rsidRDefault="00F6202C" w:rsidP="00F6202C">
      <w:pPr>
        <w:ind w:firstLine="720"/>
        <w:outlineLvl w:val="0"/>
        <w:rPr>
          <w:szCs w:val="22"/>
        </w:rPr>
      </w:pPr>
      <w:r w:rsidRPr="00F6202C">
        <w:rPr>
          <w:szCs w:val="22"/>
        </w:rPr>
        <w:t xml:space="preserve">For further information regarding this proceeding, </w:t>
      </w:r>
      <w:r w:rsidR="00297F60">
        <w:rPr>
          <w:szCs w:val="22"/>
        </w:rPr>
        <w:t xml:space="preserve">please </w:t>
      </w:r>
      <w:r w:rsidRPr="00F6202C">
        <w:rPr>
          <w:szCs w:val="22"/>
        </w:rPr>
        <w:t>contact Christopher Koves of the Pricing Policy Division, Wireline Competition Bureau</w:t>
      </w:r>
      <w:r>
        <w:rPr>
          <w:szCs w:val="22"/>
        </w:rPr>
        <w:t xml:space="preserve">, </w:t>
      </w:r>
      <w:r w:rsidR="00A452EF">
        <w:rPr>
          <w:szCs w:val="22"/>
        </w:rPr>
        <w:t xml:space="preserve">at </w:t>
      </w:r>
      <w:r>
        <w:rPr>
          <w:szCs w:val="22"/>
        </w:rPr>
        <w:t>(202) 418-8209 or at Christopher.K</w:t>
      </w:r>
      <w:r w:rsidRPr="00F6202C">
        <w:rPr>
          <w:szCs w:val="22"/>
        </w:rPr>
        <w:t xml:space="preserve">oves@fcc.gov. </w:t>
      </w:r>
    </w:p>
    <w:p w:rsidR="00F6202C" w:rsidRPr="00F6202C" w:rsidRDefault="00F6202C" w:rsidP="00F6202C">
      <w:pPr>
        <w:ind w:firstLine="720"/>
        <w:outlineLvl w:val="0"/>
      </w:pPr>
    </w:p>
    <w:p w:rsidR="00F6202C" w:rsidRPr="00F6202C" w:rsidRDefault="00F6202C" w:rsidP="00F6202C">
      <w:pPr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 w:rsidRPr="00F6202C">
        <w:rPr>
          <w:b/>
          <w:sz w:val="24"/>
          <w:szCs w:val="24"/>
        </w:rPr>
        <w:t>- FCC -</w:t>
      </w:r>
    </w:p>
    <w:p w:rsidR="00602577" w:rsidRDefault="00602577">
      <w:pPr>
        <w:spacing w:before="120" w:after="240"/>
        <w:rPr>
          <w:sz w:val="24"/>
        </w:rPr>
      </w:pP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70" w:rsidRDefault="00F62070">
      <w:r>
        <w:separator/>
      </w:r>
    </w:p>
  </w:endnote>
  <w:endnote w:type="continuationSeparator" w:id="0">
    <w:p w:rsidR="00F62070" w:rsidRDefault="00F6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A1" w:rsidRDefault="00B70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823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C57" w:rsidRDefault="00292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3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C57" w:rsidRDefault="00292C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57" w:rsidRDefault="00292C57">
    <w:pPr>
      <w:pStyle w:val="Footer"/>
      <w:jc w:val="center"/>
    </w:pPr>
  </w:p>
  <w:p w:rsidR="00292C57" w:rsidRDefault="00292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70" w:rsidRDefault="00F62070">
      <w:r>
        <w:separator/>
      </w:r>
    </w:p>
  </w:footnote>
  <w:footnote w:type="continuationSeparator" w:id="0">
    <w:p w:rsidR="00F62070" w:rsidRDefault="00F62070">
      <w:r>
        <w:continuationSeparator/>
      </w:r>
    </w:p>
  </w:footnote>
  <w:footnote w:id="1">
    <w:p w:rsidR="001E455C" w:rsidRPr="006E61CA" w:rsidRDefault="001E455C" w:rsidP="00806BDC">
      <w:pPr>
        <w:pStyle w:val="FootnoteText"/>
        <w:spacing w:after="120"/>
        <w:rPr>
          <w:sz w:val="20"/>
        </w:rPr>
      </w:pPr>
      <w:r w:rsidRPr="00A11E3C">
        <w:rPr>
          <w:rStyle w:val="FootnoteReference"/>
          <w:sz w:val="20"/>
        </w:rPr>
        <w:footnoteRef/>
      </w:r>
      <w:r w:rsidRPr="00A11E3C">
        <w:rPr>
          <w:sz w:val="20"/>
        </w:rPr>
        <w:t xml:space="preserve"> </w:t>
      </w:r>
      <w:r w:rsidRPr="00A11E3C">
        <w:rPr>
          <w:i/>
          <w:sz w:val="20"/>
        </w:rPr>
        <w:t>See Special Access for Price Cap Local Exchange Carriers; AT&amp;T Corporation Petition for Rulemaking to Reform Regulation of Incumbent Local Exchange Carrier Rates for Interstate Special Access Services</w:t>
      </w:r>
      <w:r w:rsidRPr="00A11E3C">
        <w:rPr>
          <w:sz w:val="20"/>
        </w:rPr>
        <w:t>, WC Docket No. 05- 25, RM-10593, Order and Further Notice of Proposed Rulemaking, 27 FCC Rcd 16318 (2012) (</w:t>
      </w:r>
      <w:r w:rsidRPr="00A11E3C">
        <w:rPr>
          <w:i/>
          <w:sz w:val="20"/>
        </w:rPr>
        <w:t>Data Collection Order or Special Access FNPRM</w:t>
      </w:r>
      <w:r w:rsidRPr="00A11E3C">
        <w:rPr>
          <w:sz w:val="20"/>
        </w:rPr>
        <w:t>); Report and Order, 28 FCC Rcd 13189 (Wireline Comp. Bur. 2013); Order on Reconsideration, 29 FCC Rcd 10899 (Wireline Comp. Bur. 2014)</w:t>
      </w:r>
      <w:r w:rsidRPr="006E61CA">
        <w:rPr>
          <w:sz w:val="20"/>
        </w:rPr>
        <w:t>; Order, 29 FCC Rcd 14346 (Wireline Comp. Bur. 2014) (</w:t>
      </w:r>
      <w:r w:rsidRPr="006E61CA">
        <w:rPr>
          <w:i/>
          <w:sz w:val="20"/>
        </w:rPr>
        <w:t>Extension Order</w:t>
      </w:r>
      <w:r w:rsidR="000A3A50">
        <w:rPr>
          <w:sz w:val="20"/>
        </w:rPr>
        <w:t>)</w:t>
      </w:r>
      <w:r w:rsidRPr="006E61CA">
        <w:rPr>
          <w:sz w:val="20"/>
        </w:rPr>
        <w:t>.</w:t>
      </w:r>
    </w:p>
  </w:footnote>
  <w:footnote w:id="2">
    <w:p w:rsidR="00F6202C" w:rsidRPr="006E61CA" w:rsidRDefault="00F6202C" w:rsidP="00F6202C">
      <w:pPr>
        <w:pStyle w:val="FootnoteText"/>
        <w:spacing w:after="120"/>
        <w:rPr>
          <w:sz w:val="20"/>
        </w:rPr>
      </w:pPr>
      <w:r w:rsidRPr="006E61CA">
        <w:rPr>
          <w:rStyle w:val="FootnoteReference"/>
          <w:sz w:val="20"/>
        </w:rPr>
        <w:footnoteRef/>
      </w:r>
      <w:r w:rsidRPr="006E61CA">
        <w:rPr>
          <w:sz w:val="20"/>
        </w:rPr>
        <w:t xml:space="preserve"> </w:t>
      </w:r>
      <w:r w:rsidRPr="006E61CA">
        <w:rPr>
          <w:i/>
          <w:sz w:val="20"/>
        </w:rPr>
        <w:t xml:space="preserve">See </w:t>
      </w:r>
      <w:r w:rsidR="00D87F42" w:rsidRPr="006E61CA">
        <w:rPr>
          <w:i/>
          <w:sz w:val="20"/>
        </w:rPr>
        <w:t>Data Collection Order,</w:t>
      </w:r>
      <w:r w:rsidR="00D87F42" w:rsidRPr="006E61CA" w:rsidDel="00D87F42">
        <w:rPr>
          <w:i/>
          <w:sz w:val="20"/>
        </w:rPr>
        <w:t xml:space="preserve"> </w:t>
      </w:r>
      <w:r w:rsidRPr="006E61CA">
        <w:rPr>
          <w:sz w:val="20"/>
        </w:rPr>
        <w:t xml:space="preserve">27 FCC Rcd </w:t>
      </w:r>
      <w:r w:rsidR="0089532B" w:rsidRPr="006E61CA">
        <w:rPr>
          <w:sz w:val="20"/>
        </w:rPr>
        <w:t xml:space="preserve">at </w:t>
      </w:r>
      <w:r w:rsidRPr="006E61CA">
        <w:rPr>
          <w:sz w:val="20"/>
        </w:rPr>
        <w:t>163</w:t>
      </w:r>
      <w:r w:rsidR="0095734C" w:rsidRPr="006E61CA">
        <w:rPr>
          <w:sz w:val="20"/>
        </w:rPr>
        <w:t>40, para. 52</w:t>
      </w:r>
      <w:r w:rsidR="00D87F42" w:rsidRPr="006E61CA">
        <w:rPr>
          <w:sz w:val="20"/>
        </w:rPr>
        <w:t>.</w:t>
      </w:r>
    </w:p>
  </w:footnote>
  <w:footnote w:id="3">
    <w:p w:rsidR="00F6202C" w:rsidRPr="006E61CA" w:rsidRDefault="00F6202C" w:rsidP="00F6202C">
      <w:pPr>
        <w:pStyle w:val="FootnoteText"/>
        <w:spacing w:after="120"/>
        <w:rPr>
          <w:b/>
          <w:sz w:val="20"/>
        </w:rPr>
      </w:pPr>
      <w:r w:rsidRPr="006E61CA">
        <w:rPr>
          <w:rStyle w:val="FootnoteReference"/>
          <w:sz w:val="20"/>
        </w:rPr>
        <w:footnoteRef/>
      </w:r>
      <w:r w:rsidRPr="006E61CA">
        <w:rPr>
          <w:sz w:val="20"/>
        </w:rPr>
        <w:t xml:space="preserve"> </w:t>
      </w:r>
      <w:r w:rsidR="00A21FC3" w:rsidRPr="006E61CA">
        <w:rPr>
          <w:i/>
          <w:sz w:val="20"/>
        </w:rPr>
        <w:t>Id.</w:t>
      </w:r>
      <w:r w:rsidR="003B5081" w:rsidRPr="006E61CA">
        <w:rPr>
          <w:sz w:val="20"/>
        </w:rPr>
        <w:t xml:space="preserve"> </w:t>
      </w:r>
      <w:r w:rsidRPr="006E61CA">
        <w:rPr>
          <w:sz w:val="20"/>
        </w:rPr>
        <w:t>at 16352</w:t>
      </w:r>
      <w:r w:rsidR="000B155F" w:rsidRPr="006E61CA">
        <w:rPr>
          <w:sz w:val="20"/>
        </w:rPr>
        <w:t>-54</w:t>
      </w:r>
      <w:r w:rsidRPr="006E61CA">
        <w:rPr>
          <w:sz w:val="20"/>
        </w:rPr>
        <w:t>, para</w:t>
      </w:r>
      <w:r w:rsidR="000B155F" w:rsidRPr="006E61CA">
        <w:rPr>
          <w:sz w:val="20"/>
        </w:rPr>
        <w:t>s</w:t>
      </w:r>
      <w:r w:rsidRPr="006E61CA">
        <w:rPr>
          <w:sz w:val="20"/>
        </w:rPr>
        <w:t>. 80</w:t>
      </w:r>
      <w:r w:rsidR="000B155F" w:rsidRPr="006E61CA">
        <w:rPr>
          <w:sz w:val="20"/>
        </w:rPr>
        <w:t>-90</w:t>
      </w:r>
      <w:r w:rsidRPr="006E61CA">
        <w:rPr>
          <w:sz w:val="20"/>
        </w:rPr>
        <w:t xml:space="preserve">.  </w:t>
      </w:r>
    </w:p>
  </w:footnote>
  <w:footnote w:id="4">
    <w:p w:rsidR="00F6202C" w:rsidRPr="006E61CA" w:rsidRDefault="00F6202C" w:rsidP="00F6202C">
      <w:pPr>
        <w:pStyle w:val="FootnoteText"/>
        <w:spacing w:after="120"/>
        <w:rPr>
          <w:sz w:val="20"/>
        </w:rPr>
      </w:pPr>
      <w:r w:rsidRPr="006E61CA">
        <w:rPr>
          <w:rStyle w:val="FootnoteReference"/>
          <w:sz w:val="20"/>
        </w:rPr>
        <w:footnoteRef/>
      </w:r>
      <w:r w:rsidRPr="006E61CA">
        <w:rPr>
          <w:sz w:val="20"/>
        </w:rPr>
        <w:t xml:space="preserve"> </w:t>
      </w:r>
      <w:r w:rsidRPr="006E61CA">
        <w:rPr>
          <w:i/>
          <w:sz w:val="20"/>
        </w:rPr>
        <w:t>Id</w:t>
      </w:r>
      <w:r w:rsidRPr="006E61CA">
        <w:rPr>
          <w:sz w:val="20"/>
        </w:rPr>
        <w:t>.</w:t>
      </w:r>
      <w:r w:rsidR="00F251FD" w:rsidRPr="006E61CA">
        <w:rPr>
          <w:sz w:val="20"/>
        </w:rPr>
        <w:t xml:space="preserve"> at 16359, para. 104.</w:t>
      </w:r>
    </w:p>
  </w:footnote>
  <w:footnote w:id="5">
    <w:p w:rsidR="000441FD" w:rsidRPr="006E61CA" w:rsidRDefault="000441FD" w:rsidP="00806BDC">
      <w:pPr>
        <w:pStyle w:val="FootnoteText"/>
        <w:spacing w:after="120"/>
        <w:rPr>
          <w:sz w:val="20"/>
        </w:rPr>
      </w:pPr>
      <w:r w:rsidRPr="006E61CA">
        <w:rPr>
          <w:rStyle w:val="FootnoteReference"/>
          <w:sz w:val="20"/>
        </w:rPr>
        <w:footnoteRef/>
      </w:r>
      <w:r w:rsidRPr="006E61CA">
        <w:rPr>
          <w:sz w:val="20"/>
        </w:rPr>
        <w:t xml:space="preserve"> </w:t>
      </w:r>
      <w:r w:rsidR="00A452EF" w:rsidRPr="006E61CA">
        <w:rPr>
          <w:i/>
          <w:sz w:val="20"/>
        </w:rPr>
        <w:t xml:space="preserve">See </w:t>
      </w:r>
      <w:r w:rsidRPr="00A11E3C">
        <w:rPr>
          <w:i/>
          <w:sz w:val="20"/>
        </w:rPr>
        <w:t>Extension Order</w:t>
      </w:r>
      <w:r w:rsidRPr="006E61CA">
        <w:rPr>
          <w:sz w:val="20"/>
        </w:rPr>
        <w:t>.</w:t>
      </w:r>
    </w:p>
  </w:footnote>
  <w:footnote w:id="6">
    <w:p w:rsidR="00ED33C2" w:rsidRPr="006E61CA" w:rsidRDefault="00ED33C2" w:rsidP="00806BDC">
      <w:pPr>
        <w:pStyle w:val="FootnoteText"/>
        <w:spacing w:after="120"/>
        <w:rPr>
          <w:sz w:val="20"/>
        </w:rPr>
      </w:pPr>
      <w:r w:rsidRPr="00A11E3C">
        <w:rPr>
          <w:rStyle w:val="FootnoteReference"/>
          <w:sz w:val="20"/>
        </w:rPr>
        <w:footnoteRef/>
      </w:r>
      <w:r w:rsidRPr="006E61CA">
        <w:rPr>
          <w:sz w:val="20"/>
        </w:rPr>
        <w:t xml:space="preserve"> </w:t>
      </w:r>
      <w:r w:rsidR="00C872A0" w:rsidRPr="006E61CA">
        <w:rPr>
          <w:i/>
          <w:sz w:val="20"/>
        </w:rPr>
        <w:t>Special Access for Price Cap Local Exchange Carriers; AT&amp;T Corporation Petition for Rulemaking to Reform Regulation of Incumbent Local Exchange Carrier Rates for Interstate Special Access Services</w:t>
      </w:r>
      <w:r w:rsidR="00C872A0" w:rsidRPr="006E61CA">
        <w:rPr>
          <w:sz w:val="20"/>
        </w:rPr>
        <w:t>, WC Docket No. 05- 25, RM-10593, Order and Data Collection Protective Order, 29 FCC Rcd 11657</w:t>
      </w:r>
      <w:r w:rsidR="000C5EC2" w:rsidRPr="006E61CA">
        <w:rPr>
          <w:sz w:val="20"/>
        </w:rPr>
        <w:t xml:space="preserve"> </w:t>
      </w:r>
      <w:r w:rsidR="00C872A0" w:rsidRPr="006E61CA">
        <w:rPr>
          <w:sz w:val="20"/>
        </w:rPr>
        <w:t>(Wireline Comp. Bur. 2014).</w:t>
      </w:r>
    </w:p>
  </w:footnote>
  <w:footnote w:id="7">
    <w:p w:rsidR="000441FD" w:rsidRPr="006E61CA" w:rsidRDefault="000441FD" w:rsidP="00806BDC">
      <w:pPr>
        <w:pStyle w:val="FootnoteText"/>
        <w:spacing w:after="120"/>
        <w:rPr>
          <w:sz w:val="20"/>
        </w:rPr>
      </w:pPr>
      <w:r w:rsidRPr="006E61CA">
        <w:rPr>
          <w:rStyle w:val="FootnoteReference"/>
          <w:sz w:val="20"/>
        </w:rPr>
        <w:footnoteRef/>
      </w:r>
      <w:r w:rsidRPr="006E61CA">
        <w:rPr>
          <w:sz w:val="20"/>
        </w:rPr>
        <w:t xml:space="preserve"> </w:t>
      </w:r>
      <w:r w:rsidRPr="006E61CA">
        <w:rPr>
          <w:i/>
          <w:sz w:val="20"/>
        </w:rPr>
        <w:t>Comment Deadlines Extended in Special Access Proceeding</w:t>
      </w:r>
      <w:r w:rsidRPr="006E61CA">
        <w:rPr>
          <w:sz w:val="20"/>
        </w:rPr>
        <w:t xml:space="preserve">, WC Docket No. 05-25, RM-10593, Public Notice, 29 FCC Rcd 11015 (Wireline Comp. Bur. 2014).  </w:t>
      </w:r>
    </w:p>
  </w:footnote>
  <w:footnote w:id="8">
    <w:p w:rsidR="00F6202C" w:rsidRPr="006E61CA" w:rsidRDefault="00F6202C" w:rsidP="00F6202C">
      <w:pPr>
        <w:pStyle w:val="FootnoteText"/>
        <w:spacing w:after="120"/>
        <w:rPr>
          <w:sz w:val="20"/>
        </w:rPr>
      </w:pPr>
      <w:r w:rsidRPr="006E61CA">
        <w:rPr>
          <w:rStyle w:val="FootnoteReference"/>
          <w:sz w:val="20"/>
        </w:rPr>
        <w:footnoteRef/>
      </w:r>
      <w:r w:rsidRPr="006E61CA">
        <w:rPr>
          <w:sz w:val="20"/>
        </w:rPr>
        <w:t xml:space="preserve"> 47 C.F.R. §</w:t>
      </w:r>
      <w:r w:rsidR="00F50B70" w:rsidRPr="006E61CA">
        <w:rPr>
          <w:sz w:val="20"/>
        </w:rPr>
        <w:t>§</w:t>
      </w:r>
      <w:r w:rsidRPr="006E61CA">
        <w:rPr>
          <w:sz w:val="20"/>
        </w:rPr>
        <w:t xml:space="preserve"> 0.91(m</w:t>
      </w:r>
      <w:r w:rsidR="00F50B70" w:rsidRPr="006E61CA">
        <w:rPr>
          <w:sz w:val="20"/>
        </w:rPr>
        <w:t>), 1.415</w:t>
      </w:r>
      <w:r w:rsidR="00DF2DEC" w:rsidRPr="006E61CA">
        <w:rPr>
          <w:sz w:val="20"/>
        </w:rPr>
        <w:t>.</w:t>
      </w:r>
      <w:r w:rsidR="00AF559A" w:rsidRPr="006E61CA">
        <w:rPr>
          <w:sz w:val="2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A1" w:rsidRDefault="00B70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A1" w:rsidRDefault="00B703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98573B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4059A292" wp14:editId="49BEA43D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98573B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AF92E6" wp14:editId="37A35A1F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0C52591" wp14:editId="763ED808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F29920" wp14:editId="6CE941F4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9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BF"/>
    <w:rsid w:val="00002A48"/>
    <w:rsid w:val="00021910"/>
    <w:rsid w:val="000265AE"/>
    <w:rsid w:val="000441FD"/>
    <w:rsid w:val="00073F39"/>
    <w:rsid w:val="0008407F"/>
    <w:rsid w:val="000A3A50"/>
    <w:rsid w:val="000B155F"/>
    <w:rsid w:val="000B5DE0"/>
    <w:rsid w:val="000C5EC2"/>
    <w:rsid w:val="00133F1A"/>
    <w:rsid w:val="00153AA5"/>
    <w:rsid w:val="0016324A"/>
    <w:rsid w:val="001660E5"/>
    <w:rsid w:val="001A5C66"/>
    <w:rsid w:val="001C46CA"/>
    <w:rsid w:val="001D7595"/>
    <w:rsid w:val="001E455C"/>
    <w:rsid w:val="0020171B"/>
    <w:rsid w:val="00220229"/>
    <w:rsid w:val="00243E77"/>
    <w:rsid w:val="0026608E"/>
    <w:rsid w:val="00276498"/>
    <w:rsid w:val="00292C57"/>
    <w:rsid w:val="00297F60"/>
    <w:rsid w:val="002A59E8"/>
    <w:rsid w:val="002D54FB"/>
    <w:rsid w:val="002E62B4"/>
    <w:rsid w:val="00303264"/>
    <w:rsid w:val="0033796E"/>
    <w:rsid w:val="00366432"/>
    <w:rsid w:val="00390C28"/>
    <w:rsid w:val="00395C24"/>
    <w:rsid w:val="003A2294"/>
    <w:rsid w:val="003B470A"/>
    <w:rsid w:val="003B5081"/>
    <w:rsid w:val="0041729B"/>
    <w:rsid w:val="00421C31"/>
    <w:rsid w:val="00433F7F"/>
    <w:rsid w:val="004541BF"/>
    <w:rsid w:val="0047313C"/>
    <w:rsid w:val="00565960"/>
    <w:rsid w:val="005A5F6F"/>
    <w:rsid w:val="00602577"/>
    <w:rsid w:val="00602C40"/>
    <w:rsid w:val="00603494"/>
    <w:rsid w:val="0062541A"/>
    <w:rsid w:val="0063315A"/>
    <w:rsid w:val="00676ED8"/>
    <w:rsid w:val="0069444A"/>
    <w:rsid w:val="006E61CA"/>
    <w:rsid w:val="00710332"/>
    <w:rsid w:val="007107E1"/>
    <w:rsid w:val="00746F27"/>
    <w:rsid w:val="00751F9C"/>
    <w:rsid w:val="00776629"/>
    <w:rsid w:val="00786F5E"/>
    <w:rsid w:val="0079059A"/>
    <w:rsid w:val="007A0F32"/>
    <w:rsid w:val="007A21EB"/>
    <w:rsid w:val="007A7376"/>
    <w:rsid w:val="00803139"/>
    <w:rsid w:val="00803401"/>
    <w:rsid w:val="00806BDC"/>
    <w:rsid w:val="008313E6"/>
    <w:rsid w:val="00853B95"/>
    <w:rsid w:val="0086000E"/>
    <w:rsid w:val="008935B7"/>
    <w:rsid w:val="00893DED"/>
    <w:rsid w:val="0089532B"/>
    <w:rsid w:val="008A0316"/>
    <w:rsid w:val="008C6A9F"/>
    <w:rsid w:val="008D2986"/>
    <w:rsid w:val="0095734C"/>
    <w:rsid w:val="00957ED5"/>
    <w:rsid w:val="0098573B"/>
    <w:rsid w:val="009A2515"/>
    <w:rsid w:val="009A2F21"/>
    <w:rsid w:val="009A3004"/>
    <w:rsid w:val="00A0191C"/>
    <w:rsid w:val="00A11E3C"/>
    <w:rsid w:val="00A21F8D"/>
    <w:rsid w:val="00A21FC3"/>
    <w:rsid w:val="00A23B67"/>
    <w:rsid w:val="00A27651"/>
    <w:rsid w:val="00A452EF"/>
    <w:rsid w:val="00A718B3"/>
    <w:rsid w:val="00AC77DC"/>
    <w:rsid w:val="00AD2531"/>
    <w:rsid w:val="00AE1E5E"/>
    <w:rsid w:val="00AF161D"/>
    <w:rsid w:val="00AF559A"/>
    <w:rsid w:val="00B564E4"/>
    <w:rsid w:val="00B703A1"/>
    <w:rsid w:val="00B778DF"/>
    <w:rsid w:val="00B85BC1"/>
    <w:rsid w:val="00B95227"/>
    <w:rsid w:val="00BB1148"/>
    <w:rsid w:val="00BE671A"/>
    <w:rsid w:val="00C014EB"/>
    <w:rsid w:val="00C1661E"/>
    <w:rsid w:val="00C236BF"/>
    <w:rsid w:val="00C70A14"/>
    <w:rsid w:val="00C8271F"/>
    <w:rsid w:val="00C872A0"/>
    <w:rsid w:val="00C91471"/>
    <w:rsid w:val="00CA21E6"/>
    <w:rsid w:val="00CE4184"/>
    <w:rsid w:val="00CF700F"/>
    <w:rsid w:val="00D009AF"/>
    <w:rsid w:val="00D17814"/>
    <w:rsid w:val="00D17DC0"/>
    <w:rsid w:val="00D22C41"/>
    <w:rsid w:val="00D42C83"/>
    <w:rsid w:val="00D60EFF"/>
    <w:rsid w:val="00D73756"/>
    <w:rsid w:val="00D7610E"/>
    <w:rsid w:val="00D87F42"/>
    <w:rsid w:val="00DA209E"/>
    <w:rsid w:val="00DB4D6A"/>
    <w:rsid w:val="00DC1426"/>
    <w:rsid w:val="00DE18FD"/>
    <w:rsid w:val="00DE4564"/>
    <w:rsid w:val="00DF2DEC"/>
    <w:rsid w:val="00E01DEC"/>
    <w:rsid w:val="00E132AD"/>
    <w:rsid w:val="00E16955"/>
    <w:rsid w:val="00E24477"/>
    <w:rsid w:val="00E31C23"/>
    <w:rsid w:val="00E539E4"/>
    <w:rsid w:val="00E730DE"/>
    <w:rsid w:val="00ED33C2"/>
    <w:rsid w:val="00F13667"/>
    <w:rsid w:val="00F251FD"/>
    <w:rsid w:val="00F332B8"/>
    <w:rsid w:val="00F433D0"/>
    <w:rsid w:val="00F50B70"/>
    <w:rsid w:val="00F6202C"/>
    <w:rsid w:val="00F62070"/>
    <w:rsid w:val="00FA02A4"/>
    <w:rsid w:val="00FB0099"/>
    <w:rsid w:val="00FB550D"/>
    <w:rsid w:val="00FC37E2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aliases w:val="Appel note de bas de p,Style 12,(NECG) Footnote Reference,Style 124,Style 13,fr,o,Style 3,FR"/>
    <w:semiHidden/>
    <w:rPr>
      <w:vertAlign w:val="superscript"/>
    </w:rPr>
  </w:style>
  <w:style w:type="paragraph" w:styleId="FootnoteText">
    <w:name w:val="footnote text"/>
    <w:basedOn w:val="Normal"/>
    <w:link w:val="FootnoteTextChar"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Spacing">
    <w:name w:val="No Spacing"/>
    <w:uiPriority w:val="1"/>
    <w:qFormat/>
    <w:rsid w:val="0098573B"/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6202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92C57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2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F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F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aliases w:val="Appel note de bas de p,Style 12,(NECG) Footnote Reference,Style 124,Style 13,fr,o,Style 3,FR"/>
    <w:semiHidden/>
    <w:rPr>
      <w:vertAlign w:val="superscript"/>
    </w:rPr>
  </w:style>
  <w:style w:type="paragraph" w:styleId="FootnoteText">
    <w:name w:val="footnote text"/>
    <w:basedOn w:val="Normal"/>
    <w:link w:val="FootnoteTextChar"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Spacing">
    <w:name w:val="No Spacing"/>
    <w:uiPriority w:val="1"/>
    <w:qFormat/>
    <w:rsid w:val="0098573B"/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6202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92C57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2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F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F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328</Words>
  <Characters>1789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2118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2015-03-27T18:53:00Z</cp:lastPrinted>
  <dcterms:created xsi:type="dcterms:W3CDTF">2015-03-27T19:34:00Z</dcterms:created>
  <dcterms:modified xsi:type="dcterms:W3CDTF">2015-03-27T19:34:00Z</dcterms:modified>
  <cp:category> </cp:category>
  <cp:contentStatus> </cp:contentStatus>
</cp:coreProperties>
</file>