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21" w:rsidRDefault="00C92A21" w:rsidP="004B6A57">
      <w:pPr>
        <w:suppressAutoHyphens/>
        <w:rPr>
          <w:sz w:val="22"/>
          <w:szCs w:val="22"/>
        </w:rPr>
      </w:pPr>
      <w:bookmarkStart w:id="0" w:name="_GoBack"/>
      <w:bookmarkEnd w:id="0"/>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DA </w:t>
      </w:r>
      <w:r w:rsidR="00435DA5" w:rsidRPr="00435DA5">
        <w:rPr>
          <w:b/>
          <w:sz w:val="22"/>
          <w:szCs w:val="22"/>
        </w:rPr>
        <w:t>15-384</w:t>
      </w:r>
    </w:p>
    <w:p w:rsidR="00D42D97" w:rsidRDefault="00D42D97" w:rsidP="00C92A21">
      <w:pPr>
        <w:suppressAutoHyphens/>
        <w:ind w:left="5760" w:firstLine="720"/>
        <w:rPr>
          <w:sz w:val="22"/>
          <w:szCs w:val="22"/>
        </w:rPr>
      </w:pPr>
      <w:r>
        <w:rPr>
          <w:i/>
          <w:sz w:val="22"/>
          <w:szCs w:val="22"/>
        </w:rPr>
        <w:t>In Reply Refer To:</w:t>
      </w:r>
    </w:p>
    <w:p w:rsidR="00D42D97" w:rsidRDefault="00435DA5" w:rsidP="004B6A57">
      <w:pPr>
        <w:suppressAutoHyphen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42D97">
        <w:rPr>
          <w:sz w:val="22"/>
          <w:szCs w:val="22"/>
        </w:rPr>
        <w:t>1800B3-TH</w:t>
      </w:r>
    </w:p>
    <w:p w:rsidR="00435DA5" w:rsidRDefault="00435DA5" w:rsidP="00435DA5">
      <w:pPr>
        <w:jc w:val="cente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C92A21">
        <w:rPr>
          <w:sz w:val="22"/>
          <w:szCs w:val="22"/>
        </w:rPr>
        <w:t>Released:</w:t>
      </w:r>
      <w:r>
        <w:t>March 27, 2015</w:t>
      </w:r>
    </w:p>
    <w:p w:rsidR="00C92A21" w:rsidRPr="00D42D97" w:rsidRDefault="00C92A21" w:rsidP="004B6A57">
      <w:pPr>
        <w:suppressAutoHyphens/>
        <w:rPr>
          <w:sz w:val="22"/>
          <w:szCs w:val="22"/>
        </w:rPr>
      </w:pPr>
    </w:p>
    <w:p w:rsidR="00D42D97" w:rsidRDefault="00D42D97" w:rsidP="004B6A57">
      <w:pPr>
        <w:suppressAutoHyphens/>
        <w:rPr>
          <w:sz w:val="22"/>
          <w:szCs w:val="22"/>
        </w:rPr>
      </w:pPr>
    </w:p>
    <w:p w:rsidR="004A2068" w:rsidRDefault="00A013C8" w:rsidP="004B6A57">
      <w:pPr>
        <w:suppressAutoHyphens/>
        <w:rPr>
          <w:sz w:val="22"/>
          <w:szCs w:val="22"/>
        </w:rPr>
      </w:pPr>
      <w:r>
        <w:rPr>
          <w:sz w:val="22"/>
          <w:szCs w:val="22"/>
        </w:rPr>
        <w:t>Howard M. Liberman, Esq.</w:t>
      </w:r>
    </w:p>
    <w:p w:rsidR="00A013C8" w:rsidRDefault="00A013C8" w:rsidP="004B6A57">
      <w:pPr>
        <w:suppressAutoHyphens/>
        <w:rPr>
          <w:sz w:val="22"/>
          <w:szCs w:val="22"/>
        </w:rPr>
      </w:pPr>
      <w:r>
        <w:rPr>
          <w:sz w:val="22"/>
          <w:szCs w:val="22"/>
        </w:rPr>
        <w:t>Drinker Biddle &amp; Reath LLP</w:t>
      </w:r>
    </w:p>
    <w:p w:rsidR="00A013C8" w:rsidRDefault="00A013C8" w:rsidP="004B6A57">
      <w:pPr>
        <w:suppressAutoHyphens/>
        <w:rPr>
          <w:sz w:val="22"/>
          <w:szCs w:val="22"/>
        </w:rPr>
      </w:pPr>
      <w:r>
        <w:rPr>
          <w:sz w:val="22"/>
          <w:szCs w:val="22"/>
        </w:rPr>
        <w:t>1500 K Street, N.W.</w:t>
      </w:r>
    </w:p>
    <w:p w:rsidR="00A013C8" w:rsidRDefault="00A013C8" w:rsidP="004B6A57">
      <w:pPr>
        <w:suppressAutoHyphens/>
        <w:rPr>
          <w:sz w:val="22"/>
          <w:szCs w:val="22"/>
        </w:rPr>
      </w:pPr>
      <w:r>
        <w:rPr>
          <w:sz w:val="22"/>
          <w:szCs w:val="22"/>
        </w:rPr>
        <w:t>Suite 1100</w:t>
      </w:r>
    </w:p>
    <w:p w:rsidR="00A013C8" w:rsidRDefault="00A013C8" w:rsidP="004B6A57">
      <w:pPr>
        <w:suppressAutoHyphens/>
        <w:rPr>
          <w:sz w:val="22"/>
          <w:szCs w:val="22"/>
        </w:rPr>
      </w:pPr>
      <w:r>
        <w:rPr>
          <w:sz w:val="22"/>
          <w:szCs w:val="22"/>
        </w:rPr>
        <w:t>Washington, DC 20005-1209</w:t>
      </w:r>
    </w:p>
    <w:p w:rsidR="00A013C8" w:rsidRDefault="00A013C8" w:rsidP="004B6A57">
      <w:pPr>
        <w:suppressAutoHyphens/>
        <w:rPr>
          <w:sz w:val="22"/>
          <w:szCs w:val="22"/>
        </w:rPr>
      </w:pPr>
    </w:p>
    <w:p w:rsidR="00A013C8" w:rsidRDefault="00A013C8" w:rsidP="004B6A57">
      <w:pPr>
        <w:suppressAutoHyphens/>
        <w:rPr>
          <w:sz w:val="22"/>
          <w:szCs w:val="22"/>
        </w:rPr>
      </w:pPr>
      <w:r>
        <w:rPr>
          <w:sz w:val="22"/>
          <w:szCs w:val="22"/>
        </w:rPr>
        <w:t>Richard A. Helmick, Esq.</w:t>
      </w:r>
    </w:p>
    <w:p w:rsidR="00A013C8" w:rsidRDefault="00A013C8" w:rsidP="004B6A57">
      <w:pPr>
        <w:suppressAutoHyphens/>
        <w:rPr>
          <w:sz w:val="22"/>
          <w:szCs w:val="22"/>
        </w:rPr>
      </w:pPr>
      <w:r>
        <w:rPr>
          <w:sz w:val="22"/>
          <w:szCs w:val="22"/>
        </w:rPr>
        <w:t>Cohn and Marks LLP</w:t>
      </w:r>
    </w:p>
    <w:p w:rsidR="00A013C8" w:rsidRDefault="00A013C8" w:rsidP="004B6A57">
      <w:pPr>
        <w:suppressAutoHyphens/>
        <w:rPr>
          <w:sz w:val="22"/>
          <w:szCs w:val="22"/>
        </w:rPr>
      </w:pPr>
      <w:r>
        <w:rPr>
          <w:sz w:val="22"/>
          <w:szCs w:val="22"/>
        </w:rPr>
        <w:t>1920 N Street, N.W.</w:t>
      </w:r>
    </w:p>
    <w:p w:rsidR="00A013C8" w:rsidRDefault="00A013C8" w:rsidP="004B6A57">
      <w:pPr>
        <w:suppressAutoHyphens/>
        <w:rPr>
          <w:sz w:val="22"/>
          <w:szCs w:val="22"/>
        </w:rPr>
      </w:pPr>
      <w:r>
        <w:rPr>
          <w:sz w:val="22"/>
          <w:szCs w:val="22"/>
        </w:rPr>
        <w:t>Suite 300</w:t>
      </w:r>
    </w:p>
    <w:p w:rsidR="00C72965" w:rsidRDefault="00A013C8" w:rsidP="00A013C8">
      <w:pPr>
        <w:suppressAutoHyphens/>
        <w:rPr>
          <w:sz w:val="22"/>
          <w:szCs w:val="22"/>
        </w:rPr>
      </w:pPr>
      <w:r>
        <w:rPr>
          <w:sz w:val="22"/>
          <w:szCs w:val="22"/>
        </w:rPr>
        <w:t>Washington, DC 20036-1622</w:t>
      </w:r>
    </w:p>
    <w:p w:rsidR="00C72965" w:rsidRPr="004B6A57" w:rsidRDefault="00C72965" w:rsidP="004B6A57">
      <w:pPr>
        <w:suppressAutoHyphens/>
        <w:rPr>
          <w:sz w:val="22"/>
          <w:szCs w:val="22"/>
        </w:rPr>
      </w:pPr>
    </w:p>
    <w:p w:rsidR="00C14B7C" w:rsidRDefault="00C14B7C">
      <w:pPr>
        <w:rPr>
          <w:sz w:val="22"/>
          <w:szCs w:val="22"/>
        </w:rPr>
      </w:pPr>
    </w:p>
    <w:p w:rsidR="00CA1D8D" w:rsidRPr="00A013C8" w:rsidRDefault="00CA1D8D">
      <w:pPr>
        <w:rPr>
          <w:b/>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74AF0">
        <w:rPr>
          <w:sz w:val="22"/>
          <w:szCs w:val="22"/>
        </w:rPr>
        <w:t>In re:</w:t>
      </w:r>
      <w:r w:rsidRPr="00874AF0">
        <w:rPr>
          <w:sz w:val="22"/>
          <w:szCs w:val="22"/>
        </w:rPr>
        <w:tab/>
      </w:r>
      <w:r w:rsidR="00A013C8">
        <w:rPr>
          <w:b/>
          <w:sz w:val="22"/>
          <w:szCs w:val="22"/>
        </w:rPr>
        <w:t>KCRR(FM), Grundy Center, IA</w:t>
      </w:r>
    </w:p>
    <w:p w:rsidR="00A013C8" w:rsidRDefault="00CA1D8D">
      <w:pPr>
        <w:rPr>
          <w:sz w:val="22"/>
          <w:szCs w:val="22"/>
        </w:rPr>
      </w:pP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b/>
          <w:sz w:val="22"/>
          <w:szCs w:val="22"/>
        </w:rPr>
        <w:tab/>
      </w:r>
      <w:r w:rsidRPr="00874AF0">
        <w:rPr>
          <w:sz w:val="22"/>
          <w:szCs w:val="22"/>
        </w:rPr>
        <w:t>Facility ID No.</w:t>
      </w:r>
      <w:r w:rsidR="00A013C8">
        <w:rPr>
          <w:sz w:val="22"/>
          <w:szCs w:val="22"/>
        </w:rPr>
        <w:t xml:space="preserve"> 25471</w:t>
      </w:r>
    </w:p>
    <w:p w:rsidR="00A013C8" w:rsidRDefault="00A013C8">
      <w:pPr>
        <w:rPr>
          <w:sz w:val="22"/>
          <w:szCs w:val="22"/>
        </w:rPr>
      </w:pPr>
    </w:p>
    <w:p w:rsidR="00A013C8" w:rsidRDefault="00A013C8">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KKHQ-FM, Oelwein, IA</w:t>
      </w:r>
    </w:p>
    <w:p w:rsidR="00A013C8" w:rsidRDefault="00A013C8">
      <w:pPr>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Facility ID No. 28472</w:t>
      </w:r>
    </w:p>
    <w:p w:rsidR="00A013C8" w:rsidRDefault="00A013C8">
      <w:pPr>
        <w:rPr>
          <w:sz w:val="22"/>
          <w:szCs w:val="22"/>
        </w:rPr>
      </w:pPr>
    </w:p>
    <w:p w:rsidR="00A013C8" w:rsidRDefault="00A013C8">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013C8">
        <w:rPr>
          <w:b/>
          <w:sz w:val="22"/>
          <w:szCs w:val="22"/>
        </w:rPr>
        <w:t>KOEL-FM, Cedar Falls, IA</w:t>
      </w:r>
    </w:p>
    <w:p w:rsidR="00A013C8" w:rsidRDefault="00A013C8">
      <w:pPr>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Facility ID No. 66780</w:t>
      </w:r>
    </w:p>
    <w:p w:rsidR="00CA1D8D" w:rsidRPr="00A013C8" w:rsidRDefault="00CA1D8D">
      <w:pPr>
        <w:rPr>
          <w:b/>
          <w:sz w:val="22"/>
          <w:szCs w:val="22"/>
        </w:rPr>
      </w:pPr>
      <w:r w:rsidRPr="00A013C8">
        <w:rPr>
          <w:b/>
          <w:sz w:val="22"/>
          <w:szCs w:val="22"/>
        </w:rPr>
        <w:t xml:space="preserve"> </w:t>
      </w:r>
    </w:p>
    <w:p w:rsidR="00CA1D8D" w:rsidRDefault="00CA1D8D">
      <w:pPr>
        <w:rPr>
          <w:sz w:val="22"/>
          <w:szCs w:val="22"/>
        </w:rPr>
      </w:pP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sz w:val="22"/>
          <w:szCs w:val="22"/>
        </w:rPr>
        <w:t>File No. B</w:t>
      </w:r>
      <w:r w:rsidR="00EB1F7C">
        <w:rPr>
          <w:sz w:val="22"/>
          <w:szCs w:val="22"/>
        </w:rPr>
        <w:t>AL</w:t>
      </w:r>
      <w:r w:rsidR="00A013C8">
        <w:rPr>
          <w:sz w:val="22"/>
          <w:szCs w:val="22"/>
        </w:rPr>
        <w:t>H</w:t>
      </w:r>
      <w:r w:rsidR="00EB1F7C">
        <w:rPr>
          <w:sz w:val="22"/>
          <w:szCs w:val="22"/>
        </w:rPr>
        <w:t>-20</w:t>
      </w:r>
      <w:r w:rsidR="00C72965">
        <w:rPr>
          <w:sz w:val="22"/>
          <w:szCs w:val="22"/>
        </w:rPr>
        <w:t>1</w:t>
      </w:r>
      <w:r w:rsidR="00A013C8">
        <w:rPr>
          <w:sz w:val="22"/>
          <w:szCs w:val="22"/>
        </w:rPr>
        <w:t>40825ABD</w:t>
      </w:r>
    </w:p>
    <w:p w:rsidR="00C72965" w:rsidRDefault="00C72965" w:rsidP="00AA31FA">
      <w:pPr>
        <w:ind w:left="5760"/>
        <w:rPr>
          <w:b/>
          <w:sz w:val="22"/>
          <w:szCs w:val="22"/>
        </w:rPr>
      </w:pPr>
    </w:p>
    <w:p w:rsidR="00CA1D8D" w:rsidRDefault="00CA1D8D" w:rsidP="00AA31FA">
      <w:pPr>
        <w:ind w:left="5760"/>
        <w:rPr>
          <w:sz w:val="24"/>
          <w:szCs w:val="24"/>
        </w:rPr>
      </w:pPr>
      <w:r w:rsidRPr="00D658D7">
        <w:rPr>
          <w:b/>
          <w:sz w:val="22"/>
          <w:szCs w:val="22"/>
        </w:rPr>
        <w:t xml:space="preserve">Application for </w:t>
      </w:r>
      <w:r w:rsidR="00C72965">
        <w:rPr>
          <w:b/>
          <w:sz w:val="22"/>
          <w:szCs w:val="22"/>
        </w:rPr>
        <w:t xml:space="preserve">Consent to </w:t>
      </w:r>
      <w:r w:rsidR="00EB1F7C" w:rsidRPr="00D658D7">
        <w:rPr>
          <w:b/>
          <w:sz w:val="22"/>
          <w:szCs w:val="22"/>
        </w:rPr>
        <w:t>Assignment</w:t>
      </w:r>
      <w:r w:rsidRPr="00D658D7">
        <w:rPr>
          <w:b/>
          <w:sz w:val="22"/>
          <w:szCs w:val="22"/>
        </w:rPr>
        <w:t xml:space="preserve"> of</w:t>
      </w:r>
      <w:r w:rsidR="00047555">
        <w:rPr>
          <w:b/>
          <w:sz w:val="22"/>
          <w:szCs w:val="22"/>
        </w:rPr>
        <w:t xml:space="preserve"> </w:t>
      </w:r>
      <w:r w:rsidRPr="00D658D7">
        <w:rPr>
          <w:b/>
          <w:sz w:val="22"/>
          <w:szCs w:val="22"/>
        </w:rPr>
        <w:t>License</w:t>
      </w:r>
      <w:r w:rsidR="00A013C8">
        <w:rPr>
          <w:b/>
          <w:sz w:val="22"/>
          <w:szCs w:val="22"/>
        </w:rPr>
        <w:t>s</w:t>
      </w:r>
    </w:p>
    <w:p w:rsidR="00CA1D8D" w:rsidRPr="00FE3993" w:rsidRDefault="00CA1D8D">
      <w:pPr>
        <w:rPr>
          <w:b/>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A1D8D" w:rsidRPr="0026122F" w:rsidRDefault="00CA1D8D">
      <w:pPr>
        <w:rPr>
          <w:sz w:val="22"/>
          <w:szCs w:val="22"/>
        </w:rPr>
      </w:pPr>
    </w:p>
    <w:p w:rsidR="00813DB0" w:rsidRDefault="00CA1D8D" w:rsidP="00813DB0">
      <w:pPr>
        <w:rPr>
          <w:sz w:val="22"/>
          <w:szCs w:val="22"/>
        </w:rPr>
      </w:pPr>
      <w:r w:rsidRPr="0026122F">
        <w:rPr>
          <w:sz w:val="22"/>
          <w:szCs w:val="22"/>
        </w:rPr>
        <w:t xml:space="preserve">Dear </w:t>
      </w:r>
      <w:r w:rsidR="00872E50">
        <w:rPr>
          <w:sz w:val="22"/>
          <w:szCs w:val="22"/>
        </w:rPr>
        <w:t>Counsel</w:t>
      </w:r>
      <w:r w:rsidR="00047555">
        <w:rPr>
          <w:sz w:val="22"/>
          <w:szCs w:val="22"/>
        </w:rPr>
        <w:t>:</w:t>
      </w:r>
    </w:p>
    <w:p w:rsidR="00F52AC6" w:rsidRDefault="00F52AC6">
      <w:pPr>
        <w:rPr>
          <w:sz w:val="22"/>
          <w:szCs w:val="22"/>
        </w:rPr>
      </w:pPr>
    </w:p>
    <w:p w:rsidR="005A7DEE" w:rsidRDefault="00F52AC6" w:rsidP="00716289">
      <w:pPr>
        <w:ind w:right="-360" w:firstLine="720"/>
        <w:rPr>
          <w:sz w:val="22"/>
          <w:szCs w:val="22"/>
        </w:rPr>
      </w:pPr>
      <w:r w:rsidRPr="00E25D16">
        <w:rPr>
          <w:sz w:val="22"/>
          <w:szCs w:val="22"/>
        </w:rPr>
        <w:t xml:space="preserve">We have before us the </w:t>
      </w:r>
      <w:r w:rsidR="00A013C8">
        <w:rPr>
          <w:sz w:val="22"/>
          <w:szCs w:val="22"/>
        </w:rPr>
        <w:t>referenced</w:t>
      </w:r>
      <w:r w:rsidRPr="00E25D16">
        <w:rPr>
          <w:sz w:val="22"/>
          <w:szCs w:val="22"/>
        </w:rPr>
        <w:t xml:space="preserve"> application</w:t>
      </w:r>
      <w:r w:rsidR="00C72965">
        <w:rPr>
          <w:sz w:val="22"/>
          <w:szCs w:val="22"/>
        </w:rPr>
        <w:t xml:space="preserve"> (“Assignment Application”)</w:t>
      </w:r>
      <w:r w:rsidRPr="00E25D16">
        <w:rPr>
          <w:sz w:val="22"/>
          <w:szCs w:val="22"/>
        </w:rPr>
        <w:t xml:space="preserve"> </w:t>
      </w:r>
      <w:r w:rsidR="006E5A44">
        <w:rPr>
          <w:sz w:val="22"/>
          <w:szCs w:val="22"/>
        </w:rPr>
        <w:t>seeking approval for</w:t>
      </w:r>
      <w:r w:rsidR="00B04733">
        <w:rPr>
          <w:sz w:val="22"/>
          <w:szCs w:val="22"/>
        </w:rPr>
        <w:t xml:space="preserve"> </w:t>
      </w:r>
      <w:r w:rsidR="00C72965">
        <w:rPr>
          <w:sz w:val="22"/>
          <w:szCs w:val="22"/>
        </w:rPr>
        <w:t>a</w:t>
      </w:r>
      <w:r w:rsidR="006E5A44">
        <w:rPr>
          <w:sz w:val="22"/>
          <w:szCs w:val="22"/>
        </w:rPr>
        <w:t xml:space="preserve"> proposed assignment of </w:t>
      </w:r>
      <w:r w:rsidRPr="00E25D16">
        <w:rPr>
          <w:sz w:val="22"/>
          <w:szCs w:val="22"/>
        </w:rPr>
        <w:t>license</w:t>
      </w:r>
      <w:r w:rsidR="00A013C8">
        <w:rPr>
          <w:sz w:val="22"/>
          <w:szCs w:val="22"/>
        </w:rPr>
        <w:t>s</w:t>
      </w:r>
      <w:r w:rsidRPr="00E25D16">
        <w:rPr>
          <w:sz w:val="22"/>
          <w:szCs w:val="22"/>
        </w:rPr>
        <w:t xml:space="preserve"> </w:t>
      </w:r>
      <w:r w:rsidR="006E5A44">
        <w:rPr>
          <w:sz w:val="22"/>
          <w:szCs w:val="22"/>
        </w:rPr>
        <w:t>for</w:t>
      </w:r>
      <w:r w:rsidR="00A013C8">
        <w:rPr>
          <w:sz w:val="22"/>
          <w:szCs w:val="22"/>
        </w:rPr>
        <w:t xml:space="preserve"> radio stations KCRR(FM), Grundy Center, IA, KKHQ-FM, Oelwein, IA, and KOEL-FM, Cedar Falls, IA</w:t>
      </w:r>
      <w:r w:rsidR="00C72965">
        <w:rPr>
          <w:sz w:val="22"/>
          <w:szCs w:val="22"/>
        </w:rPr>
        <w:t xml:space="preserve"> (the “Station</w:t>
      </w:r>
      <w:r w:rsidR="00A26784">
        <w:rPr>
          <w:sz w:val="22"/>
          <w:szCs w:val="22"/>
        </w:rPr>
        <w:t>s</w:t>
      </w:r>
      <w:r w:rsidR="00C72965">
        <w:rPr>
          <w:sz w:val="22"/>
          <w:szCs w:val="22"/>
        </w:rPr>
        <w:t xml:space="preserve">”) from </w:t>
      </w:r>
      <w:r w:rsidR="00A013C8">
        <w:rPr>
          <w:sz w:val="22"/>
          <w:szCs w:val="22"/>
        </w:rPr>
        <w:t>The Cedar Rapids Divestiture Trust, Allen L. Blum, Trustee (“Licensee”) to Townsquare Media Waterloo License, LLC (“Townsquare”)</w:t>
      </w:r>
      <w:r w:rsidR="00716289">
        <w:rPr>
          <w:sz w:val="22"/>
          <w:szCs w:val="22"/>
        </w:rPr>
        <w:t>.</w:t>
      </w:r>
      <w:r w:rsidR="00F02B9F">
        <w:rPr>
          <w:sz w:val="22"/>
          <w:szCs w:val="22"/>
        </w:rPr>
        <w:t xml:space="preserve">  </w:t>
      </w:r>
      <w:r w:rsidR="002E10FA">
        <w:rPr>
          <w:sz w:val="22"/>
          <w:szCs w:val="22"/>
        </w:rPr>
        <w:t>F</w:t>
      </w:r>
      <w:r w:rsidRPr="00E25D16">
        <w:rPr>
          <w:sz w:val="22"/>
          <w:szCs w:val="22"/>
        </w:rPr>
        <w:t>or th</w:t>
      </w:r>
      <w:r w:rsidR="00664C4B">
        <w:rPr>
          <w:sz w:val="22"/>
          <w:szCs w:val="22"/>
        </w:rPr>
        <w:t>e</w:t>
      </w:r>
      <w:r w:rsidRPr="00E25D16">
        <w:rPr>
          <w:sz w:val="22"/>
          <w:szCs w:val="22"/>
        </w:rPr>
        <w:t xml:space="preserve"> reasons stated below, we </w:t>
      </w:r>
      <w:r w:rsidR="00DB4E70">
        <w:rPr>
          <w:sz w:val="22"/>
          <w:szCs w:val="22"/>
        </w:rPr>
        <w:t xml:space="preserve">dismiss the </w:t>
      </w:r>
      <w:r w:rsidR="005A7DEE">
        <w:rPr>
          <w:sz w:val="22"/>
          <w:szCs w:val="22"/>
        </w:rPr>
        <w:t>Assignment Application as inadvertently accepted for filing, pursuant to Section</w:t>
      </w:r>
      <w:r w:rsidR="002972B9">
        <w:rPr>
          <w:sz w:val="22"/>
          <w:szCs w:val="22"/>
        </w:rPr>
        <w:t>s 1.3 and</w:t>
      </w:r>
      <w:r w:rsidR="005A7DEE">
        <w:rPr>
          <w:sz w:val="22"/>
          <w:szCs w:val="22"/>
        </w:rPr>
        <w:t xml:space="preserve"> 73.3566(a) of the Commission’s Rules (the “Rules”).</w:t>
      </w:r>
      <w:r w:rsidR="005A7DEE">
        <w:rPr>
          <w:rStyle w:val="FootnoteReference"/>
          <w:sz w:val="22"/>
          <w:szCs w:val="22"/>
        </w:rPr>
        <w:footnoteReference w:id="2"/>
      </w:r>
    </w:p>
    <w:p w:rsidR="00F52AC6" w:rsidRDefault="005A7DEE" w:rsidP="00F52AC6">
      <w:pPr>
        <w:ind w:right="-360" w:firstLine="720"/>
        <w:rPr>
          <w:sz w:val="22"/>
          <w:szCs w:val="22"/>
        </w:rPr>
      </w:pPr>
      <w:r>
        <w:rPr>
          <w:sz w:val="22"/>
          <w:szCs w:val="22"/>
        </w:rPr>
        <w:lastRenderedPageBreak/>
        <w:t xml:space="preserve">  </w:t>
      </w:r>
      <w:r w:rsidR="00817E77">
        <w:rPr>
          <w:sz w:val="22"/>
          <w:szCs w:val="22"/>
        </w:rPr>
        <w:t xml:space="preserve">  </w:t>
      </w:r>
      <w:r w:rsidR="00D71CAF">
        <w:rPr>
          <w:sz w:val="22"/>
          <w:szCs w:val="22"/>
        </w:rPr>
        <w:t xml:space="preserve">  </w:t>
      </w:r>
      <w:r w:rsidR="00817E77">
        <w:rPr>
          <w:sz w:val="22"/>
          <w:szCs w:val="22"/>
        </w:rPr>
        <w:t xml:space="preserve">  </w:t>
      </w:r>
    </w:p>
    <w:p w:rsidR="008D1813" w:rsidRDefault="00DA79D6" w:rsidP="00D71CAF">
      <w:pPr>
        <w:rPr>
          <w:sz w:val="22"/>
          <w:szCs w:val="22"/>
        </w:rPr>
      </w:pPr>
      <w:r>
        <w:rPr>
          <w:sz w:val="22"/>
          <w:szCs w:val="22"/>
        </w:rPr>
        <w:tab/>
      </w:r>
      <w:r w:rsidRPr="009935B3">
        <w:rPr>
          <w:b/>
          <w:sz w:val="22"/>
          <w:szCs w:val="22"/>
        </w:rPr>
        <w:t>Background.</w:t>
      </w:r>
      <w:r w:rsidRPr="009935B3">
        <w:rPr>
          <w:sz w:val="22"/>
          <w:szCs w:val="22"/>
        </w:rPr>
        <w:t xml:space="preserve"> </w:t>
      </w:r>
      <w:r w:rsidR="006222C0">
        <w:rPr>
          <w:sz w:val="22"/>
          <w:szCs w:val="22"/>
        </w:rPr>
        <w:t xml:space="preserve"> </w:t>
      </w:r>
      <w:r w:rsidR="00613C03">
        <w:rPr>
          <w:sz w:val="22"/>
          <w:szCs w:val="22"/>
        </w:rPr>
        <w:t>From 1970 through the first half of 2012, Arbitron rated the Waterloo-Cedar Falls market as a separate radio market and the Stations were in that market.  Townsquare states that in 2012, the sole Arbitron subscriber in the market (Bahakel Communications) did not renew its Arbitron subscription and Arbitron then stopped treating the Waterloo-Cedar Falls market as a separate market.</w:t>
      </w:r>
      <w:r w:rsidR="008D1813">
        <w:rPr>
          <w:rStyle w:val="FootnoteReference"/>
          <w:sz w:val="22"/>
          <w:szCs w:val="22"/>
        </w:rPr>
        <w:footnoteReference w:id="3"/>
      </w:r>
      <w:r w:rsidR="00613C03">
        <w:rPr>
          <w:sz w:val="22"/>
          <w:szCs w:val="22"/>
        </w:rPr>
        <w:t xml:space="preserve">  </w:t>
      </w:r>
      <w:r w:rsidR="008D1813">
        <w:rPr>
          <w:sz w:val="22"/>
          <w:szCs w:val="22"/>
        </w:rPr>
        <w:t>From the Fall 2012 ratings period until the Spring 2014 ratings period</w:t>
      </w:r>
      <w:r w:rsidR="00613C03">
        <w:rPr>
          <w:sz w:val="22"/>
          <w:szCs w:val="22"/>
        </w:rPr>
        <w:t xml:space="preserve">, </w:t>
      </w:r>
      <w:r w:rsidR="008D1813">
        <w:rPr>
          <w:sz w:val="22"/>
          <w:szCs w:val="22"/>
        </w:rPr>
        <w:t xml:space="preserve">Arbitron classified </w:t>
      </w:r>
      <w:r w:rsidR="00613C03">
        <w:rPr>
          <w:sz w:val="22"/>
          <w:szCs w:val="22"/>
        </w:rPr>
        <w:t xml:space="preserve">the Stations as “home” to the </w:t>
      </w:r>
      <w:r w:rsidR="008D1813">
        <w:rPr>
          <w:sz w:val="22"/>
          <w:szCs w:val="22"/>
        </w:rPr>
        <w:t>Cedar Rapids radio market.  During this period, Townsquare consummated transaction</w:t>
      </w:r>
      <w:r w:rsidR="003E1721">
        <w:rPr>
          <w:sz w:val="22"/>
          <w:szCs w:val="22"/>
        </w:rPr>
        <w:t>s</w:t>
      </w:r>
      <w:r w:rsidR="008D1813">
        <w:rPr>
          <w:sz w:val="22"/>
          <w:szCs w:val="22"/>
        </w:rPr>
        <w:t xml:space="preserve"> with Cumulus Media, Inc.</w:t>
      </w:r>
      <w:r w:rsidR="003E1721">
        <w:rPr>
          <w:sz w:val="22"/>
          <w:szCs w:val="22"/>
        </w:rPr>
        <w:t xml:space="preserve"> and Peak II Holding, LLC</w:t>
      </w:r>
      <w:r w:rsidR="008D1813">
        <w:rPr>
          <w:sz w:val="22"/>
          <w:szCs w:val="22"/>
        </w:rPr>
        <w:t xml:space="preserve"> to acquire 71 stations in 15 markets, including the Stations and four other stations that were either in the Cedar Rapids radio market or classified by Arbitron as “home” to that market.  In order to comply with Section 73.3555(a) of the Commission’s rules</w:t>
      </w:r>
      <w:r w:rsidR="003E1721">
        <w:rPr>
          <w:sz w:val="22"/>
          <w:szCs w:val="22"/>
        </w:rPr>
        <w:t xml:space="preserve"> (the “Local Radio Ownership Rule”)</w:t>
      </w:r>
      <w:r w:rsidR="008D1813">
        <w:rPr>
          <w:sz w:val="22"/>
          <w:szCs w:val="22"/>
        </w:rPr>
        <w:t xml:space="preserve">, Townsquare placed the Stations in a </w:t>
      </w:r>
      <w:r w:rsidR="00A26784">
        <w:rPr>
          <w:sz w:val="22"/>
          <w:szCs w:val="22"/>
        </w:rPr>
        <w:t>t</w:t>
      </w:r>
      <w:r w:rsidR="008D1813">
        <w:rPr>
          <w:sz w:val="22"/>
          <w:szCs w:val="22"/>
        </w:rPr>
        <w:t>rust controlled by the Licensee.</w:t>
      </w:r>
      <w:r w:rsidR="008D1813">
        <w:rPr>
          <w:rStyle w:val="FootnoteReference"/>
          <w:sz w:val="22"/>
          <w:szCs w:val="22"/>
        </w:rPr>
        <w:footnoteReference w:id="4"/>
      </w:r>
      <w:r w:rsidR="003E1721">
        <w:rPr>
          <w:sz w:val="22"/>
          <w:szCs w:val="22"/>
        </w:rPr>
        <w:t xml:space="preserve">  After consummating these transactions, Townsquare entered into an agreement with Arbitron to have Arbitron restore the Waterloo-Cedar Falls market as a separate radio market, effective as of the Spring 2014 ratings period.</w:t>
      </w:r>
      <w:r w:rsidR="003E1721">
        <w:rPr>
          <w:rStyle w:val="FootnoteReference"/>
          <w:sz w:val="22"/>
          <w:szCs w:val="22"/>
        </w:rPr>
        <w:footnoteReference w:id="5"/>
      </w:r>
      <w:r w:rsidR="003E1721">
        <w:rPr>
          <w:sz w:val="22"/>
          <w:szCs w:val="22"/>
        </w:rPr>
        <w:t xml:space="preserve">  Townsquare filed the Assignment Application on August 25, 2014, arguing that </w:t>
      </w:r>
      <w:r w:rsidR="009136F9">
        <w:rPr>
          <w:sz w:val="22"/>
          <w:szCs w:val="22"/>
        </w:rPr>
        <w:t xml:space="preserve">the transaction complies with the Local Radio Ownership Rule if </w:t>
      </w:r>
      <w:r w:rsidR="003E1721">
        <w:rPr>
          <w:sz w:val="22"/>
          <w:szCs w:val="22"/>
        </w:rPr>
        <w:t>we recognize the reinstatement of the historical Waterloo-Cedar Falls market as a separate market from the Cedar Rapids market.</w:t>
      </w:r>
    </w:p>
    <w:p w:rsidR="003E1721" w:rsidRDefault="003E1721" w:rsidP="00D71CAF">
      <w:pPr>
        <w:rPr>
          <w:sz w:val="22"/>
          <w:szCs w:val="22"/>
        </w:rPr>
      </w:pPr>
    </w:p>
    <w:p w:rsidR="00EC2008" w:rsidRDefault="003E1721" w:rsidP="00D71CAF">
      <w:pPr>
        <w:rPr>
          <w:sz w:val="22"/>
          <w:szCs w:val="22"/>
        </w:rPr>
      </w:pPr>
      <w:r>
        <w:rPr>
          <w:sz w:val="22"/>
          <w:szCs w:val="22"/>
        </w:rPr>
        <w:tab/>
        <w:t>When the Commission adopted the use of Arbitron Metro markets</w:t>
      </w:r>
      <w:r w:rsidR="004042DA">
        <w:rPr>
          <w:sz w:val="22"/>
          <w:szCs w:val="22"/>
        </w:rPr>
        <w:t xml:space="preserve"> (combined with </w:t>
      </w:r>
      <w:r w:rsidR="00EF4D41">
        <w:rPr>
          <w:sz w:val="22"/>
          <w:szCs w:val="22"/>
        </w:rPr>
        <w:t>the BIA database)</w:t>
      </w:r>
      <w:r>
        <w:rPr>
          <w:sz w:val="22"/>
          <w:szCs w:val="22"/>
        </w:rPr>
        <w:t xml:space="preserve"> as the basis for defining local radio markets for purposes of the Local Radio Ownership Rule, it adopted a policy for demonstrating compliance with that rule when there have been recent changes to a market.</w:t>
      </w:r>
      <w:r>
        <w:rPr>
          <w:rStyle w:val="FootnoteReference"/>
          <w:sz w:val="22"/>
          <w:szCs w:val="22"/>
        </w:rPr>
        <w:footnoteReference w:id="6"/>
      </w:r>
      <w:r>
        <w:rPr>
          <w:sz w:val="22"/>
          <w:szCs w:val="22"/>
        </w:rPr>
        <w:t xml:space="preserve"> </w:t>
      </w:r>
      <w:r w:rsidR="00EF4D41">
        <w:rPr>
          <w:sz w:val="22"/>
          <w:szCs w:val="22"/>
        </w:rPr>
        <w:t xml:space="preserve"> </w:t>
      </w:r>
      <w:r w:rsidR="00EF4D41" w:rsidRPr="003C14FC">
        <w:rPr>
          <w:sz w:val="22"/>
          <w:szCs w:val="22"/>
        </w:rPr>
        <w:t xml:space="preserve">That policy imposes a two-year waiting period for </w:t>
      </w:r>
      <w:r w:rsidR="009136F9" w:rsidRPr="003C14FC">
        <w:rPr>
          <w:sz w:val="22"/>
          <w:szCs w:val="22"/>
        </w:rPr>
        <w:t>parties</w:t>
      </w:r>
      <w:r w:rsidR="00EF4D41" w:rsidRPr="003C14FC">
        <w:rPr>
          <w:sz w:val="22"/>
          <w:szCs w:val="22"/>
        </w:rPr>
        <w:t xml:space="preserve"> to take advantage of (i) geographic boundary changes to an Arbitron radio market, (ii) inclusion of a radio station as “home” to an Arbitron radio market, or (iii) removal of a radio station as “home” to an Arbitron radio market.</w:t>
      </w:r>
      <w:r w:rsidR="00C634BE" w:rsidRPr="003C14FC">
        <w:rPr>
          <w:rStyle w:val="FootnoteReference"/>
          <w:sz w:val="22"/>
          <w:szCs w:val="22"/>
        </w:rPr>
        <w:footnoteReference w:id="7"/>
      </w:r>
      <w:r w:rsidR="00EF4D41" w:rsidRPr="003C14FC">
        <w:rPr>
          <w:sz w:val="22"/>
          <w:szCs w:val="22"/>
        </w:rPr>
        <w:t xml:space="preserve">  </w:t>
      </w:r>
      <w:r w:rsidR="004E30D5" w:rsidRPr="003C14FC">
        <w:rPr>
          <w:sz w:val="22"/>
          <w:szCs w:val="22"/>
        </w:rPr>
        <w:t>The e</w:t>
      </w:r>
      <w:r w:rsidR="001F1F58" w:rsidRPr="003C14FC">
        <w:rPr>
          <w:sz w:val="22"/>
          <w:szCs w:val="22"/>
        </w:rPr>
        <w:t>limination or creation</w:t>
      </w:r>
      <w:r w:rsidR="004E30D5" w:rsidRPr="003C14FC">
        <w:rPr>
          <w:sz w:val="22"/>
          <w:szCs w:val="22"/>
        </w:rPr>
        <w:t xml:space="preserve"> of a </w:t>
      </w:r>
      <w:r w:rsidR="001F1F58" w:rsidRPr="003C14FC">
        <w:rPr>
          <w:sz w:val="22"/>
          <w:szCs w:val="22"/>
        </w:rPr>
        <w:t xml:space="preserve">Metro market </w:t>
      </w:r>
      <w:r w:rsidR="009136F9" w:rsidRPr="003C14FC">
        <w:rPr>
          <w:sz w:val="22"/>
          <w:szCs w:val="22"/>
        </w:rPr>
        <w:t xml:space="preserve">is considered to be in the first category, </w:t>
      </w:r>
      <w:r w:rsidR="009136F9" w:rsidRPr="003C14FC">
        <w:rPr>
          <w:i/>
          <w:sz w:val="22"/>
          <w:szCs w:val="22"/>
        </w:rPr>
        <w:t>i.e.</w:t>
      </w:r>
      <w:r w:rsidR="009136F9" w:rsidRPr="003C14FC">
        <w:rPr>
          <w:sz w:val="22"/>
          <w:szCs w:val="22"/>
        </w:rPr>
        <w:t xml:space="preserve">, </w:t>
      </w:r>
      <w:r w:rsidR="004E30D5" w:rsidRPr="003C14FC">
        <w:rPr>
          <w:sz w:val="22"/>
          <w:szCs w:val="22"/>
        </w:rPr>
        <w:t xml:space="preserve">a </w:t>
      </w:r>
      <w:r w:rsidR="001F1F58" w:rsidRPr="003C14FC">
        <w:rPr>
          <w:sz w:val="22"/>
          <w:szCs w:val="22"/>
        </w:rPr>
        <w:t>change in Metro boundaries</w:t>
      </w:r>
      <w:r w:rsidR="004E30D5" w:rsidRPr="003C14FC">
        <w:rPr>
          <w:sz w:val="22"/>
          <w:szCs w:val="22"/>
        </w:rPr>
        <w:t xml:space="preserve"> that triggers the two-year waiting period</w:t>
      </w:r>
      <w:r w:rsidR="001F1F58" w:rsidRPr="003C14FC">
        <w:rPr>
          <w:sz w:val="22"/>
          <w:szCs w:val="22"/>
        </w:rPr>
        <w:t>.</w:t>
      </w:r>
      <w:r w:rsidR="001F1F58" w:rsidRPr="003C14FC">
        <w:rPr>
          <w:rStyle w:val="FootnoteReference"/>
          <w:sz w:val="22"/>
          <w:szCs w:val="22"/>
        </w:rPr>
        <w:footnoteReference w:id="8"/>
      </w:r>
      <w:r w:rsidR="001F1F58">
        <w:rPr>
          <w:sz w:val="22"/>
          <w:szCs w:val="22"/>
        </w:rPr>
        <w:t xml:space="preserve">  </w:t>
      </w:r>
      <w:r w:rsidR="00EF4D41">
        <w:rPr>
          <w:sz w:val="22"/>
          <w:szCs w:val="22"/>
        </w:rPr>
        <w:t>The purpose of this waiting period is “ensure that changes in Arbitron Metro boundaries and home market designations will be made to reflect actual market conditions and not to circumvent the [Local Radio Ownership Rule].”</w:t>
      </w:r>
      <w:r w:rsidR="00605263">
        <w:rPr>
          <w:rStyle w:val="FootnoteReference"/>
          <w:sz w:val="22"/>
          <w:szCs w:val="22"/>
        </w:rPr>
        <w:footnoteReference w:id="9"/>
      </w:r>
    </w:p>
    <w:p w:rsidR="00EC2008" w:rsidRDefault="00EC2008" w:rsidP="00D71CAF">
      <w:pPr>
        <w:rPr>
          <w:sz w:val="22"/>
          <w:szCs w:val="22"/>
        </w:rPr>
      </w:pPr>
    </w:p>
    <w:p w:rsidR="001E16E6" w:rsidRDefault="00EC2008" w:rsidP="00D71CAF">
      <w:pPr>
        <w:rPr>
          <w:sz w:val="22"/>
          <w:szCs w:val="22"/>
        </w:rPr>
      </w:pPr>
      <w:r>
        <w:rPr>
          <w:sz w:val="22"/>
          <w:szCs w:val="22"/>
        </w:rPr>
        <w:tab/>
        <w:t>Townsquare requests a waiver of the two-year waiting period.</w:t>
      </w:r>
      <w:r>
        <w:rPr>
          <w:rStyle w:val="FootnoteReference"/>
          <w:sz w:val="22"/>
          <w:szCs w:val="22"/>
        </w:rPr>
        <w:footnoteReference w:id="10"/>
      </w:r>
      <w:r w:rsidR="003E1721">
        <w:rPr>
          <w:sz w:val="22"/>
          <w:szCs w:val="22"/>
        </w:rPr>
        <w:t xml:space="preserve"> </w:t>
      </w:r>
      <w:r w:rsidR="006A612C">
        <w:rPr>
          <w:sz w:val="22"/>
          <w:szCs w:val="22"/>
        </w:rPr>
        <w:t xml:space="preserve"> Townsquare argues that its proposed transaction does not involve a manipulation of the Arbitron Metro boundaries, but restoration of </w:t>
      </w:r>
      <w:r w:rsidR="006A612C">
        <w:rPr>
          <w:sz w:val="22"/>
          <w:szCs w:val="22"/>
        </w:rPr>
        <w:lastRenderedPageBreak/>
        <w:t>a market that Arbitron recognized from 1970 to 2012.  Townsquare argues that it had nothing to do with Arbitron’s geographic market change in 2012</w:t>
      </w:r>
      <w:r w:rsidR="004E30D5">
        <w:rPr>
          <w:sz w:val="22"/>
          <w:szCs w:val="22"/>
        </w:rPr>
        <w:t xml:space="preserve"> (although, as noted above, it acknowledges that it </w:t>
      </w:r>
      <w:r w:rsidR="009136F9">
        <w:rPr>
          <w:sz w:val="22"/>
          <w:szCs w:val="22"/>
        </w:rPr>
        <w:t>triggered</w:t>
      </w:r>
      <w:r w:rsidR="004E30D5">
        <w:rPr>
          <w:sz w:val="22"/>
          <w:szCs w:val="22"/>
        </w:rPr>
        <w:t xml:space="preserve"> Arbitron</w:t>
      </w:r>
      <w:r w:rsidR="009136F9">
        <w:rPr>
          <w:sz w:val="22"/>
          <w:szCs w:val="22"/>
        </w:rPr>
        <w:t>’s subsequent decision to</w:t>
      </w:r>
      <w:r w:rsidR="004E30D5">
        <w:rPr>
          <w:sz w:val="22"/>
          <w:szCs w:val="22"/>
        </w:rPr>
        <w:t xml:space="preserve"> reinstate the Waterloo-Cedar Falls Metro market)</w:t>
      </w:r>
      <w:r w:rsidR="006A612C">
        <w:rPr>
          <w:sz w:val="22"/>
          <w:szCs w:val="22"/>
        </w:rPr>
        <w:t>.  Townsquare further argues that there is no public interest benefit from treating the 2012 market change as dispositive and that the public interest would be better served by allowing the Stations to be removed from the constraints of the current trusteeship.</w:t>
      </w:r>
      <w:r w:rsidR="001E16E6">
        <w:rPr>
          <w:rStyle w:val="FootnoteReference"/>
          <w:sz w:val="22"/>
          <w:szCs w:val="22"/>
        </w:rPr>
        <w:footnoteReference w:id="11"/>
      </w:r>
    </w:p>
    <w:p w:rsidR="001E16E6" w:rsidRDefault="001E16E6" w:rsidP="00D71CAF">
      <w:pPr>
        <w:rPr>
          <w:sz w:val="22"/>
          <w:szCs w:val="22"/>
        </w:rPr>
      </w:pPr>
    </w:p>
    <w:p w:rsidR="00C634BE" w:rsidRDefault="001E16E6" w:rsidP="00D71CAF">
      <w:pPr>
        <w:rPr>
          <w:color w:val="000000"/>
          <w:sz w:val="22"/>
          <w:szCs w:val="22"/>
        </w:rPr>
      </w:pPr>
      <w:r>
        <w:rPr>
          <w:sz w:val="22"/>
          <w:szCs w:val="22"/>
        </w:rPr>
        <w:tab/>
      </w:r>
      <w:r w:rsidR="006A612C">
        <w:rPr>
          <w:sz w:val="22"/>
          <w:szCs w:val="22"/>
        </w:rPr>
        <w:t xml:space="preserve"> </w:t>
      </w:r>
      <w:r w:rsidR="000D73AE" w:rsidRPr="00485A73">
        <w:rPr>
          <w:color w:val="000000"/>
          <w:sz w:val="22"/>
          <w:szCs w:val="22"/>
        </w:rPr>
        <w:t>The Commission's Rules may be waived only for good cause shown.</w:t>
      </w:r>
      <w:r w:rsidR="000D73AE" w:rsidRPr="00485A73">
        <w:rPr>
          <w:color w:val="000000"/>
          <w:sz w:val="22"/>
          <w:szCs w:val="22"/>
          <w:vertAlign w:val="superscript"/>
        </w:rPr>
        <w:footnoteReference w:id="12"/>
      </w:r>
      <w:r w:rsidR="000D73AE" w:rsidRPr="00485A73">
        <w:rPr>
          <w:color w:val="000000"/>
          <w:sz w:val="22"/>
          <w:szCs w:val="22"/>
        </w:rPr>
        <w:t xml:space="preserve">  The Commission must give </w:t>
      </w:r>
      <w:r w:rsidR="000D73AE">
        <w:rPr>
          <w:noProof/>
          <w:color w:val="000000"/>
          <w:sz w:val="22"/>
          <w:szCs w:val="22"/>
        </w:rPr>
        <w:drawing>
          <wp:inline distT="0" distB="0" distL="0" distR="0" wp14:anchorId="13AF9147" wp14:editId="5164FFFF">
            <wp:extent cx="9525" cy="9525"/>
            <wp:effectExtent l="0" t="0" r="0" b="0"/>
            <wp:docPr id="6" name="Picture 6" descr="previous hi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ous h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D73AE" w:rsidRPr="00485A73">
        <w:rPr>
          <w:color w:val="000000"/>
          <w:sz w:val="22"/>
          <w:szCs w:val="22"/>
        </w:rPr>
        <w:t>waiver</w:t>
      </w:r>
      <w:r w:rsidR="000D73AE">
        <w:rPr>
          <w:noProof/>
          <w:color w:val="000000"/>
          <w:sz w:val="22"/>
          <w:szCs w:val="22"/>
        </w:rPr>
        <w:drawing>
          <wp:inline distT="0" distB="0" distL="0" distR="0" wp14:anchorId="2ABDC41D" wp14:editId="4D194448">
            <wp:extent cx="9525" cy="9525"/>
            <wp:effectExtent l="0" t="0" r="0" b="0"/>
            <wp:docPr id="5" name="Picture 5" descr="next hi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xt h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D73AE" w:rsidRPr="00485A73">
        <w:rPr>
          <w:color w:val="000000"/>
          <w:sz w:val="22"/>
          <w:szCs w:val="22"/>
        </w:rPr>
        <w:t xml:space="preserve"> requests “a hard look,” but an applicant for </w:t>
      </w:r>
      <w:bookmarkStart w:id="1" w:name="ctx37"/>
      <w:bookmarkEnd w:id="1"/>
      <w:r w:rsidR="000D73AE">
        <w:rPr>
          <w:noProof/>
          <w:color w:val="000000"/>
          <w:sz w:val="22"/>
          <w:szCs w:val="22"/>
        </w:rPr>
        <w:drawing>
          <wp:inline distT="0" distB="0" distL="0" distR="0" wp14:anchorId="5D5D5D63" wp14:editId="61D499FF">
            <wp:extent cx="9525" cy="9525"/>
            <wp:effectExtent l="0" t="0" r="0" b="0"/>
            <wp:docPr id="4" name="Picture 4" descr="previous h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ous h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D73AE" w:rsidRPr="00485A73">
        <w:rPr>
          <w:color w:val="000000"/>
          <w:sz w:val="22"/>
          <w:szCs w:val="22"/>
        </w:rPr>
        <w:t>waiver</w:t>
      </w:r>
      <w:r w:rsidR="000D73AE">
        <w:rPr>
          <w:noProof/>
          <w:color w:val="000000"/>
          <w:sz w:val="22"/>
          <w:szCs w:val="22"/>
        </w:rPr>
        <w:drawing>
          <wp:inline distT="0" distB="0" distL="0" distR="0" wp14:anchorId="3424AF38" wp14:editId="7E62BA2D">
            <wp:extent cx="9525" cy="9525"/>
            <wp:effectExtent l="0" t="0" r="0" b="0"/>
            <wp:docPr id="3" name="Picture 3" descr="next h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xt h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D73AE" w:rsidRPr="00485A73">
        <w:rPr>
          <w:color w:val="000000"/>
          <w:sz w:val="22"/>
          <w:szCs w:val="22"/>
        </w:rPr>
        <w:t xml:space="preserve"> “faces a high hurdle even at the starting gate”</w:t>
      </w:r>
      <w:bookmarkStart w:id="2" w:name="a0d3g7u0u8_ref"/>
      <w:bookmarkStart w:id="3" w:name="a0d3g7u0u8_reffirst_footref"/>
      <w:bookmarkEnd w:id="2"/>
      <w:bookmarkEnd w:id="3"/>
      <w:r w:rsidR="000D73AE" w:rsidRPr="00485A73">
        <w:rPr>
          <w:color w:val="000000"/>
          <w:sz w:val="22"/>
          <w:szCs w:val="22"/>
          <w:vertAlign w:val="superscript"/>
        </w:rPr>
        <w:footnoteReference w:id="13"/>
      </w:r>
      <w:r w:rsidR="000D73AE" w:rsidRPr="00485A73">
        <w:rPr>
          <w:color w:val="000000"/>
          <w:sz w:val="22"/>
          <w:szCs w:val="22"/>
        </w:rPr>
        <w:t xml:space="preserve"> and must support its </w:t>
      </w:r>
      <w:bookmarkStart w:id="4" w:name="ctx38"/>
      <w:bookmarkEnd w:id="4"/>
      <w:r w:rsidR="000D73AE">
        <w:rPr>
          <w:noProof/>
          <w:color w:val="000000"/>
          <w:sz w:val="22"/>
          <w:szCs w:val="22"/>
        </w:rPr>
        <w:drawing>
          <wp:inline distT="0" distB="0" distL="0" distR="0" wp14:anchorId="2C8D5173" wp14:editId="447A816B">
            <wp:extent cx="9525" cy="9525"/>
            <wp:effectExtent l="0" t="0" r="0" b="0"/>
            <wp:docPr id="2" name="Picture 2" descr="previous h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vious h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D73AE" w:rsidRPr="00485A73">
        <w:rPr>
          <w:color w:val="000000"/>
          <w:sz w:val="22"/>
          <w:szCs w:val="22"/>
        </w:rPr>
        <w:t>waiver</w:t>
      </w:r>
      <w:r w:rsidR="000D73AE">
        <w:rPr>
          <w:noProof/>
          <w:color w:val="000000"/>
          <w:sz w:val="22"/>
          <w:szCs w:val="22"/>
        </w:rPr>
        <w:drawing>
          <wp:inline distT="0" distB="0" distL="0" distR="0" wp14:anchorId="2AC3BB24" wp14:editId="31EF22AE">
            <wp:extent cx="9525" cy="9525"/>
            <wp:effectExtent l="0" t="0" r="0" b="0"/>
            <wp:docPr id="1" name="Picture 1" descr="next h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xt h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D73AE" w:rsidRPr="00485A73">
        <w:rPr>
          <w:color w:val="000000"/>
          <w:sz w:val="22"/>
          <w:szCs w:val="22"/>
        </w:rPr>
        <w:t xml:space="preserve"> request with a compelling showing.</w:t>
      </w:r>
      <w:bookmarkStart w:id="5" w:name="a0d3g7u0v0_ref"/>
      <w:bookmarkStart w:id="6" w:name="a0d3g7u0v0_reffirst_footref"/>
      <w:bookmarkEnd w:id="5"/>
      <w:bookmarkEnd w:id="6"/>
      <w:r w:rsidR="000D73AE" w:rsidRPr="00485A73">
        <w:rPr>
          <w:color w:val="000000"/>
          <w:sz w:val="22"/>
          <w:szCs w:val="22"/>
          <w:vertAlign w:val="superscript"/>
        </w:rPr>
        <w:footnoteReference w:id="14"/>
      </w:r>
      <w:bookmarkStart w:id="7" w:name="ctx39"/>
      <w:bookmarkEnd w:id="7"/>
      <w:r w:rsidR="000D73AE" w:rsidRPr="00485A73">
        <w:rPr>
          <w:color w:val="000000"/>
          <w:sz w:val="22"/>
          <w:szCs w:val="22"/>
        </w:rPr>
        <w:t xml:space="preserve">  Waiver is appropriate only if both (1) special circumstances warrant a deviation from the general rule, and (2) such deviation better serves the public interest.</w:t>
      </w:r>
      <w:r w:rsidR="000D73AE" w:rsidRPr="00485A73">
        <w:rPr>
          <w:color w:val="000000"/>
          <w:sz w:val="22"/>
          <w:szCs w:val="22"/>
          <w:vertAlign w:val="superscript"/>
        </w:rPr>
        <w:footnoteReference w:id="15"/>
      </w:r>
      <w:r w:rsidR="00C634BE">
        <w:rPr>
          <w:color w:val="000000"/>
          <w:sz w:val="22"/>
          <w:szCs w:val="22"/>
        </w:rPr>
        <w:t xml:space="preserve">  In deciding waiver requests on a case-by-case basis, t</w:t>
      </w:r>
      <w:r w:rsidR="00C634BE" w:rsidRPr="0021728D">
        <w:rPr>
          <w:color w:val="000000"/>
          <w:sz w:val="22"/>
          <w:szCs w:val="22"/>
        </w:rPr>
        <w:t xml:space="preserve">he Commission has broad discretion in determining whether </w:t>
      </w:r>
      <w:r w:rsidR="00C634BE">
        <w:rPr>
          <w:color w:val="000000"/>
          <w:sz w:val="22"/>
          <w:szCs w:val="22"/>
        </w:rPr>
        <w:t>a situation presents unanticipated circumstances that make it more appropriate to create an exception than to apply the rule.</w:t>
      </w:r>
      <w:bookmarkStart w:id="9" w:name="a0e3h3f1g6_ref"/>
      <w:bookmarkStart w:id="10" w:name="a0e3h3f1g6_reffirst_footref"/>
      <w:bookmarkEnd w:id="9"/>
      <w:bookmarkEnd w:id="10"/>
      <w:r w:rsidR="00C634BE">
        <w:rPr>
          <w:rStyle w:val="FootnoteReference"/>
          <w:color w:val="000000"/>
          <w:sz w:val="22"/>
          <w:szCs w:val="22"/>
        </w:rPr>
        <w:footnoteReference w:id="16"/>
      </w:r>
    </w:p>
    <w:p w:rsidR="00C634BE" w:rsidRDefault="00C634BE" w:rsidP="00D71CAF">
      <w:pPr>
        <w:rPr>
          <w:color w:val="000000"/>
          <w:sz w:val="22"/>
          <w:szCs w:val="22"/>
        </w:rPr>
      </w:pPr>
    </w:p>
    <w:p w:rsidR="00034924" w:rsidRDefault="00C634BE" w:rsidP="00034924">
      <w:pPr>
        <w:rPr>
          <w:sz w:val="22"/>
          <w:szCs w:val="22"/>
        </w:rPr>
      </w:pPr>
      <w:r>
        <w:rPr>
          <w:color w:val="000000"/>
          <w:sz w:val="22"/>
          <w:szCs w:val="22"/>
        </w:rPr>
        <w:tab/>
      </w:r>
      <w:r w:rsidR="002B52CF">
        <w:rPr>
          <w:color w:val="000000"/>
          <w:sz w:val="22"/>
          <w:szCs w:val="22"/>
        </w:rPr>
        <w:t xml:space="preserve">We recognize that the Waterloo-Cedar Falls market had a long history of existence up to 2012, but </w:t>
      </w:r>
      <w:r w:rsidR="00CE4042">
        <w:rPr>
          <w:color w:val="000000"/>
          <w:sz w:val="22"/>
          <w:szCs w:val="22"/>
        </w:rPr>
        <w:t>we do not believe Townsquare has presented a compelling case for a waiver.  Townsquare acknowledges that its actions triggered the reinstatement of the Waterloo-Cedar Falls market, but argues that its actions were merely intended to restore a historical market, not to manipulate market boundaries.</w:t>
      </w:r>
      <w:r w:rsidR="007870F3">
        <w:rPr>
          <w:rStyle w:val="FootnoteReference"/>
          <w:color w:val="000000"/>
          <w:sz w:val="22"/>
          <w:szCs w:val="22"/>
        </w:rPr>
        <w:footnoteReference w:id="17"/>
      </w:r>
      <w:r w:rsidR="00CE4042">
        <w:rPr>
          <w:color w:val="000000"/>
          <w:sz w:val="22"/>
          <w:szCs w:val="22"/>
        </w:rPr>
        <w:t xml:space="preserve">  However, we necessarily focus primarily on </w:t>
      </w:r>
      <w:r w:rsidR="00A47D8F">
        <w:rPr>
          <w:color w:val="000000"/>
          <w:sz w:val="22"/>
          <w:szCs w:val="22"/>
        </w:rPr>
        <w:t>whether the applicant is deriving a benefit from Arbitron’s decision to modify a market</w:t>
      </w:r>
      <w:r w:rsidR="00F90556">
        <w:rPr>
          <w:color w:val="000000"/>
          <w:sz w:val="22"/>
          <w:szCs w:val="22"/>
        </w:rPr>
        <w:t>, not on the underlying motivation for the action.</w:t>
      </w:r>
      <w:r w:rsidR="00A47D8F">
        <w:rPr>
          <w:rStyle w:val="FootnoteReference"/>
          <w:color w:val="000000"/>
          <w:sz w:val="22"/>
          <w:szCs w:val="22"/>
        </w:rPr>
        <w:footnoteReference w:id="18"/>
      </w:r>
      <w:r w:rsidR="00F90556">
        <w:rPr>
          <w:color w:val="000000"/>
          <w:sz w:val="22"/>
          <w:szCs w:val="22"/>
        </w:rPr>
        <w:t xml:space="preserve">  It would be impossible to apply a clear, predictable waiver standard if we attempted to grant or deny waivers based on our subjective interpretation of why a party entered into an agreement with Arbitron or decided to cancel its Arbitron subscription.</w:t>
      </w:r>
      <w:r w:rsidR="00F90556">
        <w:rPr>
          <w:rStyle w:val="FootnoteReference"/>
          <w:color w:val="000000"/>
          <w:sz w:val="22"/>
          <w:szCs w:val="22"/>
        </w:rPr>
        <w:footnoteReference w:id="19"/>
      </w:r>
      <w:r w:rsidR="00592744">
        <w:rPr>
          <w:color w:val="000000"/>
          <w:sz w:val="22"/>
          <w:szCs w:val="22"/>
        </w:rPr>
        <w:t xml:space="preserve">  Given that Townsquare precipitated </w:t>
      </w:r>
      <w:r w:rsidR="005B4E0B">
        <w:rPr>
          <w:color w:val="000000"/>
          <w:sz w:val="22"/>
          <w:szCs w:val="22"/>
        </w:rPr>
        <w:t>Arbitron’s decision to reinstate</w:t>
      </w:r>
      <w:r w:rsidR="00592744">
        <w:rPr>
          <w:color w:val="000000"/>
          <w:sz w:val="22"/>
          <w:szCs w:val="22"/>
        </w:rPr>
        <w:t xml:space="preserve"> the ma</w:t>
      </w:r>
      <w:r w:rsidR="005B4E0B">
        <w:rPr>
          <w:color w:val="000000"/>
          <w:sz w:val="22"/>
          <w:szCs w:val="22"/>
        </w:rPr>
        <w:t>rket</w:t>
      </w:r>
      <w:r w:rsidR="00474654">
        <w:rPr>
          <w:color w:val="000000"/>
          <w:sz w:val="22"/>
          <w:szCs w:val="22"/>
        </w:rPr>
        <w:t xml:space="preserve"> and would benefit from that decision by being enabled to acquire the Stations from the Licensee</w:t>
      </w:r>
      <w:r w:rsidR="005B4E0B">
        <w:rPr>
          <w:color w:val="000000"/>
          <w:sz w:val="22"/>
          <w:szCs w:val="22"/>
        </w:rPr>
        <w:t>, this is clearly the type of situation the Commission had in mind when it adopted the two-year waiting period.</w:t>
      </w:r>
      <w:r w:rsidR="002B52CF">
        <w:rPr>
          <w:color w:val="000000"/>
          <w:sz w:val="22"/>
          <w:szCs w:val="22"/>
        </w:rPr>
        <w:t xml:space="preserve">  Under the facts presented here, we cannot find that</w:t>
      </w:r>
      <w:r w:rsidR="002972B9">
        <w:rPr>
          <w:color w:val="000000"/>
          <w:sz w:val="22"/>
          <w:szCs w:val="22"/>
        </w:rPr>
        <w:t xml:space="preserve"> special circumstances exist or that</w:t>
      </w:r>
      <w:r w:rsidR="002B52CF">
        <w:rPr>
          <w:color w:val="000000"/>
          <w:sz w:val="22"/>
          <w:szCs w:val="22"/>
        </w:rPr>
        <w:t xml:space="preserve"> the public interest would be best served by waiving the two-year waiting period.</w:t>
      </w:r>
      <w:r w:rsidR="00034924">
        <w:rPr>
          <w:color w:val="000000"/>
          <w:sz w:val="22"/>
          <w:szCs w:val="22"/>
        </w:rPr>
        <w:t xml:space="preserve">  Accordingly, the proposed transaction is inconsistent with the Local Radio Ownership Rule and the Assignment Application will be dismissed.</w:t>
      </w:r>
    </w:p>
    <w:p w:rsidR="006501CC" w:rsidDel="006501CC" w:rsidRDefault="006501CC" w:rsidP="006501CC">
      <w:pPr>
        <w:ind w:firstLine="720"/>
        <w:rPr>
          <w:sz w:val="22"/>
          <w:szCs w:val="22"/>
        </w:rPr>
      </w:pPr>
    </w:p>
    <w:p w:rsidR="006753FF" w:rsidRDefault="00E72341" w:rsidP="00555CB7">
      <w:pPr>
        <w:ind w:right="-360" w:firstLine="720"/>
        <w:rPr>
          <w:sz w:val="22"/>
          <w:szCs w:val="22"/>
        </w:rPr>
      </w:pPr>
      <w:r w:rsidRPr="00E72341">
        <w:rPr>
          <w:b/>
          <w:sz w:val="22"/>
          <w:szCs w:val="22"/>
        </w:rPr>
        <w:t>Conclusion/Actions</w:t>
      </w:r>
      <w:r w:rsidRPr="00E72341">
        <w:rPr>
          <w:sz w:val="22"/>
          <w:szCs w:val="22"/>
        </w:rPr>
        <w:t>.</w:t>
      </w:r>
      <w:r>
        <w:rPr>
          <w:sz w:val="22"/>
          <w:szCs w:val="22"/>
        </w:rPr>
        <w:t xml:space="preserve">  </w:t>
      </w:r>
      <w:r w:rsidRPr="00E72341">
        <w:rPr>
          <w:sz w:val="22"/>
          <w:szCs w:val="22"/>
        </w:rPr>
        <w:t>Based on the above, w</w:t>
      </w:r>
      <w:r w:rsidR="00A45875">
        <w:rPr>
          <w:rStyle w:val="documentbody1"/>
          <w:rFonts w:ascii="Times New Roman" w:hAnsi="Times New Roman"/>
          <w:color w:val="000000"/>
          <w:sz w:val="22"/>
          <w:szCs w:val="22"/>
        </w:rPr>
        <w:t xml:space="preserve">e find that </w:t>
      </w:r>
      <w:r w:rsidR="004A2068">
        <w:rPr>
          <w:rStyle w:val="documentbody1"/>
          <w:rFonts w:ascii="Times New Roman" w:hAnsi="Times New Roman"/>
          <w:color w:val="000000"/>
          <w:sz w:val="22"/>
          <w:szCs w:val="22"/>
        </w:rPr>
        <w:t xml:space="preserve">the Assignment Application </w:t>
      </w:r>
      <w:r w:rsidR="00ED722E">
        <w:rPr>
          <w:rStyle w:val="documentbody1"/>
          <w:rFonts w:ascii="Times New Roman" w:hAnsi="Times New Roman"/>
          <w:color w:val="000000"/>
          <w:sz w:val="22"/>
          <w:szCs w:val="22"/>
        </w:rPr>
        <w:t xml:space="preserve">is patently defective and must be dismissed as </w:t>
      </w:r>
      <w:r w:rsidR="004A2068">
        <w:rPr>
          <w:rStyle w:val="documentbody1"/>
          <w:rFonts w:ascii="Times New Roman" w:hAnsi="Times New Roman"/>
          <w:color w:val="000000"/>
          <w:sz w:val="22"/>
          <w:szCs w:val="22"/>
        </w:rPr>
        <w:t>inadvertently accepted for filing</w:t>
      </w:r>
      <w:r w:rsidR="004A2068">
        <w:rPr>
          <w:sz w:val="22"/>
          <w:szCs w:val="22"/>
        </w:rPr>
        <w:t xml:space="preserve">.  </w:t>
      </w:r>
      <w:r w:rsidRPr="00E72341">
        <w:rPr>
          <w:sz w:val="22"/>
          <w:szCs w:val="22"/>
        </w:rPr>
        <w:t>Accordingly</w:t>
      </w:r>
      <w:r w:rsidRPr="00E72341">
        <w:rPr>
          <w:noProof/>
          <w:sz w:val="22"/>
          <w:szCs w:val="22"/>
        </w:rPr>
        <w:t xml:space="preserve">, IT IS ORDERED, </w:t>
      </w:r>
      <w:r w:rsidR="00510F0C">
        <w:rPr>
          <w:noProof/>
          <w:sz w:val="22"/>
          <w:szCs w:val="22"/>
        </w:rPr>
        <w:t>T</w:t>
      </w:r>
      <w:r w:rsidRPr="00E72341">
        <w:rPr>
          <w:noProof/>
          <w:sz w:val="22"/>
          <w:szCs w:val="22"/>
        </w:rPr>
        <w:t xml:space="preserve">hat </w:t>
      </w:r>
      <w:r>
        <w:rPr>
          <w:noProof/>
          <w:sz w:val="22"/>
          <w:szCs w:val="22"/>
        </w:rPr>
        <w:t xml:space="preserve">the </w:t>
      </w:r>
      <w:r w:rsidR="00BC5F26" w:rsidRPr="00E72341">
        <w:rPr>
          <w:noProof/>
          <w:sz w:val="22"/>
          <w:szCs w:val="22"/>
        </w:rPr>
        <w:t xml:space="preserve">application </w:t>
      </w:r>
      <w:r w:rsidR="00BC5F26">
        <w:rPr>
          <w:noProof/>
          <w:sz w:val="22"/>
          <w:szCs w:val="22"/>
        </w:rPr>
        <w:t xml:space="preserve">for approval </w:t>
      </w:r>
      <w:r w:rsidR="00BC5F26" w:rsidRPr="00E72341">
        <w:rPr>
          <w:noProof/>
          <w:sz w:val="22"/>
          <w:szCs w:val="22"/>
        </w:rPr>
        <w:t>to assign the license</w:t>
      </w:r>
      <w:r w:rsidR="00034924">
        <w:rPr>
          <w:noProof/>
          <w:sz w:val="22"/>
          <w:szCs w:val="22"/>
        </w:rPr>
        <w:t>s</w:t>
      </w:r>
      <w:r w:rsidR="00BC5F26" w:rsidRPr="00E72341">
        <w:rPr>
          <w:noProof/>
          <w:sz w:val="22"/>
          <w:szCs w:val="22"/>
        </w:rPr>
        <w:t xml:space="preserve"> </w:t>
      </w:r>
      <w:r w:rsidR="00C43CF4">
        <w:rPr>
          <w:sz w:val="22"/>
          <w:szCs w:val="22"/>
        </w:rPr>
        <w:t xml:space="preserve">for </w:t>
      </w:r>
      <w:r w:rsidR="00034924">
        <w:rPr>
          <w:sz w:val="22"/>
          <w:szCs w:val="22"/>
        </w:rPr>
        <w:t xml:space="preserve">radio stations </w:t>
      </w:r>
      <w:r w:rsidR="00510F0C">
        <w:rPr>
          <w:sz w:val="22"/>
          <w:szCs w:val="22"/>
        </w:rPr>
        <w:t xml:space="preserve"> </w:t>
      </w:r>
      <w:r w:rsidR="00034924">
        <w:rPr>
          <w:sz w:val="22"/>
          <w:szCs w:val="22"/>
        </w:rPr>
        <w:t>KCRR(FM), Grundy Center, IA, KKHQ-FM, Oelwein, IA, and KOEL-FM, Cedar Falls, IA</w:t>
      </w:r>
      <w:r w:rsidR="00971F29">
        <w:rPr>
          <w:sz w:val="22"/>
          <w:szCs w:val="22"/>
        </w:rPr>
        <w:t xml:space="preserve"> (File No. BAL</w:t>
      </w:r>
      <w:r w:rsidR="00CF751F">
        <w:rPr>
          <w:sz w:val="22"/>
          <w:szCs w:val="22"/>
        </w:rPr>
        <w:t>H</w:t>
      </w:r>
      <w:r w:rsidR="00971F29">
        <w:rPr>
          <w:sz w:val="22"/>
          <w:szCs w:val="22"/>
        </w:rPr>
        <w:t>-20</w:t>
      </w:r>
      <w:r w:rsidR="00A35FEC">
        <w:rPr>
          <w:sz w:val="22"/>
          <w:szCs w:val="22"/>
        </w:rPr>
        <w:t>1</w:t>
      </w:r>
      <w:r w:rsidR="00034924">
        <w:rPr>
          <w:sz w:val="22"/>
          <w:szCs w:val="22"/>
        </w:rPr>
        <w:t>40825ABD)</w:t>
      </w:r>
      <w:r w:rsidR="00CF751F">
        <w:rPr>
          <w:sz w:val="22"/>
          <w:szCs w:val="22"/>
        </w:rPr>
        <w:t xml:space="preserve"> IS</w:t>
      </w:r>
      <w:r w:rsidR="00555CB7">
        <w:rPr>
          <w:sz w:val="22"/>
          <w:szCs w:val="22"/>
        </w:rPr>
        <w:t xml:space="preserve"> DISMISSED as </w:t>
      </w:r>
      <w:r w:rsidR="00555CB7">
        <w:rPr>
          <w:rStyle w:val="documentbody1"/>
          <w:rFonts w:ascii="Times New Roman" w:hAnsi="Times New Roman"/>
          <w:color w:val="000000"/>
          <w:sz w:val="22"/>
          <w:szCs w:val="22"/>
        </w:rPr>
        <w:t xml:space="preserve">inadvertently accepted for filing, </w:t>
      </w:r>
      <w:r w:rsidR="00555CB7">
        <w:rPr>
          <w:sz w:val="22"/>
          <w:szCs w:val="22"/>
        </w:rPr>
        <w:t xml:space="preserve">pursuant to </w:t>
      </w:r>
      <w:r w:rsidR="00ED722E">
        <w:rPr>
          <w:sz w:val="22"/>
          <w:szCs w:val="22"/>
        </w:rPr>
        <w:t xml:space="preserve">47 C.F.R. </w:t>
      </w:r>
      <w:r w:rsidR="00DD428E">
        <w:rPr>
          <w:sz w:val="22"/>
          <w:szCs w:val="22"/>
        </w:rPr>
        <w:t>§</w:t>
      </w:r>
      <w:r w:rsidR="00ED722E">
        <w:rPr>
          <w:sz w:val="22"/>
          <w:szCs w:val="22"/>
        </w:rPr>
        <w:t>§</w:t>
      </w:r>
      <w:r w:rsidR="00DD428E">
        <w:rPr>
          <w:sz w:val="22"/>
          <w:szCs w:val="22"/>
        </w:rPr>
        <w:t xml:space="preserve"> 1.3 and</w:t>
      </w:r>
      <w:r w:rsidR="00555CB7">
        <w:rPr>
          <w:sz w:val="22"/>
          <w:szCs w:val="22"/>
        </w:rPr>
        <w:t xml:space="preserve"> 73.3566(a).  </w:t>
      </w:r>
    </w:p>
    <w:p w:rsidR="006753FF" w:rsidRDefault="006753FF" w:rsidP="006753FF">
      <w:pPr>
        <w:ind w:right="-360" w:firstLine="720"/>
        <w:rPr>
          <w:sz w:val="22"/>
          <w:szCs w:val="22"/>
        </w:rPr>
      </w:pPr>
      <w:r>
        <w:rPr>
          <w:sz w:val="22"/>
          <w:szCs w:val="22"/>
        </w:rPr>
        <w:t xml:space="preserve"> </w:t>
      </w:r>
    </w:p>
    <w:p w:rsidR="00D35002" w:rsidRDefault="00510F0C" w:rsidP="00555CB7">
      <w:pPr>
        <w:ind w:right="-360" w:firstLine="720"/>
        <w:rPr>
          <w:sz w:val="22"/>
          <w:szCs w:val="22"/>
        </w:rPr>
      </w:pPr>
      <w:r>
        <w:rPr>
          <w:sz w:val="22"/>
          <w:szCs w:val="22"/>
        </w:rPr>
        <w:t xml:space="preserve">         </w:t>
      </w:r>
    </w:p>
    <w:p w:rsidR="00574B51" w:rsidRDefault="00D35002">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6122F">
        <w:rPr>
          <w:sz w:val="22"/>
          <w:szCs w:val="22"/>
        </w:rPr>
        <w:t>Sincerely,</w:t>
      </w:r>
    </w:p>
    <w:p w:rsidR="0087468A" w:rsidRDefault="0087468A">
      <w:pPr>
        <w:rPr>
          <w:sz w:val="22"/>
          <w:szCs w:val="22"/>
        </w:rPr>
      </w:pPr>
    </w:p>
    <w:p w:rsidR="0087468A" w:rsidRDefault="0087468A">
      <w:pPr>
        <w:rPr>
          <w:sz w:val="22"/>
          <w:szCs w:val="22"/>
        </w:rPr>
      </w:pPr>
    </w:p>
    <w:p w:rsidR="0087468A" w:rsidRDefault="0087468A">
      <w:pPr>
        <w:rPr>
          <w:sz w:val="22"/>
          <w:szCs w:val="22"/>
        </w:rPr>
      </w:pPr>
    </w:p>
    <w:p w:rsidR="00D35002" w:rsidRPr="0026122F" w:rsidRDefault="00D35002">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6122F">
        <w:rPr>
          <w:sz w:val="22"/>
          <w:szCs w:val="22"/>
        </w:rPr>
        <w:tab/>
        <w:t>Peter H. Doyle</w:t>
      </w:r>
    </w:p>
    <w:p w:rsidR="00D35002" w:rsidRPr="0026122F" w:rsidRDefault="00D35002">
      <w:pPr>
        <w:rPr>
          <w:sz w:val="22"/>
          <w:szCs w:val="22"/>
        </w:rPr>
      </w:pPr>
      <w:r w:rsidRPr="0026122F">
        <w:rPr>
          <w:sz w:val="22"/>
          <w:szCs w:val="22"/>
        </w:rPr>
        <w:tab/>
      </w:r>
      <w:r w:rsidRPr="0026122F">
        <w:rPr>
          <w:sz w:val="22"/>
          <w:szCs w:val="22"/>
        </w:rPr>
        <w:tab/>
      </w:r>
      <w:r w:rsidRPr="0026122F">
        <w:rPr>
          <w:sz w:val="22"/>
          <w:szCs w:val="22"/>
        </w:rPr>
        <w:tab/>
      </w:r>
      <w:r w:rsidRPr="0026122F">
        <w:rPr>
          <w:sz w:val="22"/>
          <w:szCs w:val="22"/>
        </w:rPr>
        <w:tab/>
      </w:r>
      <w:r w:rsidRPr="0026122F">
        <w:rPr>
          <w:sz w:val="22"/>
          <w:szCs w:val="22"/>
        </w:rPr>
        <w:tab/>
      </w:r>
      <w:r w:rsidRPr="0026122F">
        <w:rPr>
          <w:sz w:val="22"/>
          <w:szCs w:val="22"/>
        </w:rPr>
        <w:tab/>
      </w:r>
      <w:r w:rsidRPr="0026122F">
        <w:rPr>
          <w:sz w:val="22"/>
          <w:szCs w:val="22"/>
        </w:rPr>
        <w:tab/>
      </w:r>
      <w:r w:rsidR="000C5935">
        <w:rPr>
          <w:sz w:val="22"/>
          <w:szCs w:val="22"/>
        </w:rPr>
        <w:t xml:space="preserve">Chief, </w:t>
      </w:r>
      <w:r w:rsidRPr="0026122F">
        <w:rPr>
          <w:sz w:val="22"/>
          <w:szCs w:val="22"/>
        </w:rPr>
        <w:t>Audio Division</w:t>
      </w:r>
    </w:p>
    <w:p w:rsidR="00927F4B" w:rsidRDefault="00D35002">
      <w:pPr>
        <w:rPr>
          <w:sz w:val="22"/>
          <w:szCs w:val="22"/>
        </w:rPr>
      </w:pPr>
      <w:r w:rsidRPr="0026122F">
        <w:rPr>
          <w:sz w:val="22"/>
          <w:szCs w:val="22"/>
        </w:rPr>
        <w:tab/>
      </w:r>
      <w:r w:rsidRPr="0026122F">
        <w:rPr>
          <w:sz w:val="22"/>
          <w:szCs w:val="22"/>
        </w:rPr>
        <w:tab/>
      </w:r>
      <w:r w:rsidRPr="0026122F">
        <w:rPr>
          <w:sz w:val="22"/>
          <w:szCs w:val="22"/>
        </w:rPr>
        <w:tab/>
      </w:r>
      <w:r w:rsidRPr="0026122F">
        <w:rPr>
          <w:sz w:val="22"/>
          <w:szCs w:val="22"/>
        </w:rPr>
        <w:tab/>
      </w:r>
      <w:r w:rsidRPr="0026122F">
        <w:rPr>
          <w:sz w:val="22"/>
          <w:szCs w:val="22"/>
        </w:rPr>
        <w:tab/>
      </w:r>
      <w:r w:rsidRPr="0026122F">
        <w:rPr>
          <w:sz w:val="22"/>
          <w:szCs w:val="22"/>
        </w:rPr>
        <w:tab/>
      </w:r>
      <w:r w:rsidRPr="0026122F">
        <w:rPr>
          <w:sz w:val="22"/>
          <w:szCs w:val="22"/>
        </w:rPr>
        <w:tab/>
        <w:t>Media Bureau</w:t>
      </w:r>
    </w:p>
    <w:sectPr w:rsidR="00927F4B" w:rsidSect="008544EB">
      <w:headerReference w:type="even" r:id="rId14"/>
      <w:headerReference w:type="default" r:id="rId15"/>
      <w:footerReference w:type="even" r:id="rId16"/>
      <w:footerReference w:type="default" r:id="rId17"/>
      <w:headerReference w:type="first" r:id="rId18"/>
      <w:footerReference w:type="first" r:id="rId19"/>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162" w:rsidRDefault="00447162">
      <w:r>
        <w:separator/>
      </w:r>
    </w:p>
  </w:endnote>
  <w:endnote w:type="continuationSeparator" w:id="0">
    <w:p w:rsidR="00447162" w:rsidRDefault="0044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2C" w:rsidRDefault="006A612C" w:rsidP="00A96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612C" w:rsidRDefault="006A61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2C" w:rsidRDefault="006A612C" w:rsidP="00A96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5074">
      <w:rPr>
        <w:rStyle w:val="PageNumber"/>
        <w:noProof/>
      </w:rPr>
      <w:t>2</w:t>
    </w:r>
    <w:r>
      <w:rPr>
        <w:rStyle w:val="PageNumber"/>
      </w:rPr>
      <w:fldChar w:fldCharType="end"/>
    </w:r>
  </w:p>
  <w:p w:rsidR="006A612C" w:rsidRDefault="006A61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47" w:rsidRDefault="008E7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162" w:rsidRDefault="00447162">
      <w:r>
        <w:separator/>
      </w:r>
    </w:p>
  </w:footnote>
  <w:footnote w:type="continuationSeparator" w:id="0">
    <w:p w:rsidR="00447162" w:rsidRDefault="00447162">
      <w:r>
        <w:continuationSeparator/>
      </w:r>
    </w:p>
  </w:footnote>
  <w:footnote w:type="continuationNotice" w:id="1">
    <w:p w:rsidR="00447162" w:rsidRDefault="00447162">
      <w:r>
        <w:tab/>
      </w:r>
      <w:r>
        <w:tab/>
      </w:r>
      <w:r>
        <w:tab/>
      </w:r>
      <w:r>
        <w:tab/>
      </w:r>
      <w:r>
        <w:tab/>
      </w:r>
      <w:r>
        <w:tab/>
      </w:r>
      <w:r>
        <w:tab/>
      </w:r>
      <w:r>
        <w:tab/>
      </w:r>
      <w:r>
        <w:tab/>
      </w:r>
      <w:r>
        <w:tab/>
        <w:t>(footnote continued)</w:t>
      </w:r>
    </w:p>
  </w:footnote>
  <w:footnote w:id="2">
    <w:p w:rsidR="006A612C" w:rsidRDefault="006A612C" w:rsidP="00605263">
      <w:pPr>
        <w:pStyle w:val="FootnoteText"/>
        <w:spacing w:after="120"/>
      </w:pPr>
      <w:r>
        <w:rPr>
          <w:rStyle w:val="FootnoteReference"/>
        </w:rPr>
        <w:footnoteRef/>
      </w:r>
      <w:r>
        <w:t xml:space="preserve"> 47 C.F.R. </w:t>
      </w:r>
      <w:r w:rsidR="002972B9">
        <w:t>§</w:t>
      </w:r>
      <w:r>
        <w:t xml:space="preserve">§ </w:t>
      </w:r>
      <w:r w:rsidR="002972B9">
        <w:t xml:space="preserve">1.3, </w:t>
      </w:r>
      <w:r>
        <w:t>73.3566(a).</w:t>
      </w:r>
    </w:p>
  </w:footnote>
  <w:footnote w:id="3">
    <w:p w:rsidR="006A612C" w:rsidRDefault="006A612C" w:rsidP="00605263">
      <w:pPr>
        <w:pStyle w:val="FootnoteText"/>
        <w:spacing w:after="120"/>
      </w:pPr>
      <w:r>
        <w:rPr>
          <w:rStyle w:val="FootnoteReference"/>
        </w:rPr>
        <w:footnoteRef/>
      </w:r>
      <w:r>
        <w:t xml:space="preserve"> Assignment Application, Ex. 18 at 1.</w:t>
      </w:r>
    </w:p>
  </w:footnote>
  <w:footnote w:id="4">
    <w:p w:rsidR="006A612C" w:rsidRDefault="006A612C" w:rsidP="00605263">
      <w:pPr>
        <w:pStyle w:val="FootnoteText"/>
        <w:spacing w:after="120"/>
      </w:pPr>
      <w:r>
        <w:rPr>
          <w:rStyle w:val="FootnoteReference"/>
        </w:rPr>
        <w:footnoteRef/>
      </w:r>
      <w:r>
        <w:t xml:space="preserve"> See 47 C.F.R. § 73.3555(a); Assignment Application, Ex. 18 at 1.</w:t>
      </w:r>
    </w:p>
  </w:footnote>
  <w:footnote w:id="5">
    <w:p w:rsidR="006A612C" w:rsidRDefault="006A612C" w:rsidP="00605263">
      <w:pPr>
        <w:pStyle w:val="FootnoteText"/>
        <w:spacing w:after="120"/>
      </w:pPr>
      <w:r>
        <w:rPr>
          <w:rStyle w:val="FootnoteReference"/>
        </w:rPr>
        <w:footnoteRef/>
      </w:r>
      <w:r>
        <w:t xml:space="preserve"> Assignment Application, Ex. 18 at 2.</w:t>
      </w:r>
    </w:p>
  </w:footnote>
  <w:footnote w:id="6">
    <w:p w:rsidR="006A612C" w:rsidRDefault="006A612C" w:rsidP="00605263">
      <w:pPr>
        <w:pStyle w:val="FootnoteText"/>
        <w:spacing w:after="120"/>
      </w:pPr>
      <w:r>
        <w:rPr>
          <w:rStyle w:val="FootnoteReference"/>
        </w:rPr>
        <w:footnoteRef/>
      </w:r>
      <w:r>
        <w:t xml:space="preserve"> </w:t>
      </w:r>
      <w:r w:rsidRPr="00605263">
        <w:rPr>
          <w:i/>
        </w:rPr>
        <w:t>See 2002 Biennial Regulatory Review of the Commission’s Broadcast Ownership Rules</w:t>
      </w:r>
      <w:r>
        <w:t xml:space="preserve">, Report and Order and Notice of Proposed Rulemaking, 18 FCC Rcd 13620, 13726 (2003), </w:t>
      </w:r>
      <w:r w:rsidRPr="00605263">
        <w:rPr>
          <w:i/>
        </w:rPr>
        <w:t>aff’d in part and remanded in part sub nom. Prometheus Radio Project v. FCC</w:t>
      </w:r>
      <w:r>
        <w:t xml:space="preserve">, 373 F.3d 372 (3d Cir. 2004), </w:t>
      </w:r>
      <w:r w:rsidRPr="00605263">
        <w:rPr>
          <w:i/>
        </w:rPr>
        <w:t>cert. denied</w:t>
      </w:r>
      <w:r>
        <w:t>, 545 U.S. 1123 (2005)</w:t>
      </w:r>
      <w:r w:rsidR="00605263">
        <w:t xml:space="preserve"> (“</w:t>
      </w:r>
      <w:r w:rsidR="00605263" w:rsidRPr="00605263">
        <w:rPr>
          <w:i/>
        </w:rPr>
        <w:t>Definition of Radio Markets</w:t>
      </w:r>
      <w:r w:rsidR="00605263">
        <w:t>”)</w:t>
      </w:r>
      <w:r>
        <w:t>.</w:t>
      </w:r>
      <w:r w:rsidR="00C634BE">
        <w:t xml:space="preserve">  </w:t>
      </w:r>
    </w:p>
  </w:footnote>
  <w:footnote w:id="7">
    <w:p w:rsidR="00C634BE" w:rsidRDefault="00C634BE" w:rsidP="00605263">
      <w:pPr>
        <w:pStyle w:val="FootnoteText"/>
        <w:spacing w:after="120"/>
      </w:pPr>
      <w:r>
        <w:rPr>
          <w:rStyle w:val="FootnoteReference"/>
        </w:rPr>
        <w:footnoteRef/>
      </w:r>
      <w:r>
        <w:t xml:space="preserve"> </w:t>
      </w:r>
      <w:r w:rsidRPr="00605263">
        <w:rPr>
          <w:i/>
        </w:rPr>
        <w:t>Id</w:t>
      </w:r>
      <w:r>
        <w:t>.</w:t>
      </w:r>
      <w:r w:rsidR="00605263" w:rsidRPr="00605263">
        <w:rPr>
          <w:i/>
        </w:rPr>
        <w:t xml:space="preserve"> </w:t>
      </w:r>
    </w:p>
  </w:footnote>
  <w:footnote w:id="8">
    <w:p w:rsidR="001F1F58" w:rsidRDefault="001F1F58" w:rsidP="001F1F58">
      <w:pPr>
        <w:pStyle w:val="FootnoteText"/>
      </w:pPr>
      <w:r>
        <w:rPr>
          <w:rStyle w:val="FootnoteReference"/>
        </w:rPr>
        <w:footnoteRef/>
      </w:r>
      <w:r>
        <w:t xml:space="preserve"> </w:t>
      </w:r>
      <w:r w:rsidRPr="00B5739F">
        <w:rPr>
          <w:i/>
        </w:rPr>
        <w:t>John M. Pelkey, Esq.</w:t>
      </w:r>
      <w:r w:rsidRPr="00B5739F">
        <w:t>, Letter, 23 FCC Rcd 17978</w:t>
      </w:r>
      <w:r>
        <w:t>, 17981</w:t>
      </w:r>
      <w:r w:rsidRPr="00B5739F">
        <w:t xml:space="preserve"> (MB 2008)</w:t>
      </w:r>
      <w:r>
        <w:t>;</w:t>
      </w:r>
      <w:r w:rsidR="004E30D5">
        <w:t xml:space="preserve"> </w:t>
      </w:r>
      <w:r w:rsidR="004E30D5" w:rsidRPr="004E30D5">
        <w:rPr>
          <w:i/>
        </w:rPr>
        <w:t>Clear Channel Broadcasting Licenses, Inc</w:t>
      </w:r>
      <w:r w:rsidR="004E30D5">
        <w:t>. Memorandum Opinion and Order and Notice of Apparent Liability for Forfeiture, 24 FCC Rcd 14078, 14085 (MB 2009)</w:t>
      </w:r>
      <w:r w:rsidRPr="00B5739F">
        <w:t>.</w:t>
      </w:r>
      <w:r>
        <w:t xml:space="preserve">  </w:t>
      </w:r>
    </w:p>
    <w:p w:rsidR="001F1F58" w:rsidRDefault="001F1F58">
      <w:pPr>
        <w:pStyle w:val="FootnoteText"/>
      </w:pPr>
    </w:p>
  </w:footnote>
  <w:footnote w:id="9">
    <w:p w:rsidR="00605263" w:rsidRDefault="00605263" w:rsidP="00605263">
      <w:pPr>
        <w:pStyle w:val="FootnoteText"/>
        <w:spacing w:after="120"/>
      </w:pPr>
      <w:r>
        <w:rPr>
          <w:rStyle w:val="FootnoteReference"/>
        </w:rPr>
        <w:footnoteRef/>
      </w:r>
      <w:r>
        <w:t xml:space="preserve"> </w:t>
      </w:r>
      <w:r w:rsidRPr="00605263">
        <w:rPr>
          <w:i/>
        </w:rPr>
        <w:t>Definition of Radio Markets</w:t>
      </w:r>
      <w:r>
        <w:t>, 18 FCC Rcd at 13726.</w:t>
      </w:r>
    </w:p>
  </w:footnote>
  <w:footnote w:id="10">
    <w:p w:rsidR="006A612C" w:rsidRDefault="006A612C" w:rsidP="00605263">
      <w:pPr>
        <w:pStyle w:val="FootnoteText"/>
        <w:spacing w:after="120"/>
      </w:pPr>
      <w:r>
        <w:rPr>
          <w:rStyle w:val="FootnoteReference"/>
        </w:rPr>
        <w:footnoteRef/>
      </w:r>
      <w:r>
        <w:t xml:space="preserve"> Townsquare also argues that the second sentence of Worksheet 3 to FCC Form 314 suggests that the waiting period would not apply to this case because the Stations were listed by BIA as “home” to the Waterloo-Cedar Falls Arbitron radio market as of September 3, 2004, when the Local Radio Ownership Rule took effect.  Assignment Application, Ex. 18 at 3-4.  We reject this interpretation of Worksheet 3.  Townsquare is ignoring the fact that the second sentence begins with “In addition, . . . .”  This means the second sentence is additive and does not override the first sentence, which states:  “To demonstrate compliance with the numerical limits in the [Local Radio Ownership Rule], applicants may not rely on a change in a Metro’s geographic boundaries that has occurred since September 3, 2004, unless such change has been in effect for at least two years.”  FCC Form 314, Worksheet 3.</w:t>
      </w:r>
    </w:p>
  </w:footnote>
  <w:footnote w:id="11">
    <w:p w:rsidR="001E16E6" w:rsidRDefault="001E16E6" w:rsidP="00605263">
      <w:pPr>
        <w:pStyle w:val="FootnoteText"/>
        <w:spacing w:after="120"/>
      </w:pPr>
      <w:r>
        <w:rPr>
          <w:rStyle w:val="FootnoteReference"/>
        </w:rPr>
        <w:footnoteRef/>
      </w:r>
      <w:r>
        <w:t xml:space="preserve"> Assignment Application, Ex. 18 at 3-5.</w:t>
      </w:r>
    </w:p>
  </w:footnote>
  <w:footnote w:id="12">
    <w:p w:rsidR="000D73AE" w:rsidRPr="00032498" w:rsidRDefault="000D73AE" w:rsidP="00605263">
      <w:pPr>
        <w:pStyle w:val="FootnoteText"/>
        <w:spacing w:after="120"/>
      </w:pPr>
      <w:r w:rsidRPr="00032498">
        <w:rPr>
          <w:rStyle w:val="FootnoteReference"/>
        </w:rPr>
        <w:footnoteRef/>
      </w:r>
      <w:r w:rsidRPr="00032498">
        <w:t xml:space="preserve"> 47 C.F.R. § 1.3.</w:t>
      </w:r>
    </w:p>
  </w:footnote>
  <w:footnote w:id="13">
    <w:p w:rsidR="000D73AE" w:rsidRPr="00032498" w:rsidRDefault="000D73AE" w:rsidP="00605263">
      <w:pPr>
        <w:pStyle w:val="FootnoteText"/>
        <w:spacing w:after="120"/>
      </w:pPr>
      <w:r w:rsidRPr="00032498">
        <w:rPr>
          <w:rStyle w:val="FootnoteReference"/>
        </w:rPr>
        <w:footnoteRef/>
      </w:r>
      <w:r w:rsidRPr="00032498">
        <w:t xml:space="preserve"> </w:t>
      </w:r>
      <w:r w:rsidRPr="00032498">
        <w:rPr>
          <w:i/>
        </w:rPr>
        <w:t>WAIT Radio v. FCC</w:t>
      </w:r>
      <w:r w:rsidRPr="00032498">
        <w:t>, 418 F.2d 1153, 1157 (D.C. Cir. 1969) (subsequent history omitted).</w:t>
      </w:r>
    </w:p>
  </w:footnote>
  <w:footnote w:id="14">
    <w:p w:rsidR="000D73AE" w:rsidRPr="00032498" w:rsidRDefault="000D73AE" w:rsidP="00605263">
      <w:pPr>
        <w:pStyle w:val="FootnoteText"/>
        <w:spacing w:after="120"/>
      </w:pPr>
      <w:r w:rsidRPr="00032498">
        <w:rPr>
          <w:rStyle w:val="FootnoteReference"/>
        </w:rPr>
        <w:footnoteRef/>
      </w:r>
      <w:r w:rsidRPr="00032498">
        <w:t xml:space="preserve"> </w:t>
      </w:r>
      <w:r w:rsidRPr="00032498">
        <w:rPr>
          <w:i/>
        </w:rPr>
        <w:t>Greater Media Radio Co., Inc</w:t>
      </w:r>
      <w:r w:rsidRPr="00032498">
        <w:t xml:space="preserve">., Memorandum Opinion and Order, 15 FCC Rcd 7090 (1999) (citing </w:t>
      </w:r>
      <w:r w:rsidRPr="00032498">
        <w:rPr>
          <w:i/>
        </w:rPr>
        <w:t>Stoner Broadcasting System, Inc.</w:t>
      </w:r>
      <w:r w:rsidRPr="00032498">
        <w:t>, Memorandum Opinion and Order, 49 FCC 2d 1011, 1012 (1974)).</w:t>
      </w:r>
    </w:p>
  </w:footnote>
  <w:footnote w:id="15">
    <w:p w:rsidR="000D73AE" w:rsidRPr="00032498" w:rsidRDefault="000D73AE" w:rsidP="00605263">
      <w:pPr>
        <w:pStyle w:val="FootnoteText"/>
        <w:spacing w:after="120"/>
      </w:pPr>
      <w:r w:rsidRPr="00032498">
        <w:rPr>
          <w:rStyle w:val="FootnoteReference"/>
        </w:rPr>
        <w:footnoteRef/>
      </w:r>
      <w:r w:rsidRPr="00032498">
        <w:t xml:space="preserve"> </w:t>
      </w:r>
      <w:r w:rsidRPr="00032498">
        <w:rPr>
          <w:i/>
        </w:rPr>
        <w:t>NetworkIP, LLC v. FCC</w:t>
      </w:r>
      <w:r w:rsidRPr="00032498">
        <w:t xml:space="preserve">, 548 F.3d 116, 125-128 (D.C. Cir. 2008); </w:t>
      </w:r>
      <w:r w:rsidRPr="00032498">
        <w:rPr>
          <w:i/>
        </w:rPr>
        <w:t>Northeast Cellular</w:t>
      </w:r>
      <w:r>
        <w:rPr>
          <w:i/>
          <w:noProof/>
        </w:rPr>
        <w:drawing>
          <wp:inline distT="0" distB="0" distL="0" distR="0" wp14:anchorId="4CCEFFE7" wp14:editId="3C3C319C">
            <wp:extent cx="9525" cy="9525"/>
            <wp:effectExtent l="0" t="0" r="0" b="0"/>
            <wp:docPr id="7" name="Picture 7" descr="next hit">
              <a:hlinkClick xmlns:a="http://schemas.openxmlformats.org/drawingml/2006/main" r:id="rId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xt h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8" w:name="a0e3a6q7z1"/>
      <w:bookmarkEnd w:id="8"/>
      <w:r w:rsidRPr="00032498">
        <w:rPr>
          <w:i/>
        </w:rPr>
        <w:t xml:space="preserve"> Telephone Co. v. FCC</w:t>
      </w:r>
      <w:r w:rsidRPr="00032498">
        <w:t>,</w:t>
      </w:r>
      <w:r w:rsidRPr="00032498">
        <w:rPr>
          <w:i/>
        </w:rPr>
        <w:t xml:space="preserve"> </w:t>
      </w:r>
      <w:r w:rsidRPr="00032498">
        <w:t>897 F.2d 1164, 1166 (D.C. Cir. 1990).</w:t>
      </w:r>
    </w:p>
  </w:footnote>
  <w:footnote w:id="16">
    <w:p w:rsidR="00C634BE" w:rsidRPr="00032498" w:rsidRDefault="00C634BE" w:rsidP="00605263">
      <w:pPr>
        <w:pStyle w:val="FootnoteText"/>
        <w:spacing w:after="120"/>
      </w:pPr>
      <w:r w:rsidRPr="00032498">
        <w:rPr>
          <w:rStyle w:val="FootnoteReference"/>
        </w:rPr>
        <w:footnoteRef/>
      </w:r>
      <w:r w:rsidRPr="00032498">
        <w:t xml:space="preserve"> </w:t>
      </w:r>
      <w:r w:rsidRPr="00032498">
        <w:rPr>
          <w:i/>
        </w:rPr>
        <w:t xml:space="preserve">See </w:t>
      </w:r>
      <w:r>
        <w:rPr>
          <w:i/>
        </w:rPr>
        <w:t>Mary V. Harris</w:t>
      </w:r>
      <w:r>
        <w:t xml:space="preserve"> </w:t>
      </w:r>
      <w:r>
        <w:rPr>
          <w:i/>
        </w:rPr>
        <w:t>Found. v. FCC</w:t>
      </w:r>
      <w:r>
        <w:t>, 776 F.3d 21, 28 (D.C. Cir. 2015);</w:t>
      </w:r>
      <w:r>
        <w:rPr>
          <w:i/>
        </w:rPr>
        <w:t xml:space="preserve"> </w:t>
      </w:r>
      <w:r w:rsidRPr="00032498">
        <w:rPr>
          <w:i/>
        </w:rPr>
        <w:t>New Orleans Channel 20, Inc., v. FCC</w:t>
      </w:r>
      <w:r w:rsidRPr="00032498">
        <w:t>, 830 F.2d 361, 365-66 (D.C. Cir. 1987) (stating that “so long as the agency does not display evident disregard for its precedents, no violation occurs” when the agency refuses to exercise its discretion and denies a waiver request).</w:t>
      </w:r>
    </w:p>
  </w:footnote>
  <w:footnote w:id="17">
    <w:p w:rsidR="007870F3" w:rsidRDefault="007870F3" w:rsidP="003C14FC">
      <w:pPr>
        <w:pStyle w:val="FootnoteText"/>
        <w:spacing w:after="120"/>
      </w:pPr>
      <w:r>
        <w:rPr>
          <w:rStyle w:val="FootnoteReference"/>
        </w:rPr>
        <w:footnoteRef/>
      </w:r>
      <w:r>
        <w:t xml:space="preserve"> Townsquare also cites the distance between Waterloo and Cedar Rapids.  Assignment Application, Ex. 18 at 2.  However, this is not an unusual circumstance.  It is common for a station that is “home” to a market but not within the geographic boundaries of the market to be located a considerable distance from the cities in that market and</w:t>
      </w:r>
      <w:r w:rsidR="00592744">
        <w:t xml:space="preserve"> not provide a strong signal to those cities</w:t>
      </w:r>
      <w:r>
        <w:t xml:space="preserve">.  The distance between Waterloo and Cedar Rapids, and the related circumstances cited by Townsquare, are </w:t>
      </w:r>
      <w:r w:rsidR="00592744">
        <w:t>not meaningful factors in our waiver analysis.</w:t>
      </w:r>
    </w:p>
  </w:footnote>
  <w:footnote w:id="18">
    <w:p w:rsidR="00A47D8F" w:rsidRPr="009136F9" w:rsidRDefault="00A47D8F" w:rsidP="00A47D8F">
      <w:pPr>
        <w:pStyle w:val="FootnoteText"/>
        <w:spacing w:after="120"/>
      </w:pPr>
      <w:r>
        <w:rPr>
          <w:rStyle w:val="FootnoteReference"/>
        </w:rPr>
        <w:footnoteRef/>
      </w:r>
      <w:r>
        <w:t xml:space="preserve"> </w:t>
      </w:r>
      <w:r>
        <w:rPr>
          <w:i/>
        </w:rPr>
        <w:t xml:space="preserve">See, e.g., </w:t>
      </w:r>
      <w:r w:rsidRPr="000476DC">
        <w:rPr>
          <w:i/>
        </w:rPr>
        <w:t>Forever Broadcasting, LLC</w:t>
      </w:r>
      <w:r>
        <w:t>, Letter, 23 FCC Rcd 17978 (MB 2008) (two-year rule applies to party seeking to acquire additional stations based on Arbitron’s decision to terminate a radio market following the party’s cancellation of its Arbitron subscription).</w:t>
      </w:r>
    </w:p>
  </w:footnote>
  <w:footnote w:id="19">
    <w:p w:rsidR="00F90556" w:rsidRDefault="00F90556" w:rsidP="00F90556">
      <w:pPr>
        <w:pStyle w:val="FootnoteText"/>
      </w:pPr>
      <w:r>
        <w:rPr>
          <w:rStyle w:val="FootnoteReference"/>
        </w:rPr>
        <w:footnoteRef/>
      </w:r>
      <w:r>
        <w:t xml:space="preserve"> The precedents cited above support our interest in applying clear, consistent standards when evaluating waiver requests by applicants.  </w:t>
      </w:r>
      <w:r w:rsidRPr="000476DC">
        <w:rPr>
          <w:i/>
        </w:rPr>
        <w:t>See Mary V. Harris Found. v. FCC</w:t>
      </w:r>
      <w:r>
        <w:t xml:space="preserve">, 776 F.3d at 28; </w:t>
      </w:r>
      <w:r w:rsidRPr="000476DC">
        <w:rPr>
          <w:i/>
        </w:rPr>
        <w:t>New Orleans Channel 20, Inc. v. FCC</w:t>
      </w:r>
      <w:r>
        <w:t>, 830 F.2d 365-66.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47" w:rsidRDefault="008E7D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47" w:rsidRDefault="008E7D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2C" w:rsidRPr="007D2B0D" w:rsidRDefault="00625074" w:rsidP="00CA1D8D">
    <w:pPr>
      <w:pStyle w:val="Header"/>
      <w:tabs>
        <w:tab w:val="clear" w:pos="4320"/>
        <w:tab w:val="clear" w:pos="8640"/>
      </w:tabs>
      <w:spacing w:before="360"/>
      <w:jc w:val="center"/>
      <w:rPr>
        <w:b/>
        <w:sz w:val="22"/>
        <w:szCs w:val="22"/>
      </w:rPr>
    </w:pPr>
    <w:r>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88949916" r:id="rId2"/>
      </w:pict>
    </w:r>
    <w:r w:rsidR="006A612C" w:rsidRPr="007D2B0D">
      <w:rPr>
        <w:b/>
        <w:sz w:val="22"/>
        <w:szCs w:val="22"/>
      </w:rPr>
      <w:t>Federal Communications Commission</w:t>
    </w:r>
  </w:p>
  <w:p w:rsidR="006A612C" w:rsidRPr="007D2B0D" w:rsidRDefault="006A612C">
    <w:pPr>
      <w:jc w:val="center"/>
      <w:rPr>
        <w:b/>
        <w:sz w:val="22"/>
        <w:szCs w:val="22"/>
      </w:rPr>
    </w:pPr>
    <w:smartTag w:uri="urn:schemas-microsoft-com:office:smarttags" w:element="place">
      <w:smartTag w:uri="urn:schemas-microsoft-com:office:smarttags" w:element="City">
        <w:r w:rsidRPr="007D2B0D">
          <w:rPr>
            <w:b/>
            <w:sz w:val="22"/>
            <w:szCs w:val="22"/>
          </w:rPr>
          <w:t>Washington</w:t>
        </w:r>
      </w:smartTag>
      <w:r w:rsidRPr="007D2B0D">
        <w:rPr>
          <w:b/>
          <w:sz w:val="22"/>
          <w:szCs w:val="22"/>
        </w:rPr>
        <w:t xml:space="preserve">, </w:t>
      </w:r>
      <w:smartTag w:uri="urn:schemas-microsoft-com:office:smarttags" w:element="State">
        <w:r w:rsidRPr="007D2B0D">
          <w:rPr>
            <w:b/>
            <w:sz w:val="22"/>
            <w:szCs w:val="22"/>
          </w:rPr>
          <w:t>D.C.</w:t>
        </w:r>
      </w:smartTag>
      <w:r w:rsidRPr="007D2B0D">
        <w:rPr>
          <w:b/>
          <w:sz w:val="22"/>
          <w:szCs w:val="22"/>
        </w:rPr>
        <w:t xml:space="preserve"> </w:t>
      </w:r>
      <w:smartTag w:uri="urn:schemas-microsoft-com:office:smarttags" w:element="PostalCode">
        <w:r w:rsidRPr="007D2B0D">
          <w:rPr>
            <w:b/>
            <w:sz w:val="22"/>
            <w:szCs w:val="22"/>
          </w:rPr>
          <w:t>20554</w:t>
        </w:r>
      </w:smartTag>
    </w:smartTag>
  </w:p>
  <w:p w:rsidR="006A612C" w:rsidRDefault="006A612C">
    <w:pPr>
      <w:jc w:val="center"/>
      <w:rPr>
        <w:rFonts w:ascii="CG Times (W1)" w:hAnsi="CG Times (W1)"/>
        <w:sz w:val="28"/>
      </w:rPr>
    </w:pPr>
  </w:p>
  <w:p w:rsidR="006A612C" w:rsidRDefault="006A612C" w:rsidP="00F072A6">
    <w:pPr>
      <w:jc w:val="center"/>
    </w:pPr>
    <w:r>
      <w:t xml:space="preserve">March </w:t>
    </w:r>
    <w:r w:rsidR="007152BA">
      <w:t>27</w:t>
    </w:r>
    <w:r>
      <w:t>, 2015</w:t>
    </w:r>
  </w:p>
  <w:p w:rsidR="006A612C" w:rsidRDefault="006A612C" w:rsidP="001E0BC3">
    <w:pPr>
      <w:pStyle w:val="Header"/>
      <w:tabs>
        <w:tab w:val="clear" w:pos="4320"/>
      </w:tabs>
      <w:rPr>
        <w:sz w:val="22"/>
      </w:rPr>
    </w:pPr>
  </w:p>
  <w:p w:rsidR="006A612C" w:rsidRDefault="006A612C" w:rsidP="00A013C8">
    <w:pPr>
      <w:pStyle w:val="Header"/>
      <w:tabs>
        <w:tab w:val="clear" w:pos="4320"/>
        <w:tab w:val="left" w:pos="5580"/>
        <w:tab w:val="left" w:pos="5760"/>
        <w:tab w:val="left" w:pos="6480"/>
        <w:tab w:val="left" w:pos="6570"/>
        <w:tab w:val="left" w:pos="6660"/>
      </w:tabs>
    </w:pPr>
    <w:r w:rsidRPr="007D2B0D">
      <w:rPr>
        <w:b/>
        <w:sz w:val="22"/>
      </w:rPr>
      <w:t xml:space="preserve">                                                                                                     </w:t>
    </w:r>
    <w:r>
      <w:rPr>
        <w:b/>
        <w:sz w:val="22"/>
      </w:rPr>
      <w:t xml:space="preserve">                   </w:t>
    </w:r>
  </w:p>
  <w:p w:rsidR="006A612C" w:rsidRPr="0071656B" w:rsidRDefault="006A612C" w:rsidP="001E0BC3">
    <w:pPr>
      <w:pStyle w:val="Header"/>
      <w:tabs>
        <w:tab w:val="clear" w:pos="4320"/>
      </w:tabs>
    </w:pPr>
    <w:r>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8D"/>
    <w:rsid w:val="00000A73"/>
    <w:rsid w:val="00001499"/>
    <w:rsid w:val="00002026"/>
    <w:rsid w:val="00002304"/>
    <w:rsid w:val="000030D1"/>
    <w:rsid w:val="000040A2"/>
    <w:rsid w:val="0000660B"/>
    <w:rsid w:val="00010318"/>
    <w:rsid w:val="000107DD"/>
    <w:rsid w:val="00010808"/>
    <w:rsid w:val="000113EF"/>
    <w:rsid w:val="00011F35"/>
    <w:rsid w:val="000122ED"/>
    <w:rsid w:val="00014EF4"/>
    <w:rsid w:val="00015A9E"/>
    <w:rsid w:val="00017E4A"/>
    <w:rsid w:val="00021F84"/>
    <w:rsid w:val="00022851"/>
    <w:rsid w:val="000244A5"/>
    <w:rsid w:val="00024F3A"/>
    <w:rsid w:val="00025F11"/>
    <w:rsid w:val="0002757C"/>
    <w:rsid w:val="0003084B"/>
    <w:rsid w:val="0003110D"/>
    <w:rsid w:val="00034924"/>
    <w:rsid w:val="0003505E"/>
    <w:rsid w:val="00036C3A"/>
    <w:rsid w:val="000401CE"/>
    <w:rsid w:val="000402DD"/>
    <w:rsid w:val="0004067C"/>
    <w:rsid w:val="00042975"/>
    <w:rsid w:val="00042F38"/>
    <w:rsid w:val="000434B6"/>
    <w:rsid w:val="00044999"/>
    <w:rsid w:val="00047555"/>
    <w:rsid w:val="000476DC"/>
    <w:rsid w:val="0005347A"/>
    <w:rsid w:val="0005501E"/>
    <w:rsid w:val="000568A2"/>
    <w:rsid w:val="00056E80"/>
    <w:rsid w:val="00060606"/>
    <w:rsid w:val="00060717"/>
    <w:rsid w:val="000628DD"/>
    <w:rsid w:val="000634FE"/>
    <w:rsid w:val="00063529"/>
    <w:rsid w:val="00063AEB"/>
    <w:rsid w:val="000647E6"/>
    <w:rsid w:val="00064F14"/>
    <w:rsid w:val="00065144"/>
    <w:rsid w:val="00070595"/>
    <w:rsid w:val="00071FAD"/>
    <w:rsid w:val="00072CE4"/>
    <w:rsid w:val="000751EA"/>
    <w:rsid w:val="0008190B"/>
    <w:rsid w:val="00081D13"/>
    <w:rsid w:val="00081E36"/>
    <w:rsid w:val="00082C62"/>
    <w:rsid w:val="00083ED2"/>
    <w:rsid w:val="000842D4"/>
    <w:rsid w:val="00084E7B"/>
    <w:rsid w:val="00084EEA"/>
    <w:rsid w:val="000867AF"/>
    <w:rsid w:val="00087B6F"/>
    <w:rsid w:val="00090293"/>
    <w:rsid w:val="00090A30"/>
    <w:rsid w:val="000924F9"/>
    <w:rsid w:val="00093962"/>
    <w:rsid w:val="00094173"/>
    <w:rsid w:val="000943C0"/>
    <w:rsid w:val="00094FB6"/>
    <w:rsid w:val="0009646A"/>
    <w:rsid w:val="000A02CB"/>
    <w:rsid w:val="000A084C"/>
    <w:rsid w:val="000A10F4"/>
    <w:rsid w:val="000A270A"/>
    <w:rsid w:val="000A6203"/>
    <w:rsid w:val="000A734C"/>
    <w:rsid w:val="000A7428"/>
    <w:rsid w:val="000B1049"/>
    <w:rsid w:val="000B2D69"/>
    <w:rsid w:val="000B3932"/>
    <w:rsid w:val="000B5B98"/>
    <w:rsid w:val="000B6691"/>
    <w:rsid w:val="000B6AF1"/>
    <w:rsid w:val="000C1BCB"/>
    <w:rsid w:val="000C38DE"/>
    <w:rsid w:val="000C5935"/>
    <w:rsid w:val="000D0A43"/>
    <w:rsid w:val="000D1AC3"/>
    <w:rsid w:val="000D25C6"/>
    <w:rsid w:val="000D3439"/>
    <w:rsid w:val="000D632E"/>
    <w:rsid w:val="000D7058"/>
    <w:rsid w:val="000D73AE"/>
    <w:rsid w:val="000E01C7"/>
    <w:rsid w:val="000E19E9"/>
    <w:rsid w:val="000E3C4F"/>
    <w:rsid w:val="000E51B9"/>
    <w:rsid w:val="000E58CE"/>
    <w:rsid w:val="000F4C1F"/>
    <w:rsid w:val="000F4F59"/>
    <w:rsid w:val="000F579F"/>
    <w:rsid w:val="000F7EE6"/>
    <w:rsid w:val="001000D9"/>
    <w:rsid w:val="001017B9"/>
    <w:rsid w:val="00101E3D"/>
    <w:rsid w:val="00104E2C"/>
    <w:rsid w:val="00105A37"/>
    <w:rsid w:val="00106F9F"/>
    <w:rsid w:val="00111F76"/>
    <w:rsid w:val="00112F1B"/>
    <w:rsid w:val="001144D0"/>
    <w:rsid w:val="001167FD"/>
    <w:rsid w:val="00117AC8"/>
    <w:rsid w:val="00120806"/>
    <w:rsid w:val="00120E42"/>
    <w:rsid w:val="00121BB7"/>
    <w:rsid w:val="0012272E"/>
    <w:rsid w:val="00123DEC"/>
    <w:rsid w:val="00126C81"/>
    <w:rsid w:val="00127ECF"/>
    <w:rsid w:val="00132EC7"/>
    <w:rsid w:val="00134FA9"/>
    <w:rsid w:val="001361CA"/>
    <w:rsid w:val="00137D17"/>
    <w:rsid w:val="00142F3C"/>
    <w:rsid w:val="00143758"/>
    <w:rsid w:val="00143DE3"/>
    <w:rsid w:val="00143E7C"/>
    <w:rsid w:val="001444DE"/>
    <w:rsid w:val="0014481C"/>
    <w:rsid w:val="0014521B"/>
    <w:rsid w:val="001452AC"/>
    <w:rsid w:val="0014585A"/>
    <w:rsid w:val="00146767"/>
    <w:rsid w:val="00146C95"/>
    <w:rsid w:val="00152CCF"/>
    <w:rsid w:val="00152F97"/>
    <w:rsid w:val="00153271"/>
    <w:rsid w:val="0015335C"/>
    <w:rsid w:val="001537AE"/>
    <w:rsid w:val="00154394"/>
    <w:rsid w:val="00154992"/>
    <w:rsid w:val="00156019"/>
    <w:rsid w:val="001649B5"/>
    <w:rsid w:val="0016553F"/>
    <w:rsid w:val="00167793"/>
    <w:rsid w:val="0017047F"/>
    <w:rsid w:val="0017075F"/>
    <w:rsid w:val="00171D51"/>
    <w:rsid w:val="0017217E"/>
    <w:rsid w:val="0017293A"/>
    <w:rsid w:val="00172E4B"/>
    <w:rsid w:val="00173CF5"/>
    <w:rsid w:val="001745FC"/>
    <w:rsid w:val="00174FA2"/>
    <w:rsid w:val="00176350"/>
    <w:rsid w:val="00176912"/>
    <w:rsid w:val="00176C21"/>
    <w:rsid w:val="001772DF"/>
    <w:rsid w:val="00180070"/>
    <w:rsid w:val="00180563"/>
    <w:rsid w:val="0018130B"/>
    <w:rsid w:val="001818EE"/>
    <w:rsid w:val="00182654"/>
    <w:rsid w:val="00183B23"/>
    <w:rsid w:val="0018403E"/>
    <w:rsid w:val="00184DCD"/>
    <w:rsid w:val="001854BD"/>
    <w:rsid w:val="001873D4"/>
    <w:rsid w:val="00187737"/>
    <w:rsid w:val="00187CB0"/>
    <w:rsid w:val="00190EBB"/>
    <w:rsid w:val="00191EF5"/>
    <w:rsid w:val="001933C9"/>
    <w:rsid w:val="00195E7A"/>
    <w:rsid w:val="00196870"/>
    <w:rsid w:val="001A10E3"/>
    <w:rsid w:val="001A2AB9"/>
    <w:rsid w:val="001A3DD3"/>
    <w:rsid w:val="001A4B51"/>
    <w:rsid w:val="001A61A5"/>
    <w:rsid w:val="001A625F"/>
    <w:rsid w:val="001A7561"/>
    <w:rsid w:val="001A798D"/>
    <w:rsid w:val="001B0855"/>
    <w:rsid w:val="001B242A"/>
    <w:rsid w:val="001B2CF6"/>
    <w:rsid w:val="001B42B3"/>
    <w:rsid w:val="001B505A"/>
    <w:rsid w:val="001B55B7"/>
    <w:rsid w:val="001B55DF"/>
    <w:rsid w:val="001B55E2"/>
    <w:rsid w:val="001B591E"/>
    <w:rsid w:val="001B600D"/>
    <w:rsid w:val="001C00C5"/>
    <w:rsid w:val="001C0440"/>
    <w:rsid w:val="001C26FE"/>
    <w:rsid w:val="001C3509"/>
    <w:rsid w:val="001C5099"/>
    <w:rsid w:val="001C60DB"/>
    <w:rsid w:val="001D10C7"/>
    <w:rsid w:val="001D21C9"/>
    <w:rsid w:val="001D2314"/>
    <w:rsid w:val="001D6117"/>
    <w:rsid w:val="001E0BC3"/>
    <w:rsid w:val="001E0FCF"/>
    <w:rsid w:val="001E16E6"/>
    <w:rsid w:val="001E2457"/>
    <w:rsid w:val="001E25FD"/>
    <w:rsid w:val="001E73A0"/>
    <w:rsid w:val="001F004C"/>
    <w:rsid w:val="001F076C"/>
    <w:rsid w:val="001F1F58"/>
    <w:rsid w:val="001F2293"/>
    <w:rsid w:val="001F3F26"/>
    <w:rsid w:val="001F4E47"/>
    <w:rsid w:val="001F7962"/>
    <w:rsid w:val="00200697"/>
    <w:rsid w:val="00201323"/>
    <w:rsid w:val="00203716"/>
    <w:rsid w:val="00205423"/>
    <w:rsid w:val="00206BCE"/>
    <w:rsid w:val="00210809"/>
    <w:rsid w:val="00211129"/>
    <w:rsid w:val="002129EE"/>
    <w:rsid w:val="0021337A"/>
    <w:rsid w:val="00217B8E"/>
    <w:rsid w:val="00220963"/>
    <w:rsid w:val="002260A2"/>
    <w:rsid w:val="002271BD"/>
    <w:rsid w:val="00227602"/>
    <w:rsid w:val="00230437"/>
    <w:rsid w:val="00232459"/>
    <w:rsid w:val="0023602E"/>
    <w:rsid w:val="00237662"/>
    <w:rsid w:val="00237BCB"/>
    <w:rsid w:val="00242F8F"/>
    <w:rsid w:val="00243870"/>
    <w:rsid w:val="00244DEA"/>
    <w:rsid w:val="002454B7"/>
    <w:rsid w:val="00250AEC"/>
    <w:rsid w:val="00252DEC"/>
    <w:rsid w:val="0025482E"/>
    <w:rsid w:val="00255973"/>
    <w:rsid w:val="00260C79"/>
    <w:rsid w:val="00260F53"/>
    <w:rsid w:val="0026122F"/>
    <w:rsid w:val="00261FEB"/>
    <w:rsid w:val="0026215B"/>
    <w:rsid w:val="00263080"/>
    <w:rsid w:val="00264140"/>
    <w:rsid w:val="002647AA"/>
    <w:rsid w:val="00266259"/>
    <w:rsid w:val="00267272"/>
    <w:rsid w:val="002723C3"/>
    <w:rsid w:val="00272D49"/>
    <w:rsid w:val="00274971"/>
    <w:rsid w:val="002758BF"/>
    <w:rsid w:val="00280900"/>
    <w:rsid w:val="002832E7"/>
    <w:rsid w:val="0028350D"/>
    <w:rsid w:val="0029245B"/>
    <w:rsid w:val="00292688"/>
    <w:rsid w:val="002972B9"/>
    <w:rsid w:val="0029776A"/>
    <w:rsid w:val="002A0422"/>
    <w:rsid w:val="002A10BB"/>
    <w:rsid w:val="002A1C56"/>
    <w:rsid w:val="002A2183"/>
    <w:rsid w:val="002A410A"/>
    <w:rsid w:val="002A6634"/>
    <w:rsid w:val="002A68DB"/>
    <w:rsid w:val="002B2250"/>
    <w:rsid w:val="002B2C13"/>
    <w:rsid w:val="002B2CAF"/>
    <w:rsid w:val="002B47D9"/>
    <w:rsid w:val="002B5226"/>
    <w:rsid w:val="002B52CF"/>
    <w:rsid w:val="002B6966"/>
    <w:rsid w:val="002C09EC"/>
    <w:rsid w:val="002C590C"/>
    <w:rsid w:val="002C63F7"/>
    <w:rsid w:val="002C6A72"/>
    <w:rsid w:val="002C6DCB"/>
    <w:rsid w:val="002C7B6F"/>
    <w:rsid w:val="002D0C64"/>
    <w:rsid w:val="002D253C"/>
    <w:rsid w:val="002D2AD4"/>
    <w:rsid w:val="002D43CB"/>
    <w:rsid w:val="002D7CF7"/>
    <w:rsid w:val="002E10FA"/>
    <w:rsid w:val="002E1B2B"/>
    <w:rsid w:val="002E3511"/>
    <w:rsid w:val="002E39EA"/>
    <w:rsid w:val="002E6D06"/>
    <w:rsid w:val="002F08E3"/>
    <w:rsid w:val="002F176E"/>
    <w:rsid w:val="002F3B56"/>
    <w:rsid w:val="002F4D6E"/>
    <w:rsid w:val="002F6436"/>
    <w:rsid w:val="002F717D"/>
    <w:rsid w:val="002F772F"/>
    <w:rsid w:val="0030135C"/>
    <w:rsid w:val="00302076"/>
    <w:rsid w:val="003021C8"/>
    <w:rsid w:val="0030307E"/>
    <w:rsid w:val="003057DC"/>
    <w:rsid w:val="003066E9"/>
    <w:rsid w:val="00311961"/>
    <w:rsid w:val="003155DD"/>
    <w:rsid w:val="003158B2"/>
    <w:rsid w:val="00316BBB"/>
    <w:rsid w:val="00316C5F"/>
    <w:rsid w:val="00322BCF"/>
    <w:rsid w:val="00323273"/>
    <w:rsid w:val="00324049"/>
    <w:rsid w:val="00324A49"/>
    <w:rsid w:val="003324E5"/>
    <w:rsid w:val="00337657"/>
    <w:rsid w:val="00337F55"/>
    <w:rsid w:val="0034407C"/>
    <w:rsid w:val="003455A0"/>
    <w:rsid w:val="003466F4"/>
    <w:rsid w:val="00350239"/>
    <w:rsid w:val="00351A4B"/>
    <w:rsid w:val="00353381"/>
    <w:rsid w:val="00354BBE"/>
    <w:rsid w:val="00355C1E"/>
    <w:rsid w:val="00361373"/>
    <w:rsid w:val="003623EF"/>
    <w:rsid w:val="003631FA"/>
    <w:rsid w:val="00364AAA"/>
    <w:rsid w:val="00365FCF"/>
    <w:rsid w:val="0036709F"/>
    <w:rsid w:val="00367EFF"/>
    <w:rsid w:val="00371419"/>
    <w:rsid w:val="00371803"/>
    <w:rsid w:val="00374296"/>
    <w:rsid w:val="00380C41"/>
    <w:rsid w:val="00380E3B"/>
    <w:rsid w:val="0038253B"/>
    <w:rsid w:val="0038466B"/>
    <w:rsid w:val="00384BB4"/>
    <w:rsid w:val="00385485"/>
    <w:rsid w:val="003856B0"/>
    <w:rsid w:val="00385731"/>
    <w:rsid w:val="00385F8F"/>
    <w:rsid w:val="0038612F"/>
    <w:rsid w:val="00387DE0"/>
    <w:rsid w:val="00391366"/>
    <w:rsid w:val="003914B0"/>
    <w:rsid w:val="00392E19"/>
    <w:rsid w:val="00394D8D"/>
    <w:rsid w:val="003A203E"/>
    <w:rsid w:val="003A7097"/>
    <w:rsid w:val="003A7215"/>
    <w:rsid w:val="003B0BD8"/>
    <w:rsid w:val="003B0E94"/>
    <w:rsid w:val="003B10A8"/>
    <w:rsid w:val="003B2EC3"/>
    <w:rsid w:val="003B35AC"/>
    <w:rsid w:val="003B5C75"/>
    <w:rsid w:val="003C14FC"/>
    <w:rsid w:val="003C1C3F"/>
    <w:rsid w:val="003C25C5"/>
    <w:rsid w:val="003C2DBC"/>
    <w:rsid w:val="003C2FE4"/>
    <w:rsid w:val="003C3C10"/>
    <w:rsid w:val="003C4333"/>
    <w:rsid w:val="003C586C"/>
    <w:rsid w:val="003D0574"/>
    <w:rsid w:val="003D2248"/>
    <w:rsid w:val="003D3D2A"/>
    <w:rsid w:val="003D40BA"/>
    <w:rsid w:val="003D4E16"/>
    <w:rsid w:val="003D4E18"/>
    <w:rsid w:val="003E0066"/>
    <w:rsid w:val="003E1721"/>
    <w:rsid w:val="003E370F"/>
    <w:rsid w:val="003E3F0E"/>
    <w:rsid w:val="003E42C8"/>
    <w:rsid w:val="003E629B"/>
    <w:rsid w:val="003E62AA"/>
    <w:rsid w:val="003E63B7"/>
    <w:rsid w:val="003F4FE3"/>
    <w:rsid w:val="003F60E5"/>
    <w:rsid w:val="003F6B6A"/>
    <w:rsid w:val="004004B0"/>
    <w:rsid w:val="004042DA"/>
    <w:rsid w:val="00404359"/>
    <w:rsid w:val="00404EF5"/>
    <w:rsid w:val="0040646C"/>
    <w:rsid w:val="00407791"/>
    <w:rsid w:val="0041122D"/>
    <w:rsid w:val="00412ECE"/>
    <w:rsid w:val="004139BB"/>
    <w:rsid w:val="00416FB9"/>
    <w:rsid w:val="00417E46"/>
    <w:rsid w:val="00420091"/>
    <w:rsid w:val="004203DD"/>
    <w:rsid w:val="00424D89"/>
    <w:rsid w:val="004300F8"/>
    <w:rsid w:val="0043303B"/>
    <w:rsid w:val="00433B4C"/>
    <w:rsid w:val="00435DA5"/>
    <w:rsid w:val="004412C7"/>
    <w:rsid w:val="0044135C"/>
    <w:rsid w:val="00442C46"/>
    <w:rsid w:val="00442E52"/>
    <w:rsid w:val="004440F8"/>
    <w:rsid w:val="004441E2"/>
    <w:rsid w:val="0044435E"/>
    <w:rsid w:val="00447162"/>
    <w:rsid w:val="00450119"/>
    <w:rsid w:val="004518E9"/>
    <w:rsid w:val="00452C4A"/>
    <w:rsid w:val="0045514A"/>
    <w:rsid w:val="004577BB"/>
    <w:rsid w:val="00461037"/>
    <w:rsid w:val="004613B5"/>
    <w:rsid w:val="0046236E"/>
    <w:rsid w:val="00462C72"/>
    <w:rsid w:val="0046479A"/>
    <w:rsid w:val="00465986"/>
    <w:rsid w:val="00465A31"/>
    <w:rsid w:val="0046723F"/>
    <w:rsid w:val="004674B5"/>
    <w:rsid w:val="00474654"/>
    <w:rsid w:val="00474A94"/>
    <w:rsid w:val="0047556D"/>
    <w:rsid w:val="00480086"/>
    <w:rsid w:val="004808EB"/>
    <w:rsid w:val="0048130C"/>
    <w:rsid w:val="0048167E"/>
    <w:rsid w:val="004818FC"/>
    <w:rsid w:val="004830F6"/>
    <w:rsid w:val="0048422B"/>
    <w:rsid w:val="004842CF"/>
    <w:rsid w:val="00484FD9"/>
    <w:rsid w:val="00487945"/>
    <w:rsid w:val="004904B8"/>
    <w:rsid w:val="0049216A"/>
    <w:rsid w:val="00493F3B"/>
    <w:rsid w:val="004942CE"/>
    <w:rsid w:val="0049491A"/>
    <w:rsid w:val="004954A1"/>
    <w:rsid w:val="00495F45"/>
    <w:rsid w:val="004A06B1"/>
    <w:rsid w:val="004A0BDF"/>
    <w:rsid w:val="004A1A2D"/>
    <w:rsid w:val="004A2068"/>
    <w:rsid w:val="004A280B"/>
    <w:rsid w:val="004A7158"/>
    <w:rsid w:val="004B0529"/>
    <w:rsid w:val="004B0BA4"/>
    <w:rsid w:val="004B0DF4"/>
    <w:rsid w:val="004B1BDF"/>
    <w:rsid w:val="004B31F7"/>
    <w:rsid w:val="004B5479"/>
    <w:rsid w:val="004B5F34"/>
    <w:rsid w:val="004B6A3E"/>
    <w:rsid w:val="004B6A57"/>
    <w:rsid w:val="004B7668"/>
    <w:rsid w:val="004C0267"/>
    <w:rsid w:val="004C38E1"/>
    <w:rsid w:val="004C4FE4"/>
    <w:rsid w:val="004C5247"/>
    <w:rsid w:val="004C5D2C"/>
    <w:rsid w:val="004C6487"/>
    <w:rsid w:val="004C65DB"/>
    <w:rsid w:val="004C721F"/>
    <w:rsid w:val="004D123D"/>
    <w:rsid w:val="004D12C6"/>
    <w:rsid w:val="004D24AB"/>
    <w:rsid w:val="004E09EE"/>
    <w:rsid w:val="004E30D5"/>
    <w:rsid w:val="004E5052"/>
    <w:rsid w:val="004E59AE"/>
    <w:rsid w:val="004E5B78"/>
    <w:rsid w:val="004F0AAC"/>
    <w:rsid w:val="004F4A73"/>
    <w:rsid w:val="004F5DA9"/>
    <w:rsid w:val="004F5FBF"/>
    <w:rsid w:val="004F717C"/>
    <w:rsid w:val="005006AC"/>
    <w:rsid w:val="00501094"/>
    <w:rsid w:val="005022B9"/>
    <w:rsid w:val="0050359B"/>
    <w:rsid w:val="00504785"/>
    <w:rsid w:val="00507C40"/>
    <w:rsid w:val="00507F63"/>
    <w:rsid w:val="005108B6"/>
    <w:rsid w:val="00510CC4"/>
    <w:rsid w:val="00510D03"/>
    <w:rsid w:val="00510F0C"/>
    <w:rsid w:val="00511FDB"/>
    <w:rsid w:val="005122C8"/>
    <w:rsid w:val="005153B8"/>
    <w:rsid w:val="0051747B"/>
    <w:rsid w:val="00522C9F"/>
    <w:rsid w:val="00523206"/>
    <w:rsid w:val="00527BC8"/>
    <w:rsid w:val="00530DC7"/>
    <w:rsid w:val="00532CAA"/>
    <w:rsid w:val="00532DDF"/>
    <w:rsid w:val="0053532B"/>
    <w:rsid w:val="0053550A"/>
    <w:rsid w:val="005363CF"/>
    <w:rsid w:val="005414D8"/>
    <w:rsid w:val="00545E14"/>
    <w:rsid w:val="00546DD0"/>
    <w:rsid w:val="00547C04"/>
    <w:rsid w:val="00547E2F"/>
    <w:rsid w:val="00552414"/>
    <w:rsid w:val="00553676"/>
    <w:rsid w:val="00553F82"/>
    <w:rsid w:val="00554D44"/>
    <w:rsid w:val="00554F4A"/>
    <w:rsid w:val="00555142"/>
    <w:rsid w:val="00555CB7"/>
    <w:rsid w:val="005567FF"/>
    <w:rsid w:val="0055686A"/>
    <w:rsid w:val="00561298"/>
    <w:rsid w:val="005636E3"/>
    <w:rsid w:val="0056508E"/>
    <w:rsid w:val="005659F0"/>
    <w:rsid w:val="0056634F"/>
    <w:rsid w:val="00570630"/>
    <w:rsid w:val="00570F82"/>
    <w:rsid w:val="0057165D"/>
    <w:rsid w:val="0057202D"/>
    <w:rsid w:val="0057210B"/>
    <w:rsid w:val="00572614"/>
    <w:rsid w:val="0057269B"/>
    <w:rsid w:val="00574A49"/>
    <w:rsid w:val="00574B51"/>
    <w:rsid w:val="00574BF0"/>
    <w:rsid w:val="005835FC"/>
    <w:rsid w:val="00583700"/>
    <w:rsid w:val="00583FFC"/>
    <w:rsid w:val="00584E0C"/>
    <w:rsid w:val="005852C7"/>
    <w:rsid w:val="00585423"/>
    <w:rsid w:val="00585B28"/>
    <w:rsid w:val="00590EA7"/>
    <w:rsid w:val="00592744"/>
    <w:rsid w:val="00595D11"/>
    <w:rsid w:val="0059622B"/>
    <w:rsid w:val="0059662C"/>
    <w:rsid w:val="00596F40"/>
    <w:rsid w:val="005A0FD7"/>
    <w:rsid w:val="005A1E7B"/>
    <w:rsid w:val="005A2887"/>
    <w:rsid w:val="005A430F"/>
    <w:rsid w:val="005A4722"/>
    <w:rsid w:val="005A5B5A"/>
    <w:rsid w:val="005A7DEE"/>
    <w:rsid w:val="005A7F62"/>
    <w:rsid w:val="005B13C3"/>
    <w:rsid w:val="005B4E0B"/>
    <w:rsid w:val="005B5195"/>
    <w:rsid w:val="005B6ABD"/>
    <w:rsid w:val="005B71BF"/>
    <w:rsid w:val="005C05DC"/>
    <w:rsid w:val="005C18B9"/>
    <w:rsid w:val="005C2ED8"/>
    <w:rsid w:val="005C3FF7"/>
    <w:rsid w:val="005C53B8"/>
    <w:rsid w:val="005D0326"/>
    <w:rsid w:val="005D0E61"/>
    <w:rsid w:val="005D1ABE"/>
    <w:rsid w:val="005D643B"/>
    <w:rsid w:val="005E1547"/>
    <w:rsid w:val="005E1904"/>
    <w:rsid w:val="005E1A1E"/>
    <w:rsid w:val="005E3064"/>
    <w:rsid w:val="005E5367"/>
    <w:rsid w:val="005E5EB4"/>
    <w:rsid w:val="005E737A"/>
    <w:rsid w:val="005F061D"/>
    <w:rsid w:val="005F0769"/>
    <w:rsid w:val="005F0E6F"/>
    <w:rsid w:val="005F4189"/>
    <w:rsid w:val="0060033D"/>
    <w:rsid w:val="00603FB9"/>
    <w:rsid w:val="006048FA"/>
    <w:rsid w:val="00605263"/>
    <w:rsid w:val="00605DBF"/>
    <w:rsid w:val="00605E9A"/>
    <w:rsid w:val="006077DC"/>
    <w:rsid w:val="00607B45"/>
    <w:rsid w:val="00607DEF"/>
    <w:rsid w:val="00610088"/>
    <w:rsid w:val="00610E50"/>
    <w:rsid w:val="006111B7"/>
    <w:rsid w:val="006129AB"/>
    <w:rsid w:val="00612DBA"/>
    <w:rsid w:val="00613099"/>
    <w:rsid w:val="00613544"/>
    <w:rsid w:val="00613C03"/>
    <w:rsid w:val="00614FC4"/>
    <w:rsid w:val="006152AA"/>
    <w:rsid w:val="00617010"/>
    <w:rsid w:val="006222C0"/>
    <w:rsid w:val="00622662"/>
    <w:rsid w:val="00623406"/>
    <w:rsid w:val="00623414"/>
    <w:rsid w:val="006246FE"/>
    <w:rsid w:val="00624D97"/>
    <w:rsid w:val="00625074"/>
    <w:rsid w:val="006275AB"/>
    <w:rsid w:val="00627821"/>
    <w:rsid w:val="00627CD8"/>
    <w:rsid w:val="00630A8A"/>
    <w:rsid w:val="00634066"/>
    <w:rsid w:val="00634B77"/>
    <w:rsid w:val="00634EA3"/>
    <w:rsid w:val="00636359"/>
    <w:rsid w:val="00636C74"/>
    <w:rsid w:val="00637FE7"/>
    <w:rsid w:val="00642E24"/>
    <w:rsid w:val="00643CE8"/>
    <w:rsid w:val="00645164"/>
    <w:rsid w:val="006455C0"/>
    <w:rsid w:val="00645BA6"/>
    <w:rsid w:val="006501CC"/>
    <w:rsid w:val="00651456"/>
    <w:rsid w:val="00652315"/>
    <w:rsid w:val="00653376"/>
    <w:rsid w:val="0065451E"/>
    <w:rsid w:val="00654CE2"/>
    <w:rsid w:val="00656094"/>
    <w:rsid w:val="00656B5C"/>
    <w:rsid w:val="00657502"/>
    <w:rsid w:val="00664C4B"/>
    <w:rsid w:val="006704A7"/>
    <w:rsid w:val="00671269"/>
    <w:rsid w:val="00672EA2"/>
    <w:rsid w:val="0067367F"/>
    <w:rsid w:val="006736D5"/>
    <w:rsid w:val="006753FF"/>
    <w:rsid w:val="0067553D"/>
    <w:rsid w:val="006775E8"/>
    <w:rsid w:val="0067790E"/>
    <w:rsid w:val="006800C1"/>
    <w:rsid w:val="006818BA"/>
    <w:rsid w:val="00684943"/>
    <w:rsid w:val="006849F0"/>
    <w:rsid w:val="00691730"/>
    <w:rsid w:val="00692602"/>
    <w:rsid w:val="006931BE"/>
    <w:rsid w:val="0069704E"/>
    <w:rsid w:val="006A01A0"/>
    <w:rsid w:val="006A0560"/>
    <w:rsid w:val="006A21FA"/>
    <w:rsid w:val="006A612C"/>
    <w:rsid w:val="006A660B"/>
    <w:rsid w:val="006A6B03"/>
    <w:rsid w:val="006B1AB1"/>
    <w:rsid w:val="006B209B"/>
    <w:rsid w:val="006B3AAC"/>
    <w:rsid w:val="006B472A"/>
    <w:rsid w:val="006B6B3D"/>
    <w:rsid w:val="006C282F"/>
    <w:rsid w:val="006C44F4"/>
    <w:rsid w:val="006C4BDB"/>
    <w:rsid w:val="006C4EA3"/>
    <w:rsid w:val="006D00BC"/>
    <w:rsid w:val="006D1CFE"/>
    <w:rsid w:val="006D1E44"/>
    <w:rsid w:val="006D2B6A"/>
    <w:rsid w:val="006D4F31"/>
    <w:rsid w:val="006D5E19"/>
    <w:rsid w:val="006D7FDC"/>
    <w:rsid w:val="006E0AB8"/>
    <w:rsid w:val="006E1735"/>
    <w:rsid w:val="006E4001"/>
    <w:rsid w:val="006E44C6"/>
    <w:rsid w:val="006E5A44"/>
    <w:rsid w:val="006F1578"/>
    <w:rsid w:val="006F1CF9"/>
    <w:rsid w:val="00700544"/>
    <w:rsid w:val="0070184F"/>
    <w:rsid w:val="0070223E"/>
    <w:rsid w:val="00702652"/>
    <w:rsid w:val="007036B4"/>
    <w:rsid w:val="00707554"/>
    <w:rsid w:val="00707901"/>
    <w:rsid w:val="00712C3B"/>
    <w:rsid w:val="00713EB2"/>
    <w:rsid w:val="007145E1"/>
    <w:rsid w:val="007152BA"/>
    <w:rsid w:val="00715509"/>
    <w:rsid w:val="00716289"/>
    <w:rsid w:val="0071656B"/>
    <w:rsid w:val="00716961"/>
    <w:rsid w:val="00716B10"/>
    <w:rsid w:val="0071755B"/>
    <w:rsid w:val="007175A6"/>
    <w:rsid w:val="00720E2A"/>
    <w:rsid w:val="00721823"/>
    <w:rsid w:val="007240DC"/>
    <w:rsid w:val="007242AC"/>
    <w:rsid w:val="007273DA"/>
    <w:rsid w:val="007323FB"/>
    <w:rsid w:val="00732E31"/>
    <w:rsid w:val="00734BF3"/>
    <w:rsid w:val="00734E6A"/>
    <w:rsid w:val="00737802"/>
    <w:rsid w:val="007409EB"/>
    <w:rsid w:val="00740EE1"/>
    <w:rsid w:val="0074639E"/>
    <w:rsid w:val="00747AFF"/>
    <w:rsid w:val="007501B3"/>
    <w:rsid w:val="00751666"/>
    <w:rsid w:val="00752205"/>
    <w:rsid w:val="00752538"/>
    <w:rsid w:val="00752FCA"/>
    <w:rsid w:val="00753928"/>
    <w:rsid w:val="00754131"/>
    <w:rsid w:val="00754AC1"/>
    <w:rsid w:val="00764C55"/>
    <w:rsid w:val="007673F2"/>
    <w:rsid w:val="00767BD3"/>
    <w:rsid w:val="00770783"/>
    <w:rsid w:val="00771659"/>
    <w:rsid w:val="00773812"/>
    <w:rsid w:val="0077561B"/>
    <w:rsid w:val="007777D4"/>
    <w:rsid w:val="0078053E"/>
    <w:rsid w:val="007816B4"/>
    <w:rsid w:val="00782871"/>
    <w:rsid w:val="00782C57"/>
    <w:rsid w:val="0078320C"/>
    <w:rsid w:val="00784C93"/>
    <w:rsid w:val="007853F8"/>
    <w:rsid w:val="007870F3"/>
    <w:rsid w:val="0078797E"/>
    <w:rsid w:val="00790B58"/>
    <w:rsid w:val="00790EB6"/>
    <w:rsid w:val="007922C6"/>
    <w:rsid w:val="0079453D"/>
    <w:rsid w:val="007946B1"/>
    <w:rsid w:val="0079581D"/>
    <w:rsid w:val="00797132"/>
    <w:rsid w:val="007A4D0E"/>
    <w:rsid w:val="007A5576"/>
    <w:rsid w:val="007A63E2"/>
    <w:rsid w:val="007A7F03"/>
    <w:rsid w:val="007B281E"/>
    <w:rsid w:val="007B4001"/>
    <w:rsid w:val="007B4A64"/>
    <w:rsid w:val="007B51BE"/>
    <w:rsid w:val="007B6B6B"/>
    <w:rsid w:val="007B71A0"/>
    <w:rsid w:val="007C794B"/>
    <w:rsid w:val="007D1201"/>
    <w:rsid w:val="007D2396"/>
    <w:rsid w:val="007D2B0D"/>
    <w:rsid w:val="007D3E04"/>
    <w:rsid w:val="007E3A99"/>
    <w:rsid w:val="007E4E46"/>
    <w:rsid w:val="007E5ED7"/>
    <w:rsid w:val="007E7500"/>
    <w:rsid w:val="007F0402"/>
    <w:rsid w:val="007F1FCD"/>
    <w:rsid w:val="007F32FC"/>
    <w:rsid w:val="007F390B"/>
    <w:rsid w:val="007F3E86"/>
    <w:rsid w:val="007F415B"/>
    <w:rsid w:val="008006C7"/>
    <w:rsid w:val="00800810"/>
    <w:rsid w:val="00800DB6"/>
    <w:rsid w:val="00804D55"/>
    <w:rsid w:val="0080538F"/>
    <w:rsid w:val="0081217A"/>
    <w:rsid w:val="0081325F"/>
    <w:rsid w:val="00813DB0"/>
    <w:rsid w:val="00813DFD"/>
    <w:rsid w:val="00817A50"/>
    <w:rsid w:val="00817E77"/>
    <w:rsid w:val="00821890"/>
    <w:rsid w:val="00823B11"/>
    <w:rsid w:val="00823B34"/>
    <w:rsid w:val="0082719D"/>
    <w:rsid w:val="00827652"/>
    <w:rsid w:val="00830CB4"/>
    <w:rsid w:val="00831061"/>
    <w:rsid w:val="00834EF4"/>
    <w:rsid w:val="0083549A"/>
    <w:rsid w:val="00836C14"/>
    <w:rsid w:val="00836ECE"/>
    <w:rsid w:val="0084000F"/>
    <w:rsid w:val="008405CE"/>
    <w:rsid w:val="00842992"/>
    <w:rsid w:val="0084329D"/>
    <w:rsid w:val="00844833"/>
    <w:rsid w:val="008475D2"/>
    <w:rsid w:val="00851AB8"/>
    <w:rsid w:val="008536ED"/>
    <w:rsid w:val="00853F38"/>
    <w:rsid w:val="008544EB"/>
    <w:rsid w:val="008552C4"/>
    <w:rsid w:val="00861B24"/>
    <w:rsid w:val="00862F83"/>
    <w:rsid w:val="0086602E"/>
    <w:rsid w:val="00866986"/>
    <w:rsid w:val="00870C2C"/>
    <w:rsid w:val="00872E50"/>
    <w:rsid w:val="008731E8"/>
    <w:rsid w:val="00873312"/>
    <w:rsid w:val="008740AE"/>
    <w:rsid w:val="008744B0"/>
    <w:rsid w:val="0087468A"/>
    <w:rsid w:val="00874AF0"/>
    <w:rsid w:val="008779F9"/>
    <w:rsid w:val="00880DE0"/>
    <w:rsid w:val="00881BF8"/>
    <w:rsid w:val="00881FC8"/>
    <w:rsid w:val="008829A1"/>
    <w:rsid w:val="00882A7D"/>
    <w:rsid w:val="008844EF"/>
    <w:rsid w:val="008847CF"/>
    <w:rsid w:val="00885F59"/>
    <w:rsid w:val="008876C1"/>
    <w:rsid w:val="008919B2"/>
    <w:rsid w:val="00892B4B"/>
    <w:rsid w:val="0089316D"/>
    <w:rsid w:val="008959CE"/>
    <w:rsid w:val="00895FAD"/>
    <w:rsid w:val="008A01E2"/>
    <w:rsid w:val="008A402D"/>
    <w:rsid w:val="008A574A"/>
    <w:rsid w:val="008B02F3"/>
    <w:rsid w:val="008B2AF7"/>
    <w:rsid w:val="008B5725"/>
    <w:rsid w:val="008B5F86"/>
    <w:rsid w:val="008B7FBA"/>
    <w:rsid w:val="008C32D9"/>
    <w:rsid w:val="008C3B43"/>
    <w:rsid w:val="008C3C44"/>
    <w:rsid w:val="008C4768"/>
    <w:rsid w:val="008D1486"/>
    <w:rsid w:val="008D176E"/>
    <w:rsid w:val="008D1813"/>
    <w:rsid w:val="008D2E46"/>
    <w:rsid w:val="008D3F51"/>
    <w:rsid w:val="008D4EAF"/>
    <w:rsid w:val="008D5714"/>
    <w:rsid w:val="008E052D"/>
    <w:rsid w:val="008E18B3"/>
    <w:rsid w:val="008E2EC7"/>
    <w:rsid w:val="008E36CF"/>
    <w:rsid w:val="008E4DAA"/>
    <w:rsid w:val="008E6A32"/>
    <w:rsid w:val="008E7C2E"/>
    <w:rsid w:val="008E7D47"/>
    <w:rsid w:val="008F0AFB"/>
    <w:rsid w:val="008F13EB"/>
    <w:rsid w:val="008F2938"/>
    <w:rsid w:val="008F4290"/>
    <w:rsid w:val="008F4810"/>
    <w:rsid w:val="008F4819"/>
    <w:rsid w:val="008F50D7"/>
    <w:rsid w:val="008F7D79"/>
    <w:rsid w:val="0090056D"/>
    <w:rsid w:val="0090079F"/>
    <w:rsid w:val="0090100F"/>
    <w:rsid w:val="00901F51"/>
    <w:rsid w:val="00902EF5"/>
    <w:rsid w:val="009044E5"/>
    <w:rsid w:val="00905088"/>
    <w:rsid w:val="009064D8"/>
    <w:rsid w:val="009065EF"/>
    <w:rsid w:val="009075BF"/>
    <w:rsid w:val="0090767C"/>
    <w:rsid w:val="009121A1"/>
    <w:rsid w:val="009136F9"/>
    <w:rsid w:val="00915AE2"/>
    <w:rsid w:val="009176D2"/>
    <w:rsid w:val="00920AB2"/>
    <w:rsid w:val="00920D51"/>
    <w:rsid w:val="00920E94"/>
    <w:rsid w:val="00921275"/>
    <w:rsid w:val="009214F8"/>
    <w:rsid w:val="00921DFB"/>
    <w:rsid w:val="0092582C"/>
    <w:rsid w:val="00927F4B"/>
    <w:rsid w:val="00930634"/>
    <w:rsid w:val="009348CE"/>
    <w:rsid w:val="00942510"/>
    <w:rsid w:val="009436D4"/>
    <w:rsid w:val="009469B8"/>
    <w:rsid w:val="00951290"/>
    <w:rsid w:val="00951D77"/>
    <w:rsid w:val="00952E39"/>
    <w:rsid w:val="00953831"/>
    <w:rsid w:val="00953AE4"/>
    <w:rsid w:val="00954D4A"/>
    <w:rsid w:val="00954F4A"/>
    <w:rsid w:val="00955256"/>
    <w:rsid w:val="00955ACA"/>
    <w:rsid w:val="009567C5"/>
    <w:rsid w:val="00956EC7"/>
    <w:rsid w:val="00956F32"/>
    <w:rsid w:val="00961490"/>
    <w:rsid w:val="00962B1A"/>
    <w:rsid w:val="00963F18"/>
    <w:rsid w:val="00964008"/>
    <w:rsid w:val="009647D8"/>
    <w:rsid w:val="00965F57"/>
    <w:rsid w:val="00971245"/>
    <w:rsid w:val="0097175F"/>
    <w:rsid w:val="00971F29"/>
    <w:rsid w:val="00973A18"/>
    <w:rsid w:val="0097495E"/>
    <w:rsid w:val="00974F95"/>
    <w:rsid w:val="00982748"/>
    <w:rsid w:val="009871A3"/>
    <w:rsid w:val="009935B3"/>
    <w:rsid w:val="00993DC2"/>
    <w:rsid w:val="0099431B"/>
    <w:rsid w:val="009A3A2F"/>
    <w:rsid w:val="009A4AD0"/>
    <w:rsid w:val="009A4FDF"/>
    <w:rsid w:val="009A5213"/>
    <w:rsid w:val="009B1027"/>
    <w:rsid w:val="009B1055"/>
    <w:rsid w:val="009B2D9A"/>
    <w:rsid w:val="009B40AD"/>
    <w:rsid w:val="009B5164"/>
    <w:rsid w:val="009B5E76"/>
    <w:rsid w:val="009C0D33"/>
    <w:rsid w:val="009C110C"/>
    <w:rsid w:val="009C112D"/>
    <w:rsid w:val="009C36FF"/>
    <w:rsid w:val="009C606B"/>
    <w:rsid w:val="009C6311"/>
    <w:rsid w:val="009D124E"/>
    <w:rsid w:val="009D2802"/>
    <w:rsid w:val="009D2FA4"/>
    <w:rsid w:val="009D4110"/>
    <w:rsid w:val="009D6A1D"/>
    <w:rsid w:val="009D6B4A"/>
    <w:rsid w:val="009D748F"/>
    <w:rsid w:val="009E0EF9"/>
    <w:rsid w:val="009E159E"/>
    <w:rsid w:val="009E18D5"/>
    <w:rsid w:val="009E2C46"/>
    <w:rsid w:val="009E2EB3"/>
    <w:rsid w:val="009E4790"/>
    <w:rsid w:val="009E66B2"/>
    <w:rsid w:val="009E67FA"/>
    <w:rsid w:val="009E7D6D"/>
    <w:rsid w:val="009F03D9"/>
    <w:rsid w:val="009F1643"/>
    <w:rsid w:val="009F3BEA"/>
    <w:rsid w:val="009F4E49"/>
    <w:rsid w:val="00A01237"/>
    <w:rsid w:val="00A013C8"/>
    <w:rsid w:val="00A013F1"/>
    <w:rsid w:val="00A0356D"/>
    <w:rsid w:val="00A05514"/>
    <w:rsid w:val="00A057EC"/>
    <w:rsid w:val="00A05FBA"/>
    <w:rsid w:val="00A07B46"/>
    <w:rsid w:val="00A12763"/>
    <w:rsid w:val="00A1466D"/>
    <w:rsid w:val="00A14B9E"/>
    <w:rsid w:val="00A162DA"/>
    <w:rsid w:val="00A17230"/>
    <w:rsid w:val="00A17C04"/>
    <w:rsid w:val="00A17F86"/>
    <w:rsid w:val="00A2219B"/>
    <w:rsid w:val="00A234B0"/>
    <w:rsid w:val="00A26784"/>
    <w:rsid w:val="00A31A45"/>
    <w:rsid w:val="00A31C44"/>
    <w:rsid w:val="00A31EAD"/>
    <w:rsid w:val="00A31FA9"/>
    <w:rsid w:val="00A34B1B"/>
    <w:rsid w:val="00A35FEC"/>
    <w:rsid w:val="00A36CBF"/>
    <w:rsid w:val="00A36E6F"/>
    <w:rsid w:val="00A40417"/>
    <w:rsid w:val="00A4078A"/>
    <w:rsid w:val="00A44433"/>
    <w:rsid w:val="00A45875"/>
    <w:rsid w:val="00A45FA1"/>
    <w:rsid w:val="00A47D8F"/>
    <w:rsid w:val="00A50C28"/>
    <w:rsid w:val="00A51DC6"/>
    <w:rsid w:val="00A52616"/>
    <w:rsid w:val="00A52B0E"/>
    <w:rsid w:val="00A57968"/>
    <w:rsid w:val="00A60993"/>
    <w:rsid w:val="00A60D64"/>
    <w:rsid w:val="00A63AF4"/>
    <w:rsid w:val="00A659FA"/>
    <w:rsid w:val="00A67E08"/>
    <w:rsid w:val="00A70EB7"/>
    <w:rsid w:val="00A7273B"/>
    <w:rsid w:val="00A72A12"/>
    <w:rsid w:val="00A77697"/>
    <w:rsid w:val="00A77D3E"/>
    <w:rsid w:val="00A80D18"/>
    <w:rsid w:val="00A825BF"/>
    <w:rsid w:val="00A830A8"/>
    <w:rsid w:val="00A838A3"/>
    <w:rsid w:val="00A84604"/>
    <w:rsid w:val="00A84829"/>
    <w:rsid w:val="00A848D6"/>
    <w:rsid w:val="00A861B3"/>
    <w:rsid w:val="00A86C43"/>
    <w:rsid w:val="00A927C5"/>
    <w:rsid w:val="00A94ADC"/>
    <w:rsid w:val="00A967A1"/>
    <w:rsid w:val="00A96F71"/>
    <w:rsid w:val="00AA1203"/>
    <w:rsid w:val="00AA31FA"/>
    <w:rsid w:val="00AA696E"/>
    <w:rsid w:val="00AA6A43"/>
    <w:rsid w:val="00AB1B53"/>
    <w:rsid w:val="00AB4708"/>
    <w:rsid w:val="00AB7B57"/>
    <w:rsid w:val="00AC0194"/>
    <w:rsid w:val="00AC0CA7"/>
    <w:rsid w:val="00AC39C4"/>
    <w:rsid w:val="00AC4974"/>
    <w:rsid w:val="00AC4CFB"/>
    <w:rsid w:val="00AD0141"/>
    <w:rsid w:val="00AD1ED4"/>
    <w:rsid w:val="00AD29BC"/>
    <w:rsid w:val="00AD32E2"/>
    <w:rsid w:val="00AD3469"/>
    <w:rsid w:val="00AD3D2A"/>
    <w:rsid w:val="00AD4F41"/>
    <w:rsid w:val="00AD78B6"/>
    <w:rsid w:val="00AE1509"/>
    <w:rsid w:val="00AE2950"/>
    <w:rsid w:val="00AE2C61"/>
    <w:rsid w:val="00AE36E6"/>
    <w:rsid w:val="00AE43A0"/>
    <w:rsid w:val="00AE4AC6"/>
    <w:rsid w:val="00AE5408"/>
    <w:rsid w:val="00AE7251"/>
    <w:rsid w:val="00AF25DB"/>
    <w:rsid w:val="00AF3963"/>
    <w:rsid w:val="00AF41E6"/>
    <w:rsid w:val="00AF4B6C"/>
    <w:rsid w:val="00AF666D"/>
    <w:rsid w:val="00AF67FE"/>
    <w:rsid w:val="00AF7643"/>
    <w:rsid w:val="00B02489"/>
    <w:rsid w:val="00B02837"/>
    <w:rsid w:val="00B0296C"/>
    <w:rsid w:val="00B04733"/>
    <w:rsid w:val="00B04D23"/>
    <w:rsid w:val="00B053C2"/>
    <w:rsid w:val="00B059E0"/>
    <w:rsid w:val="00B07E12"/>
    <w:rsid w:val="00B102CD"/>
    <w:rsid w:val="00B10322"/>
    <w:rsid w:val="00B12981"/>
    <w:rsid w:val="00B1448C"/>
    <w:rsid w:val="00B1452A"/>
    <w:rsid w:val="00B15E48"/>
    <w:rsid w:val="00B20F92"/>
    <w:rsid w:val="00B23310"/>
    <w:rsid w:val="00B23B3B"/>
    <w:rsid w:val="00B23E4B"/>
    <w:rsid w:val="00B24120"/>
    <w:rsid w:val="00B244BD"/>
    <w:rsid w:val="00B26683"/>
    <w:rsid w:val="00B2736D"/>
    <w:rsid w:val="00B2750A"/>
    <w:rsid w:val="00B27554"/>
    <w:rsid w:val="00B27C28"/>
    <w:rsid w:val="00B27D4F"/>
    <w:rsid w:val="00B302AF"/>
    <w:rsid w:val="00B3166F"/>
    <w:rsid w:val="00B3642B"/>
    <w:rsid w:val="00B37553"/>
    <w:rsid w:val="00B37DD8"/>
    <w:rsid w:val="00B403F5"/>
    <w:rsid w:val="00B4091C"/>
    <w:rsid w:val="00B41132"/>
    <w:rsid w:val="00B43107"/>
    <w:rsid w:val="00B44DB0"/>
    <w:rsid w:val="00B45043"/>
    <w:rsid w:val="00B450A3"/>
    <w:rsid w:val="00B45231"/>
    <w:rsid w:val="00B47054"/>
    <w:rsid w:val="00B47B43"/>
    <w:rsid w:val="00B50A43"/>
    <w:rsid w:val="00B520FC"/>
    <w:rsid w:val="00B526A2"/>
    <w:rsid w:val="00B5396D"/>
    <w:rsid w:val="00B54FEA"/>
    <w:rsid w:val="00B608D1"/>
    <w:rsid w:val="00B620AC"/>
    <w:rsid w:val="00B62F12"/>
    <w:rsid w:val="00B632C3"/>
    <w:rsid w:val="00B63DE3"/>
    <w:rsid w:val="00B6435C"/>
    <w:rsid w:val="00B65B79"/>
    <w:rsid w:val="00B66933"/>
    <w:rsid w:val="00B674E3"/>
    <w:rsid w:val="00B67F6A"/>
    <w:rsid w:val="00B726E0"/>
    <w:rsid w:val="00B72707"/>
    <w:rsid w:val="00B75EEF"/>
    <w:rsid w:val="00B81BFF"/>
    <w:rsid w:val="00B82024"/>
    <w:rsid w:val="00B8300D"/>
    <w:rsid w:val="00B83222"/>
    <w:rsid w:val="00B83E38"/>
    <w:rsid w:val="00B83FDF"/>
    <w:rsid w:val="00B8454E"/>
    <w:rsid w:val="00B84DE8"/>
    <w:rsid w:val="00B87843"/>
    <w:rsid w:val="00B92099"/>
    <w:rsid w:val="00B9394D"/>
    <w:rsid w:val="00B94025"/>
    <w:rsid w:val="00BA058A"/>
    <w:rsid w:val="00BA6DE8"/>
    <w:rsid w:val="00BB0521"/>
    <w:rsid w:val="00BB0CF8"/>
    <w:rsid w:val="00BB30D1"/>
    <w:rsid w:val="00BB4513"/>
    <w:rsid w:val="00BB5095"/>
    <w:rsid w:val="00BB7F08"/>
    <w:rsid w:val="00BC0B4B"/>
    <w:rsid w:val="00BC0F96"/>
    <w:rsid w:val="00BC2E4A"/>
    <w:rsid w:val="00BC464B"/>
    <w:rsid w:val="00BC47C6"/>
    <w:rsid w:val="00BC4B41"/>
    <w:rsid w:val="00BC4E3F"/>
    <w:rsid w:val="00BC5457"/>
    <w:rsid w:val="00BC55E5"/>
    <w:rsid w:val="00BC5F26"/>
    <w:rsid w:val="00BC624B"/>
    <w:rsid w:val="00BC6C2E"/>
    <w:rsid w:val="00BD31F3"/>
    <w:rsid w:val="00BD4B67"/>
    <w:rsid w:val="00BD4D67"/>
    <w:rsid w:val="00BD6835"/>
    <w:rsid w:val="00BD6CF7"/>
    <w:rsid w:val="00BE238F"/>
    <w:rsid w:val="00BE2CBC"/>
    <w:rsid w:val="00BE2E27"/>
    <w:rsid w:val="00BE37B6"/>
    <w:rsid w:val="00BF0C03"/>
    <w:rsid w:val="00BF2174"/>
    <w:rsid w:val="00BF65BB"/>
    <w:rsid w:val="00C01EC9"/>
    <w:rsid w:val="00C035AF"/>
    <w:rsid w:val="00C03EEE"/>
    <w:rsid w:val="00C0416E"/>
    <w:rsid w:val="00C04918"/>
    <w:rsid w:val="00C11820"/>
    <w:rsid w:val="00C123C5"/>
    <w:rsid w:val="00C1442A"/>
    <w:rsid w:val="00C1491D"/>
    <w:rsid w:val="00C14B7C"/>
    <w:rsid w:val="00C162E7"/>
    <w:rsid w:val="00C16C41"/>
    <w:rsid w:val="00C2249A"/>
    <w:rsid w:val="00C23267"/>
    <w:rsid w:val="00C27331"/>
    <w:rsid w:val="00C27934"/>
    <w:rsid w:val="00C31ACB"/>
    <w:rsid w:val="00C3228D"/>
    <w:rsid w:val="00C3324E"/>
    <w:rsid w:val="00C361F7"/>
    <w:rsid w:val="00C36B0F"/>
    <w:rsid w:val="00C3763A"/>
    <w:rsid w:val="00C37B32"/>
    <w:rsid w:val="00C43C45"/>
    <w:rsid w:val="00C43CF4"/>
    <w:rsid w:val="00C442B7"/>
    <w:rsid w:val="00C47D86"/>
    <w:rsid w:val="00C51F24"/>
    <w:rsid w:val="00C539EF"/>
    <w:rsid w:val="00C57756"/>
    <w:rsid w:val="00C577A0"/>
    <w:rsid w:val="00C60EC4"/>
    <w:rsid w:val="00C62034"/>
    <w:rsid w:val="00C62120"/>
    <w:rsid w:val="00C62901"/>
    <w:rsid w:val="00C634BE"/>
    <w:rsid w:val="00C670E8"/>
    <w:rsid w:val="00C70B6C"/>
    <w:rsid w:val="00C72736"/>
    <w:rsid w:val="00C72965"/>
    <w:rsid w:val="00C736A1"/>
    <w:rsid w:val="00C74C02"/>
    <w:rsid w:val="00C7506D"/>
    <w:rsid w:val="00C82FD7"/>
    <w:rsid w:val="00C83495"/>
    <w:rsid w:val="00C8440E"/>
    <w:rsid w:val="00C859E9"/>
    <w:rsid w:val="00C8654E"/>
    <w:rsid w:val="00C86C02"/>
    <w:rsid w:val="00C91F2F"/>
    <w:rsid w:val="00C92A21"/>
    <w:rsid w:val="00C9434C"/>
    <w:rsid w:val="00C948C6"/>
    <w:rsid w:val="00C9521F"/>
    <w:rsid w:val="00CA14F6"/>
    <w:rsid w:val="00CA1D8D"/>
    <w:rsid w:val="00CA2809"/>
    <w:rsid w:val="00CA3128"/>
    <w:rsid w:val="00CA6636"/>
    <w:rsid w:val="00CB13EC"/>
    <w:rsid w:val="00CB6270"/>
    <w:rsid w:val="00CC0C43"/>
    <w:rsid w:val="00CC3157"/>
    <w:rsid w:val="00CC31AE"/>
    <w:rsid w:val="00CC3F76"/>
    <w:rsid w:val="00CC5AE8"/>
    <w:rsid w:val="00CD41C8"/>
    <w:rsid w:val="00CD42CC"/>
    <w:rsid w:val="00CD546F"/>
    <w:rsid w:val="00CD7F5F"/>
    <w:rsid w:val="00CE06BA"/>
    <w:rsid w:val="00CE2B95"/>
    <w:rsid w:val="00CE4042"/>
    <w:rsid w:val="00CE47E9"/>
    <w:rsid w:val="00CE4859"/>
    <w:rsid w:val="00CE7033"/>
    <w:rsid w:val="00CE7D6A"/>
    <w:rsid w:val="00CE7ECF"/>
    <w:rsid w:val="00CF13C8"/>
    <w:rsid w:val="00CF1524"/>
    <w:rsid w:val="00CF3B8E"/>
    <w:rsid w:val="00CF537F"/>
    <w:rsid w:val="00CF5701"/>
    <w:rsid w:val="00CF688E"/>
    <w:rsid w:val="00CF700A"/>
    <w:rsid w:val="00CF751F"/>
    <w:rsid w:val="00D0117C"/>
    <w:rsid w:val="00D023EE"/>
    <w:rsid w:val="00D02747"/>
    <w:rsid w:val="00D033B0"/>
    <w:rsid w:val="00D059E4"/>
    <w:rsid w:val="00D07E17"/>
    <w:rsid w:val="00D11593"/>
    <w:rsid w:val="00D11A80"/>
    <w:rsid w:val="00D13B29"/>
    <w:rsid w:val="00D14DF9"/>
    <w:rsid w:val="00D177D9"/>
    <w:rsid w:val="00D20713"/>
    <w:rsid w:val="00D2082D"/>
    <w:rsid w:val="00D233E6"/>
    <w:rsid w:val="00D30352"/>
    <w:rsid w:val="00D31B4D"/>
    <w:rsid w:val="00D35002"/>
    <w:rsid w:val="00D35011"/>
    <w:rsid w:val="00D375F3"/>
    <w:rsid w:val="00D42D49"/>
    <w:rsid w:val="00D42D97"/>
    <w:rsid w:val="00D4471C"/>
    <w:rsid w:val="00D4473A"/>
    <w:rsid w:val="00D44965"/>
    <w:rsid w:val="00D44A3D"/>
    <w:rsid w:val="00D45D6F"/>
    <w:rsid w:val="00D46F7F"/>
    <w:rsid w:val="00D51F48"/>
    <w:rsid w:val="00D63212"/>
    <w:rsid w:val="00D6328A"/>
    <w:rsid w:val="00D6503C"/>
    <w:rsid w:val="00D658D7"/>
    <w:rsid w:val="00D66145"/>
    <w:rsid w:val="00D66D1D"/>
    <w:rsid w:val="00D67C81"/>
    <w:rsid w:val="00D7060D"/>
    <w:rsid w:val="00D71120"/>
    <w:rsid w:val="00D71CAF"/>
    <w:rsid w:val="00D73A64"/>
    <w:rsid w:val="00D73B14"/>
    <w:rsid w:val="00D73F7C"/>
    <w:rsid w:val="00D74550"/>
    <w:rsid w:val="00D81E8A"/>
    <w:rsid w:val="00D81FC2"/>
    <w:rsid w:val="00D82103"/>
    <w:rsid w:val="00D82900"/>
    <w:rsid w:val="00D82AAB"/>
    <w:rsid w:val="00D82DFC"/>
    <w:rsid w:val="00D82F27"/>
    <w:rsid w:val="00D85F5A"/>
    <w:rsid w:val="00D8675F"/>
    <w:rsid w:val="00D90035"/>
    <w:rsid w:val="00D917ED"/>
    <w:rsid w:val="00D91B08"/>
    <w:rsid w:val="00D9373B"/>
    <w:rsid w:val="00D94B79"/>
    <w:rsid w:val="00D95CFE"/>
    <w:rsid w:val="00D962B3"/>
    <w:rsid w:val="00DA254F"/>
    <w:rsid w:val="00DA3E60"/>
    <w:rsid w:val="00DA79D2"/>
    <w:rsid w:val="00DA79D6"/>
    <w:rsid w:val="00DB08FE"/>
    <w:rsid w:val="00DB29E2"/>
    <w:rsid w:val="00DB4E70"/>
    <w:rsid w:val="00DB70C6"/>
    <w:rsid w:val="00DB7AF1"/>
    <w:rsid w:val="00DC06A9"/>
    <w:rsid w:val="00DC07F4"/>
    <w:rsid w:val="00DC3575"/>
    <w:rsid w:val="00DC393B"/>
    <w:rsid w:val="00DC3C20"/>
    <w:rsid w:val="00DC4DA9"/>
    <w:rsid w:val="00DD1F29"/>
    <w:rsid w:val="00DD428E"/>
    <w:rsid w:val="00DD4B2D"/>
    <w:rsid w:val="00DD4B41"/>
    <w:rsid w:val="00DD6969"/>
    <w:rsid w:val="00DD71F7"/>
    <w:rsid w:val="00DD78B2"/>
    <w:rsid w:val="00DD7DF0"/>
    <w:rsid w:val="00DE3B40"/>
    <w:rsid w:val="00DE7312"/>
    <w:rsid w:val="00DE7A0B"/>
    <w:rsid w:val="00DF0E67"/>
    <w:rsid w:val="00DF30DE"/>
    <w:rsid w:val="00DF425E"/>
    <w:rsid w:val="00DF6AD7"/>
    <w:rsid w:val="00E00710"/>
    <w:rsid w:val="00E01509"/>
    <w:rsid w:val="00E01DAB"/>
    <w:rsid w:val="00E02647"/>
    <w:rsid w:val="00E06B90"/>
    <w:rsid w:val="00E07D90"/>
    <w:rsid w:val="00E11A02"/>
    <w:rsid w:val="00E12014"/>
    <w:rsid w:val="00E14295"/>
    <w:rsid w:val="00E14E33"/>
    <w:rsid w:val="00E16B97"/>
    <w:rsid w:val="00E17950"/>
    <w:rsid w:val="00E21160"/>
    <w:rsid w:val="00E22616"/>
    <w:rsid w:val="00E24543"/>
    <w:rsid w:val="00E25525"/>
    <w:rsid w:val="00E2674A"/>
    <w:rsid w:val="00E304FD"/>
    <w:rsid w:val="00E314E6"/>
    <w:rsid w:val="00E323FF"/>
    <w:rsid w:val="00E32E96"/>
    <w:rsid w:val="00E33EC8"/>
    <w:rsid w:val="00E3524D"/>
    <w:rsid w:val="00E357DB"/>
    <w:rsid w:val="00E35D7B"/>
    <w:rsid w:val="00E36CDB"/>
    <w:rsid w:val="00E379BE"/>
    <w:rsid w:val="00E40076"/>
    <w:rsid w:val="00E40B43"/>
    <w:rsid w:val="00E41F84"/>
    <w:rsid w:val="00E43F2A"/>
    <w:rsid w:val="00E451ED"/>
    <w:rsid w:val="00E45B5A"/>
    <w:rsid w:val="00E45D2C"/>
    <w:rsid w:val="00E466F6"/>
    <w:rsid w:val="00E4707A"/>
    <w:rsid w:val="00E47D67"/>
    <w:rsid w:val="00E518B3"/>
    <w:rsid w:val="00E5245C"/>
    <w:rsid w:val="00E54EFC"/>
    <w:rsid w:val="00E5550C"/>
    <w:rsid w:val="00E55E49"/>
    <w:rsid w:val="00E57671"/>
    <w:rsid w:val="00E602B9"/>
    <w:rsid w:val="00E60DCB"/>
    <w:rsid w:val="00E61DC2"/>
    <w:rsid w:val="00E62177"/>
    <w:rsid w:val="00E6235B"/>
    <w:rsid w:val="00E6505E"/>
    <w:rsid w:val="00E65ECC"/>
    <w:rsid w:val="00E66632"/>
    <w:rsid w:val="00E71EB9"/>
    <w:rsid w:val="00E72341"/>
    <w:rsid w:val="00E72C66"/>
    <w:rsid w:val="00E731D3"/>
    <w:rsid w:val="00E738DA"/>
    <w:rsid w:val="00E74399"/>
    <w:rsid w:val="00E77B62"/>
    <w:rsid w:val="00E81CBC"/>
    <w:rsid w:val="00E8222B"/>
    <w:rsid w:val="00E82DE1"/>
    <w:rsid w:val="00E86014"/>
    <w:rsid w:val="00E87F4A"/>
    <w:rsid w:val="00E9002B"/>
    <w:rsid w:val="00E905FF"/>
    <w:rsid w:val="00E9268C"/>
    <w:rsid w:val="00E93522"/>
    <w:rsid w:val="00E93A00"/>
    <w:rsid w:val="00E95622"/>
    <w:rsid w:val="00E960FD"/>
    <w:rsid w:val="00E96DAF"/>
    <w:rsid w:val="00EA08A3"/>
    <w:rsid w:val="00EA2A00"/>
    <w:rsid w:val="00EA2DC4"/>
    <w:rsid w:val="00EA444C"/>
    <w:rsid w:val="00EA7394"/>
    <w:rsid w:val="00EB1F7C"/>
    <w:rsid w:val="00EB4131"/>
    <w:rsid w:val="00EB5158"/>
    <w:rsid w:val="00EB6D23"/>
    <w:rsid w:val="00EC1F01"/>
    <w:rsid w:val="00EC2008"/>
    <w:rsid w:val="00EC2565"/>
    <w:rsid w:val="00EC2B46"/>
    <w:rsid w:val="00EC2C89"/>
    <w:rsid w:val="00EC53BF"/>
    <w:rsid w:val="00EC56A0"/>
    <w:rsid w:val="00EC58C1"/>
    <w:rsid w:val="00EC5925"/>
    <w:rsid w:val="00EC5996"/>
    <w:rsid w:val="00EC720A"/>
    <w:rsid w:val="00ED722E"/>
    <w:rsid w:val="00ED7DCE"/>
    <w:rsid w:val="00EE28CE"/>
    <w:rsid w:val="00EE2E80"/>
    <w:rsid w:val="00EE361A"/>
    <w:rsid w:val="00EE4558"/>
    <w:rsid w:val="00EE50AC"/>
    <w:rsid w:val="00EE5277"/>
    <w:rsid w:val="00EE614E"/>
    <w:rsid w:val="00EE6E8E"/>
    <w:rsid w:val="00EE7581"/>
    <w:rsid w:val="00EE79C6"/>
    <w:rsid w:val="00EF03AC"/>
    <w:rsid w:val="00EF1D7F"/>
    <w:rsid w:val="00EF407B"/>
    <w:rsid w:val="00EF4CA0"/>
    <w:rsid w:val="00EF4D41"/>
    <w:rsid w:val="00EF7583"/>
    <w:rsid w:val="00EF7781"/>
    <w:rsid w:val="00EF7ED1"/>
    <w:rsid w:val="00F000DF"/>
    <w:rsid w:val="00F0055A"/>
    <w:rsid w:val="00F00A1F"/>
    <w:rsid w:val="00F02B9F"/>
    <w:rsid w:val="00F03DCB"/>
    <w:rsid w:val="00F04737"/>
    <w:rsid w:val="00F070B3"/>
    <w:rsid w:val="00F072A6"/>
    <w:rsid w:val="00F07795"/>
    <w:rsid w:val="00F124F0"/>
    <w:rsid w:val="00F12D5A"/>
    <w:rsid w:val="00F15046"/>
    <w:rsid w:val="00F16C22"/>
    <w:rsid w:val="00F16E5B"/>
    <w:rsid w:val="00F17DDA"/>
    <w:rsid w:val="00F243C7"/>
    <w:rsid w:val="00F2452C"/>
    <w:rsid w:val="00F24981"/>
    <w:rsid w:val="00F309F9"/>
    <w:rsid w:val="00F317CC"/>
    <w:rsid w:val="00F3326F"/>
    <w:rsid w:val="00F3332C"/>
    <w:rsid w:val="00F3435E"/>
    <w:rsid w:val="00F36E59"/>
    <w:rsid w:val="00F37ACF"/>
    <w:rsid w:val="00F41C09"/>
    <w:rsid w:val="00F41FC7"/>
    <w:rsid w:val="00F4369B"/>
    <w:rsid w:val="00F46C45"/>
    <w:rsid w:val="00F50D10"/>
    <w:rsid w:val="00F52AC6"/>
    <w:rsid w:val="00F5440C"/>
    <w:rsid w:val="00F55572"/>
    <w:rsid w:val="00F56215"/>
    <w:rsid w:val="00F56741"/>
    <w:rsid w:val="00F568F2"/>
    <w:rsid w:val="00F57DFD"/>
    <w:rsid w:val="00F62477"/>
    <w:rsid w:val="00F63383"/>
    <w:rsid w:val="00F64F6F"/>
    <w:rsid w:val="00F66D35"/>
    <w:rsid w:val="00F71427"/>
    <w:rsid w:val="00F71C69"/>
    <w:rsid w:val="00F74AA5"/>
    <w:rsid w:val="00F74D9C"/>
    <w:rsid w:val="00F74FA2"/>
    <w:rsid w:val="00F7591A"/>
    <w:rsid w:val="00F75990"/>
    <w:rsid w:val="00F76D76"/>
    <w:rsid w:val="00F77025"/>
    <w:rsid w:val="00F81037"/>
    <w:rsid w:val="00F81AF1"/>
    <w:rsid w:val="00F8383E"/>
    <w:rsid w:val="00F85232"/>
    <w:rsid w:val="00F86638"/>
    <w:rsid w:val="00F86ADA"/>
    <w:rsid w:val="00F86CFF"/>
    <w:rsid w:val="00F875D8"/>
    <w:rsid w:val="00F90556"/>
    <w:rsid w:val="00F93725"/>
    <w:rsid w:val="00F94B8A"/>
    <w:rsid w:val="00F96391"/>
    <w:rsid w:val="00F9677E"/>
    <w:rsid w:val="00FA7860"/>
    <w:rsid w:val="00FB127F"/>
    <w:rsid w:val="00FB38C7"/>
    <w:rsid w:val="00FB5FAB"/>
    <w:rsid w:val="00FB71A6"/>
    <w:rsid w:val="00FC0D59"/>
    <w:rsid w:val="00FC18C4"/>
    <w:rsid w:val="00FC1A77"/>
    <w:rsid w:val="00FC3498"/>
    <w:rsid w:val="00FC422F"/>
    <w:rsid w:val="00FC4CA4"/>
    <w:rsid w:val="00FC4F3D"/>
    <w:rsid w:val="00FC5C8E"/>
    <w:rsid w:val="00FC7E69"/>
    <w:rsid w:val="00FD1D07"/>
    <w:rsid w:val="00FD30AB"/>
    <w:rsid w:val="00FD3ED3"/>
    <w:rsid w:val="00FD45CC"/>
    <w:rsid w:val="00FD592E"/>
    <w:rsid w:val="00FD5A80"/>
    <w:rsid w:val="00FD5A82"/>
    <w:rsid w:val="00FD60FC"/>
    <w:rsid w:val="00FE0124"/>
    <w:rsid w:val="00FE1F62"/>
    <w:rsid w:val="00FE3993"/>
    <w:rsid w:val="00FE3BCF"/>
    <w:rsid w:val="00FE3C92"/>
    <w:rsid w:val="00FE3FD0"/>
    <w:rsid w:val="00FF0251"/>
    <w:rsid w:val="00FF1301"/>
    <w:rsid w:val="00FF60E2"/>
    <w:rsid w:val="00FF6BB5"/>
    <w:rsid w:val="00FF702D"/>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7 Char Char Char"/>
    <w:basedOn w:val="Normal"/>
    <w:link w:val="FootnoteTextChar1"/>
    <w:semiHidden/>
    <w:rsid w:val="00F81AF1"/>
  </w:style>
  <w:style w:type="character" w:styleId="FootnoteReference">
    <w:name w:val="footnote reference"/>
    <w:aliases w:val="Style 12,(NECG) Footnote Reference,Appel note de bas de p,Style 124,o,fr,Style 3,Style 13"/>
    <w:basedOn w:val="DefaultParagraphFont"/>
    <w:semiHidden/>
    <w:rsid w:val="00F81AF1"/>
    <w:rPr>
      <w:vertAlign w:val="superscript"/>
    </w:rPr>
  </w:style>
  <w:style w:type="paragraph" w:styleId="BalloonText">
    <w:name w:val="Balloon Text"/>
    <w:basedOn w:val="Normal"/>
    <w:semiHidden/>
    <w:rsid w:val="00EE7581"/>
    <w:rPr>
      <w:rFonts w:ascii="Tahoma" w:hAnsi="Tahoma" w:cs="Tahoma"/>
      <w:sz w:val="16"/>
      <w:szCs w:val="16"/>
    </w:rPr>
  </w:style>
  <w:style w:type="character" w:customStyle="1" w:styleId="documentbody1">
    <w:name w:val="documentbody1"/>
    <w:basedOn w:val="DefaultParagraphFont"/>
    <w:rsid w:val="00F94B8A"/>
    <w:rPr>
      <w:rFonts w:ascii="Verdana" w:hAnsi="Verdana" w:hint="default"/>
      <w:sz w:val="19"/>
      <w:szCs w:val="19"/>
      <w:shd w:val="clear" w:color="auto" w:fill="FFFFFF"/>
    </w:rPr>
  </w:style>
  <w:style w:type="character" w:styleId="PageNumber">
    <w:name w:val="page number"/>
    <w:basedOn w:val="DefaultParagraphFont"/>
    <w:rsid w:val="002B5226"/>
  </w:style>
  <w:style w:type="character" w:styleId="Hyperlink">
    <w:name w:val="Hyperlink"/>
    <w:basedOn w:val="DefaultParagraphFont"/>
    <w:rsid w:val="0090100F"/>
    <w:rPr>
      <w:color w:val="0000FF"/>
      <w:u w:val="single"/>
    </w:rPr>
  </w:style>
  <w:style w:type="character" w:customStyle="1" w:styleId="FootnoteTextChar1">
    <w:name w:val="Footnote Text Char1"/>
    <w:aliases w:val="Footnote Text Char Char,Footnote Text Char1 Char Char,Footnote Text Char Char Char Char,Footnote Text Char2 Char Char Char Char,Footnote Text Char1 Char1 Char Char Char Char,Footnote Text Char Char Char Char Char Char Char"/>
    <w:basedOn w:val="DefaultParagraphFont"/>
    <w:link w:val="FootnoteText"/>
    <w:rsid w:val="00613544"/>
    <w:rPr>
      <w:lang w:val="en-US" w:eastAsia="en-US" w:bidi="ar-SA"/>
    </w:rPr>
  </w:style>
  <w:style w:type="character" w:styleId="CommentReference">
    <w:name w:val="annotation reference"/>
    <w:basedOn w:val="DefaultParagraphFont"/>
    <w:rsid w:val="00CF688E"/>
    <w:rPr>
      <w:sz w:val="16"/>
      <w:szCs w:val="16"/>
    </w:rPr>
  </w:style>
  <w:style w:type="paragraph" w:styleId="CommentText">
    <w:name w:val="annotation text"/>
    <w:basedOn w:val="Normal"/>
    <w:link w:val="CommentTextChar"/>
    <w:rsid w:val="00CF688E"/>
  </w:style>
  <w:style w:type="character" w:customStyle="1" w:styleId="CommentTextChar">
    <w:name w:val="Comment Text Char"/>
    <w:basedOn w:val="DefaultParagraphFont"/>
    <w:link w:val="CommentText"/>
    <w:rsid w:val="00CF688E"/>
  </w:style>
  <w:style w:type="paragraph" w:styleId="CommentSubject">
    <w:name w:val="annotation subject"/>
    <w:basedOn w:val="CommentText"/>
    <w:next w:val="CommentText"/>
    <w:link w:val="CommentSubjectChar"/>
    <w:rsid w:val="00CF688E"/>
    <w:rPr>
      <w:b/>
      <w:bCs/>
    </w:rPr>
  </w:style>
  <w:style w:type="character" w:customStyle="1" w:styleId="CommentSubjectChar">
    <w:name w:val="Comment Subject Char"/>
    <w:basedOn w:val="CommentTextChar"/>
    <w:link w:val="CommentSubject"/>
    <w:rsid w:val="00CF688E"/>
    <w:rPr>
      <w:b/>
      <w:bCs/>
    </w:rPr>
  </w:style>
  <w:style w:type="character" w:customStyle="1" w:styleId="FootnoteTextChar2">
    <w:name w:val="Footnote Text Char2"/>
    <w:aliases w:val="Footnote Text Char1 Char1,Footnote Text Char1 Char Char Char,Footnote Text Char7 Char Char Char Char,Footnote Text Char4 Char1 Char Char Char Char,Footnote Text Char Char Char4 Char Char Char Char,f Char"/>
    <w:rsid w:val="000D73AE"/>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7 Char Char Char"/>
    <w:basedOn w:val="Normal"/>
    <w:link w:val="FootnoteTextChar1"/>
    <w:semiHidden/>
    <w:rsid w:val="00F81AF1"/>
  </w:style>
  <w:style w:type="character" w:styleId="FootnoteReference">
    <w:name w:val="footnote reference"/>
    <w:aliases w:val="Style 12,(NECG) Footnote Reference,Appel note de bas de p,Style 124,o,fr,Style 3,Style 13"/>
    <w:basedOn w:val="DefaultParagraphFont"/>
    <w:semiHidden/>
    <w:rsid w:val="00F81AF1"/>
    <w:rPr>
      <w:vertAlign w:val="superscript"/>
    </w:rPr>
  </w:style>
  <w:style w:type="paragraph" w:styleId="BalloonText">
    <w:name w:val="Balloon Text"/>
    <w:basedOn w:val="Normal"/>
    <w:semiHidden/>
    <w:rsid w:val="00EE7581"/>
    <w:rPr>
      <w:rFonts w:ascii="Tahoma" w:hAnsi="Tahoma" w:cs="Tahoma"/>
      <w:sz w:val="16"/>
      <w:szCs w:val="16"/>
    </w:rPr>
  </w:style>
  <w:style w:type="character" w:customStyle="1" w:styleId="documentbody1">
    <w:name w:val="documentbody1"/>
    <w:basedOn w:val="DefaultParagraphFont"/>
    <w:rsid w:val="00F94B8A"/>
    <w:rPr>
      <w:rFonts w:ascii="Verdana" w:hAnsi="Verdana" w:hint="default"/>
      <w:sz w:val="19"/>
      <w:szCs w:val="19"/>
      <w:shd w:val="clear" w:color="auto" w:fill="FFFFFF"/>
    </w:rPr>
  </w:style>
  <w:style w:type="character" w:styleId="PageNumber">
    <w:name w:val="page number"/>
    <w:basedOn w:val="DefaultParagraphFont"/>
    <w:rsid w:val="002B5226"/>
  </w:style>
  <w:style w:type="character" w:styleId="Hyperlink">
    <w:name w:val="Hyperlink"/>
    <w:basedOn w:val="DefaultParagraphFont"/>
    <w:rsid w:val="0090100F"/>
    <w:rPr>
      <w:color w:val="0000FF"/>
      <w:u w:val="single"/>
    </w:rPr>
  </w:style>
  <w:style w:type="character" w:customStyle="1" w:styleId="FootnoteTextChar1">
    <w:name w:val="Footnote Text Char1"/>
    <w:aliases w:val="Footnote Text Char Char,Footnote Text Char1 Char Char,Footnote Text Char Char Char Char,Footnote Text Char2 Char Char Char Char,Footnote Text Char1 Char1 Char Char Char Char,Footnote Text Char Char Char Char Char Char Char"/>
    <w:basedOn w:val="DefaultParagraphFont"/>
    <w:link w:val="FootnoteText"/>
    <w:rsid w:val="00613544"/>
    <w:rPr>
      <w:lang w:val="en-US" w:eastAsia="en-US" w:bidi="ar-SA"/>
    </w:rPr>
  </w:style>
  <w:style w:type="character" w:styleId="CommentReference">
    <w:name w:val="annotation reference"/>
    <w:basedOn w:val="DefaultParagraphFont"/>
    <w:rsid w:val="00CF688E"/>
    <w:rPr>
      <w:sz w:val="16"/>
      <w:szCs w:val="16"/>
    </w:rPr>
  </w:style>
  <w:style w:type="paragraph" w:styleId="CommentText">
    <w:name w:val="annotation text"/>
    <w:basedOn w:val="Normal"/>
    <w:link w:val="CommentTextChar"/>
    <w:rsid w:val="00CF688E"/>
  </w:style>
  <w:style w:type="character" w:customStyle="1" w:styleId="CommentTextChar">
    <w:name w:val="Comment Text Char"/>
    <w:basedOn w:val="DefaultParagraphFont"/>
    <w:link w:val="CommentText"/>
    <w:rsid w:val="00CF688E"/>
  </w:style>
  <w:style w:type="paragraph" w:styleId="CommentSubject">
    <w:name w:val="annotation subject"/>
    <w:basedOn w:val="CommentText"/>
    <w:next w:val="CommentText"/>
    <w:link w:val="CommentSubjectChar"/>
    <w:rsid w:val="00CF688E"/>
    <w:rPr>
      <w:b/>
      <w:bCs/>
    </w:rPr>
  </w:style>
  <w:style w:type="character" w:customStyle="1" w:styleId="CommentSubjectChar">
    <w:name w:val="Comment Subject Char"/>
    <w:basedOn w:val="CommentTextChar"/>
    <w:link w:val="CommentSubject"/>
    <w:rsid w:val="00CF688E"/>
    <w:rPr>
      <w:b/>
      <w:bCs/>
    </w:rPr>
  </w:style>
  <w:style w:type="character" w:customStyle="1" w:styleId="FootnoteTextChar2">
    <w:name w:val="Footnote Text Char2"/>
    <w:aliases w:val="Footnote Text Char1 Char1,Footnote Text Char1 Char Char Char,Footnote Text Char7 Char Char Char Char,Footnote Text Char4 Char1 Char Char Char Char,Footnote Text Char Char Char4 Char Char Char Char,f Char"/>
    <w:rsid w:val="000D73AE"/>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top.docjs.next_hit(38)"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top.docjs.prev_hit(36)" TargetMode="External"/><Relationship Id="rId12" Type="http://schemas.openxmlformats.org/officeDocument/2006/relationships/hyperlink" Target="javascript:top.docjs.prev_hit(38)"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top.docjs.next_hit(37)"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javascript:top.docjs.prev_hit(37)"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javascript:top.docjs.next_hit(36)"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javascript:top.docjs.next_hit(80)"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5866</Characters>
  <Application>Microsoft Office Word</Application>
  <DocSecurity>0</DocSecurity>
  <Lines>116</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2015-03-27T12:25:00Z</dcterms:created>
  <dcterms:modified xsi:type="dcterms:W3CDTF">2015-03-27T12:25:00Z</dcterms:modified>
  <cp:category> </cp:category>
  <cp:contentStatus> </cp:contentStatus>
</cp:coreProperties>
</file>