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FB" w:rsidRPr="00502A8F" w:rsidRDefault="004C07FB" w:rsidP="004C07FB">
      <w:pPr>
        <w:tabs>
          <w:tab w:val="center" w:pos="4680"/>
        </w:tabs>
        <w:suppressAutoHyphens/>
        <w:spacing w:line="240" w:lineRule="atLeast"/>
        <w:jc w:val="both"/>
        <w:outlineLvl w:val="0"/>
        <w:rPr>
          <w:b/>
          <w:spacing w:val="-2"/>
          <w:sz w:val="22"/>
          <w:szCs w:val="22"/>
        </w:rPr>
      </w:pPr>
      <w:bookmarkStart w:id="0" w:name="_GoBack"/>
      <w:bookmarkEnd w:id="0"/>
      <w:r w:rsidRPr="00502A8F">
        <w:rPr>
          <w:b/>
          <w:spacing w:val="-2"/>
          <w:sz w:val="22"/>
          <w:szCs w:val="22"/>
        </w:rPr>
        <w:tab/>
        <w:t>Before the</w:t>
      </w:r>
      <w:r w:rsidRPr="00502A8F">
        <w:rPr>
          <w:b/>
          <w:spacing w:val="-2"/>
          <w:sz w:val="22"/>
          <w:szCs w:val="22"/>
        </w:rPr>
        <w:fldChar w:fldCharType="begin"/>
      </w:r>
      <w:r w:rsidRPr="00502A8F">
        <w:rPr>
          <w:b/>
          <w:spacing w:val="-2"/>
          <w:sz w:val="22"/>
          <w:szCs w:val="22"/>
        </w:rPr>
        <w:instrText xml:space="preserve">PRIVATE </w:instrText>
      </w:r>
      <w:r w:rsidRPr="00502A8F">
        <w:rPr>
          <w:b/>
          <w:spacing w:val="-2"/>
          <w:sz w:val="22"/>
          <w:szCs w:val="22"/>
        </w:rPr>
        <w:fldChar w:fldCharType="end"/>
      </w:r>
    </w:p>
    <w:p w:rsidR="004C07FB" w:rsidRPr="00502A8F" w:rsidRDefault="004C07FB" w:rsidP="004C07FB">
      <w:pPr>
        <w:tabs>
          <w:tab w:val="center" w:pos="4680"/>
        </w:tabs>
        <w:suppressAutoHyphens/>
        <w:spacing w:line="240" w:lineRule="atLeast"/>
        <w:jc w:val="both"/>
        <w:outlineLvl w:val="0"/>
        <w:rPr>
          <w:b/>
          <w:spacing w:val="-2"/>
          <w:sz w:val="22"/>
          <w:szCs w:val="22"/>
        </w:rPr>
      </w:pPr>
      <w:r w:rsidRPr="00502A8F">
        <w:rPr>
          <w:b/>
          <w:spacing w:val="-2"/>
          <w:sz w:val="22"/>
          <w:szCs w:val="22"/>
        </w:rPr>
        <w:tab/>
        <w:t>Federal Communications Commission</w:t>
      </w:r>
    </w:p>
    <w:p w:rsidR="004C07FB" w:rsidRPr="00502A8F" w:rsidRDefault="004C07FB" w:rsidP="004C07FB">
      <w:pPr>
        <w:tabs>
          <w:tab w:val="center" w:pos="4680"/>
        </w:tabs>
        <w:suppressAutoHyphens/>
        <w:spacing w:line="240" w:lineRule="atLeast"/>
        <w:jc w:val="both"/>
        <w:outlineLvl w:val="0"/>
        <w:rPr>
          <w:b/>
          <w:spacing w:val="-2"/>
          <w:sz w:val="22"/>
          <w:szCs w:val="22"/>
        </w:rPr>
      </w:pPr>
      <w:r w:rsidRPr="00502A8F">
        <w:rPr>
          <w:b/>
          <w:spacing w:val="-2"/>
          <w:sz w:val="22"/>
          <w:szCs w:val="22"/>
        </w:rPr>
        <w:tab/>
      </w:r>
      <w:smartTag w:uri="urn:schemas-microsoft-com:office:smarttags" w:element="place">
        <w:smartTag w:uri="urn:schemas-microsoft-com:office:smarttags" w:element="City">
          <w:r w:rsidRPr="00502A8F">
            <w:rPr>
              <w:b/>
              <w:spacing w:val="-2"/>
              <w:sz w:val="22"/>
              <w:szCs w:val="22"/>
            </w:rPr>
            <w:t>Washington</w:t>
          </w:r>
        </w:smartTag>
        <w:r w:rsidRPr="00502A8F">
          <w:rPr>
            <w:b/>
            <w:spacing w:val="-2"/>
            <w:sz w:val="22"/>
            <w:szCs w:val="22"/>
          </w:rPr>
          <w:t xml:space="preserve">, </w:t>
        </w:r>
        <w:smartTag w:uri="urn:schemas-microsoft-com:office:smarttags" w:element="State">
          <w:r w:rsidRPr="00502A8F">
            <w:rPr>
              <w:b/>
              <w:spacing w:val="-2"/>
              <w:sz w:val="22"/>
              <w:szCs w:val="22"/>
            </w:rPr>
            <w:t>D.C.</w:t>
          </w:r>
        </w:smartTag>
        <w:r w:rsidRPr="00502A8F">
          <w:rPr>
            <w:b/>
            <w:spacing w:val="-2"/>
            <w:sz w:val="22"/>
            <w:szCs w:val="22"/>
          </w:rPr>
          <w:t xml:space="preserve"> </w:t>
        </w:r>
        <w:smartTag w:uri="urn:schemas-microsoft-com:office:smarttags" w:element="PostalCode">
          <w:r w:rsidRPr="00502A8F">
            <w:rPr>
              <w:b/>
              <w:spacing w:val="-2"/>
              <w:sz w:val="22"/>
              <w:szCs w:val="22"/>
            </w:rPr>
            <w:t>20554</w:t>
          </w:r>
        </w:smartTag>
      </w:smartTag>
    </w:p>
    <w:p w:rsidR="004C07FB" w:rsidRPr="00502A8F" w:rsidRDefault="004C07FB" w:rsidP="004C07FB">
      <w:pPr>
        <w:tabs>
          <w:tab w:val="center" w:pos="4680"/>
        </w:tabs>
        <w:suppressAutoHyphens/>
        <w:spacing w:line="240" w:lineRule="atLeast"/>
        <w:jc w:val="both"/>
        <w:outlineLvl w:val="0"/>
        <w:rPr>
          <w:b/>
          <w:spacing w:val="-2"/>
          <w:sz w:val="22"/>
          <w:szCs w:val="22"/>
        </w:rPr>
      </w:pPr>
    </w:p>
    <w:tbl>
      <w:tblPr>
        <w:tblW w:w="0" w:type="auto"/>
        <w:tblLayout w:type="fixed"/>
        <w:tblLook w:val="0000" w:firstRow="0" w:lastRow="0" w:firstColumn="0" w:lastColumn="0" w:noHBand="0" w:noVBand="0"/>
      </w:tblPr>
      <w:tblGrid>
        <w:gridCol w:w="4698"/>
        <w:gridCol w:w="630"/>
        <w:gridCol w:w="4248"/>
      </w:tblGrid>
      <w:tr w:rsidR="004C07FB" w:rsidRPr="00502A8F" w:rsidTr="0033539C">
        <w:tc>
          <w:tcPr>
            <w:tcW w:w="4698" w:type="dxa"/>
          </w:tcPr>
          <w:p w:rsidR="004C07FB" w:rsidRPr="00502A8F" w:rsidRDefault="004C07FB" w:rsidP="0033539C">
            <w:pPr>
              <w:tabs>
                <w:tab w:val="center" w:pos="4680"/>
              </w:tabs>
              <w:suppressAutoHyphens/>
              <w:rPr>
                <w:spacing w:val="-2"/>
                <w:sz w:val="22"/>
                <w:szCs w:val="22"/>
              </w:rPr>
            </w:pPr>
            <w:r w:rsidRPr="00502A8F">
              <w:rPr>
                <w:spacing w:val="-2"/>
                <w:sz w:val="22"/>
                <w:szCs w:val="22"/>
              </w:rPr>
              <w:t>In the Matter of</w:t>
            </w:r>
            <w:r>
              <w:rPr>
                <w:spacing w:val="-2"/>
                <w:sz w:val="22"/>
                <w:szCs w:val="22"/>
              </w:rPr>
              <w:t>:</w:t>
            </w:r>
          </w:p>
          <w:p w:rsidR="004C07FB" w:rsidRPr="00502A8F" w:rsidRDefault="004C07FB" w:rsidP="0033539C">
            <w:pPr>
              <w:pStyle w:val="TOAHeading"/>
              <w:tabs>
                <w:tab w:val="clear" w:pos="9360"/>
                <w:tab w:val="center" w:pos="4680"/>
              </w:tabs>
              <w:rPr>
                <w:spacing w:val="-2"/>
                <w:szCs w:val="22"/>
              </w:rPr>
            </w:pPr>
          </w:p>
          <w:p w:rsidR="004C07FB" w:rsidRPr="00502A8F" w:rsidRDefault="004C07FB" w:rsidP="0033539C">
            <w:pPr>
              <w:rPr>
                <w:sz w:val="22"/>
                <w:szCs w:val="22"/>
              </w:rPr>
            </w:pPr>
          </w:p>
          <w:p w:rsidR="004C07FB" w:rsidRPr="00502A8F" w:rsidRDefault="004C07FB" w:rsidP="0033539C">
            <w:pPr>
              <w:rPr>
                <w:sz w:val="22"/>
                <w:szCs w:val="22"/>
              </w:rPr>
            </w:pPr>
            <w:r>
              <w:rPr>
                <w:sz w:val="22"/>
                <w:szCs w:val="22"/>
              </w:rPr>
              <w:t>Lincoln Broadcasting Company</w:t>
            </w:r>
          </w:p>
          <w:p w:rsidR="004C07FB" w:rsidRPr="00502A8F" w:rsidRDefault="004C07FB" w:rsidP="0033539C">
            <w:pPr>
              <w:rPr>
                <w:sz w:val="22"/>
                <w:szCs w:val="22"/>
              </w:rPr>
            </w:pPr>
            <w:r>
              <w:rPr>
                <w:sz w:val="22"/>
                <w:szCs w:val="22"/>
              </w:rPr>
              <w:t>Licensee of Station KTSF</w:t>
            </w:r>
          </w:p>
          <w:p w:rsidR="004C07FB" w:rsidRPr="00502A8F" w:rsidRDefault="004C07FB" w:rsidP="0033539C">
            <w:pPr>
              <w:rPr>
                <w:sz w:val="22"/>
                <w:szCs w:val="22"/>
              </w:rPr>
            </w:pPr>
            <w:r>
              <w:rPr>
                <w:sz w:val="22"/>
                <w:szCs w:val="22"/>
              </w:rPr>
              <w:t xml:space="preserve">San Francisco, California </w:t>
            </w:r>
          </w:p>
        </w:tc>
        <w:tc>
          <w:tcPr>
            <w:tcW w:w="630" w:type="dxa"/>
          </w:tcPr>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spacing w:val="-2"/>
                <w:sz w:val="22"/>
                <w:szCs w:val="22"/>
              </w:rPr>
            </w:pPr>
          </w:p>
        </w:tc>
        <w:tc>
          <w:tcPr>
            <w:tcW w:w="4248" w:type="dxa"/>
          </w:tcPr>
          <w:p w:rsidR="004C07FB" w:rsidRPr="00502A8F" w:rsidRDefault="004C07FB" w:rsidP="0033539C">
            <w:pPr>
              <w:tabs>
                <w:tab w:val="center" w:pos="4680"/>
              </w:tabs>
              <w:suppressAutoHyphens/>
              <w:rPr>
                <w:spacing w:val="-2"/>
                <w:sz w:val="22"/>
                <w:szCs w:val="22"/>
              </w:rPr>
            </w:pPr>
          </w:p>
          <w:p w:rsidR="004C07FB" w:rsidRPr="00502A8F" w:rsidRDefault="004C07FB" w:rsidP="0033539C">
            <w:pPr>
              <w:tabs>
                <w:tab w:val="center" w:pos="4680"/>
              </w:tabs>
              <w:suppressAutoHyphens/>
              <w:rPr>
                <w:spacing w:val="-2"/>
                <w:sz w:val="22"/>
                <w:szCs w:val="22"/>
              </w:rPr>
            </w:pPr>
          </w:p>
          <w:p w:rsidR="004C07FB" w:rsidRPr="00502A8F" w:rsidRDefault="004C07FB" w:rsidP="0033539C">
            <w:pPr>
              <w:pStyle w:val="TOAHeading"/>
              <w:tabs>
                <w:tab w:val="clear" w:pos="9360"/>
                <w:tab w:val="center" w:pos="4680"/>
              </w:tabs>
              <w:rPr>
                <w:spacing w:val="-2"/>
                <w:szCs w:val="22"/>
              </w:rPr>
            </w:pPr>
          </w:p>
          <w:p w:rsidR="004C07FB" w:rsidRPr="00502A8F" w:rsidRDefault="004C07FB" w:rsidP="0033539C">
            <w:pPr>
              <w:tabs>
                <w:tab w:val="center" w:pos="4680"/>
              </w:tabs>
              <w:suppressAutoHyphens/>
              <w:rPr>
                <w:spacing w:val="-2"/>
                <w:sz w:val="22"/>
                <w:szCs w:val="22"/>
              </w:rPr>
            </w:pPr>
            <w:r w:rsidRPr="00502A8F">
              <w:rPr>
                <w:spacing w:val="-2"/>
                <w:sz w:val="22"/>
                <w:szCs w:val="22"/>
              </w:rPr>
              <w:t xml:space="preserve">FRN: </w:t>
            </w:r>
            <w:r>
              <w:rPr>
                <w:spacing w:val="-2"/>
                <w:sz w:val="22"/>
                <w:szCs w:val="22"/>
              </w:rPr>
              <w:t>0009298266</w:t>
            </w:r>
          </w:p>
          <w:p w:rsidR="004C07FB" w:rsidRPr="00502A8F" w:rsidRDefault="004C07FB" w:rsidP="0033539C">
            <w:pPr>
              <w:tabs>
                <w:tab w:val="center" w:pos="4680"/>
              </w:tabs>
              <w:suppressAutoHyphens/>
              <w:rPr>
                <w:spacing w:val="-2"/>
                <w:sz w:val="22"/>
                <w:szCs w:val="22"/>
              </w:rPr>
            </w:pPr>
            <w:r w:rsidRPr="00502A8F">
              <w:rPr>
                <w:spacing w:val="-2"/>
                <w:sz w:val="22"/>
                <w:szCs w:val="22"/>
              </w:rPr>
              <w:t>NAL/Ac</w:t>
            </w:r>
            <w:r>
              <w:rPr>
                <w:spacing w:val="-2"/>
                <w:sz w:val="22"/>
                <w:szCs w:val="22"/>
              </w:rPr>
              <w:t>ct. No. 201441420044</w:t>
            </w:r>
          </w:p>
          <w:p w:rsidR="004C07FB" w:rsidRPr="00502A8F" w:rsidRDefault="004C07FB" w:rsidP="004C07FB">
            <w:pPr>
              <w:tabs>
                <w:tab w:val="center" w:pos="4680"/>
              </w:tabs>
              <w:suppressAutoHyphens/>
              <w:rPr>
                <w:spacing w:val="-2"/>
                <w:sz w:val="22"/>
                <w:szCs w:val="22"/>
              </w:rPr>
            </w:pPr>
            <w:r w:rsidRPr="00502A8F">
              <w:rPr>
                <w:spacing w:val="-2"/>
                <w:sz w:val="22"/>
                <w:szCs w:val="22"/>
              </w:rPr>
              <w:t xml:space="preserve">Facility ID No. </w:t>
            </w:r>
            <w:r>
              <w:rPr>
                <w:spacing w:val="-2"/>
                <w:sz w:val="22"/>
                <w:szCs w:val="22"/>
              </w:rPr>
              <w:t>37511</w:t>
            </w:r>
          </w:p>
        </w:tc>
      </w:tr>
    </w:tbl>
    <w:p w:rsidR="004C07FB" w:rsidRPr="00502A8F" w:rsidRDefault="004C07FB" w:rsidP="004C07FB">
      <w:pPr>
        <w:pStyle w:val="Heading2"/>
        <w:jc w:val="left"/>
        <w:rPr>
          <w:szCs w:val="22"/>
        </w:rPr>
      </w:pPr>
      <w:r>
        <w:rPr>
          <w:szCs w:val="22"/>
        </w:rPr>
        <w:tab/>
      </w:r>
      <w:r>
        <w:rPr>
          <w:szCs w:val="22"/>
        </w:rPr>
        <w:tab/>
      </w:r>
      <w:r>
        <w:rPr>
          <w:szCs w:val="22"/>
        </w:rPr>
        <w:tab/>
      </w:r>
      <w:r>
        <w:rPr>
          <w:szCs w:val="22"/>
        </w:rPr>
        <w:tab/>
      </w:r>
      <w:r>
        <w:rPr>
          <w:szCs w:val="22"/>
        </w:rPr>
        <w:tab/>
      </w:r>
      <w:r w:rsidRPr="00502A8F">
        <w:rPr>
          <w:szCs w:val="22"/>
        </w:rPr>
        <w:t>FORFEITURE ORDER</w:t>
      </w:r>
    </w:p>
    <w:p w:rsidR="004C07FB"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1B52C7" w:rsidP="004C07FB">
      <w:pPr>
        <w:tabs>
          <w:tab w:val="left" w:pos="0"/>
          <w:tab w:val="left" w:pos="720"/>
          <w:tab w:val="left" w:pos="5760"/>
        </w:tabs>
        <w:suppressAutoHyphens/>
        <w:spacing w:line="240" w:lineRule="atLeast"/>
        <w:jc w:val="both"/>
        <w:rPr>
          <w:spacing w:val="-2"/>
          <w:sz w:val="22"/>
          <w:szCs w:val="22"/>
        </w:rPr>
      </w:pPr>
      <w:r>
        <w:rPr>
          <w:b/>
          <w:spacing w:val="-2"/>
          <w:sz w:val="22"/>
          <w:szCs w:val="22"/>
        </w:rPr>
        <w:t>Adopted: April 1, 2015</w:t>
      </w:r>
      <w:r w:rsidR="004C07FB" w:rsidRPr="00502A8F">
        <w:rPr>
          <w:spacing w:val="-2"/>
          <w:sz w:val="22"/>
          <w:szCs w:val="22"/>
        </w:rPr>
        <w:tab/>
      </w:r>
      <w:r w:rsidR="004C07FB">
        <w:rPr>
          <w:spacing w:val="-2"/>
          <w:sz w:val="22"/>
          <w:szCs w:val="22"/>
        </w:rPr>
        <w:tab/>
      </w:r>
      <w:r>
        <w:rPr>
          <w:b/>
          <w:spacing w:val="-2"/>
          <w:sz w:val="22"/>
          <w:szCs w:val="22"/>
        </w:rPr>
        <w:t>Released: April 1, 2015</w:t>
      </w:r>
    </w:p>
    <w:p w:rsidR="004C07FB" w:rsidRPr="00502A8F"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4C07FB" w:rsidP="004C07FB">
      <w:pPr>
        <w:tabs>
          <w:tab w:val="left" w:pos="0"/>
          <w:tab w:val="left" w:pos="720"/>
          <w:tab w:val="left" w:pos="5760"/>
        </w:tabs>
        <w:suppressAutoHyphens/>
        <w:jc w:val="both"/>
        <w:rPr>
          <w:spacing w:val="-2"/>
          <w:sz w:val="22"/>
          <w:szCs w:val="22"/>
        </w:rPr>
      </w:pPr>
      <w:r w:rsidRPr="00502A8F">
        <w:rPr>
          <w:spacing w:val="-2"/>
          <w:sz w:val="22"/>
          <w:szCs w:val="22"/>
        </w:rPr>
        <w:t>By the Chief, Video Division, Media Bureau:</w:t>
      </w:r>
    </w:p>
    <w:p w:rsidR="004C07FB" w:rsidRPr="00502A8F" w:rsidRDefault="004C07FB" w:rsidP="004C07FB">
      <w:pPr>
        <w:tabs>
          <w:tab w:val="left" w:pos="0"/>
          <w:tab w:val="left" w:pos="720"/>
          <w:tab w:val="left" w:pos="5760"/>
        </w:tabs>
        <w:suppressAutoHyphens/>
        <w:jc w:val="both"/>
        <w:rPr>
          <w:spacing w:val="-2"/>
          <w:sz w:val="22"/>
          <w:szCs w:val="22"/>
        </w:rPr>
      </w:pPr>
    </w:p>
    <w:p w:rsidR="004C07FB" w:rsidRPr="00502A8F" w:rsidRDefault="004C07FB" w:rsidP="004C07FB">
      <w:pPr>
        <w:pStyle w:val="Heading2"/>
        <w:widowControl/>
        <w:tabs>
          <w:tab w:val="left" w:pos="720"/>
          <w:tab w:val="left" w:pos="5760"/>
        </w:tabs>
        <w:autoSpaceDE/>
        <w:autoSpaceDN/>
        <w:adjustRightInd/>
        <w:spacing w:line="240" w:lineRule="auto"/>
        <w:jc w:val="left"/>
        <w:rPr>
          <w:spacing w:val="-2"/>
          <w:szCs w:val="22"/>
        </w:rPr>
      </w:pPr>
      <w:r w:rsidRPr="00502A8F">
        <w:rPr>
          <w:spacing w:val="-2"/>
          <w:szCs w:val="22"/>
        </w:rPr>
        <w:t>I.  INTRODUCTION</w:t>
      </w:r>
    </w:p>
    <w:p w:rsidR="004C07FB" w:rsidRPr="00502A8F" w:rsidRDefault="004C07FB" w:rsidP="004C07FB">
      <w:pPr>
        <w:tabs>
          <w:tab w:val="left" w:pos="0"/>
          <w:tab w:val="left" w:pos="720"/>
          <w:tab w:val="left" w:pos="5760"/>
        </w:tabs>
        <w:suppressAutoHyphens/>
        <w:jc w:val="both"/>
        <w:rPr>
          <w:spacing w:val="-2"/>
          <w:sz w:val="22"/>
          <w:szCs w:val="22"/>
        </w:rPr>
      </w:pPr>
    </w:p>
    <w:p w:rsidR="004C07FB" w:rsidRPr="00F50B46" w:rsidRDefault="004C07FB" w:rsidP="004C07FB">
      <w:pPr>
        <w:pStyle w:val="ParaNum"/>
        <w:tabs>
          <w:tab w:val="num" w:pos="1440"/>
        </w:tabs>
        <w:ind w:left="0"/>
        <w:rPr>
          <w:szCs w:val="22"/>
        </w:rPr>
      </w:pPr>
      <w:r w:rsidRPr="00502A8F">
        <w:rPr>
          <w:spacing w:val="-2"/>
          <w:szCs w:val="22"/>
        </w:rPr>
        <w:t xml:space="preserve">In this </w:t>
      </w:r>
      <w:r w:rsidRPr="00502A8F">
        <w:rPr>
          <w:i/>
          <w:spacing w:val="-2"/>
          <w:szCs w:val="22"/>
        </w:rPr>
        <w:t>Forfeiture Order</w:t>
      </w:r>
      <w:r w:rsidRPr="00502A8F">
        <w:rPr>
          <w:spacing w:val="-2"/>
          <w:szCs w:val="22"/>
        </w:rPr>
        <w:t>, issued pursuant to Sections 0.61(f)(1) and 1.80(a)(1)</w:t>
      </w:r>
      <w:r>
        <w:rPr>
          <w:spacing w:val="-2"/>
          <w:szCs w:val="22"/>
        </w:rPr>
        <w:t xml:space="preserve"> and</w:t>
      </w:r>
      <w:r w:rsidRPr="00502A8F">
        <w:rPr>
          <w:spacing w:val="-2"/>
          <w:szCs w:val="22"/>
        </w:rPr>
        <w:t xml:space="preserve"> (2) of the Commission’s rules</w:t>
      </w:r>
      <w:r w:rsidR="00A20910">
        <w:rPr>
          <w:spacing w:val="-2"/>
          <w:szCs w:val="22"/>
        </w:rPr>
        <w:t xml:space="preserve"> (“Rules”)</w:t>
      </w:r>
      <w:r w:rsidRPr="00502A8F">
        <w:rPr>
          <w:spacing w:val="-2"/>
          <w:szCs w:val="22"/>
        </w:rPr>
        <w:t>,</w:t>
      </w:r>
      <w:r w:rsidRPr="00502A8F">
        <w:rPr>
          <w:rStyle w:val="FootnoteReference"/>
          <w:spacing w:val="-2"/>
          <w:szCs w:val="22"/>
        </w:rPr>
        <w:footnoteReference w:id="1"/>
      </w:r>
      <w:r w:rsidRPr="00502A8F">
        <w:rPr>
          <w:spacing w:val="-2"/>
          <w:szCs w:val="22"/>
        </w:rPr>
        <w:t xml:space="preserve"> </w:t>
      </w:r>
      <w:r w:rsidRPr="00502A8F">
        <w:rPr>
          <w:szCs w:val="22"/>
        </w:rPr>
        <w:t>we find that</w:t>
      </w:r>
      <w:r>
        <w:rPr>
          <w:szCs w:val="22"/>
        </w:rPr>
        <w:t xml:space="preserve"> Lincoln Broadcasting Company, licensee of Station KTSF</w:t>
      </w:r>
      <w:r w:rsidRPr="00502A8F">
        <w:rPr>
          <w:szCs w:val="22"/>
        </w:rPr>
        <w:t>, repeatedly violated</w:t>
      </w:r>
      <w:r>
        <w:rPr>
          <w:szCs w:val="22"/>
        </w:rPr>
        <w:t xml:space="preserve"> </w:t>
      </w:r>
      <w:r>
        <w:t>Section 73.671 of the Rules by failing to properly identify children’s programming via display of the “E/I” symbol on the television screen</w:t>
      </w:r>
      <w:r>
        <w:rPr>
          <w:szCs w:val="22"/>
        </w:rPr>
        <w:t xml:space="preserve">.  </w:t>
      </w:r>
      <w:r w:rsidRPr="00F50B46">
        <w:rPr>
          <w:szCs w:val="22"/>
        </w:rPr>
        <w:t xml:space="preserve">Based on our review of the facts and circumstances, we find the Licensee liable for a forfeiture </w:t>
      </w:r>
      <w:r>
        <w:rPr>
          <w:szCs w:val="22"/>
        </w:rPr>
        <w:t xml:space="preserve">in the </w:t>
      </w:r>
      <w:r>
        <w:t>amount of three thousand dollars ($3,000).</w:t>
      </w:r>
    </w:p>
    <w:p w:rsidR="004C07FB" w:rsidRPr="00502A8F" w:rsidRDefault="004C07FB" w:rsidP="004C07FB">
      <w:pPr>
        <w:pStyle w:val="Heading2"/>
        <w:jc w:val="left"/>
        <w:rPr>
          <w:szCs w:val="22"/>
        </w:rPr>
      </w:pPr>
      <w:r>
        <w:rPr>
          <w:szCs w:val="22"/>
        </w:rPr>
        <w:t xml:space="preserve">II. </w:t>
      </w:r>
      <w:r w:rsidRPr="00502A8F">
        <w:rPr>
          <w:szCs w:val="22"/>
        </w:rPr>
        <w:t>BACKGROUND</w:t>
      </w:r>
    </w:p>
    <w:p w:rsidR="004C07FB" w:rsidRPr="00502A8F" w:rsidRDefault="004C07FB" w:rsidP="004C07FB">
      <w:pPr>
        <w:numPr>
          <w:ilvl w:val="0"/>
          <w:numId w:val="1"/>
        </w:numPr>
        <w:jc w:val="both"/>
        <w:rPr>
          <w:sz w:val="22"/>
          <w:szCs w:val="22"/>
        </w:rPr>
      </w:pPr>
    </w:p>
    <w:p w:rsidR="004C07FB" w:rsidRDefault="004C07FB" w:rsidP="004C07FB">
      <w:pPr>
        <w:pStyle w:val="ParaNum"/>
        <w:tabs>
          <w:tab w:val="num" w:pos="1440"/>
        </w:tabs>
        <w:ind w:left="0"/>
        <w:rPr>
          <w:spacing w:val="-2"/>
          <w:szCs w:val="22"/>
        </w:rPr>
      </w:pPr>
      <w:r>
        <w:rPr>
          <w:spacing w:val="-2"/>
          <w:szCs w:val="22"/>
        </w:rPr>
        <w:t>The Video Division</w:t>
      </w:r>
      <w:r w:rsidRPr="00502A8F">
        <w:rPr>
          <w:spacing w:val="-2"/>
          <w:szCs w:val="22"/>
        </w:rPr>
        <w:t xml:space="preserve"> issued a Notice of Apparent Liability (“NAL”) for Forfeiture on</w:t>
      </w:r>
      <w:r w:rsidR="00317228">
        <w:rPr>
          <w:spacing w:val="-2"/>
          <w:szCs w:val="22"/>
        </w:rPr>
        <w:t xml:space="preserve"> January 7, 2015</w:t>
      </w:r>
      <w:r w:rsidRPr="00502A8F">
        <w:rPr>
          <w:spacing w:val="-2"/>
          <w:szCs w:val="22"/>
        </w:rPr>
        <w:t>.</w:t>
      </w:r>
      <w:r>
        <w:rPr>
          <w:rStyle w:val="FootnoteReference"/>
          <w:spacing w:val="-2"/>
          <w:szCs w:val="22"/>
        </w:rPr>
        <w:footnoteReference w:id="2"/>
      </w:r>
      <w:r>
        <w:rPr>
          <w:spacing w:val="-2"/>
          <w:szCs w:val="22"/>
        </w:rPr>
        <w:t xml:space="preserve">  </w:t>
      </w:r>
      <w:r w:rsidRPr="00502A8F">
        <w:rPr>
          <w:spacing w:val="-2"/>
          <w:szCs w:val="22"/>
        </w:rPr>
        <w:t>The NAL</w:t>
      </w:r>
      <w:r>
        <w:rPr>
          <w:spacing w:val="-2"/>
          <w:szCs w:val="22"/>
        </w:rPr>
        <w:t xml:space="preserve"> notified the Licensee that the station’s </w:t>
      </w:r>
      <w:r w:rsidR="00E83B99">
        <w:t>failure to properly identify children’s programming via display of the “E/I” symbol on the television screen</w:t>
      </w:r>
      <w:r w:rsidR="00E83B99" w:rsidRPr="00502A8F">
        <w:rPr>
          <w:spacing w:val="-2"/>
          <w:szCs w:val="22"/>
        </w:rPr>
        <w:t xml:space="preserve"> </w:t>
      </w:r>
      <w:r w:rsidRPr="00502A8F">
        <w:rPr>
          <w:spacing w:val="-2"/>
          <w:szCs w:val="22"/>
        </w:rPr>
        <w:t>con</w:t>
      </w:r>
      <w:r>
        <w:rPr>
          <w:spacing w:val="-2"/>
          <w:szCs w:val="22"/>
        </w:rPr>
        <w:t xml:space="preserve">stituted </w:t>
      </w:r>
      <w:r w:rsidR="00E83B99">
        <w:rPr>
          <w:spacing w:val="-2"/>
          <w:szCs w:val="22"/>
        </w:rPr>
        <w:t xml:space="preserve">an </w:t>
      </w:r>
      <w:r w:rsidRPr="00502A8F">
        <w:rPr>
          <w:spacing w:val="-2"/>
          <w:szCs w:val="22"/>
        </w:rPr>
        <w:t>apparent willful or repeated violation</w:t>
      </w:r>
      <w:r>
        <w:rPr>
          <w:spacing w:val="-2"/>
          <w:szCs w:val="22"/>
        </w:rPr>
        <w:t xml:space="preserve"> of Section 73.</w:t>
      </w:r>
      <w:r w:rsidR="00063799">
        <w:rPr>
          <w:spacing w:val="-2"/>
          <w:szCs w:val="22"/>
        </w:rPr>
        <w:t>671</w:t>
      </w:r>
      <w:r>
        <w:rPr>
          <w:spacing w:val="-2"/>
          <w:szCs w:val="22"/>
        </w:rPr>
        <w:t xml:space="preserve"> of the Commission’s R</w:t>
      </w:r>
      <w:r w:rsidRPr="00502A8F">
        <w:rPr>
          <w:spacing w:val="-2"/>
          <w:szCs w:val="22"/>
        </w:rPr>
        <w:t>ules</w:t>
      </w:r>
      <w:r>
        <w:rPr>
          <w:spacing w:val="-2"/>
          <w:szCs w:val="22"/>
        </w:rPr>
        <w:t>.</w:t>
      </w:r>
      <w:r w:rsidRPr="00502A8F">
        <w:rPr>
          <w:rStyle w:val="FootnoteReference"/>
          <w:spacing w:val="-2"/>
          <w:szCs w:val="22"/>
        </w:rPr>
        <w:footnoteReference w:id="3"/>
      </w:r>
      <w:r>
        <w:rPr>
          <w:spacing w:val="-2"/>
          <w:szCs w:val="22"/>
        </w:rPr>
        <w:t xml:space="preserve"> The Division</w:t>
      </w:r>
      <w:r w:rsidRPr="00502A8F">
        <w:rPr>
          <w:spacing w:val="-2"/>
          <w:szCs w:val="22"/>
        </w:rPr>
        <w:t xml:space="preserve"> concluded that the Licensee was apparently liable for a forfeiture</w:t>
      </w:r>
      <w:r w:rsidR="005A654E">
        <w:rPr>
          <w:spacing w:val="-2"/>
          <w:szCs w:val="22"/>
        </w:rPr>
        <w:t xml:space="preserve"> in the amount</w:t>
      </w:r>
      <w:r w:rsidRPr="00502A8F">
        <w:rPr>
          <w:spacing w:val="-2"/>
          <w:szCs w:val="22"/>
        </w:rPr>
        <w:t xml:space="preserve"> of $</w:t>
      </w:r>
      <w:r w:rsidR="00E83B99">
        <w:rPr>
          <w:spacing w:val="-2"/>
          <w:szCs w:val="22"/>
        </w:rPr>
        <w:t>3</w:t>
      </w:r>
      <w:r w:rsidRPr="00502A8F">
        <w:rPr>
          <w:spacing w:val="-2"/>
          <w:szCs w:val="22"/>
        </w:rPr>
        <w:t>,000.</w:t>
      </w:r>
    </w:p>
    <w:p w:rsidR="004C07FB" w:rsidRPr="00EB3304" w:rsidRDefault="004C07FB" w:rsidP="004C07FB">
      <w:pPr>
        <w:pStyle w:val="ParaNum"/>
        <w:tabs>
          <w:tab w:val="num" w:pos="1440"/>
        </w:tabs>
        <w:ind w:left="0"/>
        <w:rPr>
          <w:spacing w:val="-2"/>
          <w:szCs w:val="22"/>
        </w:rPr>
      </w:pPr>
      <w:r w:rsidRPr="00EB3304">
        <w:rPr>
          <w:szCs w:val="22"/>
        </w:rPr>
        <w:t>In a</w:t>
      </w:r>
      <w:r>
        <w:rPr>
          <w:szCs w:val="22"/>
        </w:rPr>
        <w:t xml:space="preserve"> timely response dated </w:t>
      </w:r>
      <w:r w:rsidR="00603DCF">
        <w:rPr>
          <w:szCs w:val="22"/>
        </w:rPr>
        <w:t>February 5, 2015</w:t>
      </w:r>
      <w:r w:rsidRPr="00EB3304">
        <w:rPr>
          <w:szCs w:val="22"/>
        </w:rPr>
        <w:t>, the Licensee</w:t>
      </w:r>
      <w:r>
        <w:rPr>
          <w:szCs w:val="22"/>
        </w:rPr>
        <w:t xml:space="preserve"> request</w:t>
      </w:r>
      <w:r w:rsidR="005A654E">
        <w:rPr>
          <w:szCs w:val="22"/>
        </w:rPr>
        <w:t>ed that the proposed forfeiture</w:t>
      </w:r>
      <w:r>
        <w:rPr>
          <w:szCs w:val="22"/>
        </w:rPr>
        <w:t xml:space="preserve"> be reduced</w:t>
      </w:r>
      <w:r w:rsidR="00723F76">
        <w:rPr>
          <w:szCs w:val="22"/>
        </w:rPr>
        <w:t xml:space="preserve"> “in consideration of the licensee’s overall history of compliance</w:t>
      </w:r>
      <w:r w:rsidRPr="00EB3304">
        <w:rPr>
          <w:szCs w:val="22"/>
        </w:rPr>
        <w:t>.</w:t>
      </w:r>
      <w:r w:rsidR="00723F76">
        <w:rPr>
          <w:szCs w:val="22"/>
        </w:rPr>
        <w:t>”</w:t>
      </w:r>
      <w:r w:rsidRPr="00502A8F">
        <w:rPr>
          <w:rStyle w:val="FootnoteReference"/>
          <w:szCs w:val="22"/>
        </w:rPr>
        <w:footnoteReference w:id="4"/>
      </w:r>
    </w:p>
    <w:p w:rsidR="004C07FB" w:rsidRPr="00EB3304" w:rsidRDefault="004C07FB" w:rsidP="004C07FB">
      <w:pPr>
        <w:pStyle w:val="ParaNum"/>
        <w:numPr>
          <w:ilvl w:val="0"/>
          <w:numId w:val="0"/>
        </w:numPr>
        <w:tabs>
          <w:tab w:val="num" w:pos="1440"/>
        </w:tabs>
        <w:spacing w:after="240"/>
        <w:jc w:val="left"/>
        <w:rPr>
          <w:szCs w:val="22"/>
        </w:rPr>
      </w:pPr>
      <w:r w:rsidRPr="00EB3304">
        <w:rPr>
          <w:b/>
          <w:szCs w:val="22"/>
        </w:rPr>
        <w:t>III. DISCUSSION</w:t>
      </w:r>
    </w:p>
    <w:p w:rsidR="004C07FB" w:rsidRPr="00CA303D" w:rsidRDefault="004C07FB" w:rsidP="004C07FB">
      <w:pPr>
        <w:pStyle w:val="ParaNum"/>
        <w:tabs>
          <w:tab w:val="num" w:pos="1440"/>
        </w:tabs>
        <w:spacing w:after="240"/>
        <w:ind w:left="0"/>
        <w:rPr>
          <w:spacing w:val="-2"/>
          <w:szCs w:val="22"/>
        </w:rPr>
      </w:pPr>
      <w:r w:rsidRPr="00502A8F">
        <w:rPr>
          <w:szCs w:val="22"/>
        </w:rPr>
        <w:t>The Commission is authorized to license radio and television broadcast stations and is responsible for enforcing the Commission’s rules and applicable statutory provisions concerning th</w:t>
      </w:r>
      <w:r>
        <w:rPr>
          <w:szCs w:val="22"/>
        </w:rPr>
        <w:t xml:space="preserve">e operation of those stations.  </w:t>
      </w:r>
      <w:r w:rsidRPr="00502A8F">
        <w:rPr>
          <w:szCs w:val="22"/>
        </w:rPr>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502A8F">
        <w:rPr>
          <w:rStyle w:val="FootnoteReference"/>
          <w:color w:val="000000"/>
          <w:szCs w:val="22"/>
        </w:rPr>
        <w:footnoteReference w:id="5"/>
      </w:r>
      <w:r>
        <w:rPr>
          <w:szCs w:val="22"/>
        </w:rPr>
        <w:t xml:space="preserve">  </w:t>
      </w:r>
      <w:r w:rsidRPr="00502A8F">
        <w:rPr>
          <w:szCs w:val="22"/>
        </w:rPr>
        <w:lastRenderedPageBreak/>
        <w:t>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502A8F">
        <w:rPr>
          <w:rStyle w:val="FootnoteReference"/>
          <w:szCs w:val="22"/>
        </w:rPr>
        <w:footnoteReference w:id="6"/>
      </w:r>
      <w:r>
        <w:rPr>
          <w:szCs w:val="22"/>
        </w:rPr>
        <w:t xml:space="preserve">  </w:t>
      </w:r>
      <w:r w:rsidRPr="00502A8F">
        <w:rPr>
          <w:szCs w:val="22"/>
        </w:rPr>
        <w:t>The Commission will then issue a forfeiture order if it finds by a preponderance of the evidence that the person has violated the Act or a Commission rule.</w:t>
      </w:r>
      <w:r w:rsidRPr="00502A8F">
        <w:rPr>
          <w:rStyle w:val="FootnoteReference"/>
          <w:szCs w:val="22"/>
        </w:rPr>
        <w:footnoteReference w:id="7"/>
      </w:r>
      <w:r>
        <w:rPr>
          <w:szCs w:val="22"/>
        </w:rPr>
        <w:t xml:space="preserve">  </w:t>
      </w:r>
      <w:r w:rsidRPr="00502A8F">
        <w:rPr>
          <w:szCs w:val="22"/>
        </w:rPr>
        <w:t xml:space="preserve">As we set forth in greater detail below, we conclude that the Licensee is liable for a forfeiture for </w:t>
      </w:r>
      <w:r w:rsidR="00F227FC">
        <w:rPr>
          <w:szCs w:val="22"/>
        </w:rPr>
        <w:t xml:space="preserve">violating </w:t>
      </w:r>
      <w:r w:rsidRPr="00502A8F">
        <w:rPr>
          <w:szCs w:val="22"/>
        </w:rPr>
        <w:t>Section 73.</w:t>
      </w:r>
      <w:r w:rsidR="000779B5">
        <w:rPr>
          <w:szCs w:val="22"/>
        </w:rPr>
        <w:t>671</w:t>
      </w:r>
      <w:r>
        <w:rPr>
          <w:szCs w:val="22"/>
        </w:rPr>
        <w:t xml:space="preserve"> </w:t>
      </w:r>
      <w:r w:rsidR="005A654E">
        <w:rPr>
          <w:szCs w:val="22"/>
        </w:rPr>
        <w:t xml:space="preserve">of the Commission’s rules. </w:t>
      </w:r>
      <w:r w:rsidRPr="00502A8F">
        <w:rPr>
          <w:szCs w:val="22"/>
        </w:rPr>
        <w:t xml:space="preserve">We </w:t>
      </w:r>
      <w:r w:rsidR="000779B5">
        <w:rPr>
          <w:szCs w:val="22"/>
        </w:rPr>
        <w:t xml:space="preserve">ultimately </w:t>
      </w:r>
      <w:r w:rsidRPr="00502A8F">
        <w:rPr>
          <w:szCs w:val="22"/>
        </w:rPr>
        <w:t>conclude</w:t>
      </w:r>
      <w:r>
        <w:rPr>
          <w:szCs w:val="22"/>
        </w:rPr>
        <w:t xml:space="preserve"> </w:t>
      </w:r>
      <w:r w:rsidR="005A654E">
        <w:rPr>
          <w:szCs w:val="22"/>
        </w:rPr>
        <w:t xml:space="preserve">that a </w:t>
      </w:r>
      <w:r w:rsidR="005A654E" w:rsidRPr="00CA303D">
        <w:rPr>
          <w:szCs w:val="22"/>
        </w:rPr>
        <w:t>reduction</w:t>
      </w:r>
      <w:r w:rsidR="0097427B" w:rsidRPr="00CA303D">
        <w:rPr>
          <w:szCs w:val="22"/>
        </w:rPr>
        <w:t xml:space="preserve"> of</w:t>
      </w:r>
      <w:r w:rsidR="00905B8E" w:rsidRPr="00CA303D">
        <w:rPr>
          <w:szCs w:val="22"/>
        </w:rPr>
        <w:t xml:space="preserve"> this</w:t>
      </w:r>
      <w:r w:rsidR="005A654E" w:rsidRPr="00CA303D">
        <w:rPr>
          <w:szCs w:val="22"/>
        </w:rPr>
        <w:t xml:space="preserve"> forfeiture is not warranted in this case.</w:t>
      </w:r>
    </w:p>
    <w:p w:rsidR="004C07FB" w:rsidRPr="00CA303D" w:rsidRDefault="005A654E" w:rsidP="004C07FB">
      <w:pPr>
        <w:pStyle w:val="ParaNum"/>
        <w:tabs>
          <w:tab w:val="num" w:pos="1440"/>
        </w:tabs>
        <w:spacing w:after="240"/>
        <w:ind w:left="0"/>
        <w:rPr>
          <w:spacing w:val="-2"/>
          <w:szCs w:val="22"/>
        </w:rPr>
      </w:pPr>
      <w:r w:rsidRPr="00CA303D">
        <w:rPr>
          <w:spacing w:val="-2"/>
          <w:szCs w:val="22"/>
        </w:rPr>
        <w:t xml:space="preserve">As stated in the NAL, </w:t>
      </w:r>
      <w:r w:rsidR="004C07FB" w:rsidRPr="00CA303D">
        <w:rPr>
          <w:spacing w:val="-2"/>
          <w:szCs w:val="22"/>
        </w:rPr>
        <w:t>Commission policy establishes a base forfeiture amount of $</w:t>
      </w:r>
      <w:r w:rsidR="00FF1CCA" w:rsidRPr="00CA303D">
        <w:rPr>
          <w:spacing w:val="-2"/>
          <w:szCs w:val="22"/>
        </w:rPr>
        <w:t>8</w:t>
      </w:r>
      <w:r w:rsidR="004C07FB" w:rsidRPr="00CA303D">
        <w:rPr>
          <w:spacing w:val="-2"/>
          <w:szCs w:val="22"/>
        </w:rPr>
        <w:t xml:space="preserve">,000 for </w:t>
      </w:r>
      <w:r w:rsidR="00FF1CCA" w:rsidRPr="00CA303D">
        <w:rPr>
          <w:spacing w:val="-2"/>
          <w:szCs w:val="22"/>
        </w:rPr>
        <w:t xml:space="preserve">violations of our </w:t>
      </w:r>
      <w:r w:rsidRPr="00CA303D">
        <w:rPr>
          <w:spacing w:val="-2"/>
          <w:szCs w:val="22"/>
        </w:rPr>
        <w:t>c</w:t>
      </w:r>
      <w:r w:rsidR="00FF1CCA" w:rsidRPr="00CA303D">
        <w:rPr>
          <w:spacing w:val="-2"/>
          <w:szCs w:val="22"/>
        </w:rPr>
        <w:t>hildren’s</w:t>
      </w:r>
      <w:r w:rsidRPr="00CA303D">
        <w:rPr>
          <w:spacing w:val="-2"/>
          <w:szCs w:val="22"/>
        </w:rPr>
        <w:t xml:space="preserve"> p</w:t>
      </w:r>
      <w:r w:rsidR="00FF1CCA" w:rsidRPr="00CA303D">
        <w:rPr>
          <w:spacing w:val="-2"/>
          <w:szCs w:val="22"/>
        </w:rPr>
        <w:t xml:space="preserve">rogramming </w:t>
      </w:r>
      <w:r w:rsidRPr="00CA303D">
        <w:rPr>
          <w:spacing w:val="-2"/>
          <w:szCs w:val="22"/>
        </w:rPr>
        <w:t>r</w:t>
      </w:r>
      <w:r w:rsidR="00FF1CCA" w:rsidRPr="00CA303D">
        <w:rPr>
          <w:spacing w:val="-2"/>
          <w:szCs w:val="22"/>
        </w:rPr>
        <w:t>ules</w:t>
      </w:r>
      <w:r w:rsidR="004C07FB" w:rsidRPr="00CA303D">
        <w:rPr>
          <w:spacing w:val="-2"/>
          <w:szCs w:val="22"/>
        </w:rPr>
        <w:t>.</w:t>
      </w:r>
      <w:r w:rsidR="004C07FB" w:rsidRPr="00CA303D">
        <w:rPr>
          <w:rStyle w:val="FootnoteReference"/>
          <w:spacing w:val="-2"/>
          <w:szCs w:val="22"/>
        </w:rPr>
        <w:footnoteReference w:id="8"/>
      </w:r>
      <w:r w:rsidR="004C07FB" w:rsidRPr="00CA303D">
        <w:rPr>
          <w:spacing w:val="-2"/>
          <w:szCs w:val="22"/>
        </w:rPr>
        <w:t xml:space="preserve">  In determining the appropriate forfeiture amount, the Commission may adjust the base amount upward or downward by considering the factors in Section 503(b)(2)(E)</w:t>
      </w:r>
      <w:r w:rsidR="006F62DF" w:rsidRPr="00CA303D">
        <w:t xml:space="preserve"> of the Communications Act of 1934, as amended (the “Act”)</w:t>
      </w:r>
      <w:r w:rsidR="004C07FB" w:rsidRPr="00CA303D">
        <w:rPr>
          <w:spacing w:val="-2"/>
          <w:szCs w:val="22"/>
        </w:rPr>
        <w:t>, which include “the nature, circumstances, extent, and gravity of the violation and, with respect to the violator, the degree of culpability, any history of prior offenses, ability to pay, and such other matters as justice may require.”</w:t>
      </w:r>
      <w:r w:rsidR="004C07FB" w:rsidRPr="00CA303D">
        <w:rPr>
          <w:szCs w:val="22"/>
        </w:rPr>
        <w:t xml:space="preserve">  </w:t>
      </w:r>
      <w:r w:rsidR="004C07FB" w:rsidRPr="00CA303D">
        <w:rPr>
          <w:spacing w:val="-2"/>
          <w:szCs w:val="22"/>
        </w:rPr>
        <w:t xml:space="preserve">In the NAL, </w:t>
      </w:r>
      <w:r w:rsidR="00FF1CCA" w:rsidRPr="00CA303D">
        <w:rPr>
          <w:spacing w:val="-2"/>
          <w:szCs w:val="22"/>
        </w:rPr>
        <w:t xml:space="preserve">we used our discretion </w:t>
      </w:r>
      <w:r w:rsidR="00170271" w:rsidRPr="00CA303D">
        <w:rPr>
          <w:spacing w:val="-2"/>
          <w:szCs w:val="22"/>
        </w:rPr>
        <w:t xml:space="preserve">based on these factors </w:t>
      </w:r>
      <w:r w:rsidR="00FF1CCA" w:rsidRPr="00CA303D">
        <w:rPr>
          <w:spacing w:val="-2"/>
          <w:szCs w:val="22"/>
        </w:rPr>
        <w:t xml:space="preserve">to </w:t>
      </w:r>
      <w:r w:rsidRPr="00CA303D">
        <w:rPr>
          <w:spacing w:val="-2"/>
          <w:szCs w:val="22"/>
        </w:rPr>
        <w:t>adjust the base</w:t>
      </w:r>
      <w:r w:rsidR="009577E3" w:rsidRPr="00CA303D">
        <w:rPr>
          <w:spacing w:val="-2"/>
          <w:szCs w:val="22"/>
        </w:rPr>
        <w:t xml:space="preserve"> forfeiture</w:t>
      </w:r>
      <w:r w:rsidRPr="00CA303D">
        <w:rPr>
          <w:spacing w:val="-2"/>
          <w:szCs w:val="22"/>
        </w:rPr>
        <w:t xml:space="preserve"> amount downward, which resulted in a</w:t>
      </w:r>
      <w:r w:rsidR="00FF1CCA" w:rsidRPr="00CA303D">
        <w:rPr>
          <w:spacing w:val="-2"/>
          <w:szCs w:val="22"/>
        </w:rPr>
        <w:t xml:space="preserve"> </w:t>
      </w:r>
      <w:r w:rsidRPr="00CA303D">
        <w:rPr>
          <w:spacing w:val="-2"/>
          <w:szCs w:val="22"/>
        </w:rPr>
        <w:t>proposed</w:t>
      </w:r>
      <w:r w:rsidR="004C07FB" w:rsidRPr="00CA303D">
        <w:rPr>
          <w:spacing w:val="-2"/>
          <w:szCs w:val="22"/>
        </w:rPr>
        <w:t xml:space="preserve"> forfeiture amount of $</w:t>
      </w:r>
      <w:r w:rsidR="00FF1CCA" w:rsidRPr="00CA303D">
        <w:rPr>
          <w:spacing w:val="-2"/>
          <w:szCs w:val="22"/>
        </w:rPr>
        <w:t>3</w:t>
      </w:r>
      <w:r w:rsidR="004C07FB" w:rsidRPr="00CA303D">
        <w:rPr>
          <w:spacing w:val="-2"/>
          <w:szCs w:val="22"/>
        </w:rPr>
        <w:t xml:space="preserve">,000.  </w:t>
      </w:r>
    </w:p>
    <w:p w:rsidR="00FC0A73" w:rsidRPr="004250E6" w:rsidRDefault="00905B8E" w:rsidP="004250E6">
      <w:pPr>
        <w:pStyle w:val="ParaNum"/>
        <w:tabs>
          <w:tab w:val="num" w:pos="1440"/>
        </w:tabs>
        <w:spacing w:after="240"/>
        <w:ind w:left="0"/>
        <w:rPr>
          <w:spacing w:val="-2"/>
          <w:szCs w:val="22"/>
        </w:rPr>
      </w:pPr>
      <w:r>
        <w:rPr>
          <w:spacing w:val="-2"/>
          <w:szCs w:val="22"/>
        </w:rPr>
        <w:t>In its Response, the</w:t>
      </w:r>
      <w:r w:rsidR="004C07FB" w:rsidRPr="00502A8F">
        <w:rPr>
          <w:spacing w:val="-2"/>
          <w:szCs w:val="22"/>
        </w:rPr>
        <w:t xml:space="preserve"> Licensee does not dispute that it</w:t>
      </w:r>
      <w:r w:rsidR="004C07FB">
        <w:rPr>
          <w:spacing w:val="-2"/>
          <w:szCs w:val="22"/>
        </w:rPr>
        <w:t xml:space="preserve"> failed to</w:t>
      </w:r>
      <w:r w:rsidR="00FC0A73" w:rsidRPr="00FC0A73">
        <w:t xml:space="preserve"> </w:t>
      </w:r>
      <w:r w:rsidR="00FC0A73">
        <w:t>properly identify children’s programming via display of the “E/I” symbol on the television screen</w:t>
      </w:r>
      <w:r w:rsidR="004C07FB">
        <w:rPr>
          <w:spacing w:val="-2"/>
          <w:szCs w:val="22"/>
        </w:rPr>
        <w:t xml:space="preserve"> as described in the NAL.</w:t>
      </w:r>
      <w:r w:rsidR="004C07FB" w:rsidRPr="00502A8F">
        <w:rPr>
          <w:spacing w:val="-2"/>
          <w:szCs w:val="22"/>
        </w:rPr>
        <w:t xml:space="preserve"> Th</w:t>
      </w:r>
      <w:r w:rsidR="00FC0A73">
        <w:rPr>
          <w:spacing w:val="-2"/>
          <w:szCs w:val="22"/>
        </w:rPr>
        <w:t>is deficiency</w:t>
      </w:r>
      <w:r w:rsidR="004C07FB" w:rsidRPr="00502A8F">
        <w:rPr>
          <w:spacing w:val="-2"/>
          <w:szCs w:val="22"/>
        </w:rPr>
        <w:t>, regardless of the cause, constitute</w:t>
      </w:r>
      <w:r w:rsidR="00FC0A73">
        <w:rPr>
          <w:spacing w:val="-2"/>
          <w:szCs w:val="22"/>
        </w:rPr>
        <w:t>s a violation</w:t>
      </w:r>
      <w:r w:rsidR="004C07FB" w:rsidRPr="00502A8F">
        <w:rPr>
          <w:spacing w:val="-2"/>
          <w:szCs w:val="22"/>
        </w:rPr>
        <w:t xml:space="preserve"> of </w:t>
      </w:r>
      <w:r w:rsidR="004C07FB">
        <w:rPr>
          <w:spacing w:val="-2"/>
          <w:szCs w:val="22"/>
        </w:rPr>
        <w:t>Commission rules</w:t>
      </w:r>
      <w:r w:rsidR="004250E6">
        <w:rPr>
          <w:spacing w:val="-2"/>
          <w:szCs w:val="22"/>
        </w:rPr>
        <w:t xml:space="preserve">. </w:t>
      </w:r>
      <w:r w:rsidR="004C07FB" w:rsidRPr="004250E6">
        <w:rPr>
          <w:color w:val="000000"/>
          <w:szCs w:val="22"/>
        </w:rPr>
        <w:t xml:space="preserve">Licensee </w:t>
      </w:r>
      <w:r w:rsidR="00FC0A73" w:rsidRPr="004250E6">
        <w:rPr>
          <w:color w:val="000000"/>
          <w:szCs w:val="22"/>
        </w:rPr>
        <w:t>requests an “appropriate reduction”</w:t>
      </w:r>
      <w:r w:rsidR="005756F6" w:rsidRPr="004250E6">
        <w:rPr>
          <w:color w:val="000000"/>
          <w:szCs w:val="22"/>
        </w:rPr>
        <w:t xml:space="preserve"> of the forfeiture</w:t>
      </w:r>
      <w:r w:rsidR="00FC0A73" w:rsidRPr="004250E6">
        <w:rPr>
          <w:color w:val="000000"/>
          <w:szCs w:val="22"/>
        </w:rPr>
        <w:t xml:space="preserve"> </w:t>
      </w:r>
      <w:r w:rsidR="005756F6" w:rsidRPr="004250E6">
        <w:rPr>
          <w:color w:val="000000"/>
          <w:szCs w:val="22"/>
        </w:rPr>
        <w:t xml:space="preserve">amount </w:t>
      </w:r>
      <w:r w:rsidR="00FC0A73" w:rsidRPr="004250E6">
        <w:rPr>
          <w:color w:val="000000"/>
          <w:szCs w:val="22"/>
        </w:rPr>
        <w:t>pursuant to Section 1.80 of the Rules “in consideration of the licensee’s overall history of compliance, which Commission records will confirm.”</w:t>
      </w:r>
      <w:r w:rsidR="00FC0A73">
        <w:rPr>
          <w:rStyle w:val="FootnoteReference"/>
          <w:color w:val="000000"/>
          <w:szCs w:val="22"/>
        </w:rPr>
        <w:footnoteReference w:id="9"/>
      </w:r>
      <w:r w:rsidR="00FC0A73" w:rsidRPr="004250E6">
        <w:rPr>
          <w:szCs w:val="22"/>
        </w:rPr>
        <w:t xml:space="preserve"> </w:t>
      </w:r>
      <w:r w:rsidR="00170271" w:rsidRPr="004250E6">
        <w:rPr>
          <w:szCs w:val="22"/>
        </w:rPr>
        <w:t xml:space="preserve">However, </w:t>
      </w:r>
      <w:r w:rsidR="004250E6">
        <w:rPr>
          <w:szCs w:val="22"/>
        </w:rPr>
        <w:t>in determining the proposed forfeiture amount in the NAL, w</w:t>
      </w:r>
      <w:r w:rsidR="004250E6">
        <w:t xml:space="preserve">e already </w:t>
      </w:r>
      <w:r w:rsidR="00587603">
        <w:t>considered</w:t>
      </w:r>
      <w:r>
        <w:t xml:space="preserve"> </w:t>
      </w:r>
      <w:r w:rsidR="004250E6">
        <w:t>the factors in Section 503(b)(2)(E)</w:t>
      </w:r>
      <w:r w:rsidR="009577E3">
        <w:t xml:space="preserve"> of the Act</w:t>
      </w:r>
      <w:r w:rsidR="004250E6">
        <w:t>, and</w:t>
      </w:r>
      <w:r w:rsidR="009F0AED">
        <w:t xml:space="preserve"> appropriately</w:t>
      </w:r>
      <w:r w:rsidR="004250E6">
        <w:t xml:space="preserve"> adjusted the base forfeiture amount of $8,000 downward to $3,000. We see no reason </w:t>
      </w:r>
      <w:r>
        <w:t xml:space="preserve">now </w:t>
      </w:r>
      <w:r w:rsidR="004250E6">
        <w:t xml:space="preserve">to reduce </w:t>
      </w:r>
      <w:r w:rsidR="0087373E">
        <w:t>this amount</w:t>
      </w:r>
      <w:r w:rsidR="004250E6">
        <w:t xml:space="preserve"> further</w:t>
      </w:r>
      <w:r>
        <w:t>.</w:t>
      </w:r>
    </w:p>
    <w:p w:rsidR="004C07FB" w:rsidRPr="00FC0A73" w:rsidRDefault="004C07FB" w:rsidP="00FC0A73">
      <w:pPr>
        <w:pStyle w:val="ParaNum"/>
        <w:widowControl/>
        <w:numPr>
          <w:ilvl w:val="0"/>
          <w:numId w:val="0"/>
        </w:numPr>
        <w:tabs>
          <w:tab w:val="left" w:pos="1080"/>
        </w:tabs>
        <w:spacing w:after="240"/>
        <w:rPr>
          <w:szCs w:val="22"/>
        </w:rPr>
      </w:pPr>
      <w:r w:rsidRPr="00FC0A73">
        <w:rPr>
          <w:b/>
          <w:szCs w:val="22"/>
        </w:rPr>
        <w:t>IV.  ORDERING CLAUSES</w:t>
      </w:r>
    </w:p>
    <w:p w:rsidR="004C07FB" w:rsidRPr="00F767F3" w:rsidRDefault="004C07FB" w:rsidP="00F767F3">
      <w:pPr>
        <w:pStyle w:val="ParaNum"/>
        <w:tabs>
          <w:tab w:val="left" w:pos="1440"/>
        </w:tabs>
        <w:spacing w:after="240"/>
        <w:ind w:left="0"/>
        <w:rPr>
          <w:szCs w:val="22"/>
        </w:rPr>
      </w:pPr>
      <w:r w:rsidRPr="00502A8F">
        <w:rPr>
          <w:szCs w:val="22"/>
        </w:rPr>
        <w:t>ACCORDINGLY, IT IS ORDERED THAT, pursuant to section 503(b) of the</w:t>
      </w:r>
      <w:r w:rsidR="00C53690">
        <w:rPr>
          <w:szCs w:val="22"/>
        </w:rPr>
        <w:t xml:space="preserve"> Act</w:t>
      </w:r>
      <w:r w:rsidRPr="00502A8F">
        <w:rPr>
          <w:szCs w:val="22"/>
        </w:rPr>
        <w:t>, and Sections 0.61(f)(1) and 1.80</w:t>
      </w:r>
      <w:r w:rsidR="00C83222">
        <w:rPr>
          <w:szCs w:val="22"/>
        </w:rPr>
        <w:t>(a)(1)&amp;(2) of the R</w:t>
      </w:r>
      <w:r w:rsidRPr="00502A8F">
        <w:rPr>
          <w:szCs w:val="22"/>
        </w:rPr>
        <w:t>ules</w:t>
      </w:r>
      <w:r w:rsidRPr="00502A8F">
        <w:rPr>
          <w:spacing w:val="-2"/>
          <w:szCs w:val="22"/>
        </w:rPr>
        <w:t>,</w:t>
      </w:r>
      <w:r w:rsidRPr="00502A8F">
        <w:rPr>
          <w:rStyle w:val="FootnoteReference"/>
          <w:spacing w:val="-2"/>
          <w:szCs w:val="22"/>
        </w:rPr>
        <w:footnoteReference w:id="10"/>
      </w:r>
      <w:r>
        <w:rPr>
          <w:szCs w:val="22"/>
        </w:rPr>
        <w:t xml:space="preserve"> </w:t>
      </w:r>
      <w:r w:rsidR="00DF170B">
        <w:rPr>
          <w:szCs w:val="22"/>
        </w:rPr>
        <w:t>Lincoln Broadcasting Company</w:t>
      </w:r>
      <w:r>
        <w:rPr>
          <w:szCs w:val="22"/>
        </w:rPr>
        <w:t xml:space="preserve"> </w:t>
      </w:r>
      <w:r w:rsidRPr="00502A8F">
        <w:rPr>
          <w:szCs w:val="22"/>
        </w:rPr>
        <w:t xml:space="preserve">SHALL FORFEIT to the United States the sum of </w:t>
      </w:r>
      <w:r w:rsidR="00DF170B">
        <w:rPr>
          <w:szCs w:val="22"/>
        </w:rPr>
        <w:t>three thousand dollars</w:t>
      </w:r>
      <w:r w:rsidRPr="00502A8F">
        <w:rPr>
          <w:szCs w:val="22"/>
        </w:rPr>
        <w:t xml:space="preserve"> ($</w:t>
      </w:r>
      <w:r w:rsidR="00DF170B">
        <w:rPr>
          <w:szCs w:val="22"/>
        </w:rPr>
        <w:t>3,0</w:t>
      </w:r>
      <w:r w:rsidRPr="00502A8F">
        <w:rPr>
          <w:szCs w:val="22"/>
        </w:rPr>
        <w:t>00) for violating</w:t>
      </w:r>
      <w:r>
        <w:rPr>
          <w:szCs w:val="22"/>
        </w:rPr>
        <w:t xml:space="preserve"> 47 C.F.R. 73.</w:t>
      </w:r>
      <w:r w:rsidR="00DF170B">
        <w:rPr>
          <w:szCs w:val="22"/>
        </w:rPr>
        <w:t>671</w:t>
      </w:r>
      <w:r>
        <w:rPr>
          <w:szCs w:val="22"/>
        </w:rPr>
        <w:t>.</w:t>
      </w:r>
    </w:p>
    <w:p w:rsidR="004C07FB" w:rsidRPr="00502A8F" w:rsidRDefault="004C07FB" w:rsidP="004C07FB">
      <w:pPr>
        <w:pStyle w:val="ParaNum"/>
        <w:tabs>
          <w:tab w:val="left" w:pos="1440"/>
        </w:tabs>
        <w:spacing w:after="240"/>
        <w:ind w:left="0"/>
        <w:rPr>
          <w:szCs w:val="22"/>
        </w:rPr>
      </w:pPr>
      <w:r w:rsidRPr="00502A8F">
        <w:rPr>
          <w:szCs w:val="22"/>
        </w:rPr>
        <w:t>Payment of the forfeiture shall be made in the mann</w:t>
      </w:r>
      <w:r w:rsidR="00C83222">
        <w:rPr>
          <w:szCs w:val="22"/>
        </w:rPr>
        <w:t>er provided for in Section 1.80</w:t>
      </w:r>
      <w:r w:rsidRPr="00502A8F">
        <w:rPr>
          <w:szCs w:val="22"/>
        </w:rPr>
        <w:t xml:space="preserve">(h) of the Commission’s rules </w:t>
      </w:r>
      <w:r>
        <w:rPr>
          <w:szCs w:val="22"/>
        </w:rPr>
        <w:t>within thirty (30</w:t>
      </w:r>
      <w:r w:rsidRPr="00502A8F">
        <w:rPr>
          <w:szCs w:val="22"/>
        </w:rPr>
        <w:t xml:space="preserve">) calendar days after the release </w:t>
      </w:r>
      <w:r>
        <w:rPr>
          <w:szCs w:val="22"/>
        </w:rPr>
        <w:t xml:space="preserve">date of this Forfeiture Order.  </w:t>
      </w:r>
      <w:r w:rsidRPr="00502A8F">
        <w:rPr>
          <w:szCs w:val="22"/>
        </w:rPr>
        <w:t xml:space="preserve">If the forfeiture is not paid within the period specified, the case may be referred to the U.S. Department of Justice for enforcement of the forfeiture pursuant to Section 504(a) of the </w:t>
      </w:r>
      <w:r w:rsidR="00C83222">
        <w:rPr>
          <w:szCs w:val="22"/>
        </w:rPr>
        <w:t>Act.</w:t>
      </w:r>
      <w:r>
        <w:rPr>
          <w:szCs w:val="22"/>
        </w:rPr>
        <w:t xml:space="preserve">  </w:t>
      </w:r>
      <w:r w:rsidRPr="00502A8F">
        <w:rPr>
          <w:szCs w:val="22"/>
        </w:rPr>
        <w:t xml:space="preserve">The Licensee shall send </w:t>
      </w:r>
      <w:r w:rsidRPr="00502A8F">
        <w:rPr>
          <w:szCs w:val="22"/>
        </w:rPr>
        <w:lastRenderedPageBreak/>
        <w:t xml:space="preserve">electronic notification of the payment to </w:t>
      </w:r>
      <w:r w:rsidR="0078342D">
        <w:rPr>
          <w:szCs w:val="22"/>
        </w:rPr>
        <w:t>Alison Nemeth</w:t>
      </w:r>
      <w:r w:rsidRPr="00502A8F">
        <w:rPr>
          <w:szCs w:val="22"/>
        </w:rPr>
        <w:t xml:space="preserve"> at </w:t>
      </w:r>
      <w:r w:rsidR="0078342D">
        <w:rPr>
          <w:szCs w:val="22"/>
        </w:rPr>
        <w:t>alison.nemeth</w:t>
      </w:r>
      <w:r w:rsidRPr="00502A8F">
        <w:rPr>
          <w:szCs w:val="22"/>
        </w:rPr>
        <w:t>@fcc.gov on the date payment is made.</w:t>
      </w:r>
    </w:p>
    <w:p w:rsidR="004C07FB" w:rsidRPr="000731CA" w:rsidRDefault="004C07FB" w:rsidP="004C07FB">
      <w:pPr>
        <w:pStyle w:val="ParaNum"/>
        <w:tabs>
          <w:tab w:val="left" w:pos="1440"/>
        </w:tabs>
        <w:spacing w:after="240"/>
        <w:ind w:left="0"/>
        <w:rPr>
          <w:szCs w:val="22"/>
        </w:rPr>
      </w:pPr>
      <w:r w:rsidRPr="000731CA">
        <w:rPr>
          <w:szCs w:val="22"/>
        </w:rPr>
        <w:t xml:space="preserve">The payment must be made by check or similar instrument, wire transfer, or credit card, and must include the NAL/Account number and FRN referenced above.  Regardless of the form of payment, a completed FCC Form 159 (Remittance Advice) must be submitted.  When completing FCC Form 159, enter the Account Number in block number 23A (call sign/other ID) and enter the “FORF” in block number 24A (payment type code).  Payment by check or </w:t>
      </w:r>
      <w:r w:rsidRPr="000731CA">
        <w:rPr>
          <w:szCs w:val="22"/>
          <w:lang w:val="en"/>
        </w:rPr>
        <w:t xml:space="preserve">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0731CA">
            <w:rPr>
              <w:szCs w:val="22"/>
              <w:lang w:val="en"/>
            </w:rPr>
            <w:t>P.O. Box 979088</w:t>
          </w:r>
        </w:smartTag>
        <w:r w:rsidRPr="000731CA">
          <w:rPr>
            <w:szCs w:val="22"/>
            <w:lang w:val="en"/>
          </w:rPr>
          <w:t xml:space="preserve">, </w:t>
        </w:r>
        <w:smartTag w:uri="urn:schemas-microsoft-com:office:smarttags" w:element="City">
          <w:r w:rsidRPr="000731CA">
            <w:rPr>
              <w:szCs w:val="22"/>
              <w:lang w:val="en"/>
            </w:rPr>
            <w:t>St. Louis</w:t>
          </w:r>
        </w:smartTag>
        <w:r w:rsidRPr="000731CA">
          <w:rPr>
            <w:szCs w:val="22"/>
            <w:lang w:val="en"/>
          </w:rPr>
          <w:t xml:space="preserve">, </w:t>
        </w:r>
        <w:smartTag w:uri="urn:schemas-microsoft-com:office:smarttags" w:element="State">
          <w:r w:rsidRPr="000731CA">
            <w:rPr>
              <w:szCs w:val="22"/>
              <w:lang w:val="en"/>
            </w:rPr>
            <w:t>MO</w:t>
          </w:r>
        </w:smartTag>
        <w:r w:rsidRPr="000731CA">
          <w:rPr>
            <w:szCs w:val="22"/>
            <w:lang w:val="en"/>
          </w:rPr>
          <w:t xml:space="preserve"> </w:t>
        </w:r>
        <w:smartTag w:uri="urn:schemas-microsoft-com:office:smarttags" w:element="PostalCode">
          <w:r w:rsidRPr="000731CA">
            <w:rPr>
              <w:szCs w:val="22"/>
              <w:lang w:val="en"/>
            </w:rPr>
            <w:t>63197-9000</w:t>
          </w:r>
        </w:smartTag>
      </w:smartTag>
      <w:r w:rsidRPr="000731CA">
        <w:rPr>
          <w:szCs w:val="22"/>
          <w:lang w:val="en"/>
        </w:rPr>
        <w:t xml:space="preserve">, or sent via overnight mail to U.S. Bank – Government Lockbox #979088, SL-MO-C2-GL, 1005 </w:t>
      </w:r>
      <w:smartTag w:uri="urn:schemas-microsoft-com:office:smarttags" w:element="country-region">
        <w:r w:rsidRPr="000731CA">
          <w:rPr>
            <w:szCs w:val="22"/>
            <w:lang w:val="en"/>
          </w:rPr>
          <w:t>Convention</w:t>
        </w:r>
      </w:smartTag>
      <w:r w:rsidRPr="000731CA">
        <w:rPr>
          <w:szCs w:val="22"/>
          <w:lang w:val="en"/>
        </w:rPr>
        <w:t xml:space="preserve"> </w:t>
      </w:r>
      <w:smartTag w:uri="urn:schemas-microsoft-com:office:smarttags" w:element="PlaceType">
        <w:r w:rsidRPr="000731CA">
          <w:rPr>
            <w:szCs w:val="22"/>
            <w:lang w:val="en"/>
          </w:rPr>
          <w:t>Plaza</w:t>
        </w:r>
      </w:smartTag>
      <w:r w:rsidRPr="000731CA">
        <w:rPr>
          <w:szCs w:val="22"/>
          <w:lang w:val="en"/>
        </w:rPr>
        <w:t>, St. Louis, MO 63101.</w:t>
      </w:r>
    </w:p>
    <w:p w:rsidR="004C07FB" w:rsidRPr="000731CA" w:rsidRDefault="004C07FB" w:rsidP="004C07FB">
      <w:pPr>
        <w:pStyle w:val="ParaNum"/>
        <w:tabs>
          <w:tab w:val="left" w:pos="1440"/>
        </w:tabs>
        <w:spacing w:after="240"/>
        <w:ind w:left="0"/>
        <w:rPr>
          <w:szCs w:val="22"/>
        </w:rPr>
      </w:pPr>
      <w:r w:rsidRPr="000731CA">
        <w:rPr>
          <w:szCs w:val="22"/>
        </w:rPr>
        <w:t>IT IS FURTHER ORDERED THAT a copy of this FORFEITURE ORDER shall be sent by Certified Mail Return Receipt Requested to</w:t>
      </w:r>
      <w:r>
        <w:rPr>
          <w:szCs w:val="22"/>
          <w:shd w:val="clear" w:color="auto" w:fill="FFFFFF"/>
        </w:rPr>
        <w:t xml:space="preserve"> </w:t>
      </w:r>
      <w:r w:rsidR="00AE4426">
        <w:rPr>
          <w:szCs w:val="22"/>
          <w:shd w:val="clear" w:color="auto" w:fill="FFFFFF"/>
        </w:rPr>
        <w:t>Lincoln Broadcasting Company,</w:t>
      </w:r>
      <w:r>
        <w:rPr>
          <w:szCs w:val="22"/>
          <w:shd w:val="clear" w:color="auto" w:fill="FFFFFF"/>
        </w:rPr>
        <w:t xml:space="preserve"> </w:t>
      </w:r>
      <w:r w:rsidR="00AE4426">
        <w:t xml:space="preserve">A California Limited Partnership, 100 Valley Drive, Brisbane, CA 94005, </w:t>
      </w:r>
      <w:r w:rsidR="00AE4426" w:rsidRPr="00AB6512">
        <w:rPr>
          <w:szCs w:val="22"/>
        </w:rPr>
        <w:t xml:space="preserve">and to its counsel, </w:t>
      </w:r>
      <w:r w:rsidR="00FF1E84">
        <w:rPr>
          <w:szCs w:val="22"/>
        </w:rPr>
        <w:t>Lawrence M. Miller</w:t>
      </w:r>
      <w:r w:rsidR="00AE4426" w:rsidRPr="00AB6512">
        <w:rPr>
          <w:szCs w:val="22"/>
        </w:rPr>
        <w:t xml:space="preserve">, </w:t>
      </w:r>
      <w:r w:rsidR="00FF1E84">
        <w:rPr>
          <w:szCs w:val="22"/>
        </w:rPr>
        <w:t>Schwartz, Woods &amp; Miller</w:t>
      </w:r>
      <w:r w:rsidR="00AE4426" w:rsidRPr="00AB6512">
        <w:rPr>
          <w:szCs w:val="22"/>
        </w:rPr>
        <w:t xml:space="preserve">, </w:t>
      </w:r>
      <w:r w:rsidR="00FF1E84">
        <w:rPr>
          <w:szCs w:val="22"/>
        </w:rPr>
        <w:t>Suite 610, The Lion Building, 1233 20</w:t>
      </w:r>
      <w:r w:rsidR="00FF1E84" w:rsidRPr="00FF1E84">
        <w:rPr>
          <w:szCs w:val="22"/>
          <w:vertAlign w:val="superscript"/>
        </w:rPr>
        <w:t>th</w:t>
      </w:r>
      <w:r w:rsidR="00FF1E84">
        <w:rPr>
          <w:szCs w:val="22"/>
        </w:rPr>
        <w:t xml:space="preserve"> Street, NW, Washington, DC 20036-7322</w:t>
      </w:r>
      <w:r w:rsidR="00AE4426" w:rsidRPr="00AB6512">
        <w:rPr>
          <w:szCs w:val="22"/>
        </w:rPr>
        <w:t xml:space="preserve">.   </w:t>
      </w:r>
    </w:p>
    <w:p w:rsidR="004C07FB" w:rsidRDefault="004C07FB" w:rsidP="004C07FB">
      <w:pPr>
        <w:jc w:val="both"/>
        <w:rPr>
          <w:sz w:val="22"/>
          <w:szCs w:val="22"/>
        </w:rPr>
      </w:pPr>
      <w:r w:rsidRPr="00502A8F">
        <w:rPr>
          <w:sz w:val="22"/>
          <w:szCs w:val="22"/>
        </w:rPr>
        <w:tab/>
      </w:r>
      <w:r w:rsidRPr="00502A8F">
        <w:rPr>
          <w:sz w:val="22"/>
          <w:szCs w:val="22"/>
        </w:rPr>
        <w:tab/>
      </w:r>
      <w:r w:rsidRPr="00502A8F">
        <w:rPr>
          <w:sz w:val="22"/>
          <w:szCs w:val="22"/>
        </w:rPr>
        <w:tab/>
      </w:r>
    </w:p>
    <w:p w:rsidR="004C07FB" w:rsidRPr="00502A8F" w:rsidRDefault="004C07FB" w:rsidP="004C07FB">
      <w:pPr>
        <w:jc w:val="both"/>
        <w:rPr>
          <w:sz w:val="22"/>
          <w:szCs w:val="22"/>
        </w:rPr>
      </w:pPr>
      <w:r w:rsidRPr="00502A8F">
        <w:rPr>
          <w:sz w:val="22"/>
          <w:szCs w:val="22"/>
        </w:rPr>
        <w:tab/>
      </w:r>
      <w:r w:rsidRPr="00502A8F">
        <w:rPr>
          <w:sz w:val="22"/>
          <w:szCs w:val="22"/>
        </w:rPr>
        <w:tab/>
      </w:r>
      <w:r w:rsidRPr="00502A8F">
        <w:rPr>
          <w:sz w:val="22"/>
          <w:szCs w:val="22"/>
        </w:rPr>
        <w:tab/>
      </w:r>
      <w:r>
        <w:rPr>
          <w:sz w:val="22"/>
          <w:szCs w:val="22"/>
        </w:rPr>
        <w:tab/>
      </w:r>
      <w:r w:rsidRPr="00502A8F">
        <w:rPr>
          <w:sz w:val="22"/>
          <w:szCs w:val="22"/>
        </w:rPr>
        <w:t>FEDERAL COMMUNICATIONS COMMISSION</w:t>
      </w:r>
    </w:p>
    <w:p w:rsidR="004C07FB" w:rsidRPr="00502A8F" w:rsidRDefault="004C07FB" w:rsidP="004C07FB">
      <w:pPr>
        <w:jc w:val="both"/>
        <w:rPr>
          <w:sz w:val="22"/>
          <w:szCs w:val="22"/>
        </w:rPr>
      </w:pPr>
      <w:r w:rsidRPr="00502A8F">
        <w:rPr>
          <w:sz w:val="22"/>
          <w:szCs w:val="22"/>
        </w:rPr>
        <w:tab/>
      </w:r>
      <w:r w:rsidRPr="00502A8F">
        <w:rPr>
          <w:sz w:val="22"/>
          <w:szCs w:val="22"/>
        </w:rPr>
        <w:tab/>
      </w:r>
      <w:r w:rsidRPr="00502A8F">
        <w:rPr>
          <w:sz w:val="22"/>
          <w:szCs w:val="22"/>
        </w:rPr>
        <w:tab/>
      </w:r>
      <w:r w:rsidRPr="00502A8F">
        <w:rPr>
          <w:sz w:val="22"/>
          <w:szCs w:val="22"/>
        </w:rPr>
        <w:tab/>
      </w:r>
    </w:p>
    <w:p w:rsidR="004C07FB" w:rsidRPr="00502A8F" w:rsidRDefault="004C07FB" w:rsidP="004C07FB">
      <w:pPr>
        <w:jc w:val="both"/>
        <w:rPr>
          <w:sz w:val="22"/>
          <w:szCs w:val="22"/>
        </w:rPr>
      </w:pPr>
    </w:p>
    <w:p w:rsidR="004C07FB" w:rsidRPr="00502A8F" w:rsidRDefault="004C07FB" w:rsidP="004C07FB">
      <w:pPr>
        <w:jc w:val="both"/>
        <w:rPr>
          <w:sz w:val="22"/>
          <w:szCs w:val="22"/>
        </w:rPr>
      </w:pPr>
      <w:r w:rsidRPr="00502A8F">
        <w:rPr>
          <w:sz w:val="22"/>
          <w:szCs w:val="22"/>
        </w:rPr>
        <w:tab/>
      </w:r>
    </w:p>
    <w:p w:rsidR="004C07FB" w:rsidRPr="00502A8F" w:rsidRDefault="004C07FB" w:rsidP="004C07FB">
      <w:pPr>
        <w:jc w:val="both"/>
        <w:rPr>
          <w:sz w:val="22"/>
          <w:szCs w:val="22"/>
        </w:rPr>
      </w:pPr>
      <w:r w:rsidRPr="00502A8F">
        <w:rPr>
          <w:sz w:val="22"/>
          <w:szCs w:val="22"/>
        </w:rPr>
        <w:tab/>
      </w:r>
      <w:r w:rsidRPr="00502A8F">
        <w:rPr>
          <w:sz w:val="22"/>
          <w:szCs w:val="22"/>
        </w:rPr>
        <w:tab/>
      </w:r>
      <w:r w:rsidRPr="00502A8F">
        <w:rPr>
          <w:sz w:val="22"/>
          <w:szCs w:val="22"/>
        </w:rPr>
        <w:tab/>
      </w:r>
      <w:r>
        <w:rPr>
          <w:sz w:val="22"/>
          <w:szCs w:val="22"/>
        </w:rPr>
        <w:tab/>
      </w:r>
      <w:r w:rsidRPr="00502A8F">
        <w:rPr>
          <w:sz w:val="22"/>
          <w:szCs w:val="22"/>
        </w:rPr>
        <w:t>Barbara A. Kreisman</w:t>
      </w:r>
    </w:p>
    <w:p w:rsidR="004C07FB" w:rsidRPr="00502A8F" w:rsidRDefault="004C07FB" w:rsidP="004C07FB">
      <w:pPr>
        <w:jc w:val="both"/>
        <w:rPr>
          <w:sz w:val="22"/>
          <w:szCs w:val="22"/>
        </w:rPr>
      </w:pPr>
      <w:r w:rsidRPr="00502A8F">
        <w:rPr>
          <w:sz w:val="22"/>
          <w:szCs w:val="22"/>
        </w:rPr>
        <w:tab/>
      </w:r>
      <w:r w:rsidRPr="00502A8F">
        <w:rPr>
          <w:sz w:val="22"/>
          <w:szCs w:val="22"/>
        </w:rPr>
        <w:tab/>
      </w:r>
      <w:r w:rsidRPr="00502A8F">
        <w:rPr>
          <w:sz w:val="22"/>
          <w:szCs w:val="22"/>
        </w:rPr>
        <w:tab/>
      </w:r>
      <w:r>
        <w:rPr>
          <w:sz w:val="22"/>
          <w:szCs w:val="22"/>
        </w:rPr>
        <w:tab/>
      </w:r>
      <w:r w:rsidRPr="00502A8F">
        <w:rPr>
          <w:sz w:val="22"/>
          <w:szCs w:val="22"/>
        </w:rPr>
        <w:t xml:space="preserve">Chief, Video Division </w:t>
      </w:r>
    </w:p>
    <w:p w:rsidR="004C07FB" w:rsidRPr="00502A8F" w:rsidRDefault="004C07FB" w:rsidP="004C07FB">
      <w:pPr>
        <w:ind w:left="2160" w:firstLine="720"/>
        <w:jc w:val="both"/>
        <w:rPr>
          <w:sz w:val="22"/>
          <w:szCs w:val="22"/>
        </w:rPr>
      </w:pPr>
      <w:r w:rsidRPr="00502A8F">
        <w:rPr>
          <w:sz w:val="22"/>
          <w:szCs w:val="22"/>
        </w:rPr>
        <w:t>Media Bureau</w:t>
      </w:r>
    </w:p>
    <w:p w:rsidR="00B071CC" w:rsidRDefault="00B071CC"/>
    <w:sectPr w:rsidR="00B071CC" w:rsidSect="004C07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28" w:rsidRDefault="00150D28" w:rsidP="004C07FB">
      <w:r>
        <w:separator/>
      </w:r>
    </w:p>
  </w:endnote>
  <w:endnote w:type="continuationSeparator" w:id="0">
    <w:p w:rsidR="00150D28" w:rsidRDefault="00150D28" w:rsidP="004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50D4B" w:rsidRDefault="00BE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25D">
      <w:rPr>
        <w:rStyle w:val="PageNumber"/>
        <w:noProof/>
      </w:rPr>
      <w:t>2</w:t>
    </w:r>
    <w:r>
      <w:rPr>
        <w:rStyle w:val="PageNumber"/>
      </w:rPr>
      <w:fldChar w:fldCharType="end"/>
    </w:r>
  </w:p>
  <w:p w:rsidR="00950D4B" w:rsidRDefault="00BE1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43" w:rsidRDefault="0018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28" w:rsidRDefault="00150D28" w:rsidP="004C07FB">
      <w:r>
        <w:separator/>
      </w:r>
    </w:p>
  </w:footnote>
  <w:footnote w:type="continuationSeparator" w:id="0">
    <w:p w:rsidR="00150D28" w:rsidRDefault="00150D28" w:rsidP="004C07FB">
      <w:r>
        <w:continuationSeparator/>
      </w:r>
    </w:p>
  </w:footnote>
  <w:footnote w:id="1">
    <w:p w:rsidR="004C07FB" w:rsidRPr="005F0A88" w:rsidRDefault="004C07FB" w:rsidP="004C07FB">
      <w:pPr>
        <w:pStyle w:val="FootnoteText"/>
        <w:spacing w:after="120"/>
        <w:jc w:val="both"/>
      </w:pPr>
      <w:r w:rsidRPr="005F0A88">
        <w:rPr>
          <w:rStyle w:val="FootnoteReference"/>
        </w:rPr>
        <w:footnoteRef/>
      </w:r>
      <w:r w:rsidRPr="005F0A88">
        <w:t xml:space="preserve">  47 C.F.R. §§ 0.61(f)(1), 1.80(a)(1) &amp; (2).</w:t>
      </w:r>
    </w:p>
  </w:footnote>
  <w:footnote w:id="2">
    <w:p w:rsidR="004C07FB" w:rsidRPr="001F7FCC" w:rsidRDefault="004C07FB" w:rsidP="004C07FB">
      <w:pPr>
        <w:pStyle w:val="FootnoteText"/>
        <w:spacing w:after="120"/>
        <w:jc w:val="both"/>
      </w:pPr>
      <w:r w:rsidRPr="005F0A88">
        <w:rPr>
          <w:rStyle w:val="FootnoteReference"/>
        </w:rPr>
        <w:footnoteRef/>
      </w:r>
      <w:r>
        <w:rPr>
          <w:i/>
        </w:rPr>
        <w:t xml:space="preserve"> </w:t>
      </w:r>
      <w:r w:rsidR="00317228">
        <w:rPr>
          <w:i/>
        </w:rPr>
        <w:t>Lincoln Broadcasting Company</w:t>
      </w:r>
      <w:r>
        <w:t xml:space="preserve">, Notice of Apparent Liability for Forfeiture, DA </w:t>
      </w:r>
      <w:r w:rsidR="00317228">
        <w:t xml:space="preserve">15-16 </w:t>
      </w:r>
      <w:r>
        <w:t>(</w:t>
      </w:r>
      <w:r w:rsidR="00317228">
        <w:t>Jan. 7, 2015</w:t>
      </w:r>
      <w:r>
        <w:t>).</w:t>
      </w:r>
    </w:p>
  </w:footnote>
  <w:footnote w:id="3">
    <w:p w:rsidR="004C07FB" w:rsidRPr="005F0A88" w:rsidRDefault="004C07FB" w:rsidP="004C07FB">
      <w:pPr>
        <w:pStyle w:val="FootnoteText"/>
        <w:spacing w:after="120"/>
        <w:jc w:val="both"/>
      </w:pPr>
      <w:r w:rsidRPr="005F0A88">
        <w:rPr>
          <w:rStyle w:val="FootnoteReference"/>
        </w:rPr>
        <w:footnoteRef/>
      </w:r>
      <w:r>
        <w:t xml:space="preserve"> 47 C.F.R. § 73.</w:t>
      </w:r>
      <w:r w:rsidR="00063799">
        <w:t>671.</w:t>
      </w:r>
    </w:p>
  </w:footnote>
  <w:footnote w:id="4">
    <w:p w:rsidR="004C07FB" w:rsidRPr="005F0A88" w:rsidRDefault="004C07FB" w:rsidP="004C07FB">
      <w:pPr>
        <w:pStyle w:val="FootnoteText"/>
        <w:spacing w:after="120"/>
        <w:jc w:val="both"/>
      </w:pPr>
      <w:r w:rsidRPr="005F0A88">
        <w:rPr>
          <w:rStyle w:val="FootnoteReference"/>
        </w:rPr>
        <w:footnoteRef/>
      </w:r>
      <w:r w:rsidRPr="005F0A88">
        <w:rPr>
          <w:i/>
        </w:rPr>
        <w:t xml:space="preserve"> </w:t>
      </w:r>
      <w:r w:rsidRPr="005F0A88">
        <w:t>Licensee Response to Notice of Apparent Liabilit</w:t>
      </w:r>
      <w:r>
        <w:t>y (“Licensee Response”) (</w:t>
      </w:r>
      <w:r w:rsidR="00603DCF">
        <w:t>Feb. 5, 2015</w:t>
      </w:r>
      <w:r>
        <w:t>)</w:t>
      </w:r>
      <w:r w:rsidRPr="005F0A88">
        <w:t>.</w:t>
      </w:r>
    </w:p>
  </w:footnote>
  <w:footnote w:id="5">
    <w:p w:rsidR="004C07FB" w:rsidRPr="005F0A88" w:rsidRDefault="004C07FB" w:rsidP="004C07FB">
      <w:pPr>
        <w:pStyle w:val="FootnoteText"/>
        <w:spacing w:after="120"/>
        <w:jc w:val="both"/>
      </w:pPr>
      <w:r w:rsidRPr="005F0A88">
        <w:rPr>
          <w:rStyle w:val="FootnoteReference"/>
        </w:rPr>
        <w:footnoteRef/>
      </w:r>
      <w:r w:rsidRPr="005F0A88">
        <w:t xml:space="preserve"> 47 U.S.C. § 503(b)(1) (A) &amp; (B); 47 C.F.R. § 1.80(a)(1) &amp; (2).  The Commission may assess a forfeiture order for violations that are merely repeated, and not willful.  </w:t>
      </w:r>
      <w:r w:rsidRPr="005F0A88">
        <w:rPr>
          <w:i/>
        </w:rPr>
        <w:t>See, e.g.,</w:t>
      </w:r>
      <w:r w:rsidRPr="005F0A88">
        <w:t xml:space="preserve"> </w:t>
      </w:r>
      <w:r w:rsidRPr="005F0A88">
        <w:rPr>
          <w:i/>
        </w:rPr>
        <w:t>Callais Cablevision, Inc., Grand Isle, Louisiana</w:t>
      </w:r>
      <w:r w:rsidRPr="005F0A88">
        <w:t xml:space="preserve">, Notice of Apparent Liability for Monetary Forfeiture, </w:t>
      </w:r>
      <w:r w:rsidR="006966DC">
        <w:t>16 FCC Rcd 1359, 1362</w:t>
      </w:r>
      <w:r w:rsidRPr="005F0A88">
        <w:t xml:space="preserve"> (2001) (issuing a Notice of Apparent Liability for a cable television operator’s repeated violations of the Commission’s signal leakage rules). </w:t>
      </w:r>
      <w:r w:rsidRPr="005F0A88">
        <w:rPr>
          <w:i/>
        </w:rPr>
        <w:t xml:space="preserve"> </w:t>
      </w:r>
      <w:r w:rsidRPr="005F0A88">
        <w:t xml:space="preserve">“Repeated” means that the act was committed or omitted more than once.  </w:t>
      </w:r>
      <w:r w:rsidRPr="005F0A88">
        <w:rPr>
          <w:i/>
        </w:rPr>
        <w:t xml:space="preserve">Southern California Broadcasting Co., </w:t>
      </w:r>
      <w:r w:rsidRPr="005F0A88">
        <w:t>Memorandum Opinion and Order, 6 FCC Rcd 4387, 4388 (1991).</w:t>
      </w:r>
    </w:p>
  </w:footnote>
  <w:footnote w:id="6">
    <w:p w:rsidR="004C07FB" w:rsidRPr="005F0A88" w:rsidRDefault="004C07FB" w:rsidP="004C07FB">
      <w:pPr>
        <w:pStyle w:val="FootnoteText"/>
        <w:spacing w:after="120"/>
        <w:jc w:val="both"/>
      </w:pPr>
      <w:r w:rsidRPr="005F0A88">
        <w:rPr>
          <w:rStyle w:val="FootnoteReference"/>
        </w:rPr>
        <w:footnoteRef/>
      </w:r>
      <w:r w:rsidRPr="005F0A88">
        <w:t xml:space="preserve"> 47 U.S.C. § 503(b); 47 C.F.R. § 1.80(f).</w:t>
      </w:r>
    </w:p>
  </w:footnote>
  <w:footnote w:id="7">
    <w:p w:rsidR="004C07FB" w:rsidRPr="005F0A88" w:rsidRDefault="004C07FB" w:rsidP="004C07FB">
      <w:pPr>
        <w:pStyle w:val="FootnoteText"/>
        <w:spacing w:after="120"/>
        <w:jc w:val="both"/>
      </w:pPr>
      <w:r w:rsidRPr="005F0A88">
        <w:rPr>
          <w:rStyle w:val="FootnoteReference"/>
        </w:rPr>
        <w:footnoteRef/>
      </w:r>
      <w:r w:rsidRPr="005F0A88">
        <w:t xml:space="preserve"> </w:t>
      </w:r>
      <w:r w:rsidRPr="005F0A88">
        <w:rPr>
          <w:i/>
        </w:rPr>
        <w:t>See, e.g., SBC Communications, Inc.</w:t>
      </w:r>
      <w:r w:rsidRPr="005F0A88">
        <w:t xml:space="preserve">, Forfeiture Order, 17 FCC Rcd 7589, 7591 (2002). </w:t>
      </w:r>
    </w:p>
  </w:footnote>
  <w:footnote w:id="8">
    <w:p w:rsidR="004C07FB" w:rsidRPr="005F0A88" w:rsidRDefault="004C07FB" w:rsidP="004C07FB">
      <w:pPr>
        <w:pStyle w:val="FootnoteText"/>
        <w:spacing w:after="120"/>
        <w:jc w:val="both"/>
      </w:pPr>
      <w:r w:rsidRPr="005F0A88">
        <w:rPr>
          <w:rStyle w:val="FootnoteReference"/>
        </w:rPr>
        <w:footnoteRef/>
      </w:r>
      <w:r w:rsidRPr="005F0A88">
        <w:t xml:space="preserve"> </w:t>
      </w:r>
      <w:r w:rsidR="00C86FAF" w:rsidRPr="001255E3">
        <w:rPr>
          <w:i/>
        </w:rPr>
        <w:t>See Forfeiture Policy Statement and Amendment of Section 1.80(b) of the Rules to Incorporate the Forfeiture Guidelines</w:t>
      </w:r>
      <w:r w:rsidR="00C86FAF" w:rsidRPr="001255E3">
        <w:t xml:space="preserve">, Report and Order, 12 FCC Rcd 17087, 17113-15 (1997) </w:t>
      </w:r>
      <w:r w:rsidR="00C86FAF" w:rsidRPr="001255E3">
        <w:rPr>
          <w:i/>
        </w:rPr>
        <w:t>(“Forfeiture Policy Statement”),</w:t>
      </w:r>
      <w:r w:rsidR="00C86FAF" w:rsidRPr="001255E3">
        <w:t xml:space="preserve"> </w:t>
      </w:r>
      <w:r w:rsidR="00C86FAF" w:rsidRPr="001255E3">
        <w:rPr>
          <w:i/>
        </w:rPr>
        <w:t>recon. denied</w:t>
      </w:r>
      <w:r w:rsidR="003F2D43">
        <w:t>, 15 FCC Rcd</w:t>
      </w:r>
      <w:r w:rsidR="00C86FAF" w:rsidRPr="001255E3">
        <w:t xml:space="preserve"> 303 (1999); 47 C.F.R. § 1.80(b), note to paragraph (b)(8), Section I.</w:t>
      </w:r>
    </w:p>
  </w:footnote>
  <w:footnote w:id="9">
    <w:p w:rsidR="00FC0A73" w:rsidRDefault="00FC0A73">
      <w:pPr>
        <w:pStyle w:val="FootnoteText"/>
      </w:pPr>
      <w:r>
        <w:rPr>
          <w:rStyle w:val="FootnoteReference"/>
        </w:rPr>
        <w:footnoteRef/>
      </w:r>
      <w:r>
        <w:t xml:space="preserve"> </w:t>
      </w:r>
      <w:r w:rsidRPr="005F0A88">
        <w:t xml:space="preserve">Licensee Response </w:t>
      </w:r>
      <w:r>
        <w:t>at 1.</w:t>
      </w:r>
      <w:r w:rsidR="004250E6">
        <w:t xml:space="preserve"> </w:t>
      </w:r>
    </w:p>
  </w:footnote>
  <w:footnote w:id="10">
    <w:p w:rsidR="004C07FB" w:rsidRPr="005F0A88" w:rsidRDefault="004C07FB" w:rsidP="004C07FB">
      <w:pPr>
        <w:pStyle w:val="FootnoteText"/>
        <w:spacing w:after="120"/>
        <w:jc w:val="both"/>
      </w:pPr>
      <w:r w:rsidRPr="005F0A88">
        <w:rPr>
          <w:rStyle w:val="FootnoteReference"/>
        </w:rPr>
        <w:footnoteRef/>
      </w:r>
      <w:r w:rsidRPr="005F0A88">
        <w:t xml:space="preserve"> 47 U.S.C. § 503(b); 47 C.F.R. §§ 0.61(f)(1) &amp; 1.80(a)(1)&amp;(2).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43" w:rsidRDefault="00184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rPr>
        <w:b/>
        <w:sz w:val="22"/>
        <w:u w:val="single"/>
      </w:rPr>
    </w:pPr>
    <w:r>
      <w:rPr>
        <w:b/>
        <w:sz w:val="22"/>
        <w:u w:val="single"/>
      </w:rPr>
      <w:t xml:space="preserve">               </w:t>
    </w:r>
    <w:r w:rsidR="001B52C7">
      <w:rPr>
        <w:b/>
        <w:sz w:val="22"/>
        <w:u w:val="single"/>
      </w:rPr>
      <w:t xml:space="preserve">                         Federal</w:t>
    </w:r>
    <w:r>
      <w:rPr>
        <w:b/>
        <w:sz w:val="22"/>
        <w:u w:val="single"/>
      </w:rPr>
      <w:t xml:space="preserve"> C</w:t>
    </w:r>
    <w:r w:rsidR="001B52C7">
      <w:rPr>
        <w:b/>
        <w:sz w:val="22"/>
        <w:u w:val="single"/>
      </w:rPr>
      <w:t>ommunications</w:t>
    </w:r>
    <w:r w:rsidR="004C07FB">
      <w:rPr>
        <w:b/>
        <w:sz w:val="22"/>
        <w:u w:val="single"/>
      </w:rPr>
      <w:t xml:space="preserve"> C</w:t>
    </w:r>
    <w:r w:rsidR="001B52C7">
      <w:rPr>
        <w:b/>
        <w:sz w:val="22"/>
        <w:u w:val="single"/>
      </w:rPr>
      <w:t>ommission</w:t>
    </w:r>
    <w:r w:rsidR="001B52C7">
      <w:rPr>
        <w:b/>
        <w:sz w:val="22"/>
        <w:u w:val="single"/>
      </w:rPr>
      <w:tab/>
    </w:r>
    <w:r w:rsidR="004C07FB">
      <w:rPr>
        <w:b/>
        <w:sz w:val="22"/>
        <w:u w:val="single"/>
      </w:rPr>
      <w:t xml:space="preserve">        DA 15</w:t>
    </w:r>
    <w:r>
      <w:rPr>
        <w:b/>
        <w:sz w:val="22"/>
        <w:u w:val="single"/>
      </w:rPr>
      <w:t>-</w:t>
    </w:r>
    <w:r w:rsidR="001B52C7">
      <w:rPr>
        <w:b/>
        <w:sz w:val="22"/>
        <w:u w:val="single"/>
      </w:rPr>
      <w:t>402</w:t>
    </w:r>
    <w:r>
      <w:rPr>
        <w:b/>
        <w:sz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pPr>
    <w:r>
      <w:rPr>
        <w:b/>
        <w:sz w:val="22"/>
        <w:u w:val="single"/>
      </w:rPr>
      <w:t xml:space="preserve">                 </w:t>
    </w:r>
    <w:r w:rsidR="001B52C7">
      <w:rPr>
        <w:b/>
        <w:sz w:val="22"/>
        <w:u w:val="single"/>
      </w:rPr>
      <w:t xml:space="preserve">                     </w:t>
    </w:r>
    <w:r w:rsidR="001B52C7">
      <w:rPr>
        <w:b/>
        <w:sz w:val="22"/>
        <w:u w:val="single"/>
      </w:rPr>
      <w:tab/>
      <w:t>Federal</w:t>
    </w:r>
    <w:r>
      <w:rPr>
        <w:b/>
        <w:sz w:val="22"/>
        <w:u w:val="single"/>
      </w:rPr>
      <w:t xml:space="preserve"> C</w:t>
    </w:r>
    <w:r w:rsidR="001B52C7">
      <w:rPr>
        <w:b/>
        <w:sz w:val="22"/>
        <w:u w:val="single"/>
      </w:rPr>
      <w:t>ommunications Commission</w:t>
    </w:r>
    <w:r w:rsidR="001B52C7">
      <w:rPr>
        <w:b/>
        <w:sz w:val="22"/>
        <w:u w:val="single"/>
      </w:rPr>
      <w:tab/>
    </w:r>
    <w:r w:rsidR="004C07FB">
      <w:rPr>
        <w:b/>
        <w:sz w:val="22"/>
        <w:u w:val="single"/>
      </w:rPr>
      <w:t xml:space="preserve">          DA 15</w:t>
    </w:r>
    <w:r>
      <w:rPr>
        <w:b/>
        <w:sz w:val="22"/>
        <w:u w:val="single"/>
      </w:rPr>
      <w:t>-</w:t>
    </w:r>
    <w:r w:rsidR="001B52C7">
      <w:rPr>
        <w:b/>
        <w:sz w:val="22"/>
        <w:u w:val="single"/>
      </w:rPr>
      <w:t>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0E9"/>
    <w:multiLevelType w:val="singleLevel"/>
    <w:tmpl w:val="22A45240"/>
    <w:lvl w:ilvl="0">
      <w:start w:val="2"/>
      <w:numFmt w:val="upperRoman"/>
      <w:lvlText w:val=""/>
      <w:lvlJc w:val="left"/>
      <w:pPr>
        <w:ind w:left="720" w:hanging="360"/>
      </w:pPr>
      <w:rPr>
        <w:rFonts w:hint="default"/>
        <w:b/>
        <w:sz w:val="22"/>
      </w:rPr>
    </w:lvl>
  </w:abstractNum>
  <w:abstractNum w:abstractNumId="1">
    <w:nsid w:val="61182925"/>
    <w:multiLevelType w:val="singleLevel"/>
    <w:tmpl w:val="CE483826"/>
    <w:lvl w:ilvl="0">
      <w:start w:val="1"/>
      <w:numFmt w:val="decimal"/>
      <w:pStyle w:val="ParaNum"/>
      <w:lvlText w:val="%1."/>
      <w:lvlJc w:val="left"/>
      <w:pPr>
        <w:tabs>
          <w:tab w:val="num" w:pos="1260"/>
        </w:tabs>
        <w:ind w:left="180" w:firstLine="72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FB"/>
    <w:rsid w:val="000129F3"/>
    <w:rsid w:val="00034C4E"/>
    <w:rsid w:val="00063799"/>
    <w:rsid w:val="000779B5"/>
    <w:rsid w:val="000E6E4A"/>
    <w:rsid w:val="000F46C5"/>
    <w:rsid w:val="00150D28"/>
    <w:rsid w:val="00170271"/>
    <w:rsid w:val="00184A43"/>
    <w:rsid w:val="001B52C7"/>
    <w:rsid w:val="001C2EBC"/>
    <w:rsid w:val="00317228"/>
    <w:rsid w:val="0033597E"/>
    <w:rsid w:val="003F2D43"/>
    <w:rsid w:val="004250E6"/>
    <w:rsid w:val="004C07FB"/>
    <w:rsid w:val="00541E25"/>
    <w:rsid w:val="005756F6"/>
    <w:rsid w:val="00587603"/>
    <w:rsid w:val="005A654E"/>
    <w:rsid w:val="005B3E5C"/>
    <w:rsid w:val="005F2FF7"/>
    <w:rsid w:val="00603DCF"/>
    <w:rsid w:val="006966DC"/>
    <w:rsid w:val="006F2BCB"/>
    <w:rsid w:val="006F62DF"/>
    <w:rsid w:val="00722B02"/>
    <w:rsid w:val="00723F76"/>
    <w:rsid w:val="0078342D"/>
    <w:rsid w:val="007E6CCE"/>
    <w:rsid w:val="0087373E"/>
    <w:rsid w:val="00905B8E"/>
    <w:rsid w:val="00911858"/>
    <w:rsid w:val="009577E3"/>
    <w:rsid w:val="0097427B"/>
    <w:rsid w:val="009C2E7D"/>
    <w:rsid w:val="009E485E"/>
    <w:rsid w:val="009F0AED"/>
    <w:rsid w:val="00A20910"/>
    <w:rsid w:val="00A56356"/>
    <w:rsid w:val="00AE4426"/>
    <w:rsid w:val="00B071CC"/>
    <w:rsid w:val="00B32618"/>
    <w:rsid w:val="00B40AA5"/>
    <w:rsid w:val="00BE125D"/>
    <w:rsid w:val="00C53690"/>
    <w:rsid w:val="00C82219"/>
    <w:rsid w:val="00C83222"/>
    <w:rsid w:val="00C86B50"/>
    <w:rsid w:val="00C86FAF"/>
    <w:rsid w:val="00CA303D"/>
    <w:rsid w:val="00D53C3C"/>
    <w:rsid w:val="00DC03A1"/>
    <w:rsid w:val="00DF170B"/>
    <w:rsid w:val="00E47EC0"/>
    <w:rsid w:val="00E83B99"/>
    <w:rsid w:val="00F227FC"/>
    <w:rsid w:val="00F767F3"/>
    <w:rsid w:val="00FC0A73"/>
    <w:rsid w:val="00FC7EE2"/>
    <w:rsid w:val="00FF1CCA"/>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3"/>
    <w:semiHidden/>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
    <w:semiHidden/>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semiHidden/>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3"/>
    <w:semiHidden/>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
    <w:semiHidden/>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semiHidden/>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5329</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2015-03-17T18:57:00Z</cp:lastPrinted>
  <dcterms:created xsi:type="dcterms:W3CDTF">2015-03-31T20:40:00Z</dcterms:created>
  <dcterms:modified xsi:type="dcterms:W3CDTF">2015-03-31T20:40:00Z</dcterms:modified>
  <cp:category> </cp:category>
  <cp:contentStatus> </cp:contentStatus>
</cp:coreProperties>
</file>