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A47B38">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A47B38">
      <w:pPr>
        <w:pStyle w:val="StyleBoldCentered"/>
        <w:widowControl/>
      </w:pPr>
      <w:r>
        <w:t>F</w:t>
      </w:r>
      <w:r>
        <w:rPr>
          <w:caps w:val="0"/>
        </w:rPr>
        <w:t>ederal Communications Commission</w:t>
      </w:r>
    </w:p>
    <w:p w:rsidR="004C2EE3" w:rsidRDefault="00810B6F" w:rsidP="00A47B38">
      <w:pPr>
        <w:pStyle w:val="StyleBoldCentered"/>
        <w:widowControl/>
      </w:pPr>
      <w:r>
        <w:rPr>
          <w:caps w:val="0"/>
        </w:rPr>
        <w:t>Washington, D.C. 20554</w:t>
      </w:r>
    </w:p>
    <w:p w:rsidR="004C2EE3" w:rsidRDefault="004C2EE3" w:rsidP="00A47B38">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A47B38">
            <w:pPr>
              <w:widowControl/>
              <w:tabs>
                <w:tab w:val="center" w:pos="4680"/>
              </w:tabs>
              <w:suppressAutoHyphens/>
              <w:rPr>
                <w:spacing w:val="-2"/>
              </w:rPr>
            </w:pPr>
            <w:r>
              <w:rPr>
                <w:spacing w:val="-2"/>
              </w:rPr>
              <w:t>In the Matter of</w:t>
            </w:r>
          </w:p>
          <w:p w:rsidR="004C2EE3" w:rsidRDefault="004C2EE3" w:rsidP="00A47B38">
            <w:pPr>
              <w:widowControl/>
              <w:tabs>
                <w:tab w:val="center" w:pos="4680"/>
              </w:tabs>
              <w:suppressAutoHyphens/>
              <w:rPr>
                <w:spacing w:val="-2"/>
              </w:rPr>
            </w:pPr>
          </w:p>
          <w:p w:rsidR="004C2EE3" w:rsidRDefault="00CC04E7" w:rsidP="00A47B38">
            <w:pPr>
              <w:widowControl/>
              <w:tabs>
                <w:tab w:val="center" w:pos="4680"/>
              </w:tabs>
              <w:suppressAutoHyphens/>
              <w:rPr>
                <w:spacing w:val="-2"/>
              </w:rPr>
            </w:pPr>
            <w:r>
              <w:rPr>
                <w:spacing w:val="-2"/>
              </w:rPr>
              <w:t>Rural Call Completion</w:t>
            </w:r>
          </w:p>
          <w:p w:rsidR="000D0AEE" w:rsidRDefault="000D0AEE" w:rsidP="000D0AEE">
            <w:pPr>
              <w:widowControl/>
              <w:tabs>
                <w:tab w:val="center" w:pos="4680"/>
              </w:tabs>
              <w:suppressAutoHyphens/>
              <w:rPr>
                <w:spacing w:val="-2"/>
              </w:rPr>
            </w:pPr>
          </w:p>
          <w:p w:rsidR="00D47B1F" w:rsidRPr="007115F7" w:rsidRDefault="008F71BC" w:rsidP="000D0AEE">
            <w:pPr>
              <w:widowControl/>
              <w:tabs>
                <w:tab w:val="center" w:pos="4680"/>
              </w:tabs>
              <w:suppressAutoHyphens/>
              <w:rPr>
                <w:spacing w:val="-2"/>
              </w:rPr>
            </w:pPr>
            <w:r>
              <w:rPr>
                <w:spacing w:val="-2"/>
              </w:rPr>
              <w:t>Request</w:t>
            </w:r>
            <w:r w:rsidR="00D47B1F">
              <w:rPr>
                <w:spacing w:val="-2"/>
              </w:rPr>
              <w:t xml:space="preserve"> for Waiver of </w:t>
            </w:r>
            <w:r w:rsidR="000D0AEE">
              <w:rPr>
                <w:spacing w:val="-2"/>
              </w:rPr>
              <w:t>Midcontinent Communications</w:t>
            </w:r>
          </w:p>
        </w:tc>
        <w:tc>
          <w:tcPr>
            <w:tcW w:w="630" w:type="dxa"/>
          </w:tcPr>
          <w:p w:rsidR="004C2EE3" w:rsidRDefault="004C2EE3" w:rsidP="00A47B38">
            <w:pPr>
              <w:widowControl/>
              <w:tabs>
                <w:tab w:val="center" w:pos="4680"/>
              </w:tabs>
              <w:suppressAutoHyphens/>
              <w:rPr>
                <w:b/>
                <w:spacing w:val="-2"/>
              </w:rPr>
            </w:pPr>
            <w:r>
              <w:rPr>
                <w:b/>
                <w:spacing w:val="-2"/>
              </w:rPr>
              <w:t>)</w:t>
            </w:r>
          </w:p>
          <w:p w:rsidR="004C2EE3" w:rsidRDefault="004C2EE3" w:rsidP="00A47B38">
            <w:pPr>
              <w:widowControl/>
              <w:tabs>
                <w:tab w:val="center" w:pos="4680"/>
              </w:tabs>
              <w:suppressAutoHyphens/>
              <w:rPr>
                <w:b/>
                <w:spacing w:val="-2"/>
              </w:rPr>
            </w:pPr>
            <w:r>
              <w:rPr>
                <w:b/>
                <w:spacing w:val="-2"/>
              </w:rPr>
              <w:t>)</w:t>
            </w:r>
          </w:p>
          <w:p w:rsidR="004C2EE3" w:rsidRDefault="004C2EE3" w:rsidP="00A47B38">
            <w:pPr>
              <w:widowControl/>
              <w:tabs>
                <w:tab w:val="center" w:pos="4680"/>
              </w:tabs>
              <w:suppressAutoHyphens/>
              <w:rPr>
                <w:b/>
                <w:spacing w:val="-2"/>
              </w:rPr>
            </w:pPr>
            <w:r>
              <w:rPr>
                <w:b/>
                <w:spacing w:val="-2"/>
              </w:rPr>
              <w:t>)</w:t>
            </w:r>
          </w:p>
          <w:p w:rsidR="004C2EE3" w:rsidRDefault="00CC04E7" w:rsidP="00A47B38">
            <w:pPr>
              <w:widowControl/>
              <w:tabs>
                <w:tab w:val="center" w:pos="4680"/>
              </w:tabs>
              <w:suppressAutoHyphens/>
              <w:rPr>
                <w:b/>
                <w:spacing w:val="-2"/>
              </w:rPr>
            </w:pPr>
            <w:r>
              <w:rPr>
                <w:b/>
                <w:spacing w:val="-2"/>
              </w:rPr>
              <w:t>)</w:t>
            </w:r>
          </w:p>
          <w:p w:rsidR="00CC04E7" w:rsidRDefault="00CC04E7" w:rsidP="00A47B38">
            <w:pPr>
              <w:widowControl/>
              <w:tabs>
                <w:tab w:val="center" w:pos="4680"/>
              </w:tabs>
              <w:suppressAutoHyphens/>
              <w:rPr>
                <w:b/>
                <w:spacing w:val="-2"/>
              </w:rPr>
            </w:pPr>
            <w:r>
              <w:rPr>
                <w:b/>
                <w:spacing w:val="-2"/>
              </w:rPr>
              <w:t>)</w:t>
            </w:r>
          </w:p>
          <w:p w:rsidR="00CC04E7" w:rsidRDefault="00CC04E7" w:rsidP="00A47B38">
            <w:pPr>
              <w:widowControl/>
              <w:tabs>
                <w:tab w:val="center" w:pos="4680"/>
              </w:tabs>
              <w:suppressAutoHyphens/>
              <w:rPr>
                <w:b/>
                <w:spacing w:val="-2"/>
              </w:rPr>
            </w:pPr>
            <w:r>
              <w:rPr>
                <w:b/>
                <w:spacing w:val="-2"/>
              </w:rPr>
              <w:t>)</w:t>
            </w:r>
          </w:p>
          <w:p w:rsidR="004C2EE3" w:rsidRDefault="004C2EE3" w:rsidP="00311898">
            <w:pPr>
              <w:widowControl/>
              <w:tabs>
                <w:tab w:val="center" w:pos="4680"/>
              </w:tabs>
              <w:suppressAutoHyphens/>
              <w:rPr>
                <w:spacing w:val="-2"/>
              </w:rPr>
            </w:pPr>
          </w:p>
        </w:tc>
        <w:tc>
          <w:tcPr>
            <w:tcW w:w="4248" w:type="dxa"/>
          </w:tcPr>
          <w:p w:rsidR="004C2EE3" w:rsidRDefault="004C2EE3" w:rsidP="00A47B38">
            <w:pPr>
              <w:widowControl/>
              <w:tabs>
                <w:tab w:val="center" w:pos="4680"/>
              </w:tabs>
              <w:suppressAutoHyphens/>
              <w:rPr>
                <w:spacing w:val="-2"/>
              </w:rPr>
            </w:pPr>
          </w:p>
          <w:p w:rsidR="004C2EE3" w:rsidRDefault="004C2EE3" w:rsidP="00A47B38">
            <w:pPr>
              <w:pStyle w:val="TOAHeading"/>
              <w:widowControl/>
              <w:tabs>
                <w:tab w:val="clear" w:pos="9360"/>
                <w:tab w:val="center" w:pos="4680"/>
              </w:tabs>
              <w:rPr>
                <w:spacing w:val="-2"/>
              </w:rPr>
            </w:pPr>
          </w:p>
          <w:p w:rsidR="004C2EE3" w:rsidRDefault="00CC04E7" w:rsidP="00A47B38">
            <w:pPr>
              <w:widowControl/>
              <w:tabs>
                <w:tab w:val="center" w:pos="4680"/>
              </w:tabs>
              <w:suppressAutoHyphens/>
              <w:rPr>
                <w:spacing w:val="-2"/>
              </w:rPr>
            </w:pPr>
            <w:r>
              <w:rPr>
                <w:spacing w:val="-2"/>
              </w:rPr>
              <w:t>WC Docket No. 13-39</w:t>
            </w:r>
          </w:p>
        </w:tc>
      </w:tr>
    </w:tbl>
    <w:p w:rsidR="00762069" w:rsidRDefault="00762069" w:rsidP="00762069">
      <w:pPr>
        <w:widowControl/>
      </w:pPr>
    </w:p>
    <w:p w:rsidR="00762069" w:rsidRDefault="00762069" w:rsidP="00762069">
      <w:pPr>
        <w:pStyle w:val="StyleBoldCentered"/>
        <w:widowControl/>
      </w:pPr>
      <w:r>
        <w:t xml:space="preserve">Order </w:t>
      </w:r>
    </w:p>
    <w:p w:rsidR="00762069" w:rsidRDefault="00762069" w:rsidP="00762069">
      <w:pPr>
        <w:widowControl/>
        <w:tabs>
          <w:tab w:val="left" w:pos="-720"/>
        </w:tabs>
        <w:suppressAutoHyphens/>
        <w:spacing w:line="227" w:lineRule="auto"/>
        <w:rPr>
          <w:spacing w:val="-2"/>
        </w:rPr>
      </w:pPr>
    </w:p>
    <w:p w:rsidR="00762069" w:rsidRDefault="00762069" w:rsidP="00762069">
      <w:pPr>
        <w:widowControl/>
        <w:tabs>
          <w:tab w:val="left" w:pos="720"/>
          <w:tab w:val="right" w:pos="9360"/>
        </w:tabs>
        <w:suppressAutoHyphens/>
        <w:spacing w:line="227" w:lineRule="auto"/>
        <w:rPr>
          <w:spacing w:val="-2"/>
        </w:rPr>
      </w:pPr>
      <w:r>
        <w:rPr>
          <w:b/>
          <w:spacing w:val="-2"/>
        </w:rPr>
        <w:t xml:space="preserve">Adopted:  </w:t>
      </w:r>
      <w:r w:rsidR="00D86D30">
        <w:rPr>
          <w:b/>
          <w:spacing w:val="-2"/>
        </w:rPr>
        <w:t>March 31</w:t>
      </w:r>
      <w:r>
        <w:rPr>
          <w:b/>
          <w:spacing w:val="-2"/>
        </w:rPr>
        <w:t>, 201</w:t>
      </w:r>
      <w:r w:rsidR="000D0AEE">
        <w:rPr>
          <w:b/>
          <w:spacing w:val="-2"/>
        </w:rPr>
        <w:t>5</w:t>
      </w:r>
      <w:r>
        <w:rPr>
          <w:b/>
          <w:spacing w:val="-2"/>
        </w:rPr>
        <w:tab/>
        <w:t xml:space="preserve">Released:  </w:t>
      </w:r>
      <w:r w:rsidR="00D86D30">
        <w:rPr>
          <w:b/>
          <w:spacing w:val="-2"/>
        </w:rPr>
        <w:t>March 31,</w:t>
      </w:r>
      <w:r>
        <w:rPr>
          <w:b/>
          <w:spacing w:val="-2"/>
        </w:rPr>
        <w:t xml:space="preserve"> 201</w:t>
      </w:r>
      <w:r w:rsidR="000D0AEE">
        <w:rPr>
          <w:b/>
          <w:spacing w:val="-2"/>
        </w:rPr>
        <w:t>5</w:t>
      </w:r>
    </w:p>
    <w:p w:rsidR="00762069" w:rsidRDefault="00762069" w:rsidP="00762069">
      <w:pPr>
        <w:widowControl/>
      </w:pPr>
    </w:p>
    <w:p w:rsidR="00707250" w:rsidRPr="00706060" w:rsidRDefault="00762069" w:rsidP="00706060">
      <w:pPr>
        <w:widowControl/>
        <w:rPr>
          <w:spacing w:val="-2"/>
        </w:rPr>
      </w:pPr>
      <w:r>
        <w:t xml:space="preserve">By </w:t>
      </w:r>
      <w:r>
        <w:rPr>
          <w:spacing w:val="-2"/>
        </w:rPr>
        <w:t xml:space="preserve">the Chief, Wireline Competition Bureau:  </w:t>
      </w:r>
      <w:bookmarkStart w:id="1" w:name="TOChere"/>
    </w:p>
    <w:bookmarkEnd w:id="1"/>
    <w:p w:rsidR="00087C55" w:rsidRDefault="00087C55" w:rsidP="00A47B38">
      <w:pPr>
        <w:widowControl/>
      </w:pPr>
    </w:p>
    <w:p w:rsidR="00CC04E7" w:rsidRDefault="00CC04E7" w:rsidP="00A47B38">
      <w:pPr>
        <w:pStyle w:val="Heading1"/>
        <w:widowControl/>
        <w:tabs>
          <w:tab w:val="num" w:pos="720"/>
        </w:tabs>
        <w:spacing w:after="220"/>
      </w:pPr>
      <w:bookmarkStart w:id="2" w:name="_Toc395270518"/>
      <w:bookmarkStart w:id="3" w:name="_Toc395271728"/>
      <w:bookmarkStart w:id="4" w:name="_Toc398124634"/>
      <w:bookmarkStart w:id="5" w:name="_Toc400347007"/>
      <w:r>
        <w:t>Introduction</w:t>
      </w:r>
      <w:bookmarkEnd w:id="2"/>
      <w:bookmarkEnd w:id="3"/>
      <w:bookmarkEnd w:id="4"/>
      <w:bookmarkEnd w:id="5"/>
    </w:p>
    <w:p w:rsidR="000D0AEE" w:rsidRPr="004848FE" w:rsidRDefault="00933559" w:rsidP="004848FE">
      <w:pPr>
        <w:pStyle w:val="ParaNum"/>
        <w:rPr>
          <w:szCs w:val="22"/>
        </w:rPr>
      </w:pPr>
      <w:r w:rsidRPr="004848FE">
        <w:rPr>
          <w:szCs w:val="22"/>
        </w:rPr>
        <w:t xml:space="preserve">This Order </w:t>
      </w:r>
      <w:r w:rsidR="004863E5" w:rsidRPr="004848FE">
        <w:rPr>
          <w:szCs w:val="22"/>
        </w:rPr>
        <w:t xml:space="preserve">addresses a petition for limited waiver of </w:t>
      </w:r>
      <w:r w:rsidR="007E4A39" w:rsidRPr="004848FE">
        <w:rPr>
          <w:szCs w:val="22"/>
        </w:rPr>
        <w:t xml:space="preserve">the </w:t>
      </w:r>
      <w:r w:rsidR="00F53B84" w:rsidRPr="004848FE">
        <w:rPr>
          <w:szCs w:val="22"/>
        </w:rPr>
        <w:t xml:space="preserve">recording, retention, and </w:t>
      </w:r>
      <w:r w:rsidR="004863E5" w:rsidRPr="004848FE">
        <w:rPr>
          <w:szCs w:val="22"/>
        </w:rPr>
        <w:t xml:space="preserve">reporting requirements </w:t>
      </w:r>
      <w:r w:rsidRPr="004848FE">
        <w:rPr>
          <w:szCs w:val="22"/>
        </w:rPr>
        <w:t xml:space="preserve">adopted by the Federal Communications Commission (Commission) in the </w:t>
      </w:r>
      <w:r w:rsidRPr="004848FE">
        <w:rPr>
          <w:i/>
          <w:szCs w:val="22"/>
        </w:rPr>
        <w:t>Rural Call Completion Order</w:t>
      </w:r>
      <w:r w:rsidR="001A2015" w:rsidRPr="00D86D30">
        <w:rPr>
          <w:rStyle w:val="FootnoteReference"/>
        </w:rPr>
        <w:footnoteReference w:id="2"/>
      </w:r>
      <w:r w:rsidRPr="004848FE">
        <w:rPr>
          <w:szCs w:val="22"/>
        </w:rPr>
        <w:t xml:space="preserve"> filed by Midcontinent Communications (Midcontinent) on January 24, 2014.</w:t>
      </w:r>
      <w:r w:rsidR="001A2015" w:rsidRPr="00D86D30">
        <w:rPr>
          <w:rStyle w:val="FootnoteReference"/>
        </w:rPr>
        <w:footnoteReference w:id="3"/>
      </w:r>
      <w:r w:rsidRPr="004848FE">
        <w:rPr>
          <w:szCs w:val="22"/>
        </w:rPr>
        <w:t xml:space="preserve">  </w:t>
      </w:r>
      <w:r w:rsidR="007964D0" w:rsidRPr="004848FE">
        <w:rPr>
          <w:szCs w:val="22"/>
        </w:rPr>
        <w:t xml:space="preserve">For the reasons discussed below, </w:t>
      </w:r>
      <w:r w:rsidR="00363197" w:rsidRPr="00E451EA">
        <w:rPr>
          <w:szCs w:val="22"/>
        </w:rPr>
        <w:t>the Wireline Competition Bureau (Bureau) denies</w:t>
      </w:r>
      <w:r w:rsidR="007964D0" w:rsidRPr="00E451EA">
        <w:rPr>
          <w:szCs w:val="22"/>
        </w:rPr>
        <w:t xml:space="preserve"> Midcontinent’s request for waiver</w:t>
      </w:r>
      <w:r w:rsidR="00733E11" w:rsidRPr="00E451EA">
        <w:rPr>
          <w:szCs w:val="22"/>
        </w:rPr>
        <w:t>.  H</w:t>
      </w:r>
      <w:r w:rsidR="004863E5" w:rsidRPr="00E451EA">
        <w:rPr>
          <w:szCs w:val="22"/>
        </w:rPr>
        <w:t xml:space="preserve">owever </w:t>
      </w:r>
      <w:r w:rsidR="00CC3F1B" w:rsidRPr="00E451EA">
        <w:rPr>
          <w:szCs w:val="22"/>
        </w:rPr>
        <w:t>the Bureau</w:t>
      </w:r>
      <w:r w:rsidR="004863E5" w:rsidRPr="00E451EA">
        <w:rPr>
          <w:szCs w:val="22"/>
        </w:rPr>
        <w:t xml:space="preserve">, on </w:t>
      </w:r>
      <w:r w:rsidR="00CC3F1B" w:rsidRPr="00E451EA">
        <w:rPr>
          <w:szCs w:val="22"/>
        </w:rPr>
        <w:t xml:space="preserve">its </w:t>
      </w:r>
      <w:r w:rsidR="004863E5" w:rsidRPr="00E451EA">
        <w:rPr>
          <w:szCs w:val="22"/>
        </w:rPr>
        <w:t xml:space="preserve">own motion, </w:t>
      </w:r>
      <w:r w:rsidR="00733E11" w:rsidRPr="00E451EA">
        <w:rPr>
          <w:szCs w:val="22"/>
        </w:rPr>
        <w:t>grants to Midcontinent</w:t>
      </w:r>
      <w:r w:rsidR="004863E5" w:rsidRPr="00E451EA">
        <w:rPr>
          <w:szCs w:val="22"/>
        </w:rPr>
        <w:t xml:space="preserve"> </w:t>
      </w:r>
      <w:r w:rsidR="00733E11" w:rsidRPr="00E451EA">
        <w:rPr>
          <w:szCs w:val="22"/>
        </w:rPr>
        <w:t>a three-month temporary waiver of</w:t>
      </w:r>
      <w:r w:rsidR="00C2437D" w:rsidRPr="00E451EA">
        <w:rPr>
          <w:szCs w:val="22"/>
        </w:rPr>
        <w:t xml:space="preserve"> 64.2103 and 64.2105 of </w:t>
      </w:r>
      <w:r w:rsidR="00CC3F1B" w:rsidRPr="00E451EA">
        <w:rPr>
          <w:szCs w:val="22"/>
        </w:rPr>
        <w:t xml:space="preserve">the Commission’s </w:t>
      </w:r>
      <w:r w:rsidR="00BA043C" w:rsidRPr="00E451EA">
        <w:rPr>
          <w:szCs w:val="22"/>
        </w:rPr>
        <w:t>rules</w:t>
      </w:r>
      <w:r w:rsidR="004863E5" w:rsidRPr="00E451EA">
        <w:rPr>
          <w:szCs w:val="22"/>
        </w:rPr>
        <w:t>.</w:t>
      </w:r>
      <w:r w:rsidR="00363197" w:rsidRPr="00D86D30">
        <w:rPr>
          <w:rStyle w:val="FootnoteReference"/>
        </w:rPr>
        <w:footnoteReference w:id="4"/>
      </w:r>
      <w:r w:rsidR="004863E5" w:rsidRPr="004848FE">
        <w:rPr>
          <w:szCs w:val="22"/>
        </w:rPr>
        <w:t xml:space="preserve">  </w:t>
      </w:r>
      <w:r w:rsidR="001A2015" w:rsidRPr="004848FE">
        <w:rPr>
          <w:szCs w:val="22"/>
        </w:rPr>
        <w:t xml:space="preserve"> </w:t>
      </w:r>
    </w:p>
    <w:p w:rsidR="00884DAF" w:rsidRDefault="00884DAF" w:rsidP="00A47B38">
      <w:pPr>
        <w:pStyle w:val="Heading1"/>
        <w:widowControl/>
        <w:tabs>
          <w:tab w:val="num" w:pos="720"/>
        </w:tabs>
        <w:spacing w:after="220"/>
      </w:pPr>
      <w:bookmarkStart w:id="6" w:name="_Toc395270519"/>
      <w:bookmarkStart w:id="7" w:name="_Toc395271729"/>
      <w:bookmarkStart w:id="8" w:name="_Toc398124635"/>
      <w:bookmarkStart w:id="9" w:name="_Toc400347008"/>
      <w:r>
        <w:t>background</w:t>
      </w:r>
      <w:bookmarkEnd w:id="6"/>
      <w:bookmarkEnd w:id="7"/>
      <w:bookmarkEnd w:id="8"/>
      <w:bookmarkEnd w:id="9"/>
    </w:p>
    <w:p w:rsidR="00FE42D4" w:rsidRPr="009A14CC" w:rsidRDefault="00137A4A" w:rsidP="008F71BC">
      <w:pPr>
        <w:pStyle w:val="ParaNum"/>
      </w:pPr>
      <w:r w:rsidRPr="009A14CC">
        <w:t xml:space="preserve">The </w:t>
      </w:r>
      <w:r w:rsidRPr="00CC3F1B">
        <w:rPr>
          <w:i/>
        </w:rPr>
        <w:t>Rural Call Completion Order</w:t>
      </w:r>
      <w:r w:rsidRPr="009A14CC">
        <w:t xml:space="preserve"> adopted, among other things, recordkeeping, retention, and reporting rules to improve the Commission’s ability to monitor </w:t>
      </w:r>
      <w:r w:rsidRPr="008F71BC">
        <w:t>the</w:t>
      </w:r>
      <w:r w:rsidRPr="009A14CC">
        <w:t xml:space="preserve"> delivery of long-distance calls to rural areas, and to aid enforcement action in connection with providers’ call completion practices as necessary.</w:t>
      </w:r>
      <w:r w:rsidRPr="00D86D30">
        <w:rPr>
          <w:rStyle w:val="FootnoteReference"/>
        </w:rPr>
        <w:footnoteReference w:id="5"/>
      </w:r>
      <w:r w:rsidR="008B0CA7">
        <w:t xml:space="preserve">  </w:t>
      </w:r>
      <w:r w:rsidR="00FE42D4" w:rsidRPr="009A14CC">
        <w:t xml:space="preserve">These rules </w:t>
      </w:r>
      <w:r w:rsidR="00FE42D4">
        <w:t>are a critical step toward eliminating significant concerns regarding completion of long-distance calls to rural areas.</w:t>
      </w:r>
      <w:r w:rsidR="00FE42D4">
        <w:rPr>
          <w:rStyle w:val="FootnoteReference"/>
        </w:rPr>
        <w:footnoteReference w:id="6"/>
      </w:r>
      <w:r w:rsidR="00FE42D4">
        <w:t xml:space="preserve"> </w:t>
      </w:r>
      <w:r w:rsidR="00FE42D4" w:rsidRPr="009A14CC">
        <w:t xml:space="preserve"> </w:t>
      </w:r>
      <w:r w:rsidR="00FE42D4">
        <w:t xml:space="preserve">The reporting requirements instituted by the </w:t>
      </w:r>
      <w:r w:rsidR="00FE42D4" w:rsidRPr="00CC3F1B">
        <w:rPr>
          <w:i/>
        </w:rPr>
        <w:t xml:space="preserve">Order </w:t>
      </w:r>
      <w:r w:rsidR="00FE42D4" w:rsidRPr="009A14CC">
        <w:t xml:space="preserve">apply to </w:t>
      </w:r>
      <w:r w:rsidR="00FE42D4" w:rsidRPr="009A14CC">
        <w:lastRenderedPageBreak/>
        <w:t>providers of long-distance voice service that make the initial long-distance call path choice for more than 100,000 domestic retail subscriber lines (covered providers).</w:t>
      </w:r>
      <w:r w:rsidR="00FE42D4" w:rsidRPr="00D86D30">
        <w:rPr>
          <w:rStyle w:val="FootnoteReference"/>
        </w:rPr>
        <w:footnoteReference w:id="7"/>
      </w:r>
      <w:r w:rsidR="00DE6476">
        <w:t xml:space="preserve">  </w:t>
      </w:r>
      <w:r w:rsidR="008F71BC" w:rsidRPr="00CC3F1B">
        <w:rPr>
          <w:snapToGrid/>
        </w:rPr>
        <w:t>Covered providers must electronically file quarterly, certified reports with the</w:t>
      </w:r>
      <w:r w:rsidR="008F71BC" w:rsidRPr="009A14CC">
        <w:t xml:space="preserve"> </w:t>
      </w:r>
      <w:r w:rsidR="008F71BC" w:rsidRPr="00CC3F1B">
        <w:rPr>
          <w:snapToGrid/>
        </w:rPr>
        <w:t>Commission.</w:t>
      </w:r>
      <w:r w:rsidR="008F71BC" w:rsidRPr="00D86D30">
        <w:rPr>
          <w:rStyle w:val="FootnoteReference"/>
          <w:snapToGrid/>
          <w:kern w:val="0"/>
        </w:rPr>
        <w:footnoteReference w:id="8"/>
      </w:r>
      <w:r w:rsidR="000C55FC">
        <w:rPr>
          <w:snapToGrid/>
        </w:rPr>
        <w:t xml:space="preserve">  </w:t>
      </w:r>
      <w:r w:rsidR="000C55FC">
        <w:t xml:space="preserve">The </w:t>
      </w:r>
      <w:r w:rsidR="000C55FC">
        <w:rPr>
          <w:i/>
        </w:rPr>
        <w:t>Order</w:t>
      </w:r>
      <w:r w:rsidR="000C55FC">
        <w:t xml:space="preserve"> also adopted an exemption to these rules, the “smaller covered provider exception,” for providers falling under the </w:t>
      </w:r>
      <w:r w:rsidR="000C55FC" w:rsidRPr="00DE6FB8">
        <w:t>100,000 line threshold</w:t>
      </w:r>
      <w:r w:rsidR="000C55FC">
        <w:t>.</w:t>
      </w:r>
      <w:r w:rsidR="000C55FC" w:rsidRPr="00DB55B4">
        <w:rPr>
          <w:rStyle w:val="FootnoteReference"/>
          <w:szCs w:val="24"/>
        </w:rPr>
        <w:footnoteReference w:id="9"/>
      </w:r>
    </w:p>
    <w:p w:rsidR="000D0AEE" w:rsidRDefault="00363197" w:rsidP="000D0AEE">
      <w:pPr>
        <w:pStyle w:val="ParaNum"/>
      </w:pPr>
      <w:r>
        <w:t>Midcontinent</w:t>
      </w:r>
      <w:r w:rsidR="00B670ED">
        <w:t xml:space="preserve"> </w:t>
      </w:r>
      <w:r w:rsidR="00A97E88">
        <w:t xml:space="preserve">filed a petition for </w:t>
      </w:r>
      <w:r w:rsidR="005B08A5">
        <w:t xml:space="preserve">limited </w:t>
      </w:r>
      <w:r w:rsidR="00A97E88">
        <w:t>waiver of these requirements on January 24, 2014.</w:t>
      </w:r>
      <w:r w:rsidR="00A33B9C">
        <w:rPr>
          <w:rStyle w:val="FootnoteReference"/>
        </w:rPr>
        <w:footnoteReference w:id="10"/>
      </w:r>
      <w:r w:rsidR="00A97E88">
        <w:t xml:space="preserve">  It also filed reply comments in support of its petition on May 19, 2014,</w:t>
      </w:r>
      <w:r w:rsidR="00A33B9C">
        <w:rPr>
          <w:rStyle w:val="FootnoteReference"/>
        </w:rPr>
        <w:footnoteReference w:id="11"/>
      </w:r>
      <w:r w:rsidR="00A97E88">
        <w:t xml:space="preserve"> and met with Commission staff on December 19, 2014 to further discuss the petition.</w:t>
      </w:r>
      <w:r w:rsidR="00A33B9C">
        <w:rPr>
          <w:rStyle w:val="FootnoteReference"/>
        </w:rPr>
        <w:footnoteReference w:id="12"/>
      </w:r>
      <w:r w:rsidR="00A97E88">
        <w:t xml:space="preserve">  </w:t>
      </w:r>
      <w:r w:rsidR="00A33B9C">
        <w:t>The principal arguments put forward by Midco</w:t>
      </w:r>
      <w:r w:rsidR="00126D4C">
        <w:t xml:space="preserve">ntinent in these </w:t>
      </w:r>
      <w:r w:rsidR="00714AFB">
        <w:t>submissions</w:t>
      </w:r>
      <w:r w:rsidR="00126D4C">
        <w:t xml:space="preserve"> are: (1</w:t>
      </w:r>
      <w:r w:rsidR="00A33B9C">
        <w:t xml:space="preserve">) that the Commission unfairly changed its definition of a </w:t>
      </w:r>
      <w:r w:rsidR="001E59F3">
        <w:t xml:space="preserve">covered provider from a 100,000 subscriber threshold, as proposed in the Notice of Proposed Rulemaking preceding the </w:t>
      </w:r>
      <w:r w:rsidR="001E59F3" w:rsidRPr="001E59F3">
        <w:rPr>
          <w:i/>
        </w:rPr>
        <w:t>Rural Call Completion Order</w:t>
      </w:r>
      <w:r w:rsidR="00A63FA6">
        <w:rPr>
          <w:i/>
        </w:rPr>
        <w:t xml:space="preserve"> </w:t>
      </w:r>
      <w:r w:rsidR="00A63FA6">
        <w:t>(</w:t>
      </w:r>
      <w:r w:rsidR="00A63FA6" w:rsidRPr="00A63FA6">
        <w:rPr>
          <w:i/>
        </w:rPr>
        <w:t>Rural Call Completion NPRM</w:t>
      </w:r>
      <w:r w:rsidR="00A63FA6">
        <w:t>)</w:t>
      </w:r>
      <w:r w:rsidR="001E59F3">
        <w:t xml:space="preserve">, to the 100,000 subscriber lines definition ultimately adopted in the </w:t>
      </w:r>
      <w:r w:rsidR="001E59F3" w:rsidRPr="00706060">
        <w:rPr>
          <w:i/>
        </w:rPr>
        <w:t>Order</w:t>
      </w:r>
      <w:r w:rsidR="001E59F3">
        <w:t>;</w:t>
      </w:r>
      <w:r w:rsidR="00126D4C">
        <w:t xml:space="preserve"> (2</w:t>
      </w:r>
      <w:r w:rsidR="001E59F3">
        <w:t>) that compliance will impose a substantial burden on Midcontinent;</w:t>
      </w:r>
      <w:r w:rsidR="00126D4C">
        <w:t xml:space="preserve"> and (3</w:t>
      </w:r>
      <w:r w:rsidR="001E59F3">
        <w:t xml:space="preserve">) that compliance is unnecessary to ensure that Midcontinent completes rural calls because of </w:t>
      </w:r>
      <w:r w:rsidR="00901FEE">
        <w:t xml:space="preserve">its </w:t>
      </w:r>
      <w:r w:rsidR="00741EFC">
        <w:t>economic incentives and internal</w:t>
      </w:r>
      <w:r w:rsidR="001E59F3">
        <w:t xml:space="preserve"> monitoring procedures regarding rural call completion.</w:t>
      </w:r>
      <w:r w:rsidR="00706060">
        <w:rPr>
          <w:rStyle w:val="FootnoteReference"/>
        </w:rPr>
        <w:footnoteReference w:id="13"/>
      </w:r>
      <w:r w:rsidR="001E59F3">
        <w:t xml:space="preserve">    </w:t>
      </w:r>
    </w:p>
    <w:p w:rsidR="00706060" w:rsidRDefault="00AE445A" w:rsidP="000D0AEE">
      <w:pPr>
        <w:pStyle w:val="ParaNum"/>
      </w:pPr>
      <w:r>
        <w:t>Midcontinent proposed</w:t>
      </w:r>
      <w:r w:rsidR="00706060">
        <w:t xml:space="preserve"> in its request that the Commission “waive the rural call completion reporting requirements until Midcontinent serves 250,0</w:t>
      </w:r>
      <w:r w:rsidR="00442F3C">
        <w:t xml:space="preserve">00 retail access lines or for </w:t>
      </w:r>
      <w:r w:rsidR="00706060">
        <w:t>three years, whichever period is shorter.”</w:t>
      </w:r>
      <w:r w:rsidR="00706060">
        <w:rPr>
          <w:rStyle w:val="FootnoteReference"/>
        </w:rPr>
        <w:footnoteReference w:id="14"/>
      </w:r>
      <w:r w:rsidR="00706060">
        <w:t xml:space="preserve">  Additionally,</w:t>
      </w:r>
      <w:r>
        <w:t xml:space="preserve"> Midcontinent proposed</w:t>
      </w:r>
      <w:r w:rsidR="00DC0637">
        <w:t xml:space="preserve"> that this waiver be conditioned on its compliance with a more limited set of obligations, namely that it</w:t>
      </w:r>
      <w:r>
        <w:t>:</w:t>
      </w:r>
      <w:r w:rsidR="00126D4C">
        <w:t xml:space="preserve"> (1</w:t>
      </w:r>
      <w:r w:rsidR="00DC0637">
        <w:t>) continue complying with the call completion standards la</w:t>
      </w:r>
      <w:r w:rsidR="00126D4C">
        <w:t>id out in the ATIS handbook; (2</w:t>
      </w:r>
      <w:r w:rsidR="00DC0637">
        <w:t>) continue its internal rural call completio</w:t>
      </w:r>
      <w:r w:rsidR="00126D4C">
        <w:t>n monitoring practices; and (3</w:t>
      </w:r>
      <w:r w:rsidR="00DC0637">
        <w:t xml:space="preserve">) report “aggregated call completion data and a summary of actions taken to address identified call completion issues” to the Commission on </w:t>
      </w:r>
      <w:r w:rsidR="0088143B">
        <w:t xml:space="preserve">the same quarterly schedule </w:t>
      </w:r>
      <w:r>
        <w:t>mandated in</w:t>
      </w:r>
      <w:r w:rsidR="0088143B">
        <w:t xml:space="preserve"> the</w:t>
      </w:r>
      <w:r w:rsidR="00DC0637">
        <w:t xml:space="preserve"> </w:t>
      </w:r>
      <w:r w:rsidR="00DC0637">
        <w:rPr>
          <w:i/>
        </w:rPr>
        <w:t>Rural Call Completion Order</w:t>
      </w:r>
      <w:r w:rsidR="00DC0637">
        <w:t>.</w:t>
      </w:r>
      <w:r w:rsidR="0088143B">
        <w:rPr>
          <w:rStyle w:val="FootnoteReference"/>
        </w:rPr>
        <w:footnoteReference w:id="15"/>
      </w:r>
      <w:r w:rsidR="00DC0637">
        <w:t xml:space="preserve">  </w:t>
      </w:r>
    </w:p>
    <w:p w:rsidR="008F7A57" w:rsidRDefault="009901CA" w:rsidP="00947B8B">
      <w:pPr>
        <w:pStyle w:val="ParaNum"/>
        <w:widowControl/>
      </w:pPr>
      <w:r>
        <w:t>In response</w:t>
      </w:r>
      <w:r w:rsidR="00AE445A">
        <w:t xml:space="preserve">, </w:t>
      </w:r>
      <w:r>
        <w:t>a group of rural carriers collectively referred to as the Rural Associations</w:t>
      </w:r>
      <w:r w:rsidR="00A0718E">
        <w:t xml:space="preserve"> filed </w:t>
      </w:r>
      <w:r>
        <w:t>comments opposing</w:t>
      </w:r>
      <w:r w:rsidR="00A0718E">
        <w:t xml:space="preserve"> Midcontinent’s petition,</w:t>
      </w:r>
      <w:r w:rsidR="00A0718E">
        <w:rPr>
          <w:rStyle w:val="FootnoteReference"/>
        </w:rPr>
        <w:footnoteReference w:id="16"/>
      </w:r>
      <w:r w:rsidR="00A0718E">
        <w:t xml:space="preserve"> while </w:t>
      </w:r>
      <w:r w:rsidR="00AE445A">
        <w:t xml:space="preserve">COMPTEL </w:t>
      </w:r>
      <w:r w:rsidR="00A0718E">
        <w:t>submitted comments</w:t>
      </w:r>
      <w:r w:rsidR="00AE445A">
        <w:t xml:space="preserve"> in support.</w:t>
      </w:r>
      <w:r w:rsidR="00275781">
        <w:rPr>
          <w:rStyle w:val="FootnoteReference"/>
        </w:rPr>
        <w:footnoteReference w:id="17"/>
      </w:r>
      <w:r w:rsidR="00AE445A">
        <w:t xml:space="preserve">  </w:t>
      </w:r>
      <w:r w:rsidR="00A0718E">
        <w:t>The Rural Associations argued that the economic and public safety benefits of the reporting requirements “outweigh the relatively minor financial inconvenience of compliance</w:t>
      </w:r>
      <w:r>
        <w:t>,</w:t>
      </w:r>
      <w:r w:rsidR="00A0718E">
        <w:t xml:space="preserve">” and that </w:t>
      </w:r>
      <w:r>
        <w:t xml:space="preserve">waiver requests </w:t>
      </w:r>
      <w:r w:rsidR="00A0718E">
        <w:t xml:space="preserve">should be considered </w:t>
      </w:r>
      <w:r w:rsidR="00862C4D">
        <w:t xml:space="preserve">only </w:t>
      </w:r>
      <w:r>
        <w:t>when supported by</w:t>
      </w:r>
      <w:r w:rsidR="00A0718E">
        <w:t xml:space="preserve"> conclusive evidence of comparable call completion performance between rural and non-rural areas.</w:t>
      </w:r>
      <w:r w:rsidR="00A0718E">
        <w:rPr>
          <w:rStyle w:val="FootnoteReference"/>
        </w:rPr>
        <w:footnoteReference w:id="18"/>
      </w:r>
      <w:r w:rsidR="00A0718E">
        <w:t xml:space="preserve">  In contrast, </w:t>
      </w:r>
      <w:r w:rsidR="00275781">
        <w:t xml:space="preserve">COMPTEL noted that </w:t>
      </w:r>
      <w:r w:rsidR="00A63FA6">
        <w:t xml:space="preserve">Midcontinent </w:t>
      </w:r>
      <w:r w:rsidR="00275781">
        <w:t xml:space="preserve">would not have been classified as a </w:t>
      </w:r>
      <w:r w:rsidR="00A63FA6">
        <w:t>covered</w:t>
      </w:r>
      <w:r w:rsidR="00275781">
        <w:t xml:space="preserve"> provider</w:t>
      </w:r>
      <w:r w:rsidR="00A63FA6">
        <w:t xml:space="preserve"> under the</w:t>
      </w:r>
      <w:r w:rsidR="00275781">
        <w:t xml:space="preserve"> initial</w:t>
      </w:r>
      <w:r w:rsidR="00A63FA6">
        <w:t xml:space="preserve"> </w:t>
      </w:r>
      <w:r w:rsidR="00275781">
        <w:t>formulation</w:t>
      </w:r>
      <w:r w:rsidR="00A63FA6">
        <w:t xml:space="preserve"> </w:t>
      </w:r>
      <w:r w:rsidR="00275781">
        <w:t xml:space="preserve">of the rules proposed in the </w:t>
      </w:r>
      <w:r w:rsidR="00275781" w:rsidRPr="00442F3C">
        <w:rPr>
          <w:i/>
        </w:rPr>
        <w:t xml:space="preserve">Rural Call </w:t>
      </w:r>
      <w:r w:rsidR="00275781" w:rsidRPr="00442F3C">
        <w:rPr>
          <w:i/>
        </w:rPr>
        <w:lastRenderedPageBreak/>
        <w:t>Completion NPRM</w:t>
      </w:r>
      <w:r w:rsidR="00275781">
        <w:t>, and</w:t>
      </w:r>
      <w:r w:rsidR="00442F3C">
        <w:t xml:space="preserve"> argued</w:t>
      </w:r>
      <w:r w:rsidR="00275781">
        <w:t xml:space="preserve"> that </w:t>
      </w:r>
      <w:r w:rsidR="00442F3C">
        <w:t>Midcontinent</w:t>
      </w:r>
      <w:r w:rsidR="00275781">
        <w:t xml:space="preserve"> should be granted a waiver </w:t>
      </w:r>
      <w:r w:rsidR="00733E11">
        <w:t>absent evidence that its</w:t>
      </w:r>
      <w:r w:rsidR="00442F3C">
        <w:t xml:space="preserve"> internal rural call completion practices </w:t>
      </w:r>
      <w:r w:rsidR="00C1592E">
        <w:t>are</w:t>
      </w:r>
      <w:r w:rsidR="00442F3C">
        <w:t xml:space="preserve"> deficient</w:t>
      </w:r>
      <w:r w:rsidR="00A63FA6">
        <w:t>.</w:t>
      </w:r>
      <w:r w:rsidR="00275781">
        <w:rPr>
          <w:rStyle w:val="FootnoteReference"/>
        </w:rPr>
        <w:footnoteReference w:id="19"/>
      </w:r>
      <w:r w:rsidR="00A63FA6">
        <w:t xml:space="preserve">  </w:t>
      </w:r>
    </w:p>
    <w:p w:rsidR="003678BB" w:rsidRDefault="00A0718E" w:rsidP="00947B8B">
      <w:pPr>
        <w:pStyle w:val="ParaNum"/>
        <w:widowControl/>
      </w:pPr>
      <w:r>
        <w:t>COMPTEL</w:t>
      </w:r>
      <w:r w:rsidR="00862C4D">
        <w:t xml:space="preserve"> had previously</w:t>
      </w:r>
      <w:r>
        <w:t xml:space="preserve"> raised similar arguments </w:t>
      </w:r>
      <w:r w:rsidR="001B5B1E">
        <w:t xml:space="preserve">regarding the change from a subscriber to a subscriber-line based threshold </w:t>
      </w:r>
      <w:r>
        <w:t>i</w:t>
      </w:r>
      <w:r w:rsidR="00CB0DC2">
        <w:t xml:space="preserve">n </w:t>
      </w:r>
      <w:r w:rsidR="00862C4D">
        <w:t xml:space="preserve">this proceeding, in </w:t>
      </w:r>
      <w:r w:rsidR="00CB0DC2">
        <w:t>a petition for reconsideration</w:t>
      </w:r>
      <w:r w:rsidR="00D27A47">
        <w:t xml:space="preserve"> following the </w:t>
      </w:r>
      <w:r w:rsidR="00D27A47" w:rsidRPr="003678BB">
        <w:rPr>
          <w:i/>
        </w:rPr>
        <w:t>Rural Call Completion Order</w:t>
      </w:r>
      <w:r w:rsidR="00126D4C">
        <w:t>.</w:t>
      </w:r>
      <w:r w:rsidR="000A40F4">
        <w:rPr>
          <w:rStyle w:val="FootnoteReference"/>
        </w:rPr>
        <w:footnoteReference w:id="20"/>
      </w:r>
      <w:r w:rsidR="00126D4C">
        <w:t xml:space="preserve">  COMPTEL’s petition</w:t>
      </w:r>
      <w:r w:rsidR="00D078BC">
        <w:t xml:space="preserve"> claimed</w:t>
      </w:r>
      <w:r w:rsidR="00847FA0">
        <w:t>, among other things,</w:t>
      </w:r>
      <w:r w:rsidR="00D078BC">
        <w:t xml:space="preserve"> </w:t>
      </w:r>
      <w:r w:rsidR="00D27A47">
        <w:t xml:space="preserve">that </w:t>
      </w:r>
      <w:r w:rsidR="00862C4D">
        <w:t>the Commission</w:t>
      </w:r>
      <w:r w:rsidR="00D078BC">
        <w:t xml:space="preserve"> failed to give adequate notice under the Administrative Procedure Act (APA) </w:t>
      </w:r>
      <w:r w:rsidR="00862C4D">
        <w:t xml:space="preserve">for </w:t>
      </w:r>
      <w:r w:rsidR="003678BB">
        <w:t>an exception of smaller</w:t>
      </w:r>
      <w:r w:rsidR="00862C4D">
        <w:t xml:space="preserve"> provider</w:t>
      </w:r>
      <w:r w:rsidR="00126D4C">
        <w:t>s</w:t>
      </w:r>
      <w:r w:rsidR="00862C4D">
        <w:t xml:space="preserve"> </w:t>
      </w:r>
      <w:r w:rsidR="00190C9D">
        <w:t>based on subscriber lines, rather than subscribers</w:t>
      </w:r>
      <w:r w:rsidR="00862C4D">
        <w:t>.</w:t>
      </w:r>
      <w:r w:rsidR="00862C4D">
        <w:rPr>
          <w:rStyle w:val="FootnoteReference"/>
        </w:rPr>
        <w:footnoteReference w:id="21"/>
      </w:r>
      <w:r w:rsidR="00D078BC">
        <w:t xml:space="preserve">  The Commission denied COMPTEL’s petition for reconsideration in </w:t>
      </w:r>
      <w:r w:rsidR="00847FA0">
        <w:t xml:space="preserve">the </w:t>
      </w:r>
      <w:r w:rsidR="00847FA0" w:rsidRPr="003678BB">
        <w:rPr>
          <w:i/>
        </w:rPr>
        <w:t>Rural Call Reconsideration Order</w:t>
      </w:r>
      <w:r w:rsidR="00847FA0">
        <w:t xml:space="preserve">, </w:t>
      </w:r>
      <w:r w:rsidR="00126D4C">
        <w:t xml:space="preserve">which </w:t>
      </w:r>
      <w:r w:rsidR="000A40F4">
        <w:t xml:space="preserve">found </w:t>
      </w:r>
      <w:r w:rsidR="00DC54BA">
        <w:t>that in accordance with the APA</w:t>
      </w:r>
      <w:r w:rsidR="001B5B1E">
        <w:t>,</w:t>
      </w:r>
      <w:r w:rsidR="00DC54BA">
        <w:t xml:space="preserve"> the small carrier exemption in the </w:t>
      </w:r>
      <w:r w:rsidR="00DC54BA" w:rsidRPr="003678BB">
        <w:rPr>
          <w:i/>
        </w:rPr>
        <w:t xml:space="preserve">Rural Call Completion </w:t>
      </w:r>
      <w:r w:rsidR="00DC54BA">
        <w:rPr>
          <w:i/>
        </w:rPr>
        <w:t xml:space="preserve">Order </w:t>
      </w:r>
      <w:r w:rsidR="00DC54BA">
        <w:t>was</w:t>
      </w:r>
      <w:r w:rsidR="003678BB">
        <w:t xml:space="preserve"> a logical outgrowth of the proposal in the </w:t>
      </w:r>
      <w:r w:rsidR="00733E11">
        <w:rPr>
          <w:i/>
        </w:rPr>
        <w:t xml:space="preserve">Rural Call Completion </w:t>
      </w:r>
      <w:r w:rsidR="003678BB" w:rsidRPr="003678BB">
        <w:rPr>
          <w:i/>
        </w:rPr>
        <w:t>NPRM</w:t>
      </w:r>
      <w:r w:rsidR="003678BB">
        <w:t>.</w:t>
      </w:r>
      <w:r w:rsidR="000A40F4">
        <w:rPr>
          <w:rStyle w:val="FootnoteReference"/>
        </w:rPr>
        <w:footnoteReference w:id="22"/>
      </w:r>
    </w:p>
    <w:p w:rsidR="00CB0DC2" w:rsidRDefault="00CB0DC2" w:rsidP="008F7A57">
      <w:pPr>
        <w:pStyle w:val="Heading1"/>
        <w:widowControl/>
        <w:tabs>
          <w:tab w:val="num" w:pos="720"/>
        </w:tabs>
        <w:spacing w:after="220"/>
      </w:pPr>
      <w:bookmarkStart w:id="10" w:name="_Toc395270531"/>
      <w:bookmarkStart w:id="11" w:name="_Toc395271742"/>
      <w:bookmarkStart w:id="12" w:name="_Toc398124651"/>
      <w:bookmarkStart w:id="13" w:name="_Toc400347022"/>
      <w:r>
        <w:t>DISCUSSION</w:t>
      </w:r>
    </w:p>
    <w:p w:rsidR="00DC54BA" w:rsidRDefault="00A46F4A" w:rsidP="00126D4C">
      <w:pPr>
        <w:pStyle w:val="ParaNum"/>
      </w:pPr>
      <w:r>
        <w:t xml:space="preserve">For the reasons stated below, </w:t>
      </w:r>
      <w:r w:rsidR="00C07809">
        <w:t>the Bureau denies</w:t>
      </w:r>
      <w:r>
        <w:t xml:space="preserve"> Midcontinent’s reque</w:t>
      </w:r>
      <w:r w:rsidR="00733E11">
        <w:t xml:space="preserve">st for </w:t>
      </w:r>
      <w:r>
        <w:t xml:space="preserve">waiver.  </w:t>
      </w:r>
      <w:r w:rsidR="00733E11">
        <w:t>However, on its</w:t>
      </w:r>
      <w:r w:rsidR="004A639A">
        <w:t xml:space="preserve"> own motion, </w:t>
      </w:r>
      <w:r w:rsidR="00733E11">
        <w:t>the Bureau</w:t>
      </w:r>
      <w:r w:rsidR="004A639A">
        <w:t xml:space="preserve"> grant</w:t>
      </w:r>
      <w:r w:rsidR="00733E11">
        <w:t>s</w:t>
      </w:r>
      <w:r w:rsidR="004A639A">
        <w:t xml:space="preserve"> Midcontinent a </w:t>
      </w:r>
      <w:r w:rsidR="0037600D">
        <w:t>three month</w:t>
      </w:r>
      <w:r w:rsidR="004A639A">
        <w:t xml:space="preserve"> extension for compliance with the </w:t>
      </w:r>
      <w:r w:rsidR="00950D63">
        <w:t>recording, recordkeeping, and reporting requirements</w:t>
      </w:r>
      <w:r w:rsidR="00950D63" w:rsidRPr="004A639A">
        <w:rPr>
          <w:i/>
        </w:rPr>
        <w:t xml:space="preserve"> </w:t>
      </w:r>
      <w:r w:rsidR="00950D63">
        <w:t xml:space="preserve">adopted in the </w:t>
      </w:r>
      <w:r w:rsidR="004A639A" w:rsidRPr="004A639A">
        <w:rPr>
          <w:i/>
        </w:rPr>
        <w:t>Rural Call Completion Order</w:t>
      </w:r>
      <w:r w:rsidR="004A639A">
        <w:t>.</w:t>
      </w:r>
      <w:r w:rsidR="00BC5C58">
        <w:rPr>
          <w:rStyle w:val="FootnoteReference"/>
        </w:rPr>
        <w:footnoteReference w:id="23"/>
      </w:r>
      <w:r w:rsidR="00FB6388">
        <w:t xml:space="preserve">  </w:t>
      </w:r>
      <w:r w:rsidR="004A639A">
        <w:t xml:space="preserve"> </w:t>
      </w:r>
      <w:r>
        <w:t xml:space="preserve">  </w:t>
      </w:r>
    </w:p>
    <w:p w:rsidR="00F30546" w:rsidRDefault="00BC5C58" w:rsidP="00F30546">
      <w:pPr>
        <w:pStyle w:val="ParaNum"/>
      </w:pPr>
      <w:r>
        <w:t xml:space="preserve">Midcontinent seeks a waiver pursuant to section 1.3 of the Commission’s rules, which authorizes </w:t>
      </w:r>
      <w:r w:rsidR="00B3128B">
        <w:t>the Commission</w:t>
      </w:r>
      <w:r>
        <w:t xml:space="preserve"> </w:t>
      </w:r>
      <w:r w:rsidR="00B3128B">
        <w:t>to grant waiver of its rules where good cause is shown.</w:t>
      </w:r>
      <w:r w:rsidR="00B3128B">
        <w:rPr>
          <w:rStyle w:val="FootnoteReference"/>
        </w:rPr>
        <w:footnoteReference w:id="24"/>
      </w:r>
      <w:r w:rsidR="00B3128B">
        <w:t xml:space="preserve">  </w:t>
      </w:r>
      <w:r w:rsidR="00CC5E78">
        <w:t xml:space="preserve">As the D.C. Circuit has held, the Commission’s exercise of its discretion to waive a rule is </w:t>
      </w:r>
      <w:r w:rsidR="00F30546">
        <w:t>warranted</w:t>
      </w:r>
      <w:r w:rsidR="00CC5E78">
        <w:t xml:space="preserve"> “where particular facts would make strict compliance inconsistent with the public interest.”</w:t>
      </w:r>
      <w:r w:rsidR="00F30546">
        <w:rPr>
          <w:rStyle w:val="FootnoteReference"/>
        </w:rPr>
        <w:footnoteReference w:id="25"/>
      </w:r>
      <w:r w:rsidR="00CC5E78">
        <w:t xml:space="preserve"> </w:t>
      </w:r>
      <w:r w:rsidR="00F30546">
        <w:t xml:space="preserve"> Under this standard “waiver is appropriate only if special circumstances warrant a deviation from the general rule and such deviation will serve the public interest.”</w:t>
      </w:r>
      <w:r w:rsidR="00F30546">
        <w:rPr>
          <w:rStyle w:val="FootnoteReference"/>
        </w:rPr>
        <w:footnoteReference w:id="26"/>
      </w:r>
    </w:p>
    <w:p w:rsidR="00CB0DC2" w:rsidRDefault="00770FE1" w:rsidP="00F30546">
      <w:pPr>
        <w:pStyle w:val="ParaNum"/>
      </w:pPr>
      <w:r>
        <w:t xml:space="preserve">Midcontinent does not show </w:t>
      </w:r>
      <w:r w:rsidR="009A5ADA">
        <w:t xml:space="preserve">special circumstances that present </w:t>
      </w:r>
      <w:r>
        <w:t>good cause for a waiver.</w:t>
      </w:r>
      <w:r w:rsidR="009422A0">
        <w:t xml:space="preserve">  Although Midcontinent indicates that it will need to make various investments in </w:t>
      </w:r>
      <w:r w:rsidR="00B3128B">
        <w:t xml:space="preserve">equipment and staff in </w:t>
      </w:r>
      <w:r w:rsidR="009422A0">
        <w:t>order to comply with the reporting requirements,</w:t>
      </w:r>
      <w:r w:rsidR="00B12827">
        <w:rPr>
          <w:rStyle w:val="FootnoteReference"/>
        </w:rPr>
        <w:footnoteReference w:id="27"/>
      </w:r>
      <w:r w:rsidR="00B3128B">
        <w:t xml:space="preserve"> Midcontinent </w:t>
      </w:r>
      <w:r w:rsidR="009422A0">
        <w:t>does not demonstrate how complia</w:t>
      </w:r>
      <w:r w:rsidR="00B3128B">
        <w:t xml:space="preserve">nce will be any more costly for it </w:t>
      </w:r>
      <w:r w:rsidR="009422A0">
        <w:t>than for any other similarly situated carrier that needs to expend funds to capture the requisite data.</w:t>
      </w:r>
      <w:r w:rsidR="00B3128B">
        <w:rPr>
          <w:rStyle w:val="FootnoteReference"/>
        </w:rPr>
        <w:footnoteReference w:id="28"/>
      </w:r>
      <w:r w:rsidR="00FC33AC">
        <w:t xml:space="preserve">  Because Midcontinent </w:t>
      </w:r>
      <w:r w:rsidR="00557C80">
        <w:t>fails to</w:t>
      </w:r>
      <w:r w:rsidR="00FC33AC">
        <w:t xml:space="preserve"> demonstrate </w:t>
      </w:r>
      <w:r w:rsidR="00557C80">
        <w:t>special circumstances indicating that it is uniquely and inequitably burdened by compliance with the reporting rules, grant of a waiver is inappropriate under section 1.3.</w:t>
      </w:r>
      <w:r w:rsidR="00C3671D">
        <w:rPr>
          <w:rStyle w:val="FootnoteReference"/>
        </w:rPr>
        <w:footnoteReference w:id="29"/>
      </w:r>
      <w:r w:rsidR="00557C80">
        <w:t xml:space="preserve"> </w:t>
      </w:r>
    </w:p>
    <w:p w:rsidR="00770FE1" w:rsidRDefault="006A1888" w:rsidP="00CB0DC2">
      <w:pPr>
        <w:pStyle w:val="ParaNum"/>
      </w:pPr>
      <w:r>
        <w:t xml:space="preserve">Further, </w:t>
      </w:r>
      <w:r w:rsidR="00770FE1">
        <w:t xml:space="preserve">Midcontinent’s </w:t>
      </w:r>
      <w:r>
        <w:t xml:space="preserve">voluntary </w:t>
      </w:r>
      <w:r w:rsidR="00770FE1">
        <w:t>internal procedures, while admirable, are not a substitute for compliance with the Commission’s rules.</w:t>
      </w:r>
      <w:r w:rsidR="00B3128B">
        <w:rPr>
          <w:rStyle w:val="FootnoteReference"/>
        </w:rPr>
        <w:footnoteReference w:id="30"/>
      </w:r>
      <w:r w:rsidR="00770FE1">
        <w:t xml:space="preserve">  </w:t>
      </w:r>
      <w:r w:rsidR="00E13133">
        <w:t>Midcontinent asserts that it “has a strong commitment to ensuring that calls to rural customers are completed” and that “the new rules are unnecessary to ensure that Midcontinent expends the maximum effort to achieve that result.”</w:t>
      </w:r>
      <w:r w:rsidR="00E13133">
        <w:rPr>
          <w:rStyle w:val="FootnoteReference"/>
        </w:rPr>
        <w:footnoteReference w:id="31"/>
      </w:r>
      <w:r w:rsidR="00E13133" w:rsidRPr="00E13133">
        <w:t xml:space="preserve"> </w:t>
      </w:r>
      <w:r w:rsidR="00E13133">
        <w:t xml:space="preserve"> However, t</w:t>
      </w:r>
      <w:r w:rsidR="00770FE1">
        <w:t xml:space="preserve">he Commission established the recording, recordkeeping, and reporting requirements because it determined that these rules would best </w:t>
      </w:r>
      <w:r w:rsidR="00B2185C">
        <w:t>enable it to monitor, understand, and</w:t>
      </w:r>
      <w:r w:rsidR="00770FE1">
        <w:t xml:space="preserve"> address persistent issues with rural call completion.</w:t>
      </w:r>
      <w:r w:rsidR="000E69DD">
        <w:rPr>
          <w:rStyle w:val="FootnoteReference"/>
        </w:rPr>
        <w:footnoteReference w:id="32"/>
      </w:r>
      <w:r w:rsidR="0083796D">
        <w:t xml:space="preserve">  </w:t>
      </w:r>
    </w:p>
    <w:p w:rsidR="001427C6" w:rsidRDefault="00C636F4" w:rsidP="00CB0DC2">
      <w:pPr>
        <w:pStyle w:val="ParaNum"/>
      </w:pPr>
      <w:r>
        <w:t>Finally, the C</w:t>
      </w:r>
      <w:r w:rsidR="009E772E">
        <w:t>ommission’s use of a subscriber-</w:t>
      </w:r>
      <w:r>
        <w:t xml:space="preserve">line formula for determining the scope of these rules </w:t>
      </w:r>
      <w:r w:rsidR="00906F0D">
        <w:t xml:space="preserve">has </w:t>
      </w:r>
      <w:r>
        <w:t xml:space="preserve">been </w:t>
      </w:r>
      <w:r w:rsidR="00906F0D">
        <w:t>reaffirmed</w:t>
      </w:r>
      <w:r>
        <w:t xml:space="preserve"> in the </w:t>
      </w:r>
      <w:r>
        <w:rPr>
          <w:i/>
        </w:rPr>
        <w:t>Rural Call Reconsideration Order</w:t>
      </w:r>
      <w:r>
        <w:t>.</w:t>
      </w:r>
      <w:r w:rsidR="000E69DD">
        <w:rPr>
          <w:rStyle w:val="FootnoteReference"/>
        </w:rPr>
        <w:footnoteReference w:id="33"/>
      </w:r>
      <w:r>
        <w:t xml:space="preserve">  </w:t>
      </w:r>
      <w:r w:rsidR="00906F0D">
        <w:t xml:space="preserve">Midcontinent is not entitled to a waiver because it disagrees with the Commission’s determination </w:t>
      </w:r>
      <w:r w:rsidR="00BC041A">
        <w:t xml:space="preserve">that a formula based on subscriber lines, rather than subscribers, best </w:t>
      </w:r>
      <w:r w:rsidR="00906F0D">
        <w:t xml:space="preserve">serves </w:t>
      </w:r>
      <w:r w:rsidR="00BC041A">
        <w:t xml:space="preserve">the policy goals laid out in the </w:t>
      </w:r>
      <w:r w:rsidR="00BC041A">
        <w:rPr>
          <w:i/>
        </w:rPr>
        <w:t>Rural Call Completion Order</w:t>
      </w:r>
      <w:r w:rsidR="00906F0D">
        <w:t>.</w:t>
      </w:r>
      <w:r w:rsidR="00645DCC">
        <w:rPr>
          <w:rStyle w:val="FootnoteReference"/>
        </w:rPr>
        <w:footnoteReference w:id="34"/>
      </w:r>
      <w:r w:rsidR="00BC041A">
        <w:t xml:space="preserve">  </w:t>
      </w:r>
    </w:p>
    <w:p w:rsidR="00770FE1" w:rsidRPr="00CB0DC2" w:rsidRDefault="00C1592E" w:rsidP="0031719F">
      <w:pPr>
        <w:pStyle w:val="ParaNum"/>
      </w:pPr>
      <w:r>
        <w:t>Although</w:t>
      </w:r>
      <w:r w:rsidR="001427C6">
        <w:t xml:space="preserve"> </w:t>
      </w:r>
      <w:r w:rsidR="00AB5070">
        <w:t>the Bureau denies</w:t>
      </w:r>
      <w:r w:rsidR="001427C6">
        <w:t xml:space="preserve"> Midcontinent’s </w:t>
      </w:r>
      <w:r w:rsidR="00A94BC9">
        <w:t>request</w:t>
      </w:r>
      <w:r w:rsidR="001427C6">
        <w:t xml:space="preserve">, </w:t>
      </w:r>
      <w:r w:rsidR="00906F0D">
        <w:t xml:space="preserve">it </w:t>
      </w:r>
      <w:r>
        <w:t>nonetheless</w:t>
      </w:r>
      <w:r w:rsidR="001427C6">
        <w:t xml:space="preserve"> </w:t>
      </w:r>
      <w:r>
        <w:t>gra</w:t>
      </w:r>
      <w:r w:rsidR="00CD7325">
        <w:t>nt</w:t>
      </w:r>
      <w:r w:rsidR="00906F0D">
        <w:t>s</w:t>
      </w:r>
      <w:r w:rsidR="00CD7325">
        <w:t xml:space="preserve"> Midcontinent</w:t>
      </w:r>
      <w:r>
        <w:t xml:space="preserve"> a </w:t>
      </w:r>
      <w:r w:rsidR="00A94BC9">
        <w:t>three-</w:t>
      </w:r>
      <w:r w:rsidR="0037600D">
        <w:t>month</w:t>
      </w:r>
      <w:r w:rsidR="00A94BC9">
        <w:t xml:space="preserve"> limited-</w:t>
      </w:r>
      <w:r>
        <w:t xml:space="preserve">term waiver on </w:t>
      </w:r>
      <w:r w:rsidR="00FA1385">
        <w:t xml:space="preserve">its </w:t>
      </w:r>
      <w:r>
        <w:t xml:space="preserve">own motion.  </w:t>
      </w:r>
      <w:r w:rsidR="0031719F">
        <w:t xml:space="preserve">Midcontinent’s waiver </w:t>
      </w:r>
      <w:r w:rsidR="00A94BC9">
        <w:t>request</w:t>
      </w:r>
      <w:r w:rsidR="0031719F">
        <w:t xml:space="preserve"> asserts that it may encounter potential inaccuracies and complications in reporting data sets because it is upgrading its switches.</w:t>
      </w:r>
      <w:r w:rsidR="0031719F">
        <w:rPr>
          <w:rStyle w:val="FootnoteReference"/>
        </w:rPr>
        <w:footnoteReference w:id="35"/>
      </w:r>
      <w:r w:rsidR="0031719F">
        <w:t xml:space="preserve"> </w:t>
      </w:r>
      <w:r w:rsidR="0031719F" w:rsidRPr="0031719F">
        <w:t xml:space="preserve"> </w:t>
      </w:r>
      <w:r w:rsidR="0031719F">
        <w:t xml:space="preserve">Although Midcontinent has not provided sufficient information to assume that these purported complications will persist or pose serious problems permanently, given the Commission’s strong interest in obtaining accurate data, the Bureau finds that these potential complications warrant grant of </w:t>
      </w:r>
      <w:r w:rsidR="00CD7325">
        <w:t>a</w:t>
      </w:r>
      <w:r w:rsidR="00906F0D">
        <w:t xml:space="preserve"> </w:t>
      </w:r>
      <w:r w:rsidR="00E12581">
        <w:t>temporary</w:t>
      </w:r>
      <w:r w:rsidR="00CD7325">
        <w:t xml:space="preserve"> </w:t>
      </w:r>
      <w:r w:rsidR="0031719F">
        <w:t>three-month waiver of the otherwise-applicable April 1 deadline</w:t>
      </w:r>
      <w:r w:rsidR="00CD7325">
        <w:t>.</w:t>
      </w:r>
      <w:r w:rsidR="00D52FFC">
        <w:rPr>
          <w:rStyle w:val="FootnoteReference"/>
        </w:rPr>
        <w:footnoteReference w:id="36"/>
      </w:r>
      <w:r w:rsidR="00CD7325" w:rsidRPr="00CD7325">
        <w:t xml:space="preserve">  </w:t>
      </w:r>
      <w:r w:rsidR="003159E3">
        <w:t xml:space="preserve">Reports to the Commission are due </w:t>
      </w:r>
      <w:r w:rsidR="00FC33AC">
        <w:t>quarterly;</w:t>
      </w:r>
      <w:r w:rsidR="003159E3">
        <w:t xml:space="preserve"> this temporary waiver therefore exempts Midcontinent from a full quarterly report</w:t>
      </w:r>
      <w:r w:rsidR="00FC33AC">
        <w:t>ing</w:t>
      </w:r>
      <w:r w:rsidR="003159E3">
        <w:t xml:space="preserve"> cycle.</w:t>
      </w:r>
      <w:r w:rsidR="00696F20">
        <w:t xml:space="preserve">  The Bureau finds th</w:t>
      </w:r>
      <w:r w:rsidR="0031719F">
        <w:t>is period will enable Midcontinent either to address any inaccuracy issues that might initially arise from its network upgrades or to file a new request supported by sufficient data to demonstrate a basis for a waiver on an ongoing basis based on the network upgrade</w:t>
      </w:r>
      <w:r w:rsidR="00906F0D">
        <w:t xml:space="preserve">.  </w:t>
      </w:r>
    </w:p>
    <w:p w:rsidR="000D0AEE" w:rsidRDefault="000D0AEE" w:rsidP="008F7A57">
      <w:pPr>
        <w:pStyle w:val="Heading1"/>
        <w:widowControl/>
        <w:tabs>
          <w:tab w:val="num" w:pos="720"/>
        </w:tabs>
        <w:spacing w:after="220"/>
      </w:pPr>
      <w:r>
        <w:t>CONCLUSION</w:t>
      </w:r>
    </w:p>
    <w:p w:rsidR="000D0AEE" w:rsidRPr="000D0AEE" w:rsidRDefault="001801B6" w:rsidP="000D0AEE">
      <w:pPr>
        <w:pStyle w:val="ParaNum"/>
      </w:pPr>
      <w:r>
        <w:t>F</w:t>
      </w:r>
      <w:r w:rsidR="00C07809">
        <w:t>or the reasons stated above, the Bureau denies</w:t>
      </w:r>
      <w:r>
        <w:t xml:space="preserve"> Midcontinent’s waiver request but grant</w:t>
      </w:r>
      <w:r w:rsidR="00C07809">
        <w:t>s</w:t>
      </w:r>
      <w:r>
        <w:t xml:space="preserve"> it a </w:t>
      </w:r>
      <w:r w:rsidR="0037600D">
        <w:t>three-month</w:t>
      </w:r>
      <w:r>
        <w:t xml:space="preserve"> extension of the April 1, 2015 deadline to come into compliance with </w:t>
      </w:r>
      <w:r w:rsidR="009A5E7A">
        <w:t xml:space="preserve">sections 64.2103 and 64.2105 of </w:t>
      </w:r>
      <w:r w:rsidR="00906F0D">
        <w:t xml:space="preserve">the Commission’s </w:t>
      </w:r>
      <w:r>
        <w:t>rules.</w:t>
      </w:r>
      <w:r w:rsidR="000E69DD">
        <w:rPr>
          <w:rStyle w:val="FootnoteReference"/>
        </w:rPr>
        <w:footnoteReference w:id="37"/>
      </w:r>
      <w:r w:rsidR="0037600D">
        <w:t xml:space="preserve">  Accordingly, Midcontinent must begin recording and retaining required data on July 1, 2015, and it must submit its initial quarterly report on or before November 1, 2015. </w:t>
      </w:r>
    </w:p>
    <w:p w:rsidR="008F7A57" w:rsidRDefault="008F7A57" w:rsidP="008F7A57">
      <w:pPr>
        <w:pStyle w:val="Heading1"/>
        <w:widowControl/>
        <w:tabs>
          <w:tab w:val="num" w:pos="720"/>
        </w:tabs>
        <w:spacing w:after="220"/>
      </w:pPr>
      <w:r>
        <w:t>Ordering clause</w:t>
      </w:r>
      <w:r w:rsidR="004A2377">
        <w:t>s</w:t>
      </w:r>
      <w:bookmarkEnd w:id="10"/>
      <w:bookmarkEnd w:id="11"/>
      <w:bookmarkEnd w:id="12"/>
      <w:bookmarkEnd w:id="13"/>
    </w:p>
    <w:p w:rsidR="008F7A57" w:rsidRDefault="00CC04E7" w:rsidP="00022F6D">
      <w:pPr>
        <w:pStyle w:val="ParaNum"/>
        <w:rPr>
          <w:szCs w:val="22"/>
        </w:rPr>
      </w:pPr>
      <w:r>
        <w:t>Accordingly, IT IS ORDERED, pursuant to sections 0.91, 0.291, and 1.3 of the Commission</w:t>
      </w:r>
      <w:r w:rsidR="00F04F3E">
        <w:t>’</w:t>
      </w:r>
      <w:r>
        <w:t>s rules, 47 C.F.R. §§ 0.91, 0.291</w:t>
      </w:r>
      <w:r w:rsidR="00610C1E">
        <w:t xml:space="preserve">, </w:t>
      </w:r>
      <w:r w:rsidR="004742F1">
        <w:t xml:space="preserve">that </w:t>
      </w:r>
      <w:r>
        <w:t xml:space="preserve">the </w:t>
      </w:r>
      <w:r w:rsidR="00542786">
        <w:t>Request</w:t>
      </w:r>
      <w:r w:rsidR="00C11474" w:rsidRPr="00AF2BFE">
        <w:t xml:space="preserve"> for Waiver </w:t>
      </w:r>
      <w:r>
        <w:t>filed by</w:t>
      </w:r>
      <w:r w:rsidR="007E6F37">
        <w:t xml:space="preserve"> </w:t>
      </w:r>
      <w:r w:rsidR="001E6972">
        <w:t>Midcontinent Communications</w:t>
      </w:r>
      <w:r w:rsidR="00C11474">
        <w:t xml:space="preserve"> </w:t>
      </w:r>
      <w:r>
        <w:t xml:space="preserve">IS </w:t>
      </w:r>
      <w:r w:rsidR="005A10EA">
        <w:rPr>
          <w:rFonts w:eastAsia="Batang"/>
          <w:lang w:eastAsia="ja-JP"/>
        </w:rPr>
        <w:t>DENIED</w:t>
      </w:r>
      <w:r w:rsidR="004313EA" w:rsidRPr="008F7A57">
        <w:rPr>
          <w:rFonts w:eastAsia="Batang"/>
          <w:lang w:eastAsia="ja-JP"/>
        </w:rPr>
        <w:t>.</w:t>
      </w:r>
    </w:p>
    <w:p w:rsidR="00C71C4E" w:rsidRDefault="00610C1E" w:rsidP="00022F6D">
      <w:pPr>
        <w:pStyle w:val="ParaNum"/>
        <w:rPr>
          <w:szCs w:val="22"/>
        </w:rPr>
      </w:pPr>
      <w:r w:rsidRPr="008F7A57">
        <w:rPr>
          <w:rFonts w:eastAsia="Batang"/>
          <w:lang w:eastAsia="ja-JP"/>
        </w:rPr>
        <w:t xml:space="preserve">IT IS </w:t>
      </w:r>
      <w:r w:rsidRPr="00022F6D">
        <w:t>FURTHER</w:t>
      </w:r>
      <w:r w:rsidRPr="008F7A57">
        <w:rPr>
          <w:rFonts w:eastAsia="Batang"/>
          <w:lang w:eastAsia="ja-JP"/>
        </w:rPr>
        <w:t xml:space="preserve"> ORDERED</w:t>
      </w:r>
      <w:r>
        <w:t xml:space="preserve">, </w:t>
      </w:r>
      <w:r w:rsidR="00542786">
        <w:t xml:space="preserve">pursuant to sections 0.91, 0.291, and 1.3 of the Commission’s rules, 47 C.F.R. §§ 0.91, 0.291, that Midcontinent Communications </w:t>
      </w:r>
      <w:r w:rsidR="00B2185C">
        <w:t>IS GRANTED</w:t>
      </w:r>
      <w:r w:rsidR="00542786">
        <w:t xml:space="preserve"> a </w:t>
      </w:r>
      <w:r w:rsidR="00B2185C">
        <w:t>three-</w:t>
      </w:r>
      <w:r w:rsidR="0037600D">
        <w:t>month</w:t>
      </w:r>
      <w:r w:rsidR="00542786">
        <w:t xml:space="preserve"> </w:t>
      </w:r>
      <w:r w:rsidR="00B2185C">
        <w:t xml:space="preserve">waiver </w:t>
      </w:r>
      <w:r w:rsidR="00542786">
        <w:t xml:space="preserve">of the April 1, 2015 deadline for compliance with the recording, recordkeeping, and reporting requirements of the Commission’s </w:t>
      </w:r>
      <w:r w:rsidR="00542786">
        <w:rPr>
          <w:i/>
        </w:rPr>
        <w:t>Rural Call Completion Order</w:t>
      </w:r>
      <w:r w:rsidRPr="008F7A57">
        <w:rPr>
          <w:rFonts w:eastAsia="Batang"/>
          <w:lang w:eastAsia="ja-JP"/>
        </w:rPr>
        <w:t>.</w:t>
      </w:r>
    </w:p>
    <w:p w:rsidR="00CC04E7" w:rsidRPr="008F7A57" w:rsidRDefault="00CC04E7" w:rsidP="00022F6D">
      <w:pPr>
        <w:pStyle w:val="ParaNum"/>
        <w:rPr>
          <w:szCs w:val="22"/>
        </w:rPr>
      </w:pPr>
      <w:r w:rsidRPr="008F7A57">
        <w:rPr>
          <w:szCs w:val="22"/>
        </w:rPr>
        <w:t xml:space="preserve">IT IS FURTHER ORDERED, </w:t>
      </w:r>
      <w:r w:rsidRPr="005A1B8A">
        <w:t>pursuant</w:t>
      </w:r>
      <w:r w:rsidRPr="008F7A57">
        <w:rPr>
          <w:szCs w:val="22"/>
        </w:rPr>
        <w:t xml:space="preserve"> to section 1.102(b)(1) of the Commission</w:t>
      </w:r>
      <w:r w:rsidR="00F04F3E" w:rsidRPr="008F7A57">
        <w:rPr>
          <w:szCs w:val="22"/>
        </w:rPr>
        <w:t>’</w:t>
      </w:r>
      <w:r w:rsidRPr="008F7A57">
        <w:rPr>
          <w:szCs w:val="22"/>
        </w:rPr>
        <w:t xml:space="preserve">s rules, 47 C.F.R. § 1.102(b)(1), </w:t>
      </w:r>
      <w:r w:rsidR="004742F1" w:rsidRPr="008F7A57">
        <w:rPr>
          <w:szCs w:val="22"/>
        </w:rPr>
        <w:t xml:space="preserve">that </w:t>
      </w:r>
      <w:r w:rsidRPr="008F7A57">
        <w:rPr>
          <w:szCs w:val="22"/>
        </w:rPr>
        <w:t>this Order SHALL BE EFFECTIVE upon release.</w:t>
      </w:r>
    </w:p>
    <w:p w:rsidR="00345E9B" w:rsidRDefault="00CC04E7" w:rsidP="00A47B38">
      <w:pPr>
        <w:pStyle w:val="ParaNum"/>
        <w:widowControl/>
        <w:numPr>
          <w:ilvl w:val="0"/>
          <w:numId w:val="0"/>
        </w:numPr>
        <w:spacing w:after="0"/>
      </w:pPr>
      <w:r>
        <w:tab/>
      </w:r>
      <w:r>
        <w:tab/>
      </w:r>
      <w:r>
        <w:tab/>
      </w:r>
      <w:r>
        <w:tab/>
      </w:r>
      <w:r>
        <w:tab/>
      </w:r>
    </w:p>
    <w:p w:rsidR="00345E9B" w:rsidRDefault="00345E9B" w:rsidP="00A47B38">
      <w:pPr>
        <w:pStyle w:val="ParaNum"/>
        <w:widowControl/>
        <w:numPr>
          <w:ilvl w:val="0"/>
          <w:numId w:val="0"/>
        </w:numPr>
        <w:spacing w:after="0"/>
      </w:pPr>
    </w:p>
    <w:p w:rsidR="00345E9B" w:rsidRDefault="00345E9B" w:rsidP="00345E9B">
      <w:pPr>
        <w:pStyle w:val="ParaNum"/>
        <w:widowControl/>
        <w:numPr>
          <w:ilvl w:val="0"/>
          <w:numId w:val="0"/>
        </w:numPr>
        <w:spacing w:after="0"/>
        <w:ind w:left="3600"/>
      </w:pPr>
    </w:p>
    <w:p w:rsidR="00CC04E7" w:rsidRDefault="00CC04E7" w:rsidP="00345E9B">
      <w:pPr>
        <w:pStyle w:val="ParaNum"/>
        <w:widowControl/>
        <w:numPr>
          <w:ilvl w:val="0"/>
          <w:numId w:val="0"/>
        </w:numPr>
        <w:spacing w:after="0"/>
        <w:ind w:left="3600" w:firstLine="720"/>
      </w:pPr>
      <w:r>
        <w:t>FEDERAL COMMUNICATIONS COMMISSION</w:t>
      </w:r>
    </w:p>
    <w:p w:rsidR="00CC04E7" w:rsidRDefault="00CC04E7" w:rsidP="00A47B38">
      <w:pPr>
        <w:pStyle w:val="ParaNum"/>
        <w:widowControl/>
        <w:numPr>
          <w:ilvl w:val="0"/>
          <w:numId w:val="0"/>
        </w:numPr>
        <w:spacing w:after="0"/>
      </w:pPr>
    </w:p>
    <w:p w:rsidR="00CC04E7" w:rsidRDefault="00CC04E7" w:rsidP="00A47B38">
      <w:pPr>
        <w:pStyle w:val="ParaNum"/>
        <w:widowControl/>
        <w:numPr>
          <w:ilvl w:val="0"/>
          <w:numId w:val="0"/>
        </w:numPr>
        <w:spacing w:after="0"/>
      </w:pPr>
    </w:p>
    <w:p w:rsidR="00CC04E7" w:rsidRDefault="00CC04E7" w:rsidP="00A47B38">
      <w:pPr>
        <w:pStyle w:val="ParaNum"/>
        <w:widowControl/>
        <w:numPr>
          <w:ilvl w:val="0"/>
          <w:numId w:val="0"/>
        </w:numPr>
        <w:spacing w:after="0"/>
      </w:pPr>
    </w:p>
    <w:p w:rsidR="00022F6D" w:rsidRDefault="00022F6D" w:rsidP="00A47B38">
      <w:pPr>
        <w:pStyle w:val="ParaNum"/>
        <w:widowControl/>
        <w:numPr>
          <w:ilvl w:val="0"/>
          <w:numId w:val="0"/>
        </w:numPr>
        <w:spacing w:after="0"/>
      </w:pPr>
    </w:p>
    <w:p w:rsidR="00CC04E7" w:rsidRDefault="00CC04E7" w:rsidP="00A47B38">
      <w:pPr>
        <w:pStyle w:val="ParaNum"/>
        <w:widowControl/>
        <w:numPr>
          <w:ilvl w:val="0"/>
          <w:numId w:val="0"/>
        </w:numPr>
        <w:spacing w:after="0"/>
      </w:pPr>
      <w:r>
        <w:tab/>
      </w:r>
      <w:r>
        <w:tab/>
      </w:r>
      <w:r>
        <w:tab/>
      </w:r>
      <w:r>
        <w:tab/>
      </w:r>
      <w:r>
        <w:tab/>
      </w:r>
      <w:r w:rsidR="00345E9B">
        <w:tab/>
      </w:r>
      <w:r w:rsidR="003E5F0B">
        <w:t xml:space="preserve">Julie </w:t>
      </w:r>
      <w:r w:rsidR="004714A1">
        <w:t xml:space="preserve">A. </w:t>
      </w:r>
      <w:r w:rsidR="003E5F0B">
        <w:t>Veach</w:t>
      </w:r>
      <w:r w:rsidR="00D74D16">
        <w:tab/>
      </w:r>
      <w:r w:rsidR="00D74D16">
        <w:tab/>
      </w:r>
      <w:r w:rsidR="00D74D16">
        <w:tab/>
      </w:r>
      <w:r w:rsidR="00D74D16">
        <w:tab/>
      </w:r>
      <w:r w:rsidR="00D74D16">
        <w:tab/>
      </w:r>
      <w:r w:rsidR="00D74D16">
        <w:tab/>
      </w:r>
      <w:r>
        <w:tab/>
      </w:r>
      <w:r>
        <w:tab/>
      </w:r>
      <w:r>
        <w:tab/>
      </w:r>
      <w:r>
        <w:tab/>
      </w:r>
      <w:r w:rsidR="00345E9B">
        <w:tab/>
      </w:r>
      <w:r w:rsidR="00E451EA">
        <w:tab/>
      </w:r>
      <w:r w:rsidR="00D74D16">
        <w:t>Chief</w:t>
      </w:r>
    </w:p>
    <w:p w:rsidR="002C00E8" w:rsidRPr="002C00E8" w:rsidRDefault="00CC04E7" w:rsidP="00A47B38">
      <w:pPr>
        <w:pStyle w:val="ParaNum"/>
        <w:widowControl/>
        <w:numPr>
          <w:ilvl w:val="0"/>
          <w:numId w:val="0"/>
        </w:numPr>
        <w:ind w:firstLine="720"/>
      </w:pPr>
      <w:r>
        <w:tab/>
      </w:r>
      <w:r>
        <w:tab/>
      </w:r>
      <w:r>
        <w:tab/>
      </w:r>
      <w:r>
        <w:tab/>
      </w:r>
      <w:r w:rsidR="00345E9B">
        <w:tab/>
      </w:r>
      <w:r>
        <w:t>Wireline Competition Bureau</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16" w:rsidRDefault="00002016">
      <w:pPr>
        <w:spacing w:line="20" w:lineRule="exact"/>
      </w:pPr>
    </w:p>
  </w:endnote>
  <w:endnote w:type="continuationSeparator" w:id="0">
    <w:p w:rsidR="00002016" w:rsidRDefault="00002016">
      <w:r>
        <w:t xml:space="preserve"> </w:t>
      </w:r>
    </w:p>
  </w:endnote>
  <w:endnote w:type="continuationNotice" w:id="1">
    <w:p w:rsidR="00002016" w:rsidRDefault="000020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5" w:rsidRDefault="00477985" w:rsidP="0055614C">
    <w:pPr>
      <w:pStyle w:val="Footer"/>
      <w:framePr w:wrap="around" w:vAnchor="text" w:hAnchor="margin" w:xAlign="center" w:y="1"/>
    </w:pPr>
    <w:r>
      <w:fldChar w:fldCharType="begin"/>
    </w:r>
    <w:r>
      <w:instrText xml:space="preserve">PAGE  </w:instrText>
    </w:r>
    <w:r>
      <w:fldChar w:fldCharType="end"/>
    </w:r>
  </w:p>
  <w:p w:rsidR="00477985" w:rsidRDefault="0047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5" w:rsidRDefault="00477985" w:rsidP="0055614C">
    <w:pPr>
      <w:pStyle w:val="Footer"/>
      <w:framePr w:wrap="around" w:vAnchor="text" w:hAnchor="margin" w:xAlign="center" w:y="1"/>
    </w:pPr>
    <w:r>
      <w:fldChar w:fldCharType="begin"/>
    </w:r>
    <w:r>
      <w:instrText xml:space="preserve">PAGE  </w:instrText>
    </w:r>
    <w:r>
      <w:fldChar w:fldCharType="separate"/>
    </w:r>
    <w:r w:rsidR="00BD368D">
      <w:rPr>
        <w:noProof/>
      </w:rPr>
      <w:t>2</w:t>
    </w:r>
    <w:r>
      <w:fldChar w:fldCharType="end"/>
    </w:r>
  </w:p>
  <w:p w:rsidR="00477985" w:rsidRDefault="0047798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5" w:rsidRDefault="00477985" w:rsidP="00D82182">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16" w:rsidRDefault="00002016">
      <w:r>
        <w:separator/>
      </w:r>
    </w:p>
  </w:footnote>
  <w:footnote w:type="continuationSeparator" w:id="0">
    <w:p w:rsidR="00002016" w:rsidRDefault="00002016" w:rsidP="00C721AC">
      <w:pPr>
        <w:spacing w:before="120"/>
        <w:rPr>
          <w:sz w:val="20"/>
        </w:rPr>
      </w:pPr>
      <w:r>
        <w:rPr>
          <w:sz w:val="20"/>
        </w:rPr>
        <w:t xml:space="preserve">(Continued from previous page)  </w:t>
      </w:r>
      <w:r>
        <w:rPr>
          <w:sz w:val="20"/>
        </w:rPr>
        <w:separator/>
      </w:r>
    </w:p>
  </w:footnote>
  <w:footnote w:type="continuationNotice" w:id="1">
    <w:p w:rsidR="00002016" w:rsidRDefault="00002016" w:rsidP="00C721AC">
      <w:pPr>
        <w:jc w:val="right"/>
        <w:rPr>
          <w:sz w:val="20"/>
        </w:rPr>
      </w:pPr>
      <w:r>
        <w:rPr>
          <w:sz w:val="20"/>
        </w:rPr>
        <w:t>(continued….)</w:t>
      </w:r>
    </w:p>
  </w:footnote>
  <w:footnote w:id="2">
    <w:p w:rsidR="001A2015" w:rsidRDefault="001A2015" w:rsidP="001A2015">
      <w:pPr>
        <w:pStyle w:val="FootnoteText"/>
      </w:pPr>
      <w:r>
        <w:rPr>
          <w:rStyle w:val="FootnoteReference"/>
        </w:rPr>
        <w:footnoteRef/>
      </w:r>
      <w:r>
        <w:t xml:space="preserve"> </w:t>
      </w:r>
      <w:r w:rsidRPr="00343C61">
        <w:rPr>
          <w:i/>
        </w:rPr>
        <w:t>See</w:t>
      </w:r>
      <w:r>
        <w:t xml:space="preserve"> </w:t>
      </w:r>
      <w:r w:rsidRPr="00C32079">
        <w:rPr>
          <w:i/>
        </w:rPr>
        <w:t>Rural Call Completion</w:t>
      </w:r>
      <w:r w:rsidRPr="00C32079">
        <w:t xml:space="preserve">, WC Docket No. 13-39, Report and Order and Further Notice of Proposed Rulemaking, 28 FCC Rcd 16154 </w:t>
      </w:r>
      <w:r>
        <w:t xml:space="preserve">(2013) </w:t>
      </w:r>
      <w:r w:rsidRPr="00C32079">
        <w:t>(</w:t>
      </w:r>
      <w:r w:rsidRPr="00C32079">
        <w:rPr>
          <w:i/>
        </w:rPr>
        <w:t>Rural Call Completion Orde</w:t>
      </w:r>
      <w:r>
        <w:rPr>
          <w:i/>
        </w:rPr>
        <w:t xml:space="preserve">r </w:t>
      </w:r>
      <w:r>
        <w:t xml:space="preserve">or </w:t>
      </w:r>
      <w:r>
        <w:rPr>
          <w:i/>
        </w:rPr>
        <w:t>Order</w:t>
      </w:r>
      <w:r>
        <w:t xml:space="preserve">); </w:t>
      </w:r>
      <w:r w:rsidRPr="00365967">
        <w:t>Order on Reconsideration,</w:t>
      </w:r>
      <w:r>
        <w:t xml:space="preserve"> 29 FCC Rcd 14026 (</w:t>
      </w:r>
      <w:r w:rsidRPr="00365967">
        <w:t>2014) (</w:t>
      </w:r>
      <w:r w:rsidRPr="00365967">
        <w:rPr>
          <w:i/>
        </w:rPr>
        <w:t>Rural Call Completion Recon Order</w:t>
      </w:r>
      <w:r>
        <w:t>).</w:t>
      </w:r>
    </w:p>
  </w:footnote>
  <w:footnote w:id="3">
    <w:p w:rsidR="001A2015" w:rsidRPr="00F53B84" w:rsidRDefault="001A2015" w:rsidP="00363197">
      <w:pPr>
        <w:pStyle w:val="FootnoteText"/>
      </w:pPr>
      <w:r>
        <w:rPr>
          <w:rStyle w:val="FootnoteReference"/>
        </w:rPr>
        <w:footnoteRef/>
      </w:r>
      <w:r>
        <w:t xml:space="preserve"> </w:t>
      </w:r>
      <w:r w:rsidR="00363197">
        <w:t xml:space="preserve">Request for Waiver of Midcontinent Communications, WC Docket No. 13-39 (filed Jan. 24, 2014) (Midcontinent Petition), </w:t>
      </w:r>
      <w:hyperlink r:id="rId1" w:history="1">
        <w:r w:rsidR="00575662" w:rsidRPr="00575662">
          <w:rPr>
            <w:rStyle w:val="Hyperlink"/>
          </w:rPr>
          <w:t>http://apps.fcc.gov/ecfs/document/view?id=7521067553</w:t>
        </w:r>
      </w:hyperlink>
      <w:r w:rsidR="00575662">
        <w:t>.</w:t>
      </w:r>
      <w:r w:rsidR="00F53B84">
        <w:t xml:space="preserve">  Although portions of Midconti</w:t>
      </w:r>
      <w:r w:rsidR="00597A13">
        <w:t>n</w:t>
      </w:r>
      <w:r w:rsidR="00F53B84">
        <w:t xml:space="preserve">ent’s request purport to seek </w:t>
      </w:r>
      <w:r w:rsidR="00CF1259">
        <w:t xml:space="preserve">a </w:t>
      </w:r>
      <w:r w:rsidR="00F53B84">
        <w:t xml:space="preserve">waiver only of the “reporting requirements,” </w:t>
      </w:r>
      <w:r w:rsidR="00F53B84">
        <w:rPr>
          <w:i/>
        </w:rPr>
        <w:t>e.g.</w:t>
      </w:r>
      <w:r w:rsidR="00F53B84">
        <w:t xml:space="preserve">, </w:t>
      </w:r>
      <w:r w:rsidR="00F53B84">
        <w:rPr>
          <w:i/>
        </w:rPr>
        <w:t xml:space="preserve">id. </w:t>
      </w:r>
      <w:r w:rsidR="00F53B84">
        <w:t>at i, elsewhere it objects to the obligation</w:t>
      </w:r>
      <w:r w:rsidR="00733E11">
        <w:t>s</w:t>
      </w:r>
      <w:r w:rsidR="00F53B84">
        <w:t xml:space="preserve"> to “compile and retain” records as well.  </w:t>
      </w:r>
      <w:r w:rsidR="00F53B84">
        <w:rPr>
          <w:i/>
        </w:rPr>
        <w:t>E.g.</w:t>
      </w:r>
      <w:r w:rsidR="00F53B84">
        <w:t xml:space="preserve">, </w:t>
      </w:r>
      <w:r w:rsidR="00F53B84">
        <w:rPr>
          <w:i/>
        </w:rPr>
        <w:t>id.</w:t>
      </w:r>
      <w:r w:rsidR="00F53B84">
        <w:t xml:space="preserve"> at 5.  The Bureau understands the request, read as a whole, to seek waiver of the recording, retention, and reporting requirements.  </w:t>
      </w:r>
    </w:p>
  </w:footnote>
  <w:footnote w:id="4">
    <w:p w:rsidR="00363197" w:rsidRPr="00AD0A99" w:rsidRDefault="00363197">
      <w:pPr>
        <w:pStyle w:val="FootnoteText"/>
      </w:pPr>
      <w:r>
        <w:rPr>
          <w:rStyle w:val="FootnoteReference"/>
        </w:rPr>
        <w:footnoteRef/>
      </w:r>
      <w:r>
        <w:t xml:space="preserve"> </w:t>
      </w:r>
      <w:r w:rsidR="00C2437D">
        <w:t xml:space="preserve">47 C.F.R. §§ 64.2103, 64.2105.  </w:t>
      </w:r>
      <w:r w:rsidR="00DE5AD2">
        <w:t>The Bureau evaluates Midcontinent’</w:t>
      </w:r>
      <w:r w:rsidR="00BA043C">
        <w:t xml:space="preserve">s request for </w:t>
      </w:r>
      <w:r>
        <w:t xml:space="preserve">waiver pursuant to section 1.3 of the Commission’s rules, which permits </w:t>
      </w:r>
      <w:r w:rsidR="00DE5AD2">
        <w:t xml:space="preserve">the Commission to waive application of its regulations, in whole or in part, for good cause shown.  47 C.F.R. § 1.3.  </w:t>
      </w:r>
      <w:r w:rsidR="00AD0A99">
        <w:t>S</w:t>
      </w:r>
      <w:r w:rsidR="00DE5AD2">
        <w:t xml:space="preserve">ection 1.3 </w:t>
      </w:r>
      <w:r w:rsidR="00AD0A99">
        <w:t>allows</w:t>
      </w:r>
      <w:r w:rsidR="00DE5AD2">
        <w:t xml:space="preserve"> the Commission to act on </w:t>
      </w:r>
      <w:r w:rsidR="00AD0A99">
        <w:t xml:space="preserve">petition or on </w:t>
      </w:r>
      <w:r w:rsidR="00DE5AD2">
        <w:t xml:space="preserve">its own motion.  </w:t>
      </w:r>
      <w:r w:rsidR="00DE5AD2">
        <w:rPr>
          <w:i/>
        </w:rPr>
        <w:t>Id</w:t>
      </w:r>
      <w:r w:rsidR="00DE5AD2">
        <w:t xml:space="preserve">. </w:t>
      </w:r>
      <w:r w:rsidR="00AD0A99">
        <w:t xml:space="preserve"> </w:t>
      </w:r>
      <w:r w:rsidR="00AD0A99" w:rsidRPr="00AD0A99">
        <w:rPr>
          <w:i/>
        </w:rPr>
        <w:t>See also</w:t>
      </w:r>
      <w:r w:rsidR="00AD0A99">
        <w:t xml:space="preserve"> 47 C.F.R § 0.91(b)</w:t>
      </w:r>
      <w:r w:rsidR="00C70D46">
        <w:t>;</w:t>
      </w:r>
      <w:r w:rsidR="00AD0A99">
        <w:t xml:space="preserve"> </w:t>
      </w:r>
      <w:r w:rsidR="00E032BB">
        <w:t xml:space="preserve">47 C.F.R. § </w:t>
      </w:r>
      <w:r w:rsidR="00AD0A99">
        <w:t>0.291</w:t>
      </w:r>
      <w:r w:rsidR="00C2437D">
        <w:t xml:space="preserve">; </w:t>
      </w:r>
      <w:r w:rsidR="00C2437D" w:rsidRPr="00DB062D">
        <w:rPr>
          <w:i/>
        </w:rPr>
        <w:t>Rural Call Completion Order</w:t>
      </w:r>
      <w:r w:rsidR="00C2437D" w:rsidRPr="00DB062D">
        <w:t>, 28 FCC Rcd at 16184, para. 66.</w:t>
      </w:r>
      <w:r w:rsidR="00C2437D">
        <w:t>(directing Bureau staff to</w:t>
      </w:r>
      <w:r w:rsidR="00C2437D" w:rsidRPr="00DB062D">
        <w:t xml:space="preserve"> </w:t>
      </w:r>
      <w:r w:rsidR="00C2437D">
        <w:t>“</w:t>
      </w:r>
      <w:r w:rsidR="00C2437D" w:rsidRPr="00DB062D">
        <w:t>work with providers to ensure that the providers have the tools they need to complete and file the form in the leas</w:t>
      </w:r>
      <w:r w:rsidR="00C2437D">
        <w:t>t burdensome manner possible”).</w:t>
      </w:r>
    </w:p>
  </w:footnote>
  <w:footnote w:id="5">
    <w:p w:rsidR="00137A4A" w:rsidRPr="00536602" w:rsidRDefault="00137A4A" w:rsidP="00137A4A">
      <w:pPr>
        <w:pStyle w:val="FootnoteText"/>
      </w:pPr>
      <w:r w:rsidRPr="00C32079">
        <w:rPr>
          <w:rStyle w:val="FootnoteReference"/>
        </w:rPr>
        <w:footnoteRef/>
      </w:r>
      <w:r w:rsidRPr="00C32079">
        <w:t xml:space="preserve"> </w:t>
      </w:r>
      <w:r>
        <w:rPr>
          <w:i/>
        </w:rPr>
        <w:t>Rural Call Completion Order</w:t>
      </w:r>
      <w:r>
        <w:t>, 28 FCC Rcd at 16164-91, paras. 19-84, 16211-214, Appx. A; 47 C.F.R. §§ 64.2103-64.2105.</w:t>
      </w:r>
    </w:p>
  </w:footnote>
  <w:footnote w:id="6">
    <w:p w:rsidR="00FE42D4" w:rsidRPr="00B670ED" w:rsidRDefault="00FE42D4" w:rsidP="00FE42D4">
      <w:pPr>
        <w:pStyle w:val="FootnoteText"/>
      </w:pPr>
      <w:r>
        <w:rPr>
          <w:rStyle w:val="FootnoteReference"/>
        </w:rPr>
        <w:footnoteRef/>
      </w:r>
      <w:r>
        <w:t xml:space="preserve"> </w:t>
      </w:r>
      <w:r w:rsidR="00DE6476">
        <w:rPr>
          <w:i/>
        </w:rPr>
        <w:t>See id</w:t>
      </w:r>
      <w:r w:rsidR="00DE6476">
        <w:t>.</w:t>
      </w:r>
      <w:r>
        <w:t xml:space="preserve"> at 16160-64, paras. 13-18.</w:t>
      </w:r>
    </w:p>
  </w:footnote>
  <w:footnote w:id="7">
    <w:p w:rsidR="00FE42D4" w:rsidRPr="00C32079" w:rsidRDefault="00FE42D4" w:rsidP="00FE42D4">
      <w:pPr>
        <w:pStyle w:val="FootnoteText"/>
      </w:pPr>
      <w:r w:rsidRPr="00C32079">
        <w:rPr>
          <w:rStyle w:val="FootnoteReference"/>
        </w:rPr>
        <w:footnoteRef/>
      </w:r>
      <w:r w:rsidRPr="00C32079">
        <w:t xml:space="preserve"> </w:t>
      </w:r>
      <w:r>
        <w:rPr>
          <w:i/>
        </w:rPr>
        <w:t>Rural Call Completion Order</w:t>
      </w:r>
      <w:r>
        <w:t>, 28 FCC Rcd at 16164</w:t>
      </w:r>
      <w:r w:rsidRPr="00C32079">
        <w:t>, para. 19</w:t>
      </w:r>
      <w:r>
        <w:t>; 47 C.F.R. § 64.2101(c)</w:t>
      </w:r>
      <w:r w:rsidR="00733E11">
        <w:t>.</w:t>
      </w:r>
    </w:p>
  </w:footnote>
  <w:footnote w:id="8">
    <w:p w:rsidR="008F71BC" w:rsidRPr="00C32079" w:rsidRDefault="008F71BC" w:rsidP="008F71BC">
      <w:pPr>
        <w:pStyle w:val="FootnoteText"/>
      </w:pPr>
      <w:r w:rsidRPr="00C32079">
        <w:rPr>
          <w:rStyle w:val="FootnoteReference"/>
        </w:rPr>
        <w:footnoteRef/>
      </w:r>
      <w:r w:rsidRPr="00C32079">
        <w:t xml:space="preserve"> </w:t>
      </w:r>
      <w:r>
        <w:rPr>
          <w:i/>
        </w:rPr>
        <w:t>Rural Call Completion Order</w:t>
      </w:r>
      <w:r>
        <w:t>, 28 FCC Rcd at 16184-85</w:t>
      </w:r>
      <w:r w:rsidRPr="00C32079">
        <w:t>, paras. 65-67</w:t>
      </w:r>
      <w:r>
        <w:t>; 47 C.F.R. § 64.2105(a)</w:t>
      </w:r>
      <w:r w:rsidRPr="00C32079">
        <w:t xml:space="preserve">.  </w:t>
      </w:r>
    </w:p>
  </w:footnote>
  <w:footnote w:id="9">
    <w:p w:rsidR="000C55FC" w:rsidRDefault="000C55FC" w:rsidP="000C55FC">
      <w:pPr>
        <w:pStyle w:val="FootnoteText"/>
      </w:pPr>
      <w:r>
        <w:rPr>
          <w:rStyle w:val="FootnoteReference"/>
        </w:rPr>
        <w:footnoteRef/>
      </w:r>
      <w:r>
        <w:t xml:space="preserve"> </w:t>
      </w:r>
      <w:r>
        <w:rPr>
          <w:i/>
        </w:rPr>
        <w:t xml:space="preserve">Rural Call Completion Order </w:t>
      </w:r>
      <w:r w:rsidRPr="001D33A3">
        <w:t>at 16169, para 27.</w:t>
      </w:r>
      <w:r w:rsidRPr="00FB6CD8">
        <w:t xml:space="preserve"> </w:t>
      </w:r>
      <w:r>
        <w:t xml:space="preserve"> </w:t>
      </w:r>
    </w:p>
  </w:footnote>
  <w:footnote w:id="10">
    <w:p w:rsidR="00A33B9C" w:rsidRDefault="00A33B9C">
      <w:pPr>
        <w:pStyle w:val="FootnoteText"/>
      </w:pPr>
      <w:r>
        <w:rPr>
          <w:rStyle w:val="FootnoteReference"/>
        </w:rPr>
        <w:footnoteRef/>
      </w:r>
      <w:r>
        <w:t xml:space="preserve"> </w:t>
      </w:r>
      <w:r w:rsidR="00095E60">
        <w:t>Midcontinent Petition</w:t>
      </w:r>
      <w:r w:rsidR="005B08A5">
        <w:t xml:space="preserve"> at 1. </w:t>
      </w:r>
    </w:p>
  </w:footnote>
  <w:footnote w:id="11">
    <w:p w:rsidR="00A33B9C" w:rsidRDefault="00A33B9C">
      <w:pPr>
        <w:pStyle w:val="FootnoteText"/>
      </w:pPr>
      <w:r>
        <w:rPr>
          <w:rStyle w:val="FootnoteReference"/>
        </w:rPr>
        <w:footnoteRef/>
      </w:r>
      <w:r>
        <w:t xml:space="preserve"> </w:t>
      </w:r>
      <w:r w:rsidR="00095E60">
        <w:t xml:space="preserve">Reply Comments of Midcontinent Communications, WC Docket No. 13-39 (filed May 19, 2014) (Midcontinent Reply).  </w:t>
      </w:r>
    </w:p>
  </w:footnote>
  <w:footnote w:id="12">
    <w:p w:rsidR="00A33B9C" w:rsidRPr="005B08A5" w:rsidRDefault="00A33B9C">
      <w:pPr>
        <w:pStyle w:val="FootnoteText"/>
      </w:pPr>
      <w:r>
        <w:rPr>
          <w:rStyle w:val="FootnoteReference"/>
        </w:rPr>
        <w:footnoteRef/>
      </w:r>
      <w:r>
        <w:t xml:space="preserve"> </w:t>
      </w:r>
      <w:r w:rsidR="00095E60">
        <w:t xml:space="preserve">Letter from J.G. Harrington, Counsel to Midcontinent Communications, </w:t>
      </w:r>
      <w:r w:rsidR="005B08A5">
        <w:t xml:space="preserve">to Marlene H. Dortch, Secretary, FCC, WC Docket No. 13-39 (filed Dec. 23, 2014) (Midcontinent </w:t>
      </w:r>
      <w:r w:rsidR="005B08A5">
        <w:rPr>
          <w:i/>
        </w:rPr>
        <w:t xml:space="preserve">Ex Parte </w:t>
      </w:r>
      <w:r w:rsidR="005B08A5">
        <w:t xml:space="preserve">Letter).  </w:t>
      </w:r>
    </w:p>
  </w:footnote>
  <w:footnote w:id="13">
    <w:p w:rsidR="00706060" w:rsidRDefault="00706060">
      <w:pPr>
        <w:pStyle w:val="FootnoteText"/>
      </w:pPr>
      <w:r>
        <w:rPr>
          <w:rStyle w:val="FootnoteReference"/>
        </w:rPr>
        <w:footnoteRef/>
      </w:r>
      <w:r>
        <w:t xml:space="preserve"> </w:t>
      </w:r>
      <w:r w:rsidR="00372B6D">
        <w:t xml:space="preserve">Midcontinent Petition at i-iii; Midcontinent Reply at 1-3; Midcontinent </w:t>
      </w:r>
      <w:r w:rsidR="00372B6D">
        <w:rPr>
          <w:i/>
        </w:rPr>
        <w:t xml:space="preserve">Ex Parte </w:t>
      </w:r>
      <w:r w:rsidR="00372B6D">
        <w:t xml:space="preserve">Letter at 1.   </w:t>
      </w:r>
    </w:p>
  </w:footnote>
  <w:footnote w:id="14">
    <w:p w:rsidR="00706060" w:rsidRDefault="00706060">
      <w:pPr>
        <w:pStyle w:val="FootnoteText"/>
      </w:pPr>
      <w:r>
        <w:rPr>
          <w:rStyle w:val="FootnoteReference"/>
        </w:rPr>
        <w:footnoteRef/>
      </w:r>
      <w:r>
        <w:t xml:space="preserve"> </w:t>
      </w:r>
      <w:r w:rsidR="00F37450">
        <w:t xml:space="preserve">Midcontinent Petition at ii. </w:t>
      </w:r>
    </w:p>
  </w:footnote>
  <w:footnote w:id="15">
    <w:p w:rsidR="0088143B" w:rsidRPr="00F37450" w:rsidRDefault="0088143B">
      <w:pPr>
        <w:pStyle w:val="FootnoteText"/>
        <w:rPr>
          <w:i/>
        </w:rPr>
      </w:pPr>
      <w:r>
        <w:rPr>
          <w:rStyle w:val="FootnoteReference"/>
        </w:rPr>
        <w:footnoteRef/>
      </w:r>
      <w:r>
        <w:t xml:space="preserve"> </w:t>
      </w:r>
      <w:r w:rsidR="00F37450">
        <w:rPr>
          <w:i/>
        </w:rPr>
        <w:t xml:space="preserve">Id. </w:t>
      </w:r>
    </w:p>
  </w:footnote>
  <w:footnote w:id="16">
    <w:p w:rsidR="00A0718E" w:rsidRDefault="00A0718E" w:rsidP="00A0718E">
      <w:pPr>
        <w:pStyle w:val="FootnoteText"/>
      </w:pPr>
      <w:r>
        <w:rPr>
          <w:rStyle w:val="FootnoteReference"/>
        </w:rPr>
        <w:footnoteRef/>
      </w:r>
      <w:r>
        <w:t xml:space="preserve"> </w:t>
      </w:r>
      <w:r w:rsidR="004B4B00">
        <w:rPr>
          <w:i/>
        </w:rPr>
        <w:t xml:space="preserve">See </w:t>
      </w:r>
      <w:r w:rsidR="00F37450">
        <w:t>Comments of the Rural Associations, WC Docket No. 13-39 (filed May 12, 2014) (Rural Associations Comments).</w:t>
      </w:r>
    </w:p>
  </w:footnote>
  <w:footnote w:id="17">
    <w:p w:rsidR="00275781" w:rsidRDefault="00275781">
      <w:pPr>
        <w:pStyle w:val="FootnoteText"/>
      </w:pPr>
      <w:r>
        <w:rPr>
          <w:rStyle w:val="FootnoteReference"/>
        </w:rPr>
        <w:footnoteRef/>
      </w:r>
      <w:r>
        <w:t xml:space="preserve"> </w:t>
      </w:r>
      <w:r w:rsidR="004B4B00">
        <w:rPr>
          <w:i/>
        </w:rPr>
        <w:t xml:space="preserve">See </w:t>
      </w:r>
      <w:r w:rsidR="009539A1">
        <w:t>Comments of COMPTEL, WC Docket No. 13-</w:t>
      </w:r>
      <w:r w:rsidR="004B4B00">
        <w:t xml:space="preserve">39 </w:t>
      </w:r>
      <w:r w:rsidR="009539A1">
        <w:t xml:space="preserve">(filed May 12, 2014) (COMPTEL Comments).  </w:t>
      </w:r>
    </w:p>
  </w:footnote>
  <w:footnote w:id="18">
    <w:p w:rsidR="00A0718E" w:rsidRDefault="00A0718E">
      <w:pPr>
        <w:pStyle w:val="FootnoteText"/>
      </w:pPr>
      <w:r>
        <w:rPr>
          <w:rStyle w:val="FootnoteReference"/>
        </w:rPr>
        <w:footnoteRef/>
      </w:r>
      <w:r>
        <w:t xml:space="preserve"> </w:t>
      </w:r>
      <w:r w:rsidR="009539A1">
        <w:t>Rural Associations Comments at 3.</w:t>
      </w:r>
    </w:p>
  </w:footnote>
  <w:footnote w:id="19">
    <w:p w:rsidR="00275781" w:rsidRDefault="00275781">
      <w:pPr>
        <w:pStyle w:val="FootnoteText"/>
      </w:pPr>
      <w:r>
        <w:rPr>
          <w:rStyle w:val="FootnoteReference"/>
        </w:rPr>
        <w:footnoteRef/>
      </w:r>
      <w:r>
        <w:t xml:space="preserve"> </w:t>
      </w:r>
      <w:r w:rsidR="009539A1">
        <w:t xml:space="preserve">COMPTEL Comments at 2-3. </w:t>
      </w:r>
    </w:p>
  </w:footnote>
  <w:footnote w:id="20">
    <w:p w:rsidR="000A40F4" w:rsidRDefault="000A40F4" w:rsidP="004148E5">
      <w:pPr>
        <w:pStyle w:val="FootnoteText"/>
      </w:pPr>
      <w:r>
        <w:rPr>
          <w:rStyle w:val="FootnoteReference"/>
        </w:rPr>
        <w:footnoteRef/>
      </w:r>
      <w:r>
        <w:t xml:space="preserve"> </w:t>
      </w:r>
      <w:r w:rsidR="004148E5">
        <w:t>COMPTEL Petition for Reconsideration, WC Docket No. 13-39 (filed Jan. 16, 2014) (COMPTEL Petition).</w:t>
      </w:r>
    </w:p>
  </w:footnote>
  <w:footnote w:id="21">
    <w:p w:rsidR="00862C4D" w:rsidRDefault="00862C4D">
      <w:pPr>
        <w:pStyle w:val="FootnoteText"/>
      </w:pPr>
      <w:r>
        <w:rPr>
          <w:rStyle w:val="FootnoteReference"/>
        </w:rPr>
        <w:footnoteRef/>
      </w:r>
      <w:r>
        <w:t xml:space="preserve"> </w:t>
      </w:r>
      <w:r w:rsidR="004148E5">
        <w:t>COMPTEL Petition at 7.</w:t>
      </w:r>
    </w:p>
  </w:footnote>
  <w:footnote w:id="22">
    <w:p w:rsidR="000A40F4" w:rsidRDefault="000A40F4">
      <w:pPr>
        <w:pStyle w:val="FootnoteText"/>
      </w:pPr>
      <w:r>
        <w:rPr>
          <w:rStyle w:val="FootnoteReference"/>
        </w:rPr>
        <w:footnoteRef/>
      </w:r>
      <w:r>
        <w:t xml:space="preserve"> </w:t>
      </w:r>
      <w:r w:rsidR="004148E5">
        <w:rPr>
          <w:i/>
        </w:rPr>
        <w:t>See Rural Call Reconsideration Order</w:t>
      </w:r>
      <w:r w:rsidR="004148E5">
        <w:t>, 29 FCC Rcd at 14027, para. 3, 14036-38, paras. 24-30.</w:t>
      </w:r>
    </w:p>
  </w:footnote>
  <w:footnote w:id="23">
    <w:p w:rsidR="00BC5C58" w:rsidRPr="00BC5C58" w:rsidRDefault="00BC5C58">
      <w:pPr>
        <w:pStyle w:val="FootnoteText"/>
      </w:pPr>
      <w:r>
        <w:rPr>
          <w:rStyle w:val="FootnoteReference"/>
        </w:rPr>
        <w:footnoteRef/>
      </w:r>
      <w:r>
        <w:t xml:space="preserve"> </w:t>
      </w:r>
      <w:r>
        <w:rPr>
          <w:i/>
        </w:rPr>
        <w:t>Rural Call Completion Order</w:t>
      </w:r>
      <w:r>
        <w:t>, 28 FCC Rcd at 16211-13,</w:t>
      </w:r>
      <w:r w:rsidRPr="00BC5C58">
        <w:t xml:space="preserve"> </w:t>
      </w:r>
      <w:r>
        <w:t>Appx. A</w:t>
      </w:r>
      <w:r w:rsidR="00953C21">
        <w:t xml:space="preserve">; 47 C.F.R. §§ 64.2103-64.2105; </w:t>
      </w:r>
      <w:r w:rsidR="00953C21">
        <w:rPr>
          <w:i/>
        </w:rPr>
        <w:t xml:space="preserve">see also </w:t>
      </w:r>
      <w:r w:rsidR="00953C21">
        <w:t>47 C.F.R. § 1.3</w:t>
      </w:r>
      <w:r>
        <w:t>.</w:t>
      </w:r>
    </w:p>
  </w:footnote>
  <w:footnote w:id="24">
    <w:p w:rsidR="00B3128B" w:rsidRDefault="00B3128B">
      <w:pPr>
        <w:pStyle w:val="FootnoteText"/>
      </w:pPr>
      <w:r>
        <w:rPr>
          <w:rStyle w:val="FootnoteReference"/>
        </w:rPr>
        <w:footnoteRef/>
      </w:r>
      <w:r>
        <w:t xml:space="preserve"> </w:t>
      </w:r>
      <w:r w:rsidR="00BC5C58">
        <w:t xml:space="preserve">Midcontinent Petition at 3; </w:t>
      </w:r>
      <w:r w:rsidR="00733E11">
        <w:rPr>
          <w:i/>
        </w:rPr>
        <w:t xml:space="preserve">see also </w:t>
      </w:r>
      <w:r w:rsidR="00BC5C58">
        <w:t>47 C.F.R. § 1.3.</w:t>
      </w:r>
    </w:p>
  </w:footnote>
  <w:footnote w:id="25">
    <w:p w:rsidR="00F30546" w:rsidRDefault="00F30546" w:rsidP="00F30546">
      <w:pPr>
        <w:pStyle w:val="FootnoteText"/>
      </w:pPr>
      <w:r>
        <w:rPr>
          <w:rStyle w:val="FootnoteReference"/>
        </w:rPr>
        <w:footnoteRef/>
      </w:r>
      <w:r>
        <w:t xml:space="preserve"> </w:t>
      </w:r>
      <w:r w:rsidRPr="00F30546">
        <w:rPr>
          <w:i/>
        </w:rPr>
        <w:t>Northeast Cellular Tel. Co. v. FCC</w:t>
      </w:r>
      <w:r>
        <w:t xml:space="preserve">, 897 F.2d 1164, 1166 (D.C. Cir. 1990) (citing </w:t>
      </w:r>
      <w:r w:rsidRPr="00F30546">
        <w:rPr>
          <w:i/>
        </w:rPr>
        <w:t>WAIT Radio v. FCC</w:t>
      </w:r>
      <w:r>
        <w:t xml:space="preserve">, 418 F.2d 1153, 1159 (D.C. Cir. 1969)).  </w:t>
      </w:r>
    </w:p>
  </w:footnote>
  <w:footnote w:id="26">
    <w:p w:rsidR="00F30546" w:rsidRPr="00F30546" w:rsidRDefault="00F30546">
      <w:pPr>
        <w:pStyle w:val="FootnoteText"/>
        <w:rPr>
          <w:i/>
        </w:rPr>
      </w:pPr>
      <w:r>
        <w:rPr>
          <w:rStyle w:val="FootnoteReference"/>
        </w:rPr>
        <w:footnoteRef/>
      </w:r>
      <w:r>
        <w:t xml:space="preserve"> </w:t>
      </w:r>
      <w:r>
        <w:rPr>
          <w:i/>
        </w:rPr>
        <w:t xml:space="preserve">Id. </w:t>
      </w:r>
    </w:p>
  </w:footnote>
  <w:footnote w:id="27">
    <w:p w:rsidR="00B12827" w:rsidRPr="00BC5C58" w:rsidRDefault="00B12827">
      <w:pPr>
        <w:pStyle w:val="FootnoteText"/>
      </w:pPr>
      <w:r>
        <w:rPr>
          <w:rStyle w:val="FootnoteReference"/>
        </w:rPr>
        <w:footnoteRef/>
      </w:r>
      <w:r>
        <w:t xml:space="preserve"> Midcontinent Petition at 5-7.  Midcontinent asserts that “obtaining and installing the necessary equipment and software to capture [the required] data would cost approximately $150,000” with additional, undetermined costs for hiring staff, processing, and storing the data.  </w:t>
      </w:r>
      <w:r w:rsidR="00BC5C58">
        <w:rPr>
          <w:i/>
        </w:rPr>
        <w:t>Id.</w:t>
      </w:r>
      <w:r w:rsidR="00BC5C58">
        <w:t xml:space="preserve"> at 5-6.</w:t>
      </w:r>
    </w:p>
  </w:footnote>
  <w:footnote w:id="28">
    <w:p w:rsidR="00B3128B" w:rsidRDefault="00B3128B">
      <w:pPr>
        <w:pStyle w:val="FootnoteText"/>
      </w:pPr>
      <w:r>
        <w:rPr>
          <w:rStyle w:val="FootnoteReference"/>
        </w:rPr>
        <w:footnoteRef/>
      </w:r>
      <w:r w:rsidR="00C5287F">
        <w:t xml:space="preserve"> </w:t>
      </w:r>
      <w:r w:rsidR="00733E11">
        <w:rPr>
          <w:i/>
        </w:rPr>
        <w:t xml:space="preserve">Cf. </w:t>
      </w:r>
      <w:r w:rsidR="004F5C55">
        <w:rPr>
          <w:i/>
        </w:rPr>
        <w:t>Applications of County of Beltrami, Request for Waiver on Assignment and Use of the Frequencies in the 450-470 MHz Band for Fixed Operations</w:t>
      </w:r>
      <w:r w:rsidR="004F5C55">
        <w:t xml:space="preserve">, </w:t>
      </w:r>
      <w:r w:rsidR="00B2185C">
        <w:t xml:space="preserve">File No. 0001273917, </w:t>
      </w:r>
      <w:r w:rsidR="004F5C55">
        <w:t xml:space="preserve">Order, </w:t>
      </w:r>
      <w:r w:rsidR="00503926">
        <w:t xml:space="preserve">19 FCC Rcd 18763, 18765, para. 8 </w:t>
      </w:r>
      <w:r w:rsidR="007F0735">
        <w:t xml:space="preserve">(2004) </w:t>
      </w:r>
      <w:r w:rsidR="00503926">
        <w:t>(“[C]</w:t>
      </w:r>
      <w:r w:rsidR="00503926" w:rsidRPr="00503926">
        <w:t>ost alone does not make application of the Commission's Rules inequitable, unduly burdensome, or contrary to the public interest</w:t>
      </w:r>
      <w:r w:rsidR="00503926">
        <w:t xml:space="preserve"> . . . .”)</w:t>
      </w:r>
      <w:r w:rsidR="007F0735">
        <w:t xml:space="preserve">; </w:t>
      </w:r>
      <w:r w:rsidR="007F0735">
        <w:rPr>
          <w:i/>
        </w:rPr>
        <w:t>Regulatory Treatment of LEC Provision of Interexchange Services Originating in the LEC’s Local Exchange Area; Policy a</w:t>
      </w:r>
      <w:r w:rsidR="007F0735" w:rsidRPr="007F0735">
        <w:rPr>
          <w:i/>
        </w:rPr>
        <w:t xml:space="preserve">nd Rules Concerning </w:t>
      </w:r>
      <w:r w:rsidR="007F0735">
        <w:rPr>
          <w:i/>
        </w:rPr>
        <w:t>t</w:t>
      </w:r>
      <w:r w:rsidR="007F0735" w:rsidRPr="007F0735">
        <w:rPr>
          <w:i/>
        </w:rPr>
        <w:t>he Interstate, Interexchange Marketplace; Leaco Rural Telephone Cooperative, Inc</w:t>
      </w:r>
      <w:r w:rsidR="007F0735">
        <w:t>., CC Dockets Nos. 96-149, 96-61, Second Order on Reconsideration and Memorandum Opinion and Order, 14 FCC Rcd 10771, 10801, para. 42 (1999) (declining to grant waiver where petitioner failed to show costs beyond those anticipated by the “normal, contemplated functioning of the rules”)</w:t>
      </w:r>
      <w:r w:rsidR="00F53B84">
        <w:t>;</w:t>
      </w:r>
      <w:r w:rsidR="00F53B84" w:rsidRPr="00F53B84">
        <w:rPr>
          <w:i/>
        </w:rPr>
        <w:t xml:space="preserve"> </w:t>
      </w:r>
      <w:r w:rsidR="00F53B84">
        <w:rPr>
          <w:i/>
        </w:rPr>
        <w:t>Rural Call Completion, Petition for Limited Waiver of AT&amp;T Services, Inc., Petition for Waiver of CenturyLink</w:t>
      </w:r>
      <w:r w:rsidR="00F53B84">
        <w:t>, WC Docket No. 13-39, Order, DA 15-147, para. 19 (Wireline Comp. Bur. rel. Feb. 2, 2015) (considering compliance costs alongside additional factors, including “potential value of [rural call completion] data” in deciding waiver petition)</w:t>
      </w:r>
      <w:r w:rsidR="007F0735">
        <w:t xml:space="preserve">.    </w:t>
      </w:r>
      <w:r w:rsidR="00C3671D">
        <w:t xml:space="preserve">     </w:t>
      </w:r>
    </w:p>
  </w:footnote>
  <w:footnote w:id="29">
    <w:p w:rsidR="00C3671D" w:rsidRDefault="00C3671D">
      <w:pPr>
        <w:pStyle w:val="FootnoteText"/>
      </w:pPr>
      <w:r>
        <w:rPr>
          <w:rStyle w:val="FootnoteReference"/>
        </w:rPr>
        <w:footnoteRef/>
      </w:r>
      <w:r>
        <w:t xml:space="preserve"> Midcontinent also discusses </w:t>
      </w:r>
      <w:r w:rsidR="00C07809">
        <w:t xml:space="preserve">in general terms </w:t>
      </w:r>
      <w:r>
        <w:t xml:space="preserve">its lack of capability to track calls </w:t>
      </w:r>
      <w:r w:rsidR="00B9268A">
        <w:t xml:space="preserve">after they are </w:t>
      </w:r>
      <w:r>
        <w:t>transferred to an IXC</w:t>
      </w:r>
      <w:r w:rsidR="0037600D">
        <w:t xml:space="preserve"> and</w:t>
      </w:r>
      <w:r>
        <w:t xml:space="preserve"> the additional cost associated with segregating call center data.  Midcontinent Petition at 6-7.  However, </w:t>
      </w:r>
      <w:r w:rsidR="00B9268A">
        <w:t xml:space="preserve">these statements reference challenges </w:t>
      </w:r>
      <w:r w:rsidR="0037600D">
        <w:t xml:space="preserve"> that are likely to be </w:t>
      </w:r>
      <w:r w:rsidR="00B9268A">
        <w:t xml:space="preserve">faced generally by similarly-situated providers, and, in any event, </w:t>
      </w:r>
      <w:r w:rsidR="0037600D">
        <w:t>Midcontinent does not present compelling evidence that these</w:t>
      </w:r>
      <w:r w:rsidR="00C07809">
        <w:t xml:space="preserve"> constitute the “special circumstances” </w:t>
      </w:r>
      <w:r w:rsidR="00733E11">
        <w:t>sufficient</w:t>
      </w:r>
      <w:r w:rsidR="00C07809">
        <w:t xml:space="preserve"> to demonstrate good cause for a waiver.</w:t>
      </w:r>
    </w:p>
  </w:footnote>
  <w:footnote w:id="30">
    <w:p w:rsidR="00B3128B" w:rsidRPr="00AB5070" w:rsidRDefault="00B3128B">
      <w:pPr>
        <w:pStyle w:val="FootnoteText"/>
      </w:pPr>
      <w:r>
        <w:rPr>
          <w:rStyle w:val="FootnoteReference"/>
        </w:rPr>
        <w:footnoteRef/>
      </w:r>
      <w:r>
        <w:t xml:space="preserve"> </w:t>
      </w:r>
      <w:r w:rsidR="00AB5070">
        <w:rPr>
          <w:i/>
        </w:rPr>
        <w:t xml:space="preserve">See </w:t>
      </w:r>
      <w:r w:rsidR="001B5B1E" w:rsidRPr="00575662">
        <w:t>Midcontinent</w:t>
      </w:r>
      <w:r w:rsidR="001B5B1E">
        <w:rPr>
          <w:i/>
        </w:rPr>
        <w:t xml:space="preserve"> </w:t>
      </w:r>
      <w:r w:rsidR="00AB5070">
        <w:rPr>
          <w:i/>
        </w:rPr>
        <w:t xml:space="preserve">Ex Parte </w:t>
      </w:r>
      <w:r w:rsidR="00AB5070" w:rsidRPr="00575662">
        <w:t>Letter</w:t>
      </w:r>
      <w:r w:rsidR="00AB5070">
        <w:rPr>
          <w:i/>
        </w:rPr>
        <w:t xml:space="preserve"> </w:t>
      </w:r>
      <w:r w:rsidR="00AB5070">
        <w:t>at 2 (summarizing “key elements” of Midcontinent’s efforts to monitor rural calls).</w:t>
      </w:r>
    </w:p>
  </w:footnote>
  <w:footnote w:id="31">
    <w:p w:rsidR="00E13133" w:rsidRDefault="00E13133" w:rsidP="00E13133">
      <w:pPr>
        <w:pStyle w:val="FootnoteText"/>
      </w:pPr>
      <w:r>
        <w:rPr>
          <w:rStyle w:val="FootnoteReference"/>
        </w:rPr>
        <w:footnoteRef/>
      </w:r>
      <w:r>
        <w:t xml:space="preserve"> Midcontinent Petition at 8. </w:t>
      </w:r>
    </w:p>
  </w:footnote>
  <w:footnote w:id="32">
    <w:p w:rsidR="000E69DD" w:rsidRDefault="000E69DD" w:rsidP="00575662">
      <w:pPr>
        <w:pStyle w:val="FootnoteText"/>
      </w:pPr>
      <w:r>
        <w:rPr>
          <w:rStyle w:val="FootnoteReference"/>
        </w:rPr>
        <w:footnoteRef/>
      </w:r>
      <w:r>
        <w:t xml:space="preserve"> </w:t>
      </w:r>
      <w:r w:rsidR="0037600D">
        <w:rPr>
          <w:i/>
        </w:rPr>
        <w:t xml:space="preserve">See </w:t>
      </w:r>
      <w:r w:rsidR="00575662">
        <w:rPr>
          <w:i/>
        </w:rPr>
        <w:t>Rural Call Completion Order</w:t>
      </w:r>
      <w:r w:rsidR="00575662">
        <w:t>, 28 FCC Rcd at 16164</w:t>
      </w:r>
      <w:r w:rsidR="00575662" w:rsidRPr="00C32079">
        <w:t>, para. 19</w:t>
      </w:r>
      <w:r w:rsidR="00575662">
        <w:t xml:space="preserve"> (stating that the recording, retention, and reporting requirements will “substantially increase [the Commission’s] ability to monitor and redress problems associated with completing calls to rural areas” and “will also enhance [the Commission’s] ability to enforce restrictions against blocking, choking, reducing, or restricting calls</w:t>
      </w:r>
      <w:r w:rsidR="00B2185C">
        <w:t>”</w:t>
      </w:r>
      <w:r w:rsidR="00575662">
        <w:t>).</w:t>
      </w:r>
    </w:p>
  </w:footnote>
  <w:footnote w:id="33">
    <w:p w:rsidR="000E69DD" w:rsidRDefault="000E69DD">
      <w:pPr>
        <w:pStyle w:val="FootnoteText"/>
      </w:pPr>
      <w:r>
        <w:rPr>
          <w:rStyle w:val="FootnoteReference"/>
        </w:rPr>
        <w:footnoteRef/>
      </w:r>
      <w:r>
        <w:t xml:space="preserve"> </w:t>
      </w:r>
      <w:r>
        <w:rPr>
          <w:i/>
        </w:rPr>
        <w:t>See Rural Call Reconsideration Order</w:t>
      </w:r>
      <w:r>
        <w:t>, 29 FCC Rcd at 14027, para. 3, 14036-38, paras. 24-30.</w:t>
      </w:r>
    </w:p>
  </w:footnote>
  <w:footnote w:id="34">
    <w:p w:rsidR="00645DCC" w:rsidRPr="00645DCC" w:rsidRDefault="00645DCC">
      <w:pPr>
        <w:pStyle w:val="FootnoteText"/>
      </w:pPr>
      <w:r>
        <w:rPr>
          <w:rStyle w:val="FootnoteReference"/>
        </w:rPr>
        <w:footnoteRef/>
      </w:r>
      <w:r>
        <w:t xml:space="preserve"> </w:t>
      </w:r>
      <w:r>
        <w:rPr>
          <w:i/>
        </w:rPr>
        <w:t>Id</w:t>
      </w:r>
      <w:r>
        <w:t>. at 14034, para. 21 (</w:t>
      </w:r>
      <w:r w:rsidRPr="00DC54BA">
        <w:t>“</w:t>
      </w:r>
      <w:r>
        <w:t>E</w:t>
      </w:r>
      <w:r w:rsidRPr="00DC54BA">
        <w:t>xcepting providers on the basis of subscriber lines, rather than subscribers, is reasonably designed to minimize burdens on smaller providers without compromising the effectiveness of the rules</w:t>
      </w:r>
      <w:r>
        <w:t>.  T</w:t>
      </w:r>
      <w:r w:rsidRPr="00DC54BA">
        <w:t xml:space="preserve">he number of lines better reflects a provider’s size and share of traffic than does the </w:t>
      </w:r>
      <w:r>
        <w:t>number of subscribers.”).</w:t>
      </w:r>
    </w:p>
  </w:footnote>
  <w:footnote w:id="35">
    <w:p w:rsidR="0031719F" w:rsidRDefault="0031719F">
      <w:pPr>
        <w:pStyle w:val="FootnoteText"/>
      </w:pPr>
      <w:r>
        <w:rPr>
          <w:rStyle w:val="FootnoteReference"/>
        </w:rPr>
        <w:footnoteRef/>
      </w:r>
      <w:r>
        <w:t xml:space="preserve"> </w:t>
      </w:r>
      <w:r>
        <w:rPr>
          <w:i/>
        </w:rPr>
        <w:t xml:space="preserve">See </w:t>
      </w:r>
      <w:r>
        <w:t xml:space="preserve">Midcontinent Petition at 6-7.  </w:t>
      </w:r>
    </w:p>
  </w:footnote>
  <w:footnote w:id="36">
    <w:p w:rsidR="00D52FFC" w:rsidRDefault="00D52FFC" w:rsidP="00D52FFC">
      <w:pPr>
        <w:pStyle w:val="FootnoteText"/>
      </w:pPr>
      <w:r>
        <w:rPr>
          <w:rStyle w:val="FootnoteReference"/>
        </w:rPr>
        <w:footnoteRef/>
      </w:r>
      <w:r>
        <w:t xml:space="preserve"> </w:t>
      </w:r>
      <w:r>
        <w:rPr>
          <w:i/>
          <w:szCs w:val="24"/>
        </w:rPr>
        <w:t xml:space="preserve">See </w:t>
      </w:r>
      <w:r w:rsidRPr="00022F6D">
        <w:rPr>
          <w:i/>
          <w:szCs w:val="24"/>
        </w:rPr>
        <w:t>Wireline Competition Bureau Announces that Certain Long Distance Providers Must Begin Recording the Data Required for Rural Call Completion Reporting</w:t>
      </w:r>
      <w:r>
        <w:rPr>
          <w:szCs w:val="24"/>
        </w:rPr>
        <w:t xml:space="preserve">, WC Docket No. 13-39, Public Notice, </w:t>
      </w:r>
      <w:r w:rsidR="00022F6D">
        <w:rPr>
          <w:szCs w:val="24"/>
        </w:rPr>
        <w:t xml:space="preserve">DA 15-291, </w:t>
      </w:r>
      <w:r>
        <w:rPr>
          <w:szCs w:val="24"/>
        </w:rPr>
        <w:t>at 1 (</w:t>
      </w:r>
      <w:r w:rsidRPr="00CB0695">
        <w:t>Wireline Comp. Bur.</w:t>
      </w:r>
      <w:r>
        <w:t xml:space="preserve"> </w:t>
      </w:r>
      <w:r w:rsidR="00022F6D">
        <w:t xml:space="preserve">rel. Mar. 4, </w:t>
      </w:r>
      <w:r>
        <w:t>2015).</w:t>
      </w:r>
    </w:p>
  </w:footnote>
  <w:footnote w:id="37">
    <w:p w:rsidR="000E69DD" w:rsidRDefault="000E69DD">
      <w:pPr>
        <w:pStyle w:val="FootnoteText"/>
      </w:pPr>
      <w:r>
        <w:rPr>
          <w:rStyle w:val="FootnoteReference"/>
        </w:rPr>
        <w:footnoteRef/>
      </w:r>
      <w:r>
        <w:t xml:space="preserve"> </w:t>
      </w:r>
      <w:r w:rsidR="00575662">
        <w:t>47 C.F.R. §§ 64.2103, 64.2105.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69" w:rsidRDefault="00D57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5" w:rsidRDefault="00477985" w:rsidP="008319B8">
    <w:pPr>
      <w:pStyle w:val="Header"/>
    </w:pPr>
    <w:r>
      <w:rPr>
        <w:noProof/>
        <w:snapToGrid/>
      </w:rPr>
      <mc:AlternateContent>
        <mc:Choice Requires="wps">
          <w:drawing>
            <wp:anchor distT="0" distB="0" distL="114300" distR="114300" simplePos="0" relativeHeight="251660288" behindDoc="1" locked="0" layoutInCell="0" allowOverlap="1" wp14:anchorId="75D245F0" wp14:editId="1ED20133">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w:t>
    </w:r>
    <w:r w:rsidR="00B01946">
      <w:t xml:space="preserve"> Communications Commission</w:t>
    </w:r>
    <w:r w:rsidR="00B01946">
      <w:tab/>
      <w:t>DA 15</w:t>
    </w:r>
    <w:r>
      <w:t>-</w:t>
    </w:r>
    <w:r w:rsidR="00947B8B">
      <w:t>405</w:t>
    </w:r>
  </w:p>
  <w:p w:rsidR="00477985" w:rsidRDefault="0047798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85" w:rsidRDefault="00477985" w:rsidP="00CC04E7">
    <w:pPr>
      <w:pStyle w:val="Header"/>
    </w:pPr>
    <w:r>
      <w:rPr>
        <w:noProof/>
        <w:snapToGrid/>
      </w:rPr>
      <mc:AlternateContent>
        <mc:Choice Requires="wps">
          <w:drawing>
            <wp:anchor distT="0" distB="0" distL="114300" distR="114300" simplePos="0" relativeHeight="251658240" behindDoc="1" locked="0" layoutInCell="0" allowOverlap="1" wp14:anchorId="6F28D599" wp14:editId="0C97536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w:t>
    </w:r>
    <w:r w:rsidR="00673861">
      <w:t>5</w:t>
    </w:r>
    <w:r>
      <w:t>-</w:t>
    </w:r>
    <w:r w:rsidR="00947B8B">
      <w:t>405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AA0"/>
    <w:rsid w:val="00002016"/>
    <w:rsid w:val="0000238E"/>
    <w:rsid w:val="00007727"/>
    <w:rsid w:val="00010C1F"/>
    <w:rsid w:val="00012709"/>
    <w:rsid w:val="00012FE0"/>
    <w:rsid w:val="0001397D"/>
    <w:rsid w:val="00014E33"/>
    <w:rsid w:val="0001534D"/>
    <w:rsid w:val="00020ACF"/>
    <w:rsid w:val="0002197A"/>
    <w:rsid w:val="00022F6D"/>
    <w:rsid w:val="0002491A"/>
    <w:rsid w:val="00025905"/>
    <w:rsid w:val="00025AB9"/>
    <w:rsid w:val="00033609"/>
    <w:rsid w:val="00033817"/>
    <w:rsid w:val="00034197"/>
    <w:rsid w:val="00036039"/>
    <w:rsid w:val="0003753E"/>
    <w:rsid w:val="000377EC"/>
    <w:rsid w:val="00037F90"/>
    <w:rsid w:val="0004001F"/>
    <w:rsid w:val="00041973"/>
    <w:rsid w:val="0004482E"/>
    <w:rsid w:val="0005045D"/>
    <w:rsid w:val="000521EA"/>
    <w:rsid w:val="00055004"/>
    <w:rsid w:val="000574FB"/>
    <w:rsid w:val="0005754D"/>
    <w:rsid w:val="000602A3"/>
    <w:rsid w:val="000602E7"/>
    <w:rsid w:val="0006497D"/>
    <w:rsid w:val="00064B60"/>
    <w:rsid w:val="00065533"/>
    <w:rsid w:val="00065E40"/>
    <w:rsid w:val="0006634E"/>
    <w:rsid w:val="00066F00"/>
    <w:rsid w:val="00067987"/>
    <w:rsid w:val="0007097A"/>
    <w:rsid w:val="00071922"/>
    <w:rsid w:val="00071E3D"/>
    <w:rsid w:val="00074094"/>
    <w:rsid w:val="00074DBF"/>
    <w:rsid w:val="000750FC"/>
    <w:rsid w:val="0007749B"/>
    <w:rsid w:val="00077865"/>
    <w:rsid w:val="00082702"/>
    <w:rsid w:val="000841BC"/>
    <w:rsid w:val="00085D5A"/>
    <w:rsid w:val="0008748D"/>
    <w:rsid w:val="000875BF"/>
    <w:rsid w:val="00087C55"/>
    <w:rsid w:val="000932D3"/>
    <w:rsid w:val="00093432"/>
    <w:rsid w:val="000940FC"/>
    <w:rsid w:val="000941CA"/>
    <w:rsid w:val="00094889"/>
    <w:rsid w:val="00095E60"/>
    <w:rsid w:val="00096D8C"/>
    <w:rsid w:val="0009792E"/>
    <w:rsid w:val="000A22B7"/>
    <w:rsid w:val="000A40F4"/>
    <w:rsid w:val="000A5004"/>
    <w:rsid w:val="000A655C"/>
    <w:rsid w:val="000B4C86"/>
    <w:rsid w:val="000B54B4"/>
    <w:rsid w:val="000B62B3"/>
    <w:rsid w:val="000B668C"/>
    <w:rsid w:val="000B6DE9"/>
    <w:rsid w:val="000C0703"/>
    <w:rsid w:val="000C08EE"/>
    <w:rsid w:val="000C0B65"/>
    <w:rsid w:val="000C1574"/>
    <w:rsid w:val="000C20CE"/>
    <w:rsid w:val="000C33EF"/>
    <w:rsid w:val="000C419B"/>
    <w:rsid w:val="000C55FC"/>
    <w:rsid w:val="000C5F73"/>
    <w:rsid w:val="000C62FF"/>
    <w:rsid w:val="000C7375"/>
    <w:rsid w:val="000C76DB"/>
    <w:rsid w:val="000D0977"/>
    <w:rsid w:val="000D0AEE"/>
    <w:rsid w:val="000D1824"/>
    <w:rsid w:val="000D3347"/>
    <w:rsid w:val="000D3546"/>
    <w:rsid w:val="000D6924"/>
    <w:rsid w:val="000D77D9"/>
    <w:rsid w:val="000E05FE"/>
    <w:rsid w:val="000E3706"/>
    <w:rsid w:val="000E3D42"/>
    <w:rsid w:val="000E6464"/>
    <w:rsid w:val="000E6699"/>
    <w:rsid w:val="000E69DD"/>
    <w:rsid w:val="000E6C34"/>
    <w:rsid w:val="000E730D"/>
    <w:rsid w:val="000E73A3"/>
    <w:rsid w:val="000F4032"/>
    <w:rsid w:val="000F4410"/>
    <w:rsid w:val="000F4AA8"/>
    <w:rsid w:val="000F4DFC"/>
    <w:rsid w:val="000F5B3E"/>
    <w:rsid w:val="000F6544"/>
    <w:rsid w:val="000F7121"/>
    <w:rsid w:val="000F7F50"/>
    <w:rsid w:val="001000A9"/>
    <w:rsid w:val="00100271"/>
    <w:rsid w:val="001002F4"/>
    <w:rsid w:val="00101798"/>
    <w:rsid w:val="00106270"/>
    <w:rsid w:val="0010689C"/>
    <w:rsid w:val="00107A99"/>
    <w:rsid w:val="001111C0"/>
    <w:rsid w:val="0011249F"/>
    <w:rsid w:val="001143B7"/>
    <w:rsid w:val="001200FC"/>
    <w:rsid w:val="001220EF"/>
    <w:rsid w:val="00122662"/>
    <w:rsid w:val="00122BD5"/>
    <w:rsid w:val="00123ACD"/>
    <w:rsid w:val="00123D72"/>
    <w:rsid w:val="00125282"/>
    <w:rsid w:val="00126D4C"/>
    <w:rsid w:val="00130D2F"/>
    <w:rsid w:val="0013244D"/>
    <w:rsid w:val="001326A8"/>
    <w:rsid w:val="00132759"/>
    <w:rsid w:val="00133F79"/>
    <w:rsid w:val="00134A3B"/>
    <w:rsid w:val="001356D7"/>
    <w:rsid w:val="001367CE"/>
    <w:rsid w:val="00137A4A"/>
    <w:rsid w:val="00141F19"/>
    <w:rsid w:val="001427C6"/>
    <w:rsid w:val="001434F7"/>
    <w:rsid w:val="00143E7C"/>
    <w:rsid w:val="00144302"/>
    <w:rsid w:val="00144367"/>
    <w:rsid w:val="001477F7"/>
    <w:rsid w:val="001517DA"/>
    <w:rsid w:val="00151A60"/>
    <w:rsid w:val="00152A33"/>
    <w:rsid w:val="001544A8"/>
    <w:rsid w:val="00156638"/>
    <w:rsid w:val="001571FD"/>
    <w:rsid w:val="00160DB6"/>
    <w:rsid w:val="00160FD3"/>
    <w:rsid w:val="001616ED"/>
    <w:rsid w:val="001629B2"/>
    <w:rsid w:val="00163642"/>
    <w:rsid w:val="00163833"/>
    <w:rsid w:val="00166D81"/>
    <w:rsid w:val="001701EF"/>
    <w:rsid w:val="00170398"/>
    <w:rsid w:val="00170661"/>
    <w:rsid w:val="00171439"/>
    <w:rsid w:val="0017230F"/>
    <w:rsid w:val="0017254E"/>
    <w:rsid w:val="00174292"/>
    <w:rsid w:val="00175083"/>
    <w:rsid w:val="00176468"/>
    <w:rsid w:val="00177B28"/>
    <w:rsid w:val="001801B6"/>
    <w:rsid w:val="00181D62"/>
    <w:rsid w:val="001824F2"/>
    <w:rsid w:val="001836EE"/>
    <w:rsid w:val="0018444F"/>
    <w:rsid w:val="00184A52"/>
    <w:rsid w:val="00186948"/>
    <w:rsid w:val="00186C66"/>
    <w:rsid w:val="00187186"/>
    <w:rsid w:val="00190C9D"/>
    <w:rsid w:val="00194A66"/>
    <w:rsid w:val="0019502F"/>
    <w:rsid w:val="001971EB"/>
    <w:rsid w:val="00197E50"/>
    <w:rsid w:val="001A1323"/>
    <w:rsid w:val="001A2015"/>
    <w:rsid w:val="001A399F"/>
    <w:rsid w:val="001A584A"/>
    <w:rsid w:val="001A65BE"/>
    <w:rsid w:val="001A6742"/>
    <w:rsid w:val="001A7E5D"/>
    <w:rsid w:val="001B11D8"/>
    <w:rsid w:val="001B16CB"/>
    <w:rsid w:val="001B4ED8"/>
    <w:rsid w:val="001B5B1E"/>
    <w:rsid w:val="001B6A16"/>
    <w:rsid w:val="001C06D3"/>
    <w:rsid w:val="001C3AA7"/>
    <w:rsid w:val="001C5CA5"/>
    <w:rsid w:val="001C64EB"/>
    <w:rsid w:val="001C74DA"/>
    <w:rsid w:val="001C7614"/>
    <w:rsid w:val="001C7929"/>
    <w:rsid w:val="001D0595"/>
    <w:rsid w:val="001D0F73"/>
    <w:rsid w:val="001D1225"/>
    <w:rsid w:val="001D3919"/>
    <w:rsid w:val="001D55AE"/>
    <w:rsid w:val="001D6BCF"/>
    <w:rsid w:val="001E01CA"/>
    <w:rsid w:val="001E0789"/>
    <w:rsid w:val="001E0D1F"/>
    <w:rsid w:val="001E14F1"/>
    <w:rsid w:val="001E22D0"/>
    <w:rsid w:val="001E27B2"/>
    <w:rsid w:val="001E28C7"/>
    <w:rsid w:val="001E2C20"/>
    <w:rsid w:val="001E59F3"/>
    <w:rsid w:val="001E6972"/>
    <w:rsid w:val="001E7733"/>
    <w:rsid w:val="001F0FB0"/>
    <w:rsid w:val="001F1FFD"/>
    <w:rsid w:val="001F2964"/>
    <w:rsid w:val="001F426A"/>
    <w:rsid w:val="001F439C"/>
    <w:rsid w:val="001F600F"/>
    <w:rsid w:val="001F6F64"/>
    <w:rsid w:val="001F72E6"/>
    <w:rsid w:val="001F7530"/>
    <w:rsid w:val="00200228"/>
    <w:rsid w:val="00201035"/>
    <w:rsid w:val="0020133E"/>
    <w:rsid w:val="00201C82"/>
    <w:rsid w:val="00202BE0"/>
    <w:rsid w:val="00203A60"/>
    <w:rsid w:val="00203EB9"/>
    <w:rsid w:val="002040BB"/>
    <w:rsid w:val="00205E66"/>
    <w:rsid w:val="00207F97"/>
    <w:rsid w:val="00211D15"/>
    <w:rsid w:val="00212B44"/>
    <w:rsid w:val="00215C5E"/>
    <w:rsid w:val="00217ABB"/>
    <w:rsid w:val="0022042E"/>
    <w:rsid w:val="00221B40"/>
    <w:rsid w:val="00224AC8"/>
    <w:rsid w:val="00225093"/>
    <w:rsid w:val="00226354"/>
    <w:rsid w:val="002306C1"/>
    <w:rsid w:val="00230F23"/>
    <w:rsid w:val="00232B86"/>
    <w:rsid w:val="00232FF6"/>
    <w:rsid w:val="00233054"/>
    <w:rsid w:val="0023484D"/>
    <w:rsid w:val="00234A66"/>
    <w:rsid w:val="00235B7A"/>
    <w:rsid w:val="0023604F"/>
    <w:rsid w:val="0023658B"/>
    <w:rsid w:val="00237FDD"/>
    <w:rsid w:val="00240FFE"/>
    <w:rsid w:val="00241A5B"/>
    <w:rsid w:val="002426A1"/>
    <w:rsid w:val="002434A8"/>
    <w:rsid w:val="002450B2"/>
    <w:rsid w:val="00245F84"/>
    <w:rsid w:val="00246994"/>
    <w:rsid w:val="002519EA"/>
    <w:rsid w:val="0025228B"/>
    <w:rsid w:val="00252586"/>
    <w:rsid w:val="00252E58"/>
    <w:rsid w:val="00253153"/>
    <w:rsid w:val="00257454"/>
    <w:rsid w:val="00257573"/>
    <w:rsid w:val="00257A91"/>
    <w:rsid w:val="00260015"/>
    <w:rsid w:val="002606A9"/>
    <w:rsid w:val="002609E8"/>
    <w:rsid w:val="00262428"/>
    <w:rsid w:val="00265D0A"/>
    <w:rsid w:val="002663A4"/>
    <w:rsid w:val="00267231"/>
    <w:rsid w:val="002712C3"/>
    <w:rsid w:val="00274A49"/>
    <w:rsid w:val="00275781"/>
    <w:rsid w:val="00275CF5"/>
    <w:rsid w:val="00277560"/>
    <w:rsid w:val="002809DD"/>
    <w:rsid w:val="0028301F"/>
    <w:rsid w:val="00283244"/>
    <w:rsid w:val="00285017"/>
    <w:rsid w:val="00285073"/>
    <w:rsid w:val="0028559E"/>
    <w:rsid w:val="00290D89"/>
    <w:rsid w:val="00292324"/>
    <w:rsid w:val="00292DAE"/>
    <w:rsid w:val="002947F3"/>
    <w:rsid w:val="00295EB7"/>
    <w:rsid w:val="002962E5"/>
    <w:rsid w:val="002971FA"/>
    <w:rsid w:val="002A1E3E"/>
    <w:rsid w:val="002A27A1"/>
    <w:rsid w:val="002A2832"/>
    <w:rsid w:val="002A2D2E"/>
    <w:rsid w:val="002A3C8C"/>
    <w:rsid w:val="002A3D1A"/>
    <w:rsid w:val="002A3EDC"/>
    <w:rsid w:val="002A5959"/>
    <w:rsid w:val="002A6740"/>
    <w:rsid w:val="002A7DF1"/>
    <w:rsid w:val="002B0C32"/>
    <w:rsid w:val="002B1430"/>
    <w:rsid w:val="002B17E8"/>
    <w:rsid w:val="002B3FC2"/>
    <w:rsid w:val="002B5D6A"/>
    <w:rsid w:val="002C00E8"/>
    <w:rsid w:val="002C06CF"/>
    <w:rsid w:val="002C11E6"/>
    <w:rsid w:val="002C5B24"/>
    <w:rsid w:val="002C60CA"/>
    <w:rsid w:val="002C6323"/>
    <w:rsid w:val="002C6392"/>
    <w:rsid w:val="002C704A"/>
    <w:rsid w:val="002D10F1"/>
    <w:rsid w:val="002D2B12"/>
    <w:rsid w:val="002D43C9"/>
    <w:rsid w:val="002D440D"/>
    <w:rsid w:val="002D5A3B"/>
    <w:rsid w:val="002D7395"/>
    <w:rsid w:val="002D739A"/>
    <w:rsid w:val="002E0D6E"/>
    <w:rsid w:val="002E26C3"/>
    <w:rsid w:val="002E578B"/>
    <w:rsid w:val="002F1672"/>
    <w:rsid w:val="002F26BD"/>
    <w:rsid w:val="002F2946"/>
    <w:rsid w:val="002F4F7A"/>
    <w:rsid w:val="002F603C"/>
    <w:rsid w:val="00300944"/>
    <w:rsid w:val="00300D98"/>
    <w:rsid w:val="00301427"/>
    <w:rsid w:val="00301714"/>
    <w:rsid w:val="003028A2"/>
    <w:rsid w:val="00303397"/>
    <w:rsid w:val="003035DD"/>
    <w:rsid w:val="0030631C"/>
    <w:rsid w:val="00306600"/>
    <w:rsid w:val="00307773"/>
    <w:rsid w:val="00311898"/>
    <w:rsid w:val="00311E61"/>
    <w:rsid w:val="00314C26"/>
    <w:rsid w:val="003153E2"/>
    <w:rsid w:val="003159E3"/>
    <w:rsid w:val="00315DBF"/>
    <w:rsid w:val="003170FC"/>
    <w:rsid w:val="0031719F"/>
    <w:rsid w:val="0032033A"/>
    <w:rsid w:val="003203D3"/>
    <w:rsid w:val="00323DCB"/>
    <w:rsid w:val="00325C79"/>
    <w:rsid w:val="00334347"/>
    <w:rsid w:val="00334C14"/>
    <w:rsid w:val="00335BB1"/>
    <w:rsid w:val="003361B0"/>
    <w:rsid w:val="003402A7"/>
    <w:rsid w:val="00341091"/>
    <w:rsid w:val="00341B6A"/>
    <w:rsid w:val="00342693"/>
    <w:rsid w:val="00342703"/>
    <w:rsid w:val="00343429"/>
    <w:rsid w:val="00343749"/>
    <w:rsid w:val="00343C61"/>
    <w:rsid w:val="003443AC"/>
    <w:rsid w:val="0034497C"/>
    <w:rsid w:val="00344DD0"/>
    <w:rsid w:val="00345E9B"/>
    <w:rsid w:val="0034755E"/>
    <w:rsid w:val="00350942"/>
    <w:rsid w:val="0035200C"/>
    <w:rsid w:val="00352577"/>
    <w:rsid w:val="003535C3"/>
    <w:rsid w:val="00353AF8"/>
    <w:rsid w:val="00356693"/>
    <w:rsid w:val="00360847"/>
    <w:rsid w:val="0036301B"/>
    <w:rsid w:val="00363197"/>
    <w:rsid w:val="003642D4"/>
    <w:rsid w:val="003660ED"/>
    <w:rsid w:val="00366232"/>
    <w:rsid w:val="00366698"/>
    <w:rsid w:val="003678BB"/>
    <w:rsid w:val="00367C60"/>
    <w:rsid w:val="003708D9"/>
    <w:rsid w:val="00372B6D"/>
    <w:rsid w:val="00372D60"/>
    <w:rsid w:val="00373AA2"/>
    <w:rsid w:val="0037482D"/>
    <w:rsid w:val="00374CC1"/>
    <w:rsid w:val="003752D0"/>
    <w:rsid w:val="00375B38"/>
    <w:rsid w:val="0037600D"/>
    <w:rsid w:val="00376DCE"/>
    <w:rsid w:val="0038183E"/>
    <w:rsid w:val="00383352"/>
    <w:rsid w:val="00383CE5"/>
    <w:rsid w:val="003843A1"/>
    <w:rsid w:val="00385685"/>
    <w:rsid w:val="00385F97"/>
    <w:rsid w:val="0038659C"/>
    <w:rsid w:val="003876AF"/>
    <w:rsid w:val="0039020E"/>
    <w:rsid w:val="00390A54"/>
    <w:rsid w:val="003914EC"/>
    <w:rsid w:val="00391872"/>
    <w:rsid w:val="003921CA"/>
    <w:rsid w:val="003926F8"/>
    <w:rsid w:val="00393E70"/>
    <w:rsid w:val="00394657"/>
    <w:rsid w:val="00395D6B"/>
    <w:rsid w:val="003A10D0"/>
    <w:rsid w:val="003A348B"/>
    <w:rsid w:val="003A4AA8"/>
    <w:rsid w:val="003A6FCB"/>
    <w:rsid w:val="003A7D4F"/>
    <w:rsid w:val="003B0550"/>
    <w:rsid w:val="003B0BB8"/>
    <w:rsid w:val="003B13BA"/>
    <w:rsid w:val="003B4E6F"/>
    <w:rsid w:val="003B55E6"/>
    <w:rsid w:val="003B685C"/>
    <w:rsid w:val="003B694F"/>
    <w:rsid w:val="003C3179"/>
    <w:rsid w:val="003C3B0D"/>
    <w:rsid w:val="003C3D8A"/>
    <w:rsid w:val="003C419A"/>
    <w:rsid w:val="003C4D62"/>
    <w:rsid w:val="003C61F6"/>
    <w:rsid w:val="003C6311"/>
    <w:rsid w:val="003C7AEC"/>
    <w:rsid w:val="003D106E"/>
    <w:rsid w:val="003D1CF2"/>
    <w:rsid w:val="003D2851"/>
    <w:rsid w:val="003D2AAC"/>
    <w:rsid w:val="003D4D28"/>
    <w:rsid w:val="003D74E9"/>
    <w:rsid w:val="003E15B1"/>
    <w:rsid w:val="003E1B08"/>
    <w:rsid w:val="003E42D2"/>
    <w:rsid w:val="003E57FE"/>
    <w:rsid w:val="003E5803"/>
    <w:rsid w:val="003E5F0B"/>
    <w:rsid w:val="003E6AE7"/>
    <w:rsid w:val="003E73F6"/>
    <w:rsid w:val="003E7A78"/>
    <w:rsid w:val="003F1641"/>
    <w:rsid w:val="003F171C"/>
    <w:rsid w:val="003F1806"/>
    <w:rsid w:val="003F1D8C"/>
    <w:rsid w:val="003F325F"/>
    <w:rsid w:val="003F34E7"/>
    <w:rsid w:val="003F4104"/>
    <w:rsid w:val="003F568D"/>
    <w:rsid w:val="003F6952"/>
    <w:rsid w:val="004003AF"/>
    <w:rsid w:val="00403F26"/>
    <w:rsid w:val="0040712B"/>
    <w:rsid w:val="00411865"/>
    <w:rsid w:val="00412ACB"/>
    <w:rsid w:val="00412FC5"/>
    <w:rsid w:val="00412FD8"/>
    <w:rsid w:val="00413622"/>
    <w:rsid w:val="004148E5"/>
    <w:rsid w:val="004168E7"/>
    <w:rsid w:val="0041725D"/>
    <w:rsid w:val="00417BA0"/>
    <w:rsid w:val="00422276"/>
    <w:rsid w:val="004242F1"/>
    <w:rsid w:val="00427645"/>
    <w:rsid w:val="004306D0"/>
    <w:rsid w:val="004313EA"/>
    <w:rsid w:val="00432536"/>
    <w:rsid w:val="0043610A"/>
    <w:rsid w:val="00436E77"/>
    <w:rsid w:val="004370BC"/>
    <w:rsid w:val="00437747"/>
    <w:rsid w:val="00437B2C"/>
    <w:rsid w:val="004414E9"/>
    <w:rsid w:val="004417CC"/>
    <w:rsid w:val="00442F3C"/>
    <w:rsid w:val="00445A00"/>
    <w:rsid w:val="00445AA7"/>
    <w:rsid w:val="00446133"/>
    <w:rsid w:val="004478C6"/>
    <w:rsid w:val="00451B0F"/>
    <w:rsid w:val="00452B39"/>
    <w:rsid w:val="00452FAC"/>
    <w:rsid w:val="00454AC3"/>
    <w:rsid w:val="00454E58"/>
    <w:rsid w:val="00457EB2"/>
    <w:rsid w:val="00460497"/>
    <w:rsid w:val="00461261"/>
    <w:rsid w:val="00461DD3"/>
    <w:rsid w:val="004624B7"/>
    <w:rsid w:val="00467854"/>
    <w:rsid w:val="00467F95"/>
    <w:rsid w:val="00471330"/>
    <w:rsid w:val="004714A1"/>
    <w:rsid w:val="00472779"/>
    <w:rsid w:val="00472A80"/>
    <w:rsid w:val="004742F1"/>
    <w:rsid w:val="004746BF"/>
    <w:rsid w:val="004777AB"/>
    <w:rsid w:val="00477985"/>
    <w:rsid w:val="00480190"/>
    <w:rsid w:val="004803EB"/>
    <w:rsid w:val="00480708"/>
    <w:rsid w:val="00481307"/>
    <w:rsid w:val="00481C7C"/>
    <w:rsid w:val="00482EB3"/>
    <w:rsid w:val="004848FE"/>
    <w:rsid w:val="004863E5"/>
    <w:rsid w:val="00486BA1"/>
    <w:rsid w:val="00487956"/>
    <w:rsid w:val="00487F1A"/>
    <w:rsid w:val="0049167B"/>
    <w:rsid w:val="004920CB"/>
    <w:rsid w:val="0049235F"/>
    <w:rsid w:val="0049288E"/>
    <w:rsid w:val="0049504B"/>
    <w:rsid w:val="00495874"/>
    <w:rsid w:val="0049703A"/>
    <w:rsid w:val="00497717"/>
    <w:rsid w:val="00497B5A"/>
    <w:rsid w:val="004A0CEB"/>
    <w:rsid w:val="004A2377"/>
    <w:rsid w:val="004A2C1D"/>
    <w:rsid w:val="004A372E"/>
    <w:rsid w:val="004A4AA4"/>
    <w:rsid w:val="004A639A"/>
    <w:rsid w:val="004A715E"/>
    <w:rsid w:val="004B0C67"/>
    <w:rsid w:val="004B3697"/>
    <w:rsid w:val="004B36F4"/>
    <w:rsid w:val="004B3B41"/>
    <w:rsid w:val="004B4B00"/>
    <w:rsid w:val="004B5ED6"/>
    <w:rsid w:val="004B6546"/>
    <w:rsid w:val="004C1CA8"/>
    <w:rsid w:val="004C2815"/>
    <w:rsid w:val="004C2EE3"/>
    <w:rsid w:val="004C738B"/>
    <w:rsid w:val="004D0664"/>
    <w:rsid w:val="004D4142"/>
    <w:rsid w:val="004D5157"/>
    <w:rsid w:val="004D592D"/>
    <w:rsid w:val="004D63B0"/>
    <w:rsid w:val="004D6D6B"/>
    <w:rsid w:val="004D7DF0"/>
    <w:rsid w:val="004D7F10"/>
    <w:rsid w:val="004E234E"/>
    <w:rsid w:val="004E29C4"/>
    <w:rsid w:val="004E4A22"/>
    <w:rsid w:val="004E57F9"/>
    <w:rsid w:val="004E64F1"/>
    <w:rsid w:val="004E7A12"/>
    <w:rsid w:val="004F02EB"/>
    <w:rsid w:val="004F1C82"/>
    <w:rsid w:val="004F1D11"/>
    <w:rsid w:val="004F202A"/>
    <w:rsid w:val="004F24F8"/>
    <w:rsid w:val="004F3C51"/>
    <w:rsid w:val="004F50B8"/>
    <w:rsid w:val="004F5ADC"/>
    <w:rsid w:val="004F5BFA"/>
    <w:rsid w:val="004F5C55"/>
    <w:rsid w:val="004F634D"/>
    <w:rsid w:val="004F647D"/>
    <w:rsid w:val="005006E4"/>
    <w:rsid w:val="00503081"/>
    <w:rsid w:val="005030DD"/>
    <w:rsid w:val="00503926"/>
    <w:rsid w:val="0050406F"/>
    <w:rsid w:val="005048BE"/>
    <w:rsid w:val="00506BFB"/>
    <w:rsid w:val="00506D88"/>
    <w:rsid w:val="00507D00"/>
    <w:rsid w:val="00511968"/>
    <w:rsid w:val="005127F5"/>
    <w:rsid w:val="00513191"/>
    <w:rsid w:val="00513BB5"/>
    <w:rsid w:val="00513DD8"/>
    <w:rsid w:val="00515DD7"/>
    <w:rsid w:val="00516BEB"/>
    <w:rsid w:val="00520FC8"/>
    <w:rsid w:val="00521AE9"/>
    <w:rsid w:val="0052234A"/>
    <w:rsid w:val="0052295B"/>
    <w:rsid w:val="00530A2F"/>
    <w:rsid w:val="00535C13"/>
    <w:rsid w:val="00536602"/>
    <w:rsid w:val="00537853"/>
    <w:rsid w:val="005402A5"/>
    <w:rsid w:val="00541F94"/>
    <w:rsid w:val="00542786"/>
    <w:rsid w:val="00542D68"/>
    <w:rsid w:val="0054365C"/>
    <w:rsid w:val="005439C5"/>
    <w:rsid w:val="00545876"/>
    <w:rsid w:val="00546296"/>
    <w:rsid w:val="0055095D"/>
    <w:rsid w:val="005512CB"/>
    <w:rsid w:val="005518FF"/>
    <w:rsid w:val="005529A0"/>
    <w:rsid w:val="00554558"/>
    <w:rsid w:val="00554664"/>
    <w:rsid w:val="005554C9"/>
    <w:rsid w:val="00555B65"/>
    <w:rsid w:val="0055614C"/>
    <w:rsid w:val="00557C80"/>
    <w:rsid w:val="00560BE1"/>
    <w:rsid w:val="005612BE"/>
    <w:rsid w:val="005623D9"/>
    <w:rsid w:val="00562826"/>
    <w:rsid w:val="0056292D"/>
    <w:rsid w:val="00564DE5"/>
    <w:rsid w:val="00564F96"/>
    <w:rsid w:val="0056620B"/>
    <w:rsid w:val="00566B50"/>
    <w:rsid w:val="005678FE"/>
    <w:rsid w:val="00567923"/>
    <w:rsid w:val="005679F7"/>
    <w:rsid w:val="005707AB"/>
    <w:rsid w:val="00571469"/>
    <w:rsid w:val="005714E0"/>
    <w:rsid w:val="00575662"/>
    <w:rsid w:val="0058027D"/>
    <w:rsid w:val="00580898"/>
    <w:rsid w:val="00580EB4"/>
    <w:rsid w:val="00581296"/>
    <w:rsid w:val="005824D6"/>
    <w:rsid w:val="00585483"/>
    <w:rsid w:val="005863C0"/>
    <w:rsid w:val="00590D0C"/>
    <w:rsid w:val="005911C5"/>
    <w:rsid w:val="005933EE"/>
    <w:rsid w:val="00594461"/>
    <w:rsid w:val="00594AD2"/>
    <w:rsid w:val="00594DF3"/>
    <w:rsid w:val="00596594"/>
    <w:rsid w:val="00597A13"/>
    <w:rsid w:val="005A0E99"/>
    <w:rsid w:val="005A10EA"/>
    <w:rsid w:val="005A1B8A"/>
    <w:rsid w:val="005A4787"/>
    <w:rsid w:val="005A5942"/>
    <w:rsid w:val="005A5CEB"/>
    <w:rsid w:val="005A5F38"/>
    <w:rsid w:val="005A7E56"/>
    <w:rsid w:val="005B0516"/>
    <w:rsid w:val="005B08A5"/>
    <w:rsid w:val="005B13C6"/>
    <w:rsid w:val="005B1427"/>
    <w:rsid w:val="005B3989"/>
    <w:rsid w:val="005B3E6A"/>
    <w:rsid w:val="005B3E6F"/>
    <w:rsid w:val="005C1E7B"/>
    <w:rsid w:val="005C5BE9"/>
    <w:rsid w:val="005C64C0"/>
    <w:rsid w:val="005C71CF"/>
    <w:rsid w:val="005C7827"/>
    <w:rsid w:val="005C7D81"/>
    <w:rsid w:val="005D6272"/>
    <w:rsid w:val="005E0534"/>
    <w:rsid w:val="005E09B7"/>
    <w:rsid w:val="005E14C2"/>
    <w:rsid w:val="005E1A78"/>
    <w:rsid w:val="005E1DCC"/>
    <w:rsid w:val="005E41A2"/>
    <w:rsid w:val="005E4807"/>
    <w:rsid w:val="005E595B"/>
    <w:rsid w:val="005E6DE7"/>
    <w:rsid w:val="005E6E05"/>
    <w:rsid w:val="005F1CBB"/>
    <w:rsid w:val="005F2143"/>
    <w:rsid w:val="005F3919"/>
    <w:rsid w:val="005F4F5A"/>
    <w:rsid w:val="005F5302"/>
    <w:rsid w:val="005F5BC5"/>
    <w:rsid w:val="006010D9"/>
    <w:rsid w:val="00601E75"/>
    <w:rsid w:val="00603038"/>
    <w:rsid w:val="00604D30"/>
    <w:rsid w:val="0060580F"/>
    <w:rsid w:val="00606234"/>
    <w:rsid w:val="0060732B"/>
    <w:rsid w:val="00607ABE"/>
    <w:rsid w:val="00607BA5"/>
    <w:rsid w:val="006104BD"/>
    <w:rsid w:val="00610C1E"/>
    <w:rsid w:val="0061180A"/>
    <w:rsid w:val="00612848"/>
    <w:rsid w:val="00612FE6"/>
    <w:rsid w:val="00615112"/>
    <w:rsid w:val="00615773"/>
    <w:rsid w:val="006158E7"/>
    <w:rsid w:val="006214B4"/>
    <w:rsid w:val="00624C69"/>
    <w:rsid w:val="00625D12"/>
    <w:rsid w:val="00626574"/>
    <w:rsid w:val="00626EB6"/>
    <w:rsid w:val="0062755B"/>
    <w:rsid w:val="00627A5A"/>
    <w:rsid w:val="0063026A"/>
    <w:rsid w:val="00631B78"/>
    <w:rsid w:val="00632E59"/>
    <w:rsid w:val="0063427E"/>
    <w:rsid w:val="00634AAF"/>
    <w:rsid w:val="00637A2C"/>
    <w:rsid w:val="00640BA1"/>
    <w:rsid w:val="00643052"/>
    <w:rsid w:val="00643619"/>
    <w:rsid w:val="00643AFA"/>
    <w:rsid w:val="00643D3A"/>
    <w:rsid w:val="0064427B"/>
    <w:rsid w:val="00645DCC"/>
    <w:rsid w:val="006468FD"/>
    <w:rsid w:val="0064789B"/>
    <w:rsid w:val="00650CA3"/>
    <w:rsid w:val="00651237"/>
    <w:rsid w:val="006517CA"/>
    <w:rsid w:val="00651B30"/>
    <w:rsid w:val="0065219F"/>
    <w:rsid w:val="00652F8C"/>
    <w:rsid w:val="0065503D"/>
    <w:rsid w:val="00655D03"/>
    <w:rsid w:val="006571FF"/>
    <w:rsid w:val="00657A84"/>
    <w:rsid w:val="0066019C"/>
    <w:rsid w:val="00670354"/>
    <w:rsid w:val="00670858"/>
    <w:rsid w:val="006716E1"/>
    <w:rsid w:val="006733AB"/>
    <w:rsid w:val="00673861"/>
    <w:rsid w:val="006752D4"/>
    <w:rsid w:val="0067575A"/>
    <w:rsid w:val="00680930"/>
    <w:rsid w:val="00682080"/>
    <w:rsid w:val="00683388"/>
    <w:rsid w:val="00683637"/>
    <w:rsid w:val="00683F84"/>
    <w:rsid w:val="00684200"/>
    <w:rsid w:val="00685559"/>
    <w:rsid w:val="00687023"/>
    <w:rsid w:val="00687E7E"/>
    <w:rsid w:val="00694D62"/>
    <w:rsid w:val="00696F20"/>
    <w:rsid w:val="0069738A"/>
    <w:rsid w:val="00697D87"/>
    <w:rsid w:val="006A1070"/>
    <w:rsid w:val="006A11C3"/>
    <w:rsid w:val="006A1888"/>
    <w:rsid w:val="006A3211"/>
    <w:rsid w:val="006A5998"/>
    <w:rsid w:val="006A6A81"/>
    <w:rsid w:val="006B074B"/>
    <w:rsid w:val="006B1C52"/>
    <w:rsid w:val="006B43AE"/>
    <w:rsid w:val="006B4C5D"/>
    <w:rsid w:val="006B58EB"/>
    <w:rsid w:val="006B7A88"/>
    <w:rsid w:val="006B7C75"/>
    <w:rsid w:val="006C005D"/>
    <w:rsid w:val="006C0BA9"/>
    <w:rsid w:val="006C12E9"/>
    <w:rsid w:val="006C1B46"/>
    <w:rsid w:val="006C1C35"/>
    <w:rsid w:val="006C439F"/>
    <w:rsid w:val="006D03F5"/>
    <w:rsid w:val="006D0630"/>
    <w:rsid w:val="006D1760"/>
    <w:rsid w:val="006D40E7"/>
    <w:rsid w:val="006D4231"/>
    <w:rsid w:val="006D47E5"/>
    <w:rsid w:val="006E0065"/>
    <w:rsid w:val="006E1747"/>
    <w:rsid w:val="006E1942"/>
    <w:rsid w:val="006E2D4E"/>
    <w:rsid w:val="006E7D9D"/>
    <w:rsid w:val="006F27BA"/>
    <w:rsid w:val="006F3802"/>
    <w:rsid w:val="006F3C89"/>
    <w:rsid w:val="006F4A21"/>
    <w:rsid w:val="006F7393"/>
    <w:rsid w:val="0070224F"/>
    <w:rsid w:val="00702328"/>
    <w:rsid w:val="00702B6A"/>
    <w:rsid w:val="00703139"/>
    <w:rsid w:val="00703ADF"/>
    <w:rsid w:val="00703DD7"/>
    <w:rsid w:val="00704A2A"/>
    <w:rsid w:val="007056F5"/>
    <w:rsid w:val="00706060"/>
    <w:rsid w:val="00706DE1"/>
    <w:rsid w:val="007070D6"/>
    <w:rsid w:val="00707250"/>
    <w:rsid w:val="00710691"/>
    <w:rsid w:val="007115F7"/>
    <w:rsid w:val="007127B6"/>
    <w:rsid w:val="0071331B"/>
    <w:rsid w:val="00714AFB"/>
    <w:rsid w:val="00715C4A"/>
    <w:rsid w:val="00716C15"/>
    <w:rsid w:val="00717841"/>
    <w:rsid w:val="00717998"/>
    <w:rsid w:val="00721ED5"/>
    <w:rsid w:val="0072528F"/>
    <w:rsid w:val="00726660"/>
    <w:rsid w:val="00727977"/>
    <w:rsid w:val="007279B1"/>
    <w:rsid w:val="00730207"/>
    <w:rsid w:val="007319E1"/>
    <w:rsid w:val="007331B2"/>
    <w:rsid w:val="00733E11"/>
    <w:rsid w:val="007343A2"/>
    <w:rsid w:val="00734AF1"/>
    <w:rsid w:val="00736192"/>
    <w:rsid w:val="00736A66"/>
    <w:rsid w:val="00741EFC"/>
    <w:rsid w:val="007422A7"/>
    <w:rsid w:val="007431D3"/>
    <w:rsid w:val="00745302"/>
    <w:rsid w:val="00745614"/>
    <w:rsid w:val="007470FA"/>
    <w:rsid w:val="007471F8"/>
    <w:rsid w:val="00747610"/>
    <w:rsid w:val="00747802"/>
    <w:rsid w:val="007504B7"/>
    <w:rsid w:val="00756FAA"/>
    <w:rsid w:val="00756FB3"/>
    <w:rsid w:val="0076011F"/>
    <w:rsid w:val="007609E7"/>
    <w:rsid w:val="00761A5D"/>
    <w:rsid w:val="00761C15"/>
    <w:rsid w:val="00762069"/>
    <w:rsid w:val="00762F1D"/>
    <w:rsid w:val="0076339B"/>
    <w:rsid w:val="007634B5"/>
    <w:rsid w:val="007665E7"/>
    <w:rsid w:val="00766CAC"/>
    <w:rsid w:val="00770FE1"/>
    <w:rsid w:val="00771748"/>
    <w:rsid w:val="007721A5"/>
    <w:rsid w:val="0077308E"/>
    <w:rsid w:val="00777C68"/>
    <w:rsid w:val="00777C9A"/>
    <w:rsid w:val="00780432"/>
    <w:rsid w:val="00781269"/>
    <w:rsid w:val="0078566F"/>
    <w:rsid w:val="00785689"/>
    <w:rsid w:val="0079286A"/>
    <w:rsid w:val="00792D57"/>
    <w:rsid w:val="00793812"/>
    <w:rsid w:val="00793F55"/>
    <w:rsid w:val="007964D0"/>
    <w:rsid w:val="0079754B"/>
    <w:rsid w:val="007A058F"/>
    <w:rsid w:val="007A1E6D"/>
    <w:rsid w:val="007A2369"/>
    <w:rsid w:val="007A361F"/>
    <w:rsid w:val="007A3868"/>
    <w:rsid w:val="007A4232"/>
    <w:rsid w:val="007A4708"/>
    <w:rsid w:val="007A49A6"/>
    <w:rsid w:val="007A6A5B"/>
    <w:rsid w:val="007A6AA6"/>
    <w:rsid w:val="007B0EB2"/>
    <w:rsid w:val="007B1549"/>
    <w:rsid w:val="007B19FC"/>
    <w:rsid w:val="007B2B0C"/>
    <w:rsid w:val="007B36D3"/>
    <w:rsid w:val="007B4FAD"/>
    <w:rsid w:val="007B684D"/>
    <w:rsid w:val="007B6E11"/>
    <w:rsid w:val="007C110B"/>
    <w:rsid w:val="007C1E0D"/>
    <w:rsid w:val="007C3BC2"/>
    <w:rsid w:val="007C5C6A"/>
    <w:rsid w:val="007C6452"/>
    <w:rsid w:val="007D0BAA"/>
    <w:rsid w:val="007D55D4"/>
    <w:rsid w:val="007D705A"/>
    <w:rsid w:val="007E1285"/>
    <w:rsid w:val="007E2955"/>
    <w:rsid w:val="007E2D25"/>
    <w:rsid w:val="007E3649"/>
    <w:rsid w:val="007E3A00"/>
    <w:rsid w:val="007E4A39"/>
    <w:rsid w:val="007E60E0"/>
    <w:rsid w:val="007E6F37"/>
    <w:rsid w:val="007E73AF"/>
    <w:rsid w:val="007F0735"/>
    <w:rsid w:val="007F115D"/>
    <w:rsid w:val="007F6D3A"/>
    <w:rsid w:val="0080103E"/>
    <w:rsid w:val="008018DB"/>
    <w:rsid w:val="00801C93"/>
    <w:rsid w:val="008035FD"/>
    <w:rsid w:val="0080464C"/>
    <w:rsid w:val="00805D42"/>
    <w:rsid w:val="0080740A"/>
    <w:rsid w:val="00810040"/>
    <w:rsid w:val="008105BA"/>
    <w:rsid w:val="00810B6F"/>
    <w:rsid w:val="0081510E"/>
    <w:rsid w:val="00815C97"/>
    <w:rsid w:val="0081678F"/>
    <w:rsid w:val="00820F28"/>
    <w:rsid w:val="00822CE0"/>
    <w:rsid w:val="00823226"/>
    <w:rsid w:val="008238B7"/>
    <w:rsid w:val="0082431A"/>
    <w:rsid w:val="00827EF6"/>
    <w:rsid w:val="008301C4"/>
    <w:rsid w:val="008319B8"/>
    <w:rsid w:val="00832D44"/>
    <w:rsid w:val="0083363F"/>
    <w:rsid w:val="008343EC"/>
    <w:rsid w:val="0083599C"/>
    <w:rsid w:val="0083733F"/>
    <w:rsid w:val="0083796D"/>
    <w:rsid w:val="008404AB"/>
    <w:rsid w:val="00841AB1"/>
    <w:rsid w:val="00841ABA"/>
    <w:rsid w:val="008421FC"/>
    <w:rsid w:val="00842FE0"/>
    <w:rsid w:val="00844576"/>
    <w:rsid w:val="0084554D"/>
    <w:rsid w:val="00847FA0"/>
    <w:rsid w:val="008501CB"/>
    <w:rsid w:val="00851F51"/>
    <w:rsid w:val="00852041"/>
    <w:rsid w:val="00852B69"/>
    <w:rsid w:val="00853469"/>
    <w:rsid w:val="00853848"/>
    <w:rsid w:val="00854DBA"/>
    <w:rsid w:val="0085639C"/>
    <w:rsid w:val="008564FB"/>
    <w:rsid w:val="008571F7"/>
    <w:rsid w:val="00857F12"/>
    <w:rsid w:val="00862C4D"/>
    <w:rsid w:val="00863E87"/>
    <w:rsid w:val="00865A1E"/>
    <w:rsid w:val="0087152D"/>
    <w:rsid w:val="00874012"/>
    <w:rsid w:val="00876DC6"/>
    <w:rsid w:val="0088143B"/>
    <w:rsid w:val="00883212"/>
    <w:rsid w:val="00883261"/>
    <w:rsid w:val="008832B3"/>
    <w:rsid w:val="00883890"/>
    <w:rsid w:val="0088471C"/>
    <w:rsid w:val="00884DAF"/>
    <w:rsid w:val="00885609"/>
    <w:rsid w:val="00885C01"/>
    <w:rsid w:val="00885D11"/>
    <w:rsid w:val="00886A0A"/>
    <w:rsid w:val="0088729B"/>
    <w:rsid w:val="00887C5B"/>
    <w:rsid w:val="00891860"/>
    <w:rsid w:val="0089261B"/>
    <w:rsid w:val="00892A58"/>
    <w:rsid w:val="00893C4D"/>
    <w:rsid w:val="00895B55"/>
    <w:rsid w:val="008A3B57"/>
    <w:rsid w:val="008A3DAC"/>
    <w:rsid w:val="008A48ED"/>
    <w:rsid w:val="008A4AC3"/>
    <w:rsid w:val="008A7451"/>
    <w:rsid w:val="008A7739"/>
    <w:rsid w:val="008B0CA7"/>
    <w:rsid w:val="008B23D7"/>
    <w:rsid w:val="008B286E"/>
    <w:rsid w:val="008B2E58"/>
    <w:rsid w:val="008B35EB"/>
    <w:rsid w:val="008B417E"/>
    <w:rsid w:val="008B4524"/>
    <w:rsid w:val="008B456B"/>
    <w:rsid w:val="008B55AC"/>
    <w:rsid w:val="008B5FEE"/>
    <w:rsid w:val="008C1A14"/>
    <w:rsid w:val="008C24F7"/>
    <w:rsid w:val="008C3817"/>
    <w:rsid w:val="008C68F1"/>
    <w:rsid w:val="008C6B75"/>
    <w:rsid w:val="008C7849"/>
    <w:rsid w:val="008D0B17"/>
    <w:rsid w:val="008D13DD"/>
    <w:rsid w:val="008D1F90"/>
    <w:rsid w:val="008D22A3"/>
    <w:rsid w:val="008D4672"/>
    <w:rsid w:val="008D48A5"/>
    <w:rsid w:val="008D7C37"/>
    <w:rsid w:val="008E04AB"/>
    <w:rsid w:val="008E0737"/>
    <w:rsid w:val="008E2380"/>
    <w:rsid w:val="008E7468"/>
    <w:rsid w:val="008F3028"/>
    <w:rsid w:val="008F6082"/>
    <w:rsid w:val="008F6E12"/>
    <w:rsid w:val="008F71BC"/>
    <w:rsid w:val="008F7A57"/>
    <w:rsid w:val="008F7D56"/>
    <w:rsid w:val="009002FB"/>
    <w:rsid w:val="00900451"/>
    <w:rsid w:val="00900502"/>
    <w:rsid w:val="00901FEE"/>
    <w:rsid w:val="0090267D"/>
    <w:rsid w:val="009033B6"/>
    <w:rsid w:val="00903EE8"/>
    <w:rsid w:val="00905631"/>
    <w:rsid w:val="00905654"/>
    <w:rsid w:val="00905D9F"/>
    <w:rsid w:val="00905ECD"/>
    <w:rsid w:val="00906638"/>
    <w:rsid w:val="00906F0D"/>
    <w:rsid w:val="00910C00"/>
    <w:rsid w:val="00911887"/>
    <w:rsid w:val="00913385"/>
    <w:rsid w:val="0091556A"/>
    <w:rsid w:val="00917DF8"/>
    <w:rsid w:val="009201F5"/>
    <w:rsid w:val="00920263"/>
    <w:rsid w:val="009204DD"/>
    <w:rsid w:val="0092114B"/>
    <w:rsid w:val="00921803"/>
    <w:rsid w:val="00921BF9"/>
    <w:rsid w:val="0092365E"/>
    <w:rsid w:val="009242C0"/>
    <w:rsid w:val="0092432B"/>
    <w:rsid w:val="00925078"/>
    <w:rsid w:val="009253DF"/>
    <w:rsid w:val="00926503"/>
    <w:rsid w:val="00930337"/>
    <w:rsid w:val="0093216A"/>
    <w:rsid w:val="00933559"/>
    <w:rsid w:val="00935A7B"/>
    <w:rsid w:val="00936D96"/>
    <w:rsid w:val="009422A0"/>
    <w:rsid w:val="00942A51"/>
    <w:rsid w:val="009441B6"/>
    <w:rsid w:val="00947B8B"/>
    <w:rsid w:val="00950D63"/>
    <w:rsid w:val="00950E05"/>
    <w:rsid w:val="00952787"/>
    <w:rsid w:val="009539A1"/>
    <w:rsid w:val="00953B76"/>
    <w:rsid w:val="00953C21"/>
    <w:rsid w:val="009542FD"/>
    <w:rsid w:val="00956528"/>
    <w:rsid w:val="0096037B"/>
    <w:rsid w:val="00964428"/>
    <w:rsid w:val="009644BD"/>
    <w:rsid w:val="00964DBC"/>
    <w:rsid w:val="0096649C"/>
    <w:rsid w:val="00966FD6"/>
    <w:rsid w:val="009677C1"/>
    <w:rsid w:val="009726D8"/>
    <w:rsid w:val="00972AE9"/>
    <w:rsid w:val="00972D18"/>
    <w:rsid w:val="00973B33"/>
    <w:rsid w:val="00973DF3"/>
    <w:rsid w:val="00974779"/>
    <w:rsid w:val="00975502"/>
    <w:rsid w:val="0097614F"/>
    <w:rsid w:val="00976961"/>
    <w:rsid w:val="009773C8"/>
    <w:rsid w:val="009805AD"/>
    <w:rsid w:val="00983D74"/>
    <w:rsid w:val="0098451D"/>
    <w:rsid w:val="009873A1"/>
    <w:rsid w:val="009876FA"/>
    <w:rsid w:val="009901CA"/>
    <w:rsid w:val="00992AD9"/>
    <w:rsid w:val="00995A43"/>
    <w:rsid w:val="00995FF0"/>
    <w:rsid w:val="009965A1"/>
    <w:rsid w:val="00996746"/>
    <w:rsid w:val="00997482"/>
    <w:rsid w:val="009A0394"/>
    <w:rsid w:val="009A5ADA"/>
    <w:rsid w:val="009A5E7A"/>
    <w:rsid w:val="009B01DD"/>
    <w:rsid w:val="009B18EA"/>
    <w:rsid w:val="009B5E85"/>
    <w:rsid w:val="009B625E"/>
    <w:rsid w:val="009B62D5"/>
    <w:rsid w:val="009B7F97"/>
    <w:rsid w:val="009C0F16"/>
    <w:rsid w:val="009C271F"/>
    <w:rsid w:val="009C274B"/>
    <w:rsid w:val="009C3E81"/>
    <w:rsid w:val="009C489D"/>
    <w:rsid w:val="009C5BE7"/>
    <w:rsid w:val="009C5CAE"/>
    <w:rsid w:val="009D0008"/>
    <w:rsid w:val="009D065E"/>
    <w:rsid w:val="009D0797"/>
    <w:rsid w:val="009D13C9"/>
    <w:rsid w:val="009D17F6"/>
    <w:rsid w:val="009D515C"/>
    <w:rsid w:val="009D7003"/>
    <w:rsid w:val="009D75E1"/>
    <w:rsid w:val="009E0AD2"/>
    <w:rsid w:val="009E1BF2"/>
    <w:rsid w:val="009E1FB0"/>
    <w:rsid w:val="009E41A6"/>
    <w:rsid w:val="009E6451"/>
    <w:rsid w:val="009E6B89"/>
    <w:rsid w:val="009E738F"/>
    <w:rsid w:val="009E772E"/>
    <w:rsid w:val="009E77E2"/>
    <w:rsid w:val="009E7879"/>
    <w:rsid w:val="009E79D2"/>
    <w:rsid w:val="009F4075"/>
    <w:rsid w:val="009F5875"/>
    <w:rsid w:val="009F6278"/>
    <w:rsid w:val="009F76DB"/>
    <w:rsid w:val="00A00960"/>
    <w:rsid w:val="00A01CE5"/>
    <w:rsid w:val="00A02469"/>
    <w:rsid w:val="00A05F8C"/>
    <w:rsid w:val="00A06A14"/>
    <w:rsid w:val="00A0718E"/>
    <w:rsid w:val="00A07283"/>
    <w:rsid w:val="00A10C08"/>
    <w:rsid w:val="00A143DE"/>
    <w:rsid w:val="00A14B47"/>
    <w:rsid w:val="00A203A1"/>
    <w:rsid w:val="00A2121E"/>
    <w:rsid w:val="00A26C97"/>
    <w:rsid w:val="00A30281"/>
    <w:rsid w:val="00A32747"/>
    <w:rsid w:val="00A32C3B"/>
    <w:rsid w:val="00A32F1D"/>
    <w:rsid w:val="00A333FA"/>
    <w:rsid w:val="00A33B9C"/>
    <w:rsid w:val="00A34BB4"/>
    <w:rsid w:val="00A35F3C"/>
    <w:rsid w:val="00A36709"/>
    <w:rsid w:val="00A43813"/>
    <w:rsid w:val="00A43E26"/>
    <w:rsid w:val="00A453B3"/>
    <w:rsid w:val="00A45F4F"/>
    <w:rsid w:val="00A461D0"/>
    <w:rsid w:val="00A46F4A"/>
    <w:rsid w:val="00A47B38"/>
    <w:rsid w:val="00A548B5"/>
    <w:rsid w:val="00A5669B"/>
    <w:rsid w:val="00A600A9"/>
    <w:rsid w:val="00A603BF"/>
    <w:rsid w:val="00A60C5F"/>
    <w:rsid w:val="00A63F69"/>
    <w:rsid w:val="00A63FA6"/>
    <w:rsid w:val="00A673F2"/>
    <w:rsid w:val="00A678A7"/>
    <w:rsid w:val="00A712BE"/>
    <w:rsid w:val="00A72405"/>
    <w:rsid w:val="00A7296E"/>
    <w:rsid w:val="00A73264"/>
    <w:rsid w:val="00A762E8"/>
    <w:rsid w:val="00A76CBC"/>
    <w:rsid w:val="00A76EBD"/>
    <w:rsid w:val="00A80BB9"/>
    <w:rsid w:val="00A81D7E"/>
    <w:rsid w:val="00A82126"/>
    <w:rsid w:val="00A8341E"/>
    <w:rsid w:val="00A83B9F"/>
    <w:rsid w:val="00A84BAC"/>
    <w:rsid w:val="00A855EC"/>
    <w:rsid w:val="00A85A49"/>
    <w:rsid w:val="00A8673D"/>
    <w:rsid w:val="00A87FDA"/>
    <w:rsid w:val="00A91B41"/>
    <w:rsid w:val="00A927A6"/>
    <w:rsid w:val="00A92A2C"/>
    <w:rsid w:val="00A92F39"/>
    <w:rsid w:val="00A94BC9"/>
    <w:rsid w:val="00A96AAD"/>
    <w:rsid w:val="00A97E88"/>
    <w:rsid w:val="00AA1D6F"/>
    <w:rsid w:val="00AA1D98"/>
    <w:rsid w:val="00AA2B3F"/>
    <w:rsid w:val="00AA3577"/>
    <w:rsid w:val="00AA3770"/>
    <w:rsid w:val="00AA5311"/>
    <w:rsid w:val="00AA55B7"/>
    <w:rsid w:val="00AA5B9E"/>
    <w:rsid w:val="00AA66F9"/>
    <w:rsid w:val="00AA7C3A"/>
    <w:rsid w:val="00AB041C"/>
    <w:rsid w:val="00AB07EE"/>
    <w:rsid w:val="00AB2407"/>
    <w:rsid w:val="00AB5070"/>
    <w:rsid w:val="00AB53DF"/>
    <w:rsid w:val="00AB6F6B"/>
    <w:rsid w:val="00AB736F"/>
    <w:rsid w:val="00AB74C7"/>
    <w:rsid w:val="00AB7803"/>
    <w:rsid w:val="00AB7B88"/>
    <w:rsid w:val="00AC0B14"/>
    <w:rsid w:val="00AC1405"/>
    <w:rsid w:val="00AC1D75"/>
    <w:rsid w:val="00AC2234"/>
    <w:rsid w:val="00AC3FD5"/>
    <w:rsid w:val="00AC4D6D"/>
    <w:rsid w:val="00AC6C92"/>
    <w:rsid w:val="00AD06DC"/>
    <w:rsid w:val="00AD0A99"/>
    <w:rsid w:val="00AD2101"/>
    <w:rsid w:val="00AD2EED"/>
    <w:rsid w:val="00AD3F1A"/>
    <w:rsid w:val="00AD52D8"/>
    <w:rsid w:val="00AD6D12"/>
    <w:rsid w:val="00AE17F1"/>
    <w:rsid w:val="00AE2FA3"/>
    <w:rsid w:val="00AE41C9"/>
    <w:rsid w:val="00AE445A"/>
    <w:rsid w:val="00AE600B"/>
    <w:rsid w:val="00AE64B0"/>
    <w:rsid w:val="00AE66B8"/>
    <w:rsid w:val="00AE6BF3"/>
    <w:rsid w:val="00AF0675"/>
    <w:rsid w:val="00AF4B3E"/>
    <w:rsid w:val="00AF7F51"/>
    <w:rsid w:val="00B000DD"/>
    <w:rsid w:val="00B00DF1"/>
    <w:rsid w:val="00B01424"/>
    <w:rsid w:val="00B01946"/>
    <w:rsid w:val="00B0296A"/>
    <w:rsid w:val="00B03455"/>
    <w:rsid w:val="00B0391A"/>
    <w:rsid w:val="00B03EBE"/>
    <w:rsid w:val="00B04657"/>
    <w:rsid w:val="00B051C9"/>
    <w:rsid w:val="00B056DD"/>
    <w:rsid w:val="00B0772D"/>
    <w:rsid w:val="00B07AE2"/>
    <w:rsid w:val="00B07E5C"/>
    <w:rsid w:val="00B10E23"/>
    <w:rsid w:val="00B12827"/>
    <w:rsid w:val="00B13507"/>
    <w:rsid w:val="00B14BD1"/>
    <w:rsid w:val="00B16159"/>
    <w:rsid w:val="00B16F17"/>
    <w:rsid w:val="00B176F5"/>
    <w:rsid w:val="00B20B10"/>
    <w:rsid w:val="00B2185C"/>
    <w:rsid w:val="00B218BD"/>
    <w:rsid w:val="00B2337A"/>
    <w:rsid w:val="00B2384D"/>
    <w:rsid w:val="00B238E2"/>
    <w:rsid w:val="00B25814"/>
    <w:rsid w:val="00B2593E"/>
    <w:rsid w:val="00B27947"/>
    <w:rsid w:val="00B30432"/>
    <w:rsid w:val="00B3128B"/>
    <w:rsid w:val="00B31B0D"/>
    <w:rsid w:val="00B31FF6"/>
    <w:rsid w:val="00B32907"/>
    <w:rsid w:val="00B32BD5"/>
    <w:rsid w:val="00B33526"/>
    <w:rsid w:val="00B337C1"/>
    <w:rsid w:val="00B37B04"/>
    <w:rsid w:val="00B4038E"/>
    <w:rsid w:val="00B40543"/>
    <w:rsid w:val="00B41026"/>
    <w:rsid w:val="00B43C75"/>
    <w:rsid w:val="00B44FAE"/>
    <w:rsid w:val="00B470B8"/>
    <w:rsid w:val="00B47D29"/>
    <w:rsid w:val="00B47D5A"/>
    <w:rsid w:val="00B549B5"/>
    <w:rsid w:val="00B54CC8"/>
    <w:rsid w:val="00B552FB"/>
    <w:rsid w:val="00B64CCC"/>
    <w:rsid w:val="00B64F72"/>
    <w:rsid w:val="00B66E7A"/>
    <w:rsid w:val="00B670ED"/>
    <w:rsid w:val="00B71300"/>
    <w:rsid w:val="00B718C7"/>
    <w:rsid w:val="00B725BF"/>
    <w:rsid w:val="00B7313C"/>
    <w:rsid w:val="00B73234"/>
    <w:rsid w:val="00B741AF"/>
    <w:rsid w:val="00B76672"/>
    <w:rsid w:val="00B80226"/>
    <w:rsid w:val="00B811F7"/>
    <w:rsid w:val="00B8233B"/>
    <w:rsid w:val="00B84BE2"/>
    <w:rsid w:val="00B85EE1"/>
    <w:rsid w:val="00B864C0"/>
    <w:rsid w:val="00B90313"/>
    <w:rsid w:val="00B92606"/>
    <w:rsid w:val="00B9268A"/>
    <w:rsid w:val="00B94777"/>
    <w:rsid w:val="00B96075"/>
    <w:rsid w:val="00BA043C"/>
    <w:rsid w:val="00BA13DB"/>
    <w:rsid w:val="00BA2BE2"/>
    <w:rsid w:val="00BA3A85"/>
    <w:rsid w:val="00BA42F0"/>
    <w:rsid w:val="00BA4D8C"/>
    <w:rsid w:val="00BA5A02"/>
    <w:rsid w:val="00BA5DC6"/>
    <w:rsid w:val="00BA5E39"/>
    <w:rsid w:val="00BA6196"/>
    <w:rsid w:val="00BA6F3A"/>
    <w:rsid w:val="00BA795C"/>
    <w:rsid w:val="00BB25C7"/>
    <w:rsid w:val="00BB545B"/>
    <w:rsid w:val="00BB7CB2"/>
    <w:rsid w:val="00BC041A"/>
    <w:rsid w:val="00BC0C2B"/>
    <w:rsid w:val="00BC10B8"/>
    <w:rsid w:val="00BC1578"/>
    <w:rsid w:val="00BC1879"/>
    <w:rsid w:val="00BC1BA2"/>
    <w:rsid w:val="00BC1ECF"/>
    <w:rsid w:val="00BC2277"/>
    <w:rsid w:val="00BC29AB"/>
    <w:rsid w:val="00BC4135"/>
    <w:rsid w:val="00BC51FE"/>
    <w:rsid w:val="00BC56BE"/>
    <w:rsid w:val="00BC5C58"/>
    <w:rsid w:val="00BC5E2C"/>
    <w:rsid w:val="00BC6A60"/>
    <w:rsid w:val="00BC6C7D"/>
    <w:rsid w:val="00BC6D8C"/>
    <w:rsid w:val="00BD042E"/>
    <w:rsid w:val="00BD333C"/>
    <w:rsid w:val="00BD368D"/>
    <w:rsid w:val="00BD7FA0"/>
    <w:rsid w:val="00BE0050"/>
    <w:rsid w:val="00BE225F"/>
    <w:rsid w:val="00BE409F"/>
    <w:rsid w:val="00BE4108"/>
    <w:rsid w:val="00BE4E6E"/>
    <w:rsid w:val="00BE6D4D"/>
    <w:rsid w:val="00BE6FBE"/>
    <w:rsid w:val="00BF0552"/>
    <w:rsid w:val="00BF099B"/>
    <w:rsid w:val="00BF2196"/>
    <w:rsid w:val="00BF2F0E"/>
    <w:rsid w:val="00BF4275"/>
    <w:rsid w:val="00BF4FC5"/>
    <w:rsid w:val="00BF535B"/>
    <w:rsid w:val="00BF6A5B"/>
    <w:rsid w:val="00C00471"/>
    <w:rsid w:val="00C00E1C"/>
    <w:rsid w:val="00C01259"/>
    <w:rsid w:val="00C0299D"/>
    <w:rsid w:val="00C04483"/>
    <w:rsid w:val="00C04635"/>
    <w:rsid w:val="00C076A2"/>
    <w:rsid w:val="00C07809"/>
    <w:rsid w:val="00C11474"/>
    <w:rsid w:val="00C1592E"/>
    <w:rsid w:val="00C175A4"/>
    <w:rsid w:val="00C17A13"/>
    <w:rsid w:val="00C17C05"/>
    <w:rsid w:val="00C2087A"/>
    <w:rsid w:val="00C20E45"/>
    <w:rsid w:val="00C21C7A"/>
    <w:rsid w:val="00C225A5"/>
    <w:rsid w:val="00C23A33"/>
    <w:rsid w:val="00C2401A"/>
    <w:rsid w:val="00C24122"/>
    <w:rsid w:val="00C2437D"/>
    <w:rsid w:val="00C261D9"/>
    <w:rsid w:val="00C27E2A"/>
    <w:rsid w:val="00C30A81"/>
    <w:rsid w:val="00C30A84"/>
    <w:rsid w:val="00C31A7A"/>
    <w:rsid w:val="00C32079"/>
    <w:rsid w:val="00C3228F"/>
    <w:rsid w:val="00C32809"/>
    <w:rsid w:val="00C32812"/>
    <w:rsid w:val="00C32E35"/>
    <w:rsid w:val="00C34006"/>
    <w:rsid w:val="00C3671D"/>
    <w:rsid w:val="00C36E84"/>
    <w:rsid w:val="00C3735C"/>
    <w:rsid w:val="00C37994"/>
    <w:rsid w:val="00C37E7D"/>
    <w:rsid w:val="00C40AF1"/>
    <w:rsid w:val="00C40F47"/>
    <w:rsid w:val="00C426B1"/>
    <w:rsid w:val="00C446EB"/>
    <w:rsid w:val="00C44EC0"/>
    <w:rsid w:val="00C451E1"/>
    <w:rsid w:val="00C45F07"/>
    <w:rsid w:val="00C47011"/>
    <w:rsid w:val="00C5287F"/>
    <w:rsid w:val="00C54DC0"/>
    <w:rsid w:val="00C55AA0"/>
    <w:rsid w:val="00C56622"/>
    <w:rsid w:val="00C6348C"/>
    <w:rsid w:val="00C636F4"/>
    <w:rsid w:val="00C65EF7"/>
    <w:rsid w:val="00C66160"/>
    <w:rsid w:val="00C67F68"/>
    <w:rsid w:val="00C7073C"/>
    <w:rsid w:val="00C70D46"/>
    <w:rsid w:val="00C71C4E"/>
    <w:rsid w:val="00C721AC"/>
    <w:rsid w:val="00C728FA"/>
    <w:rsid w:val="00C73601"/>
    <w:rsid w:val="00C76B5F"/>
    <w:rsid w:val="00C77097"/>
    <w:rsid w:val="00C80E10"/>
    <w:rsid w:val="00C8363A"/>
    <w:rsid w:val="00C83B6D"/>
    <w:rsid w:val="00C84392"/>
    <w:rsid w:val="00C86369"/>
    <w:rsid w:val="00C866E9"/>
    <w:rsid w:val="00C874DE"/>
    <w:rsid w:val="00C90D6A"/>
    <w:rsid w:val="00C91E78"/>
    <w:rsid w:val="00C947E5"/>
    <w:rsid w:val="00C94DF5"/>
    <w:rsid w:val="00C961E8"/>
    <w:rsid w:val="00C9645A"/>
    <w:rsid w:val="00C96623"/>
    <w:rsid w:val="00C96BF8"/>
    <w:rsid w:val="00C96F90"/>
    <w:rsid w:val="00C97746"/>
    <w:rsid w:val="00C97D82"/>
    <w:rsid w:val="00CA2007"/>
    <w:rsid w:val="00CA247E"/>
    <w:rsid w:val="00CA59E5"/>
    <w:rsid w:val="00CA6A7E"/>
    <w:rsid w:val="00CB05FC"/>
    <w:rsid w:val="00CB0DC2"/>
    <w:rsid w:val="00CB38D5"/>
    <w:rsid w:val="00CB56FC"/>
    <w:rsid w:val="00CB73EE"/>
    <w:rsid w:val="00CB74B4"/>
    <w:rsid w:val="00CC04E7"/>
    <w:rsid w:val="00CC1565"/>
    <w:rsid w:val="00CC207C"/>
    <w:rsid w:val="00CC2339"/>
    <w:rsid w:val="00CC2CCE"/>
    <w:rsid w:val="00CC2D7A"/>
    <w:rsid w:val="00CC3157"/>
    <w:rsid w:val="00CC3BA6"/>
    <w:rsid w:val="00CC3F1B"/>
    <w:rsid w:val="00CC5E78"/>
    <w:rsid w:val="00CC72B6"/>
    <w:rsid w:val="00CD534C"/>
    <w:rsid w:val="00CD5F94"/>
    <w:rsid w:val="00CD6879"/>
    <w:rsid w:val="00CD6C33"/>
    <w:rsid w:val="00CD7325"/>
    <w:rsid w:val="00CE28F7"/>
    <w:rsid w:val="00CE29EC"/>
    <w:rsid w:val="00CE4A15"/>
    <w:rsid w:val="00CE5915"/>
    <w:rsid w:val="00CE5BB6"/>
    <w:rsid w:val="00CF1259"/>
    <w:rsid w:val="00CF28AC"/>
    <w:rsid w:val="00CF3CD0"/>
    <w:rsid w:val="00CF42E7"/>
    <w:rsid w:val="00CF542B"/>
    <w:rsid w:val="00CF6BED"/>
    <w:rsid w:val="00D01D13"/>
    <w:rsid w:val="00D0218D"/>
    <w:rsid w:val="00D023D0"/>
    <w:rsid w:val="00D03ECF"/>
    <w:rsid w:val="00D04D63"/>
    <w:rsid w:val="00D073AB"/>
    <w:rsid w:val="00D078BC"/>
    <w:rsid w:val="00D07B6A"/>
    <w:rsid w:val="00D1023B"/>
    <w:rsid w:val="00D10EA7"/>
    <w:rsid w:val="00D12270"/>
    <w:rsid w:val="00D1370B"/>
    <w:rsid w:val="00D15D7E"/>
    <w:rsid w:val="00D2188B"/>
    <w:rsid w:val="00D21C98"/>
    <w:rsid w:val="00D22E37"/>
    <w:rsid w:val="00D23E73"/>
    <w:rsid w:val="00D24187"/>
    <w:rsid w:val="00D2477E"/>
    <w:rsid w:val="00D25C92"/>
    <w:rsid w:val="00D25FB5"/>
    <w:rsid w:val="00D27417"/>
    <w:rsid w:val="00D27A47"/>
    <w:rsid w:val="00D314D6"/>
    <w:rsid w:val="00D31A72"/>
    <w:rsid w:val="00D31B2D"/>
    <w:rsid w:val="00D33AAB"/>
    <w:rsid w:val="00D352B2"/>
    <w:rsid w:val="00D40E2B"/>
    <w:rsid w:val="00D41422"/>
    <w:rsid w:val="00D414C5"/>
    <w:rsid w:val="00D41E55"/>
    <w:rsid w:val="00D44223"/>
    <w:rsid w:val="00D45050"/>
    <w:rsid w:val="00D45FCE"/>
    <w:rsid w:val="00D47B1F"/>
    <w:rsid w:val="00D50255"/>
    <w:rsid w:val="00D52FFC"/>
    <w:rsid w:val="00D53719"/>
    <w:rsid w:val="00D55801"/>
    <w:rsid w:val="00D57A69"/>
    <w:rsid w:val="00D60240"/>
    <w:rsid w:val="00D605C8"/>
    <w:rsid w:val="00D61ABA"/>
    <w:rsid w:val="00D637DE"/>
    <w:rsid w:val="00D63F74"/>
    <w:rsid w:val="00D64CAF"/>
    <w:rsid w:val="00D66ACD"/>
    <w:rsid w:val="00D71D5A"/>
    <w:rsid w:val="00D7211D"/>
    <w:rsid w:val="00D741E6"/>
    <w:rsid w:val="00D74C86"/>
    <w:rsid w:val="00D74D16"/>
    <w:rsid w:val="00D77623"/>
    <w:rsid w:val="00D77788"/>
    <w:rsid w:val="00D80AA5"/>
    <w:rsid w:val="00D82182"/>
    <w:rsid w:val="00D8259A"/>
    <w:rsid w:val="00D842CF"/>
    <w:rsid w:val="00D84586"/>
    <w:rsid w:val="00D84AC6"/>
    <w:rsid w:val="00D84F64"/>
    <w:rsid w:val="00D86D30"/>
    <w:rsid w:val="00D8799C"/>
    <w:rsid w:val="00D923B8"/>
    <w:rsid w:val="00D92F5F"/>
    <w:rsid w:val="00D9412B"/>
    <w:rsid w:val="00D951FF"/>
    <w:rsid w:val="00D955EF"/>
    <w:rsid w:val="00D9731A"/>
    <w:rsid w:val="00DA0B01"/>
    <w:rsid w:val="00DA0CF4"/>
    <w:rsid w:val="00DA152B"/>
    <w:rsid w:val="00DA2529"/>
    <w:rsid w:val="00DA31E8"/>
    <w:rsid w:val="00DA4C20"/>
    <w:rsid w:val="00DA64C2"/>
    <w:rsid w:val="00DA73F3"/>
    <w:rsid w:val="00DB130A"/>
    <w:rsid w:val="00DB19EB"/>
    <w:rsid w:val="00DB20EB"/>
    <w:rsid w:val="00DB25FE"/>
    <w:rsid w:val="00DB2EBB"/>
    <w:rsid w:val="00DB33E7"/>
    <w:rsid w:val="00DB3942"/>
    <w:rsid w:val="00DB3DF4"/>
    <w:rsid w:val="00DB48E0"/>
    <w:rsid w:val="00DB6723"/>
    <w:rsid w:val="00DC0637"/>
    <w:rsid w:val="00DC072E"/>
    <w:rsid w:val="00DC10A1"/>
    <w:rsid w:val="00DC223C"/>
    <w:rsid w:val="00DC54BA"/>
    <w:rsid w:val="00DC5B5D"/>
    <w:rsid w:val="00DC5E4A"/>
    <w:rsid w:val="00DC644D"/>
    <w:rsid w:val="00DC655F"/>
    <w:rsid w:val="00DD06D1"/>
    <w:rsid w:val="00DD0B59"/>
    <w:rsid w:val="00DD2BAF"/>
    <w:rsid w:val="00DD355A"/>
    <w:rsid w:val="00DD3880"/>
    <w:rsid w:val="00DD4A1D"/>
    <w:rsid w:val="00DD4E91"/>
    <w:rsid w:val="00DD7EBD"/>
    <w:rsid w:val="00DE0043"/>
    <w:rsid w:val="00DE05E5"/>
    <w:rsid w:val="00DE1193"/>
    <w:rsid w:val="00DE2546"/>
    <w:rsid w:val="00DE266A"/>
    <w:rsid w:val="00DE3579"/>
    <w:rsid w:val="00DE4113"/>
    <w:rsid w:val="00DE436D"/>
    <w:rsid w:val="00DE4443"/>
    <w:rsid w:val="00DE4F45"/>
    <w:rsid w:val="00DE5AD2"/>
    <w:rsid w:val="00DE5E88"/>
    <w:rsid w:val="00DE6476"/>
    <w:rsid w:val="00DF03E1"/>
    <w:rsid w:val="00DF09CF"/>
    <w:rsid w:val="00DF15CB"/>
    <w:rsid w:val="00DF27A4"/>
    <w:rsid w:val="00DF27F8"/>
    <w:rsid w:val="00DF3CFF"/>
    <w:rsid w:val="00DF3FC0"/>
    <w:rsid w:val="00DF50C5"/>
    <w:rsid w:val="00DF62B6"/>
    <w:rsid w:val="00E02B56"/>
    <w:rsid w:val="00E032BB"/>
    <w:rsid w:val="00E03A50"/>
    <w:rsid w:val="00E04101"/>
    <w:rsid w:val="00E061E3"/>
    <w:rsid w:val="00E07225"/>
    <w:rsid w:val="00E10433"/>
    <w:rsid w:val="00E10FA7"/>
    <w:rsid w:val="00E11064"/>
    <w:rsid w:val="00E12581"/>
    <w:rsid w:val="00E13133"/>
    <w:rsid w:val="00E131AC"/>
    <w:rsid w:val="00E141AD"/>
    <w:rsid w:val="00E15652"/>
    <w:rsid w:val="00E16C69"/>
    <w:rsid w:val="00E1741D"/>
    <w:rsid w:val="00E21ADD"/>
    <w:rsid w:val="00E21AE4"/>
    <w:rsid w:val="00E30736"/>
    <w:rsid w:val="00E31B05"/>
    <w:rsid w:val="00E325E8"/>
    <w:rsid w:val="00E33B3D"/>
    <w:rsid w:val="00E341DF"/>
    <w:rsid w:val="00E37037"/>
    <w:rsid w:val="00E37C0A"/>
    <w:rsid w:val="00E420E6"/>
    <w:rsid w:val="00E42A0F"/>
    <w:rsid w:val="00E42E9D"/>
    <w:rsid w:val="00E44553"/>
    <w:rsid w:val="00E44891"/>
    <w:rsid w:val="00E451EA"/>
    <w:rsid w:val="00E46BAA"/>
    <w:rsid w:val="00E51938"/>
    <w:rsid w:val="00E51FE4"/>
    <w:rsid w:val="00E52FD0"/>
    <w:rsid w:val="00E5409F"/>
    <w:rsid w:val="00E55220"/>
    <w:rsid w:val="00E56CEA"/>
    <w:rsid w:val="00E60B49"/>
    <w:rsid w:val="00E60DC0"/>
    <w:rsid w:val="00E615C1"/>
    <w:rsid w:val="00E6279F"/>
    <w:rsid w:val="00E62C49"/>
    <w:rsid w:val="00E63BA5"/>
    <w:rsid w:val="00E65A57"/>
    <w:rsid w:val="00E65E1C"/>
    <w:rsid w:val="00E660AE"/>
    <w:rsid w:val="00E67921"/>
    <w:rsid w:val="00E703AD"/>
    <w:rsid w:val="00E70923"/>
    <w:rsid w:val="00E70D1E"/>
    <w:rsid w:val="00E71BBD"/>
    <w:rsid w:val="00E73154"/>
    <w:rsid w:val="00E73AAD"/>
    <w:rsid w:val="00E74373"/>
    <w:rsid w:val="00E76632"/>
    <w:rsid w:val="00E77BCC"/>
    <w:rsid w:val="00E80A4C"/>
    <w:rsid w:val="00E80B85"/>
    <w:rsid w:val="00E824E8"/>
    <w:rsid w:val="00E82956"/>
    <w:rsid w:val="00E830E0"/>
    <w:rsid w:val="00E845A8"/>
    <w:rsid w:val="00E87119"/>
    <w:rsid w:val="00E874CF"/>
    <w:rsid w:val="00E879FB"/>
    <w:rsid w:val="00E9025A"/>
    <w:rsid w:val="00E9071F"/>
    <w:rsid w:val="00E90C93"/>
    <w:rsid w:val="00E9205D"/>
    <w:rsid w:val="00E92A8B"/>
    <w:rsid w:val="00E92F23"/>
    <w:rsid w:val="00E93B66"/>
    <w:rsid w:val="00EA0849"/>
    <w:rsid w:val="00EA1DA7"/>
    <w:rsid w:val="00EA30C5"/>
    <w:rsid w:val="00EA3628"/>
    <w:rsid w:val="00EA3757"/>
    <w:rsid w:val="00EA45A7"/>
    <w:rsid w:val="00EA460C"/>
    <w:rsid w:val="00EA4D3D"/>
    <w:rsid w:val="00EA529D"/>
    <w:rsid w:val="00EA5F75"/>
    <w:rsid w:val="00EA6085"/>
    <w:rsid w:val="00EB1F21"/>
    <w:rsid w:val="00EB2C83"/>
    <w:rsid w:val="00EB32A7"/>
    <w:rsid w:val="00EC01A8"/>
    <w:rsid w:val="00EC095D"/>
    <w:rsid w:val="00EC1EE8"/>
    <w:rsid w:val="00EC2077"/>
    <w:rsid w:val="00EC4A41"/>
    <w:rsid w:val="00EC4D96"/>
    <w:rsid w:val="00EC4ED9"/>
    <w:rsid w:val="00EC553A"/>
    <w:rsid w:val="00EC5B6F"/>
    <w:rsid w:val="00EC5D03"/>
    <w:rsid w:val="00EC612D"/>
    <w:rsid w:val="00EC73B6"/>
    <w:rsid w:val="00ED01B9"/>
    <w:rsid w:val="00ED1634"/>
    <w:rsid w:val="00ED36D4"/>
    <w:rsid w:val="00ED558F"/>
    <w:rsid w:val="00ED55CD"/>
    <w:rsid w:val="00EE0A5D"/>
    <w:rsid w:val="00EE0D73"/>
    <w:rsid w:val="00EE1514"/>
    <w:rsid w:val="00EE240E"/>
    <w:rsid w:val="00EE290A"/>
    <w:rsid w:val="00EE6488"/>
    <w:rsid w:val="00EE7BF7"/>
    <w:rsid w:val="00EF12BA"/>
    <w:rsid w:val="00EF1341"/>
    <w:rsid w:val="00EF1A51"/>
    <w:rsid w:val="00EF4B7F"/>
    <w:rsid w:val="00EF62F0"/>
    <w:rsid w:val="00EF73D8"/>
    <w:rsid w:val="00F01DA6"/>
    <w:rsid w:val="00F021FA"/>
    <w:rsid w:val="00F023FD"/>
    <w:rsid w:val="00F032D6"/>
    <w:rsid w:val="00F03A32"/>
    <w:rsid w:val="00F03F60"/>
    <w:rsid w:val="00F0432E"/>
    <w:rsid w:val="00F04F3E"/>
    <w:rsid w:val="00F056CE"/>
    <w:rsid w:val="00F06694"/>
    <w:rsid w:val="00F111D0"/>
    <w:rsid w:val="00F13069"/>
    <w:rsid w:val="00F1415F"/>
    <w:rsid w:val="00F14844"/>
    <w:rsid w:val="00F14ED1"/>
    <w:rsid w:val="00F1609F"/>
    <w:rsid w:val="00F1733B"/>
    <w:rsid w:val="00F252A4"/>
    <w:rsid w:val="00F254C7"/>
    <w:rsid w:val="00F25A59"/>
    <w:rsid w:val="00F25DC6"/>
    <w:rsid w:val="00F26194"/>
    <w:rsid w:val="00F26DB1"/>
    <w:rsid w:val="00F26E7F"/>
    <w:rsid w:val="00F30546"/>
    <w:rsid w:val="00F30818"/>
    <w:rsid w:val="00F311C2"/>
    <w:rsid w:val="00F31EFF"/>
    <w:rsid w:val="00F36310"/>
    <w:rsid w:val="00F37450"/>
    <w:rsid w:val="00F4017A"/>
    <w:rsid w:val="00F41315"/>
    <w:rsid w:val="00F415B6"/>
    <w:rsid w:val="00F4275A"/>
    <w:rsid w:val="00F50523"/>
    <w:rsid w:val="00F5288B"/>
    <w:rsid w:val="00F52BC6"/>
    <w:rsid w:val="00F53B84"/>
    <w:rsid w:val="00F54FEC"/>
    <w:rsid w:val="00F572F8"/>
    <w:rsid w:val="00F57C0D"/>
    <w:rsid w:val="00F60A2D"/>
    <w:rsid w:val="00F61548"/>
    <w:rsid w:val="00F62125"/>
    <w:rsid w:val="00F62E97"/>
    <w:rsid w:val="00F64209"/>
    <w:rsid w:val="00F646B7"/>
    <w:rsid w:val="00F64FBB"/>
    <w:rsid w:val="00F65F52"/>
    <w:rsid w:val="00F666BE"/>
    <w:rsid w:val="00F66DD5"/>
    <w:rsid w:val="00F71BE1"/>
    <w:rsid w:val="00F733A1"/>
    <w:rsid w:val="00F749AC"/>
    <w:rsid w:val="00F74FE8"/>
    <w:rsid w:val="00F75AAA"/>
    <w:rsid w:val="00F84416"/>
    <w:rsid w:val="00F84AB9"/>
    <w:rsid w:val="00F84DEA"/>
    <w:rsid w:val="00F84FD9"/>
    <w:rsid w:val="00F8654C"/>
    <w:rsid w:val="00F86566"/>
    <w:rsid w:val="00F87FDA"/>
    <w:rsid w:val="00F93BF5"/>
    <w:rsid w:val="00F95791"/>
    <w:rsid w:val="00F95881"/>
    <w:rsid w:val="00FA10C8"/>
    <w:rsid w:val="00FA11BA"/>
    <w:rsid w:val="00FA1385"/>
    <w:rsid w:val="00FA3DC4"/>
    <w:rsid w:val="00FA40D6"/>
    <w:rsid w:val="00FA44EB"/>
    <w:rsid w:val="00FA4AC5"/>
    <w:rsid w:val="00FA5C1E"/>
    <w:rsid w:val="00FA6508"/>
    <w:rsid w:val="00FA7D7F"/>
    <w:rsid w:val="00FA7FAF"/>
    <w:rsid w:val="00FA7FFA"/>
    <w:rsid w:val="00FB0FFA"/>
    <w:rsid w:val="00FB6388"/>
    <w:rsid w:val="00FC3059"/>
    <w:rsid w:val="00FC33AC"/>
    <w:rsid w:val="00FC3698"/>
    <w:rsid w:val="00FD00ED"/>
    <w:rsid w:val="00FD1712"/>
    <w:rsid w:val="00FD28C2"/>
    <w:rsid w:val="00FD37B6"/>
    <w:rsid w:val="00FD7009"/>
    <w:rsid w:val="00FE42D4"/>
    <w:rsid w:val="00FE5160"/>
    <w:rsid w:val="00FF0A42"/>
    <w:rsid w:val="00FF0AC1"/>
    <w:rsid w:val="00FF29F1"/>
    <w:rsid w:val="00FF35C2"/>
    <w:rsid w:val="00FF52CF"/>
    <w:rsid w:val="00FF6629"/>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68D"/>
    <w:pPr>
      <w:widowControl w:val="0"/>
    </w:pPr>
    <w:rPr>
      <w:snapToGrid w:val="0"/>
      <w:kern w:val="28"/>
      <w:sz w:val="22"/>
    </w:rPr>
  </w:style>
  <w:style w:type="paragraph" w:styleId="Heading1">
    <w:name w:val="heading 1"/>
    <w:basedOn w:val="Normal"/>
    <w:next w:val="ParaNum"/>
    <w:qFormat/>
    <w:rsid w:val="00BD368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D368D"/>
    <w:pPr>
      <w:keepNext/>
      <w:numPr>
        <w:ilvl w:val="1"/>
        <w:numId w:val="2"/>
      </w:numPr>
      <w:spacing w:after="120"/>
      <w:outlineLvl w:val="1"/>
    </w:pPr>
    <w:rPr>
      <w:b/>
    </w:rPr>
  </w:style>
  <w:style w:type="paragraph" w:styleId="Heading3">
    <w:name w:val="heading 3"/>
    <w:basedOn w:val="Normal"/>
    <w:next w:val="ParaNum"/>
    <w:qFormat/>
    <w:rsid w:val="00BD368D"/>
    <w:pPr>
      <w:keepNext/>
      <w:numPr>
        <w:ilvl w:val="2"/>
        <w:numId w:val="2"/>
      </w:numPr>
      <w:tabs>
        <w:tab w:val="left" w:pos="2160"/>
      </w:tabs>
      <w:spacing w:after="120"/>
      <w:outlineLvl w:val="2"/>
    </w:pPr>
    <w:rPr>
      <w:b/>
    </w:rPr>
  </w:style>
  <w:style w:type="paragraph" w:styleId="Heading4">
    <w:name w:val="heading 4"/>
    <w:basedOn w:val="Normal"/>
    <w:next w:val="ParaNum"/>
    <w:qFormat/>
    <w:rsid w:val="00BD368D"/>
    <w:pPr>
      <w:keepNext/>
      <w:numPr>
        <w:ilvl w:val="3"/>
        <w:numId w:val="2"/>
      </w:numPr>
      <w:tabs>
        <w:tab w:val="left" w:pos="2880"/>
      </w:tabs>
      <w:spacing w:after="120"/>
      <w:outlineLvl w:val="3"/>
    </w:pPr>
    <w:rPr>
      <w:b/>
    </w:rPr>
  </w:style>
  <w:style w:type="paragraph" w:styleId="Heading5">
    <w:name w:val="heading 5"/>
    <w:basedOn w:val="Normal"/>
    <w:next w:val="ParaNum"/>
    <w:qFormat/>
    <w:rsid w:val="00BD368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D368D"/>
    <w:pPr>
      <w:numPr>
        <w:ilvl w:val="5"/>
        <w:numId w:val="2"/>
      </w:numPr>
      <w:tabs>
        <w:tab w:val="left" w:pos="4320"/>
      </w:tabs>
      <w:spacing w:after="120"/>
      <w:outlineLvl w:val="5"/>
    </w:pPr>
    <w:rPr>
      <w:b/>
    </w:rPr>
  </w:style>
  <w:style w:type="paragraph" w:styleId="Heading7">
    <w:name w:val="heading 7"/>
    <w:basedOn w:val="Normal"/>
    <w:next w:val="ParaNum"/>
    <w:qFormat/>
    <w:rsid w:val="00BD368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D368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D368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D36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68D"/>
  </w:style>
  <w:style w:type="paragraph" w:customStyle="1" w:styleId="ParaNum">
    <w:name w:val="ParaNum"/>
    <w:basedOn w:val="Normal"/>
    <w:rsid w:val="00BD368D"/>
    <w:pPr>
      <w:numPr>
        <w:numId w:val="1"/>
      </w:numPr>
      <w:tabs>
        <w:tab w:val="clear" w:pos="1080"/>
        <w:tab w:val="num" w:pos="1440"/>
      </w:tabs>
      <w:spacing w:after="120"/>
    </w:pPr>
  </w:style>
  <w:style w:type="paragraph" w:styleId="EndnoteText">
    <w:name w:val="endnote text"/>
    <w:basedOn w:val="Normal"/>
    <w:semiHidden/>
    <w:rsid w:val="00BD368D"/>
    <w:rPr>
      <w:sz w:val="20"/>
    </w:rPr>
  </w:style>
  <w:style w:type="character" w:styleId="EndnoteReference">
    <w:name w:val="endnote reference"/>
    <w:semiHidden/>
    <w:rsid w:val="00BD368D"/>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BD368D"/>
    <w:pPr>
      <w:spacing w:after="120"/>
    </w:pPr>
  </w:style>
  <w:style w:type="character" w:styleId="FootnoteReference">
    <w:name w:val="footnote reference"/>
    <w:aliases w:val="Style 12,(NECG) Footnote Reference,Style 13,Appel note de bas de p,Style 124,fr,o,Style 3,FR,Style 17,Footnote Reference/,Style 6,Style 7,Footnote Reference1"/>
    <w:rsid w:val="00BD368D"/>
    <w:rPr>
      <w:rFonts w:ascii="Times New Roman" w:hAnsi="Times New Roman"/>
      <w:dstrike w:val="0"/>
      <w:color w:val="auto"/>
      <w:sz w:val="20"/>
      <w:vertAlign w:val="superscript"/>
    </w:rPr>
  </w:style>
  <w:style w:type="paragraph" w:styleId="TOC1">
    <w:name w:val="toc 1"/>
    <w:basedOn w:val="Normal"/>
    <w:next w:val="Normal"/>
    <w:rsid w:val="00BD368D"/>
    <w:pPr>
      <w:tabs>
        <w:tab w:val="left" w:pos="360"/>
        <w:tab w:val="right" w:leader="dot" w:pos="9360"/>
      </w:tabs>
      <w:suppressAutoHyphens/>
      <w:ind w:left="360" w:right="720" w:hanging="360"/>
    </w:pPr>
    <w:rPr>
      <w:caps/>
      <w:noProof/>
    </w:rPr>
  </w:style>
  <w:style w:type="paragraph" w:styleId="TOC2">
    <w:name w:val="toc 2"/>
    <w:basedOn w:val="Normal"/>
    <w:next w:val="Normal"/>
    <w:rsid w:val="00BD368D"/>
    <w:pPr>
      <w:tabs>
        <w:tab w:val="left" w:pos="720"/>
        <w:tab w:val="right" w:leader="dot" w:pos="9360"/>
      </w:tabs>
      <w:suppressAutoHyphens/>
      <w:ind w:left="720" w:right="720" w:hanging="360"/>
    </w:pPr>
    <w:rPr>
      <w:noProof/>
    </w:rPr>
  </w:style>
  <w:style w:type="paragraph" w:styleId="TOC3">
    <w:name w:val="toc 3"/>
    <w:basedOn w:val="Normal"/>
    <w:next w:val="Normal"/>
    <w:rsid w:val="00BD36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D36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D36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D36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D36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D36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D36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D368D"/>
    <w:pPr>
      <w:tabs>
        <w:tab w:val="right" w:pos="9360"/>
      </w:tabs>
      <w:suppressAutoHyphens/>
    </w:pPr>
  </w:style>
  <w:style w:type="character" w:customStyle="1" w:styleId="EquationCaption">
    <w:name w:val="_Equation Caption"/>
    <w:rsid w:val="00BD368D"/>
  </w:style>
  <w:style w:type="paragraph" w:styleId="Header">
    <w:name w:val="header"/>
    <w:basedOn w:val="Normal"/>
    <w:autoRedefine/>
    <w:rsid w:val="00BD368D"/>
    <w:pPr>
      <w:tabs>
        <w:tab w:val="center" w:pos="4680"/>
        <w:tab w:val="right" w:pos="9360"/>
      </w:tabs>
    </w:pPr>
    <w:rPr>
      <w:b/>
    </w:rPr>
  </w:style>
  <w:style w:type="paragraph" w:styleId="Footer">
    <w:name w:val="footer"/>
    <w:basedOn w:val="Normal"/>
    <w:rsid w:val="00BD368D"/>
    <w:pPr>
      <w:tabs>
        <w:tab w:val="center" w:pos="4320"/>
        <w:tab w:val="right" w:pos="8640"/>
      </w:tabs>
    </w:pPr>
  </w:style>
  <w:style w:type="character" w:styleId="PageNumber">
    <w:name w:val="page number"/>
    <w:basedOn w:val="DefaultParagraphFont"/>
    <w:rsid w:val="00BD368D"/>
  </w:style>
  <w:style w:type="paragraph" w:styleId="BlockText">
    <w:name w:val="Block Text"/>
    <w:basedOn w:val="Normal"/>
    <w:rsid w:val="00BD368D"/>
    <w:pPr>
      <w:spacing w:after="240"/>
      <w:ind w:left="1440" w:right="1440"/>
    </w:pPr>
  </w:style>
  <w:style w:type="paragraph" w:customStyle="1" w:styleId="Paratitle">
    <w:name w:val="Para title"/>
    <w:basedOn w:val="Normal"/>
    <w:rsid w:val="00BD368D"/>
    <w:pPr>
      <w:tabs>
        <w:tab w:val="center" w:pos="9270"/>
      </w:tabs>
      <w:spacing w:after="240"/>
    </w:pPr>
    <w:rPr>
      <w:spacing w:val="-2"/>
    </w:rPr>
  </w:style>
  <w:style w:type="paragraph" w:customStyle="1" w:styleId="Bullet">
    <w:name w:val="Bullet"/>
    <w:basedOn w:val="Normal"/>
    <w:rsid w:val="00BD368D"/>
    <w:pPr>
      <w:tabs>
        <w:tab w:val="left" w:pos="2160"/>
      </w:tabs>
      <w:spacing w:after="220"/>
      <w:ind w:left="2160" w:hanging="720"/>
    </w:pPr>
  </w:style>
  <w:style w:type="paragraph" w:customStyle="1" w:styleId="TableFormat">
    <w:name w:val="TableFormat"/>
    <w:basedOn w:val="Bullet"/>
    <w:rsid w:val="00BD368D"/>
    <w:pPr>
      <w:tabs>
        <w:tab w:val="clear" w:pos="2160"/>
        <w:tab w:val="left" w:pos="5040"/>
      </w:tabs>
      <w:ind w:left="5040" w:hanging="3600"/>
    </w:pPr>
  </w:style>
  <w:style w:type="paragraph" w:customStyle="1" w:styleId="TOCTitle">
    <w:name w:val="TOC Title"/>
    <w:basedOn w:val="Normal"/>
    <w:rsid w:val="00BD36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D368D"/>
    <w:pPr>
      <w:jc w:val="center"/>
    </w:pPr>
    <w:rPr>
      <w:rFonts w:ascii="Times New Roman Bold" w:hAnsi="Times New Roman Bold"/>
      <w:b/>
      <w:bCs/>
      <w:caps/>
      <w:szCs w:val="22"/>
    </w:rPr>
  </w:style>
  <w:style w:type="character" w:styleId="Hyperlink">
    <w:name w:val="Hyperlink"/>
    <w:rsid w:val="00BD368D"/>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49504B"/>
    <w:pPr>
      <w:ind w:left="720"/>
      <w:contextualSpacing/>
    </w:pPr>
  </w:style>
  <w:style w:type="paragraph" w:styleId="Revision">
    <w:name w:val="Revision"/>
    <w:hidden/>
    <w:uiPriority w:val="99"/>
    <w:semiHidden/>
    <w:rsid w:val="009527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68D"/>
    <w:pPr>
      <w:widowControl w:val="0"/>
    </w:pPr>
    <w:rPr>
      <w:snapToGrid w:val="0"/>
      <w:kern w:val="28"/>
      <w:sz w:val="22"/>
    </w:rPr>
  </w:style>
  <w:style w:type="paragraph" w:styleId="Heading1">
    <w:name w:val="heading 1"/>
    <w:basedOn w:val="Normal"/>
    <w:next w:val="ParaNum"/>
    <w:qFormat/>
    <w:rsid w:val="00BD368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D368D"/>
    <w:pPr>
      <w:keepNext/>
      <w:numPr>
        <w:ilvl w:val="1"/>
        <w:numId w:val="2"/>
      </w:numPr>
      <w:spacing w:after="120"/>
      <w:outlineLvl w:val="1"/>
    </w:pPr>
    <w:rPr>
      <w:b/>
    </w:rPr>
  </w:style>
  <w:style w:type="paragraph" w:styleId="Heading3">
    <w:name w:val="heading 3"/>
    <w:basedOn w:val="Normal"/>
    <w:next w:val="ParaNum"/>
    <w:qFormat/>
    <w:rsid w:val="00BD368D"/>
    <w:pPr>
      <w:keepNext/>
      <w:numPr>
        <w:ilvl w:val="2"/>
        <w:numId w:val="2"/>
      </w:numPr>
      <w:tabs>
        <w:tab w:val="left" w:pos="2160"/>
      </w:tabs>
      <w:spacing w:after="120"/>
      <w:outlineLvl w:val="2"/>
    </w:pPr>
    <w:rPr>
      <w:b/>
    </w:rPr>
  </w:style>
  <w:style w:type="paragraph" w:styleId="Heading4">
    <w:name w:val="heading 4"/>
    <w:basedOn w:val="Normal"/>
    <w:next w:val="ParaNum"/>
    <w:qFormat/>
    <w:rsid w:val="00BD368D"/>
    <w:pPr>
      <w:keepNext/>
      <w:numPr>
        <w:ilvl w:val="3"/>
        <w:numId w:val="2"/>
      </w:numPr>
      <w:tabs>
        <w:tab w:val="left" w:pos="2880"/>
      </w:tabs>
      <w:spacing w:after="120"/>
      <w:outlineLvl w:val="3"/>
    </w:pPr>
    <w:rPr>
      <w:b/>
    </w:rPr>
  </w:style>
  <w:style w:type="paragraph" w:styleId="Heading5">
    <w:name w:val="heading 5"/>
    <w:basedOn w:val="Normal"/>
    <w:next w:val="ParaNum"/>
    <w:qFormat/>
    <w:rsid w:val="00BD368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D368D"/>
    <w:pPr>
      <w:numPr>
        <w:ilvl w:val="5"/>
        <w:numId w:val="2"/>
      </w:numPr>
      <w:tabs>
        <w:tab w:val="left" w:pos="4320"/>
      </w:tabs>
      <w:spacing w:after="120"/>
      <w:outlineLvl w:val="5"/>
    </w:pPr>
    <w:rPr>
      <w:b/>
    </w:rPr>
  </w:style>
  <w:style w:type="paragraph" w:styleId="Heading7">
    <w:name w:val="heading 7"/>
    <w:basedOn w:val="Normal"/>
    <w:next w:val="ParaNum"/>
    <w:qFormat/>
    <w:rsid w:val="00BD368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D368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D368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D36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68D"/>
  </w:style>
  <w:style w:type="paragraph" w:customStyle="1" w:styleId="ParaNum">
    <w:name w:val="ParaNum"/>
    <w:basedOn w:val="Normal"/>
    <w:rsid w:val="00BD368D"/>
    <w:pPr>
      <w:numPr>
        <w:numId w:val="1"/>
      </w:numPr>
      <w:tabs>
        <w:tab w:val="clear" w:pos="1080"/>
        <w:tab w:val="num" w:pos="1440"/>
      </w:tabs>
      <w:spacing w:after="120"/>
    </w:pPr>
  </w:style>
  <w:style w:type="paragraph" w:styleId="EndnoteText">
    <w:name w:val="endnote text"/>
    <w:basedOn w:val="Normal"/>
    <w:semiHidden/>
    <w:rsid w:val="00BD368D"/>
    <w:rPr>
      <w:sz w:val="20"/>
    </w:rPr>
  </w:style>
  <w:style w:type="character" w:styleId="EndnoteReference">
    <w:name w:val="endnote reference"/>
    <w:semiHidden/>
    <w:rsid w:val="00BD368D"/>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BD368D"/>
    <w:pPr>
      <w:spacing w:after="120"/>
    </w:pPr>
  </w:style>
  <w:style w:type="character" w:styleId="FootnoteReference">
    <w:name w:val="footnote reference"/>
    <w:aliases w:val="Style 12,(NECG) Footnote Reference,Style 13,Appel note de bas de p,Style 124,fr,o,Style 3,FR,Style 17,Footnote Reference/,Style 6,Style 7,Footnote Reference1"/>
    <w:rsid w:val="00BD368D"/>
    <w:rPr>
      <w:rFonts w:ascii="Times New Roman" w:hAnsi="Times New Roman"/>
      <w:dstrike w:val="0"/>
      <w:color w:val="auto"/>
      <w:sz w:val="20"/>
      <w:vertAlign w:val="superscript"/>
    </w:rPr>
  </w:style>
  <w:style w:type="paragraph" w:styleId="TOC1">
    <w:name w:val="toc 1"/>
    <w:basedOn w:val="Normal"/>
    <w:next w:val="Normal"/>
    <w:rsid w:val="00BD368D"/>
    <w:pPr>
      <w:tabs>
        <w:tab w:val="left" w:pos="360"/>
        <w:tab w:val="right" w:leader="dot" w:pos="9360"/>
      </w:tabs>
      <w:suppressAutoHyphens/>
      <w:ind w:left="360" w:right="720" w:hanging="360"/>
    </w:pPr>
    <w:rPr>
      <w:caps/>
      <w:noProof/>
    </w:rPr>
  </w:style>
  <w:style w:type="paragraph" w:styleId="TOC2">
    <w:name w:val="toc 2"/>
    <w:basedOn w:val="Normal"/>
    <w:next w:val="Normal"/>
    <w:rsid w:val="00BD368D"/>
    <w:pPr>
      <w:tabs>
        <w:tab w:val="left" w:pos="720"/>
        <w:tab w:val="right" w:leader="dot" w:pos="9360"/>
      </w:tabs>
      <w:suppressAutoHyphens/>
      <w:ind w:left="720" w:right="720" w:hanging="360"/>
    </w:pPr>
    <w:rPr>
      <w:noProof/>
    </w:rPr>
  </w:style>
  <w:style w:type="paragraph" w:styleId="TOC3">
    <w:name w:val="toc 3"/>
    <w:basedOn w:val="Normal"/>
    <w:next w:val="Normal"/>
    <w:rsid w:val="00BD36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D36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D36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D36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D36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D36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D36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D368D"/>
    <w:pPr>
      <w:tabs>
        <w:tab w:val="right" w:pos="9360"/>
      </w:tabs>
      <w:suppressAutoHyphens/>
    </w:pPr>
  </w:style>
  <w:style w:type="character" w:customStyle="1" w:styleId="EquationCaption">
    <w:name w:val="_Equation Caption"/>
    <w:rsid w:val="00BD368D"/>
  </w:style>
  <w:style w:type="paragraph" w:styleId="Header">
    <w:name w:val="header"/>
    <w:basedOn w:val="Normal"/>
    <w:autoRedefine/>
    <w:rsid w:val="00BD368D"/>
    <w:pPr>
      <w:tabs>
        <w:tab w:val="center" w:pos="4680"/>
        <w:tab w:val="right" w:pos="9360"/>
      </w:tabs>
    </w:pPr>
    <w:rPr>
      <w:b/>
    </w:rPr>
  </w:style>
  <w:style w:type="paragraph" w:styleId="Footer">
    <w:name w:val="footer"/>
    <w:basedOn w:val="Normal"/>
    <w:rsid w:val="00BD368D"/>
    <w:pPr>
      <w:tabs>
        <w:tab w:val="center" w:pos="4320"/>
        <w:tab w:val="right" w:pos="8640"/>
      </w:tabs>
    </w:pPr>
  </w:style>
  <w:style w:type="character" w:styleId="PageNumber">
    <w:name w:val="page number"/>
    <w:basedOn w:val="DefaultParagraphFont"/>
    <w:rsid w:val="00BD368D"/>
  </w:style>
  <w:style w:type="paragraph" w:styleId="BlockText">
    <w:name w:val="Block Text"/>
    <w:basedOn w:val="Normal"/>
    <w:rsid w:val="00BD368D"/>
    <w:pPr>
      <w:spacing w:after="240"/>
      <w:ind w:left="1440" w:right="1440"/>
    </w:pPr>
  </w:style>
  <w:style w:type="paragraph" w:customStyle="1" w:styleId="Paratitle">
    <w:name w:val="Para title"/>
    <w:basedOn w:val="Normal"/>
    <w:rsid w:val="00BD368D"/>
    <w:pPr>
      <w:tabs>
        <w:tab w:val="center" w:pos="9270"/>
      </w:tabs>
      <w:spacing w:after="240"/>
    </w:pPr>
    <w:rPr>
      <w:spacing w:val="-2"/>
    </w:rPr>
  </w:style>
  <w:style w:type="paragraph" w:customStyle="1" w:styleId="Bullet">
    <w:name w:val="Bullet"/>
    <w:basedOn w:val="Normal"/>
    <w:rsid w:val="00BD368D"/>
    <w:pPr>
      <w:tabs>
        <w:tab w:val="left" w:pos="2160"/>
      </w:tabs>
      <w:spacing w:after="220"/>
      <w:ind w:left="2160" w:hanging="720"/>
    </w:pPr>
  </w:style>
  <w:style w:type="paragraph" w:customStyle="1" w:styleId="TableFormat">
    <w:name w:val="TableFormat"/>
    <w:basedOn w:val="Bullet"/>
    <w:rsid w:val="00BD368D"/>
    <w:pPr>
      <w:tabs>
        <w:tab w:val="clear" w:pos="2160"/>
        <w:tab w:val="left" w:pos="5040"/>
      </w:tabs>
      <w:ind w:left="5040" w:hanging="3600"/>
    </w:pPr>
  </w:style>
  <w:style w:type="paragraph" w:customStyle="1" w:styleId="TOCTitle">
    <w:name w:val="TOC Title"/>
    <w:basedOn w:val="Normal"/>
    <w:rsid w:val="00BD36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D368D"/>
    <w:pPr>
      <w:jc w:val="center"/>
    </w:pPr>
    <w:rPr>
      <w:rFonts w:ascii="Times New Roman Bold" w:hAnsi="Times New Roman Bold"/>
      <w:b/>
      <w:bCs/>
      <w:caps/>
      <w:szCs w:val="22"/>
    </w:rPr>
  </w:style>
  <w:style w:type="character" w:styleId="Hyperlink">
    <w:name w:val="Hyperlink"/>
    <w:rsid w:val="00BD368D"/>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49504B"/>
    <w:pPr>
      <w:ind w:left="720"/>
      <w:contextualSpacing/>
    </w:pPr>
  </w:style>
  <w:style w:type="paragraph" w:styleId="Revision">
    <w:name w:val="Revision"/>
    <w:hidden/>
    <w:uiPriority w:val="99"/>
    <w:semiHidden/>
    <w:rsid w:val="009527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1491">
      <w:bodyDiv w:val="1"/>
      <w:marLeft w:val="0"/>
      <w:marRight w:val="0"/>
      <w:marTop w:val="0"/>
      <w:marBottom w:val="0"/>
      <w:divBdr>
        <w:top w:val="none" w:sz="0" w:space="0" w:color="auto"/>
        <w:left w:val="none" w:sz="0" w:space="0" w:color="auto"/>
        <w:bottom w:val="none" w:sz="0" w:space="0" w:color="auto"/>
        <w:right w:val="none" w:sz="0" w:space="0" w:color="auto"/>
      </w:divBdr>
    </w:div>
    <w:div w:id="73667297">
      <w:bodyDiv w:val="1"/>
      <w:marLeft w:val="0"/>
      <w:marRight w:val="0"/>
      <w:marTop w:val="0"/>
      <w:marBottom w:val="0"/>
      <w:divBdr>
        <w:top w:val="none" w:sz="0" w:space="0" w:color="auto"/>
        <w:left w:val="none" w:sz="0" w:space="0" w:color="auto"/>
        <w:bottom w:val="none" w:sz="0" w:space="0" w:color="auto"/>
        <w:right w:val="none" w:sz="0" w:space="0" w:color="auto"/>
      </w:divBdr>
    </w:div>
    <w:div w:id="146016068">
      <w:bodyDiv w:val="1"/>
      <w:marLeft w:val="0"/>
      <w:marRight w:val="0"/>
      <w:marTop w:val="0"/>
      <w:marBottom w:val="0"/>
      <w:divBdr>
        <w:top w:val="none" w:sz="0" w:space="0" w:color="auto"/>
        <w:left w:val="none" w:sz="0" w:space="0" w:color="auto"/>
        <w:bottom w:val="none" w:sz="0" w:space="0" w:color="auto"/>
        <w:right w:val="none" w:sz="0" w:space="0" w:color="auto"/>
      </w:divBdr>
    </w:div>
    <w:div w:id="378751720">
      <w:bodyDiv w:val="1"/>
      <w:marLeft w:val="0"/>
      <w:marRight w:val="0"/>
      <w:marTop w:val="0"/>
      <w:marBottom w:val="0"/>
      <w:divBdr>
        <w:top w:val="none" w:sz="0" w:space="0" w:color="auto"/>
        <w:left w:val="none" w:sz="0" w:space="0" w:color="auto"/>
        <w:bottom w:val="none" w:sz="0" w:space="0" w:color="auto"/>
        <w:right w:val="none" w:sz="0" w:space="0" w:color="auto"/>
      </w:divBdr>
    </w:div>
    <w:div w:id="386221544">
      <w:bodyDiv w:val="1"/>
      <w:marLeft w:val="0"/>
      <w:marRight w:val="0"/>
      <w:marTop w:val="0"/>
      <w:marBottom w:val="0"/>
      <w:divBdr>
        <w:top w:val="none" w:sz="0" w:space="0" w:color="auto"/>
        <w:left w:val="none" w:sz="0" w:space="0" w:color="auto"/>
        <w:bottom w:val="none" w:sz="0" w:space="0" w:color="auto"/>
        <w:right w:val="none" w:sz="0" w:space="0" w:color="auto"/>
      </w:divBdr>
    </w:div>
    <w:div w:id="536622342">
      <w:bodyDiv w:val="1"/>
      <w:marLeft w:val="0"/>
      <w:marRight w:val="0"/>
      <w:marTop w:val="0"/>
      <w:marBottom w:val="0"/>
      <w:divBdr>
        <w:top w:val="none" w:sz="0" w:space="0" w:color="auto"/>
        <w:left w:val="none" w:sz="0" w:space="0" w:color="auto"/>
        <w:bottom w:val="none" w:sz="0" w:space="0" w:color="auto"/>
        <w:right w:val="none" w:sz="0" w:space="0" w:color="auto"/>
      </w:divBdr>
    </w:div>
    <w:div w:id="696350063">
      <w:bodyDiv w:val="1"/>
      <w:marLeft w:val="0"/>
      <w:marRight w:val="0"/>
      <w:marTop w:val="0"/>
      <w:marBottom w:val="0"/>
      <w:divBdr>
        <w:top w:val="none" w:sz="0" w:space="0" w:color="auto"/>
        <w:left w:val="none" w:sz="0" w:space="0" w:color="auto"/>
        <w:bottom w:val="none" w:sz="0" w:space="0" w:color="auto"/>
        <w:right w:val="none" w:sz="0" w:space="0" w:color="auto"/>
      </w:divBdr>
    </w:div>
    <w:div w:id="710036767">
      <w:bodyDiv w:val="1"/>
      <w:marLeft w:val="0"/>
      <w:marRight w:val="0"/>
      <w:marTop w:val="0"/>
      <w:marBottom w:val="0"/>
      <w:divBdr>
        <w:top w:val="none" w:sz="0" w:space="0" w:color="auto"/>
        <w:left w:val="none" w:sz="0" w:space="0" w:color="auto"/>
        <w:bottom w:val="none" w:sz="0" w:space="0" w:color="auto"/>
        <w:right w:val="none" w:sz="0" w:space="0" w:color="auto"/>
      </w:divBdr>
    </w:div>
    <w:div w:id="765079538">
      <w:bodyDiv w:val="1"/>
      <w:marLeft w:val="0"/>
      <w:marRight w:val="0"/>
      <w:marTop w:val="0"/>
      <w:marBottom w:val="0"/>
      <w:divBdr>
        <w:top w:val="none" w:sz="0" w:space="0" w:color="auto"/>
        <w:left w:val="none" w:sz="0" w:space="0" w:color="auto"/>
        <w:bottom w:val="none" w:sz="0" w:space="0" w:color="auto"/>
        <w:right w:val="none" w:sz="0" w:space="0" w:color="auto"/>
      </w:divBdr>
      <w:divsChild>
        <w:div w:id="524486621">
          <w:marLeft w:val="0"/>
          <w:marRight w:val="0"/>
          <w:marTop w:val="0"/>
          <w:marBottom w:val="0"/>
          <w:divBdr>
            <w:top w:val="none" w:sz="0" w:space="0" w:color="auto"/>
            <w:left w:val="none" w:sz="0" w:space="0" w:color="auto"/>
            <w:bottom w:val="none" w:sz="0" w:space="0" w:color="auto"/>
            <w:right w:val="none" w:sz="0" w:space="0" w:color="auto"/>
          </w:divBdr>
          <w:divsChild>
            <w:div w:id="105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5602">
      <w:bodyDiv w:val="1"/>
      <w:marLeft w:val="0"/>
      <w:marRight w:val="0"/>
      <w:marTop w:val="0"/>
      <w:marBottom w:val="0"/>
      <w:divBdr>
        <w:top w:val="none" w:sz="0" w:space="0" w:color="auto"/>
        <w:left w:val="none" w:sz="0" w:space="0" w:color="auto"/>
        <w:bottom w:val="none" w:sz="0" w:space="0" w:color="auto"/>
        <w:right w:val="none" w:sz="0" w:space="0" w:color="auto"/>
      </w:divBdr>
    </w:div>
    <w:div w:id="1014920261">
      <w:bodyDiv w:val="1"/>
      <w:marLeft w:val="0"/>
      <w:marRight w:val="0"/>
      <w:marTop w:val="0"/>
      <w:marBottom w:val="0"/>
      <w:divBdr>
        <w:top w:val="none" w:sz="0" w:space="0" w:color="auto"/>
        <w:left w:val="none" w:sz="0" w:space="0" w:color="auto"/>
        <w:bottom w:val="none" w:sz="0" w:space="0" w:color="auto"/>
        <w:right w:val="none" w:sz="0" w:space="0" w:color="auto"/>
      </w:divBdr>
    </w:div>
    <w:div w:id="1039431654">
      <w:bodyDiv w:val="1"/>
      <w:marLeft w:val="0"/>
      <w:marRight w:val="0"/>
      <w:marTop w:val="0"/>
      <w:marBottom w:val="0"/>
      <w:divBdr>
        <w:top w:val="none" w:sz="0" w:space="0" w:color="auto"/>
        <w:left w:val="none" w:sz="0" w:space="0" w:color="auto"/>
        <w:bottom w:val="none" w:sz="0" w:space="0" w:color="auto"/>
        <w:right w:val="none" w:sz="0" w:space="0" w:color="auto"/>
      </w:divBdr>
      <w:divsChild>
        <w:div w:id="1851094656">
          <w:marLeft w:val="0"/>
          <w:marRight w:val="0"/>
          <w:marTop w:val="0"/>
          <w:marBottom w:val="0"/>
          <w:divBdr>
            <w:top w:val="none" w:sz="0" w:space="0" w:color="auto"/>
            <w:left w:val="none" w:sz="0" w:space="0" w:color="auto"/>
            <w:bottom w:val="none" w:sz="0" w:space="0" w:color="auto"/>
            <w:right w:val="none" w:sz="0" w:space="0" w:color="auto"/>
          </w:divBdr>
          <w:divsChild>
            <w:div w:id="11999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117">
      <w:bodyDiv w:val="1"/>
      <w:marLeft w:val="0"/>
      <w:marRight w:val="0"/>
      <w:marTop w:val="0"/>
      <w:marBottom w:val="0"/>
      <w:divBdr>
        <w:top w:val="none" w:sz="0" w:space="0" w:color="auto"/>
        <w:left w:val="none" w:sz="0" w:space="0" w:color="auto"/>
        <w:bottom w:val="none" w:sz="0" w:space="0" w:color="auto"/>
        <w:right w:val="none" w:sz="0" w:space="0" w:color="auto"/>
      </w:divBdr>
    </w:div>
    <w:div w:id="1280530735">
      <w:bodyDiv w:val="1"/>
      <w:marLeft w:val="0"/>
      <w:marRight w:val="0"/>
      <w:marTop w:val="0"/>
      <w:marBottom w:val="0"/>
      <w:divBdr>
        <w:top w:val="none" w:sz="0" w:space="0" w:color="auto"/>
        <w:left w:val="none" w:sz="0" w:space="0" w:color="auto"/>
        <w:bottom w:val="none" w:sz="0" w:space="0" w:color="auto"/>
        <w:right w:val="none" w:sz="0" w:space="0" w:color="auto"/>
      </w:divBdr>
    </w:div>
    <w:div w:id="1302004110">
      <w:bodyDiv w:val="1"/>
      <w:marLeft w:val="0"/>
      <w:marRight w:val="0"/>
      <w:marTop w:val="0"/>
      <w:marBottom w:val="0"/>
      <w:divBdr>
        <w:top w:val="none" w:sz="0" w:space="0" w:color="auto"/>
        <w:left w:val="none" w:sz="0" w:space="0" w:color="auto"/>
        <w:bottom w:val="none" w:sz="0" w:space="0" w:color="auto"/>
        <w:right w:val="none" w:sz="0" w:space="0" w:color="auto"/>
      </w:divBdr>
      <w:divsChild>
        <w:div w:id="2046522885">
          <w:marLeft w:val="0"/>
          <w:marRight w:val="0"/>
          <w:marTop w:val="0"/>
          <w:marBottom w:val="0"/>
          <w:divBdr>
            <w:top w:val="none" w:sz="0" w:space="0" w:color="auto"/>
            <w:left w:val="none" w:sz="0" w:space="0" w:color="auto"/>
            <w:bottom w:val="none" w:sz="0" w:space="0" w:color="auto"/>
            <w:right w:val="none" w:sz="0" w:space="0" w:color="auto"/>
          </w:divBdr>
          <w:divsChild>
            <w:div w:id="21347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157">
      <w:bodyDiv w:val="1"/>
      <w:marLeft w:val="0"/>
      <w:marRight w:val="0"/>
      <w:marTop w:val="0"/>
      <w:marBottom w:val="0"/>
      <w:divBdr>
        <w:top w:val="none" w:sz="0" w:space="0" w:color="auto"/>
        <w:left w:val="none" w:sz="0" w:space="0" w:color="auto"/>
        <w:bottom w:val="none" w:sz="0" w:space="0" w:color="auto"/>
        <w:right w:val="none" w:sz="0" w:space="0" w:color="auto"/>
      </w:divBdr>
    </w:div>
    <w:div w:id="1450054238">
      <w:bodyDiv w:val="1"/>
      <w:marLeft w:val="0"/>
      <w:marRight w:val="0"/>
      <w:marTop w:val="0"/>
      <w:marBottom w:val="0"/>
      <w:divBdr>
        <w:top w:val="none" w:sz="0" w:space="0" w:color="auto"/>
        <w:left w:val="none" w:sz="0" w:space="0" w:color="auto"/>
        <w:bottom w:val="none" w:sz="0" w:space="0" w:color="auto"/>
        <w:right w:val="none" w:sz="0" w:space="0" w:color="auto"/>
      </w:divBdr>
    </w:div>
    <w:div w:id="1472406788">
      <w:bodyDiv w:val="1"/>
      <w:marLeft w:val="0"/>
      <w:marRight w:val="0"/>
      <w:marTop w:val="0"/>
      <w:marBottom w:val="0"/>
      <w:divBdr>
        <w:top w:val="none" w:sz="0" w:space="0" w:color="auto"/>
        <w:left w:val="none" w:sz="0" w:space="0" w:color="auto"/>
        <w:bottom w:val="none" w:sz="0" w:space="0" w:color="auto"/>
        <w:right w:val="none" w:sz="0" w:space="0" w:color="auto"/>
      </w:divBdr>
    </w:div>
    <w:div w:id="1795709025">
      <w:bodyDiv w:val="1"/>
      <w:marLeft w:val="0"/>
      <w:marRight w:val="0"/>
      <w:marTop w:val="0"/>
      <w:marBottom w:val="0"/>
      <w:divBdr>
        <w:top w:val="none" w:sz="0" w:space="0" w:color="auto"/>
        <w:left w:val="none" w:sz="0" w:space="0" w:color="auto"/>
        <w:bottom w:val="none" w:sz="0" w:space="0" w:color="auto"/>
        <w:right w:val="none" w:sz="0" w:space="0" w:color="auto"/>
      </w:divBdr>
    </w:div>
    <w:div w:id="2087725275">
      <w:bodyDiv w:val="1"/>
      <w:marLeft w:val="0"/>
      <w:marRight w:val="0"/>
      <w:marTop w:val="0"/>
      <w:marBottom w:val="0"/>
      <w:divBdr>
        <w:top w:val="none" w:sz="0" w:space="0" w:color="auto"/>
        <w:left w:val="none" w:sz="0" w:space="0" w:color="auto"/>
        <w:bottom w:val="none" w:sz="0" w:space="0" w:color="auto"/>
        <w:right w:val="none" w:sz="0" w:space="0" w:color="auto"/>
      </w:divBdr>
    </w:div>
    <w:div w:id="2115200804">
      <w:bodyDiv w:val="1"/>
      <w:marLeft w:val="0"/>
      <w:marRight w:val="0"/>
      <w:marTop w:val="0"/>
      <w:marBottom w:val="0"/>
      <w:divBdr>
        <w:top w:val="none" w:sz="0" w:space="0" w:color="auto"/>
        <w:left w:val="none" w:sz="0" w:space="0" w:color="auto"/>
        <w:bottom w:val="none" w:sz="0" w:space="0" w:color="auto"/>
        <w:right w:val="none" w:sz="0" w:space="0" w:color="auto"/>
      </w:divBdr>
      <w:divsChild>
        <w:div w:id="579755838">
          <w:marLeft w:val="0"/>
          <w:marRight w:val="0"/>
          <w:marTop w:val="0"/>
          <w:marBottom w:val="0"/>
          <w:divBdr>
            <w:top w:val="none" w:sz="0" w:space="0" w:color="auto"/>
            <w:left w:val="none" w:sz="0" w:space="0" w:color="auto"/>
            <w:bottom w:val="none" w:sz="0" w:space="0" w:color="auto"/>
            <w:right w:val="none" w:sz="0" w:space="0" w:color="auto"/>
          </w:divBdr>
          <w:divsChild>
            <w:div w:id="2115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10675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1442</Words>
  <Characters>8424</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2015-03-20T20:26:00Z</cp:lastPrinted>
  <dcterms:created xsi:type="dcterms:W3CDTF">2015-03-31T21:58:00Z</dcterms:created>
  <dcterms:modified xsi:type="dcterms:W3CDTF">2015-03-31T21:58:00Z</dcterms:modified>
  <cp:category> </cp:category>
  <cp:contentStatus> </cp:contentStatus>
</cp:coreProperties>
</file>