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65" w:rsidRPr="000517F1" w:rsidRDefault="006529FA">
      <w:pPr>
        <w:jc w:val="center"/>
        <w:rPr>
          <w:b/>
        </w:rPr>
      </w:pPr>
      <w:bookmarkStart w:id="0" w:name="_GoBack"/>
      <w:bookmarkEnd w:id="0"/>
      <w:r w:rsidRPr="000517F1">
        <w:rPr>
          <w:b/>
        </w:rPr>
        <w:t>Before the</w:t>
      </w:r>
    </w:p>
    <w:p w:rsidR="004A2F65" w:rsidRPr="000517F1" w:rsidRDefault="00AE7BD0" w:rsidP="00AE7BD0">
      <w:pPr>
        <w:tabs>
          <w:tab w:val="center" w:pos="4680"/>
          <w:tab w:val="left" w:pos="7764"/>
        </w:tabs>
        <w:rPr>
          <w:b/>
        </w:rPr>
      </w:pPr>
      <w:r w:rsidRPr="000517F1">
        <w:rPr>
          <w:b/>
        </w:rPr>
        <w:tab/>
      </w:r>
      <w:r w:rsidR="006529FA" w:rsidRPr="000517F1">
        <w:rPr>
          <w:b/>
        </w:rPr>
        <w:t>Federal Communications Commission</w:t>
      </w:r>
      <w:r w:rsidRPr="000517F1">
        <w:rPr>
          <w:b/>
        </w:rPr>
        <w:tab/>
      </w:r>
    </w:p>
    <w:p w:rsidR="004A2F65" w:rsidRPr="000517F1" w:rsidRDefault="006529FA">
      <w:pPr>
        <w:jc w:val="center"/>
        <w:rPr>
          <w:b/>
        </w:rPr>
      </w:pPr>
      <w:r w:rsidRPr="000517F1">
        <w:rPr>
          <w:b/>
        </w:rPr>
        <w:t>Washington, D.C. 20554</w:t>
      </w:r>
    </w:p>
    <w:p w:rsidR="004A2F65" w:rsidRPr="000517F1" w:rsidRDefault="004A2F65"/>
    <w:p w:rsidR="00DF67D4" w:rsidRPr="000517F1" w:rsidRDefault="00DF67D4"/>
    <w:tbl>
      <w:tblPr>
        <w:tblW w:w="0" w:type="auto"/>
        <w:tblLayout w:type="fixed"/>
        <w:tblLook w:val="0000" w:firstRow="0" w:lastRow="0" w:firstColumn="0" w:lastColumn="0" w:noHBand="0" w:noVBand="0"/>
      </w:tblPr>
      <w:tblGrid>
        <w:gridCol w:w="4698"/>
        <w:gridCol w:w="630"/>
        <w:gridCol w:w="4248"/>
      </w:tblGrid>
      <w:tr w:rsidR="00DF67D4" w:rsidRPr="000517F1" w:rsidTr="00D71BDD">
        <w:tc>
          <w:tcPr>
            <w:tcW w:w="4698" w:type="dxa"/>
          </w:tcPr>
          <w:p w:rsidR="00DF67D4" w:rsidRPr="000517F1" w:rsidRDefault="00DF67D4" w:rsidP="00D71BDD">
            <w:pPr>
              <w:tabs>
                <w:tab w:val="center" w:pos="4680"/>
              </w:tabs>
              <w:suppressAutoHyphens/>
              <w:rPr>
                <w:spacing w:val="-2"/>
              </w:rPr>
            </w:pPr>
            <w:r w:rsidRPr="000517F1">
              <w:rPr>
                <w:spacing w:val="-2"/>
              </w:rPr>
              <w:t>In the Matter of</w:t>
            </w:r>
          </w:p>
          <w:p w:rsidR="00DF67D4" w:rsidRPr="000517F1" w:rsidRDefault="00DF67D4" w:rsidP="00D71BDD">
            <w:pPr>
              <w:tabs>
                <w:tab w:val="center" w:pos="4680"/>
              </w:tabs>
              <w:suppressAutoHyphens/>
              <w:rPr>
                <w:spacing w:val="-2"/>
              </w:rPr>
            </w:pPr>
          </w:p>
          <w:p w:rsidR="00DF67D4" w:rsidRPr="000517F1" w:rsidRDefault="00DF67D4" w:rsidP="00D71BDD">
            <w:pPr>
              <w:tabs>
                <w:tab w:val="center" w:pos="4680"/>
              </w:tabs>
              <w:suppressAutoHyphens/>
              <w:rPr>
                <w:spacing w:val="-2"/>
              </w:rPr>
            </w:pPr>
            <w:r w:rsidRPr="000517F1">
              <w:rPr>
                <w:spacing w:val="-2"/>
              </w:rPr>
              <w:t>Amendment to the Commission’s Rules Concerning Effective Competition</w:t>
            </w:r>
          </w:p>
          <w:p w:rsidR="00DF67D4" w:rsidRPr="000517F1" w:rsidRDefault="00DF67D4" w:rsidP="00D71BDD">
            <w:pPr>
              <w:tabs>
                <w:tab w:val="center" w:pos="4680"/>
              </w:tabs>
              <w:suppressAutoHyphens/>
              <w:rPr>
                <w:spacing w:val="-2"/>
              </w:rPr>
            </w:pPr>
          </w:p>
          <w:p w:rsidR="00DF67D4" w:rsidRPr="000517F1" w:rsidRDefault="00DF67D4" w:rsidP="00D71BDD">
            <w:pPr>
              <w:tabs>
                <w:tab w:val="center" w:pos="4680"/>
              </w:tabs>
              <w:suppressAutoHyphens/>
              <w:rPr>
                <w:spacing w:val="-2"/>
              </w:rPr>
            </w:pPr>
            <w:r w:rsidRPr="000517F1">
              <w:rPr>
                <w:spacing w:val="-2"/>
              </w:rPr>
              <w:t>Implementation of Section 111 of the STELA Reauthorization Act</w:t>
            </w:r>
          </w:p>
        </w:tc>
        <w:tc>
          <w:tcPr>
            <w:tcW w:w="630" w:type="dxa"/>
          </w:tcPr>
          <w:p w:rsidR="00DF67D4" w:rsidRPr="000517F1" w:rsidRDefault="00DF67D4" w:rsidP="00D71BDD">
            <w:pPr>
              <w:tabs>
                <w:tab w:val="center" w:pos="4680"/>
              </w:tabs>
              <w:suppressAutoHyphens/>
              <w:rPr>
                <w:b/>
                <w:spacing w:val="-2"/>
              </w:rPr>
            </w:pPr>
            <w:r w:rsidRPr="000517F1">
              <w:rPr>
                <w:b/>
                <w:spacing w:val="-2"/>
              </w:rPr>
              <w:t>)</w:t>
            </w:r>
          </w:p>
          <w:p w:rsidR="00DF67D4" w:rsidRPr="000517F1" w:rsidRDefault="00DF67D4" w:rsidP="00D71BDD">
            <w:pPr>
              <w:tabs>
                <w:tab w:val="center" w:pos="4680"/>
              </w:tabs>
              <w:suppressAutoHyphens/>
              <w:rPr>
                <w:b/>
                <w:spacing w:val="-2"/>
              </w:rPr>
            </w:pPr>
            <w:r w:rsidRPr="000517F1">
              <w:rPr>
                <w:b/>
                <w:spacing w:val="-2"/>
              </w:rPr>
              <w:t>)</w:t>
            </w:r>
          </w:p>
          <w:p w:rsidR="00DF67D4" w:rsidRPr="000517F1" w:rsidRDefault="00DF67D4" w:rsidP="00D71BDD">
            <w:pPr>
              <w:tabs>
                <w:tab w:val="center" w:pos="4680"/>
              </w:tabs>
              <w:suppressAutoHyphens/>
              <w:rPr>
                <w:b/>
                <w:spacing w:val="-2"/>
              </w:rPr>
            </w:pPr>
            <w:r w:rsidRPr="000517F1">
              <w:rPr>
                <w:b/>
                <w:spacing w:val="-2"/>
              </w:rPr>
              <w:t>)</w:t>
            </w:r>
          </w:p>
          <w:p w:rsidR="00DF67D4" w:rsidRPr="000517F1" w:rsidRDefault="00DF67D4" w:rsidP="00D71BDD">
            <w:pPr>
              <w:tabs>
                <w:tab w:val="center" w:pos="4680"/>
              </w:tabs>
              <w:suppressAutoHyphens/>
              <w:rPr>
                <w:b/>
                <w:spacing w:val="-2"/>
              </w:rPr>
            </w:pPr>
            <w:r w:rsidRPr="000517F1">
              <w:rPr>
                <w:b/>
                <w:spacing w:val="-2"/>
              </w:rPr>
              <w:t>)</w:t>
            </w:r>
          </w:p>
          <w:p w:rsidR="00DF67D4" w:rsidRPr="000517F1" w:rsidRDefault="00DF67D4" w:rsidP="00D71BDD">
            <w:pPr>
              <w:tabs>
                <w:tab w:val="center" w:pos="4680"/>
              </w:tabs>
              <w:suppressAutoHyphens/>
              <w:rPr>
                <w:b/>
                <w:spacing w:val="-2"/>
              </w:rPr>
            </w:pPr>
            <w:r w:rsidRPr="000517F1">
              <w:rPr>
                <w:b/>
                <w:spacing w:val="-2"/>
              </w:rPr>
              <w:t>)</w:t>
            </w:r>
          </w:p>
          <w:p w:rsidR="00DF67D4" w:rsidRPr="000517F1" w:rsidRDefault="00DF67D4" w:rsidP="00D71BDD">
            <w:pPr>
              <w:tabs>
                <w:tab w:val="center" w:pos="4680"/>
              </w:tabs>
              <w:suppressAutoHyphens/>
              <w:rPr>
                <w:b/>
                <w:spacing w:val="-2"/>
              </w:rPr>
            </w:pPr>
            <w:r w:rsidRPr="000517F1">
              <w:rPr>
                <w:b/>
                <w:spacing w:val="-2"/>
              </w:rPr>
              <w:t>)</w:t>
            </w:r>
          </w:p>
          <w:p w:rsidR="00DF67D4" w:rsidRPr="000517F1" w:rsidRDefault="00DF67D4" w:rsidP="00D71BDD">
            <w:pPr>
              <w:tabs>
                <w:tab w:val="center" w:pos="4680"/>
              </w:tabs>
              <w:suppressAutoHyphens/>
              <w:rPr>
                <w:b/>
                <w:spacing w:val="-2"/>
              </w:rPr>
            </w:pPr>
            <w:r w:rsidRPr="000517F1">
              <w:rPr>
                <w:b/>
                <w:spacing w:val="-2"/>
              </w:rPr>
              <w:t>)</w:t>
            </w:r>
          </w:p>
        </w:tc>
        <w:tc>
          <w:tcPr>
            <w:tcW w:w="4248" w:type="dxa"/>
          </w:tcPr>
          <w:p w:rsidR="00DF67D4" w:rsidRPr="000517F1" w:rsidRDefault="00DF67D4" w:rsidP="00D71BDD">
            <w:pPr>
              <w:tabs>
                <w:tab w:val="center" w:pos="4680"/>
              </w:tabs>
              <w:suppressAutoHyphens/>
              <w:rPr>
                <w:spacing w:val="-2"/>
              </w:rPr>
            </w:pPr>
          </w:p>
          <w:p w:rsidR="00DF67D4" w:rsidRPr="000517F1" w:rsidRDefault="00DF67D4" w:rsidP="00D71BDD">
            <w:pPr>
              <w:pStyle w:val="TOAHeading"/>
              <w:tabs>
                <w:tab w:val="clear" w:pos="9360"/>
                <w:tab w:val="center" w:pos="4680"/>
              </w:tabs>
              <w:rPr>
                <w:spacing w:val="-2"/>
              </w:rPr>
            </w:pPr>
          </w:p>
          <w:p w:rsidR="00DF67D4" w:rsidRPr="000517F1" w:rsidRDefault="00DF67D4" w:rsidP="00D71BDD">
            <w:pPr>
              <w:tabs>
                <w:tab w:val="center" w:pos="4680"/>
              </w:tabs>
              <w:suppressAutoHyphens/>
              <w:rPr>
                <w:spacing w:val="-2"/>
              </w:rPr>
            </w:pPr>
            <w:r w:rsidRPr="000517F1">
              <w:rPr>
                <w:spacing w:val="-2"/>
              </w:rPr>
              <w:t>MB Docket No. 15-53</w:t>
            </w:r>
          </w:p>
        </w:tc>
      </w:tr>
    </w:tbl>
    <w:p w:rsidR="00DF67D4" w:rsidRPr="000517F1" w:rsidRDefault="00DF67D4"/>
    <w:p w:rsidR="004A2F65" w:rsidRPr="000517F1" w:rsidRDefault="006529FA">
      <w:pPr>
        <w:spacing w:before="120"/>
        <w:jc w:val="center"/>
        <w:rPr>
          <w:b/>
        </w:rPr>
      </w:pPr>
      <w:r w:rsidRPr="000517F1">
        <w:rPr>
          <w:b/>
          <w:spacing w:val="-2"/>
        </w:rPr>
        <w:t>ORDER</w:t>
      </w:r>
    </w:p>
    <w:p w:rsidR="004A2F65" w:rsidRPr="000517F1" w:rsidRDefault="004A2F65"/>
    <w:p w:rsidR="004A2F65" w:rsidRPr="000517F1" w:rsidRDefault="006529FA">
      <w:pPr>
        <w:tabs>
          <w:tab w:val="left" w:pos="5760"/>
        </w:tabs>
        <w:rPr>
          <w:b/>
        </w:rPr>
      </w:pPr>
      <w:r w:rsidRPr="000517F1">
        <w:rPr>
          <w:b/>
        </w:rPr>
        <w:t xml:space="preserve">Adopted:  </w:t>
      </w:r>
      <w:r w:rsidR="00DF67D4" w:rsidRPr="000517F1">
        <w:rPr>
          <w:b/>
          <w:spacing w:val="-2"/>
        </w:rPr>
        <w:t xml:space="preserve">April </w:t>
      </w:r>
      <w:r w:rsidR="00B804E6">
        <w:rPr>
          <w:b/>
          <w:spacing w:val="-2"/>
        </w:rPr>
        <w:t>6</w:t>
      </w:r>
      <w:r w:rsidR="00DF67D4" w:rsidRPr="000517F1">
        <w:rPr>
          <w:b/>
          <w:spacing w:val="-2"/>
        </w:rPr>
        <w:t>, 2015</w:t>
      </w:r>
      <w:r w:rsidRPr="000517F1">
        <w:rPr>
          <w:b/>
        </w:rPr>
        <w:tab/>
        <w:t xml:space="preserve">Released:  </w:t>
      </w:r>
      <w:r w:rsidR="00DF67D4" w:rsidRPr="000517F1">
        <w:rPr>
          <w:b/>
          <w:spacing w:val="-2"/>
        </w:rPr>
        <w:t xml:space="preserve">April </w:t>
      </w:r>
      <w:r w:rsidR="0076388A">
        <w:rPr>
          <w:b/>
          <w:spacing w:val="-2"/>
        </w:rPr>
        <w:t>7</w:t>
      </w:r>
      <w:r w:rsidRPr="000517F1">
        <w:rPr>
          <w:b/>
          <w:spacing w:val="-2"/>
        </w:rPr>
        <w:t>, 201</w:t>
      </w:r>
      <w:r w:rsidR="00DF67D4" w:rsidRPr="000517F1">
        <w:rPr>
          <w:b/>
          <w:spacing w:val="-2"/>
        </w:rPr>
        <w:t>5</w:t>
      </w:r>
    </w:p>
    <w:p w:rsidR="004A2F65" w:rsidRPr="000517F1" w:rsidRDefault="004A2F65">
      <w:pPr>
        <w:tabs>
          <w:tab w:val="left" w:pos="5760"/>
        </w:tabs>
        <w:rPr>
          <w:b/>
        </w:rPr>
      </w:pPr>
    </w:p>
    <w:p w:rsidR="004A2F65" w:rsidRPr="000517F1" w:rsidRDefault="006529FA">
      <w:pPr>
        <w:tabs>
          <w:tab w:val="left" w:pos="5760"/>
        </w:tabs>
        <w:rPr>
          <w:spacing w:val="-2"/>
        </w:rPr>
      </w:pPr>
      <w:r w:rsidRPr="000517F1">
        <w:t xml:space="preserve">By the </w:t>
      </w:r>
      <w:r w:rsidRPr="000517F1">
        <w:rPr>
          <w:spacing w:val="-2"/>
        </w:rPr>
        <w:t>Chief, Media B</w:t>
      </w:r>
      <w:r w:rsidR="00DF67D4" w:rsidRPr="000517F1">
        <w:rPr>
          <w:spacing w:val="-2"/>
        </w:rPr>
        <w:t>ureau</w:t>
      </w:r>
      <w:r w:rsidRPr="000517F1">
        <w:rPr>
          <w:spacing w:val="-2"/>
        </w:rPr>
        <w:t>:</w:t>
      </w:r>
    </w:p>
    <w:p w:rsidR="004A2F65" w:rsidRPr="000517F1" w:rsidRDefault="004A2F65">
      <w:pPr>
        <w:tabs>
          <w:tab w:val="left" w:pos="5760"/>
        </w:tabs>
        <w:rPr>
          <w:spacing w:val="-2"/>
        </w:rPr>
      </w:pPr>
    </w:p>
    <w:p w:rsidR="00DF67D4" w:rsidRPr="000517F1" w:rsidRDefault="006529FA" w:rsidP="00FA0C22">
      <w:pPr>
        <w:pStyle w:val="ParaNum"/>
        <w:tabs>
          <w:tab w:val="clear" w:pos="1080"/>
        </w:tabs>
        <w:jc w:val="left"/>
        <w:rPr>
          <w:szCs w:val="22"/>
        </w:rPr>
      </w:pPr>
      <w:r w:rsidRPr="000517F1">
        <w:t xml:space="preserve">This Order </w:t>
      </w:r>
      <w:r w:rsidR="00DF67D4" w:rsidRPr="000517F1">
        <w:t xml:space="preserve">denies a motion by the National Association of Broadcasters (NAB) and Public Knowledge </w:t>
      </w:r>
      <w:r w:rsidR="00D01C1B" w:rsidRPr="000517F1">
        <w:t xml:space="preserve">(PK) </w:t>
      </w:r>
      <w:r w:rsidR="00DF67D4" w:rsidRPr="000517F1">
        <w:t>requesting that we narrow the scope of issues addressed in the above-captioned proceeding, or in the alternative that we grant an extension of the comment and reply comment deadlines</w:t>
      </w:r>
      <w:r w:rsidRPr="000517F1">
        <w:rPr>
          <w:szCs w:val="22"/>
        </w:rPr>
        <w:t>.</w:t>
      </w:r>
      <w:r w:rsidR="00DF67D4" w:rsidRPr="000517F1">
        <w:rPr>
          <w:rStyle w:val="FootnoteReference"/>
          <w:szCs w:val="22"/>
        </w:rPr>
        <w:footnoteReference w:id="2"/>
      </w:r>
      <w:r w:rsidR="00FA0C22" w:rsidRPr="000517F1">
        <w:rPr>
          <w:szCs w:val="22"/>
        </w:rPr>
        <w:t xml:space="preserve">  </w:t>
      </w:r>
      <w:r w:rsidRPr="000517F1">
        <w:t xml:space="preserve">On </w:t>
      </w:r>
      <w:r w:rsidR="00DF67D4" w:rsidRPr="000517F1">
        <w:t xml:space="preserve">March 16, 2015, the Commission </w:t>
      </w:r>
      <w:r w:rsidR="00F33505">
        <w:t xml:space="preserve">unanimously </w:t>
      </w:r>
      <w:r w:rsidR="00DF67D4" w:rsidRPr="000517F1">
        <w:t xml:space="preserve">adopted </w:t>
      </w:r>
      <w:r w:rsidR="00FA0C22" w:rsidRPr="000517F1">
        <w:t>and released the</w:t>
      </w:r>
      <w:r w:rsidR="00DF67D4" w:rsidRPr="000517F1">
        <w:t xml:space="preserve"> Notice of Proposed Rulemaking seeking comment on how to improve the effective competition process.</w:t>
      </w:r>
      <w:r w:rsidR="00DF67D4" w:rsidRPr="000517F1">
        <w:rPr>
          <w:rStyle w:val="FootnoteReference"/>
        </w:rPr>
        <w:footnoteReference w:id="3"/>
      </w:r>
      <w:r w:rsidR="00DF67D4" w:rsidRPr="000517F1">
        <w:t xml:space="preserve">  Following publication of the </w:t>
      </w:r>
      <w:r w:rsidR="000C08D0" w:rsidRPr="000517F1">
        <w:t>NPRM in the Federal Register, comments are due on April 9, 2015 and reply comments are due on April 20, 2015.</w:t>
      </w:r>
      <w:r w:rsidR="000C08D0" w:rsidRPr="000517F1">
        <w:rPr>
          <w:rStyle w:val="FootnoteReference"/>
        </w:rPr>
        <w:footnoteReference w:id="4"/>
      </w:r>
    </w:p>
    <w:p w:rsidR="00FA0C22" w:rsidRPr="000517F1" w:rsidRDefault="00FA0C22" w:rsidP="00ED09F8">
      <w:pPr>
        <w:pStyle w:val="ParaNum"/>
        <w:tabs>
          <w:tab w:val="clear" w:pos="1080"/>
        </w:tabs>
        <w:jc w:val="left"/>
        <w:rPr>
          <w:szCs w:val="22"/>
        </w:rPr>
      </w:pPr>
      <w:r w:rsidRPr="000517F1">
        <w:t>In their Motion, NAB and P</w:t>
      </w:r>
      <w:r w:rsidR="00D01C1B" w:rsidRPr="000517F1">
        <w:t>K</w:t>
      </w:r>
      <w:r w:rsidR="00ED09F8" w:rsidRPr="000517F1">
        <w:t xml:space="preserve"> contend</w:t>
      </w:r>
      <w:r w:rsidRPr="000517F1">
        <w:t xml:space="preserve"> that </w:t>
      </w:r>
      <w:r w:rsidR="00ED09F8" w:rsidRPr="000517F1">
        <w:t>the NPRM has a broader scope than Section 111 of the STELA Reauthorization Act of 2014 (STELAR)</w:t>
      </w:r>
      <w:r w:rsidR="00B67996">
        <w:t xml:space="preserve"> requires</w:t>
      </w:r>
      <w:r w:rsidR="00ED09F8" w:rsidRPr="000517F1">
        <w:t>.</w:t>
      </w:r>
      <w:r w:rsidR="00ED09F8" w:rsidRPr="000517F1">
        <w:rPr>
          <w:rStyle w:val="FootnoteReference"/>
        </w:rPr>
        <w:footnoteReference w:id="5"/>
      </w:r>
      <w:r w:rsidR="00ED09F8" w:rsidRPr="000517F1">
        <w:t xml:space="preserve">  Due to the June 2, 2015 statutory deadline for adopting rules implementing Section 111, the Motion requests that the Commission “significantly narrow the scope of this proceeding to issues and questions specific to STELAR implementation . . . .”</w:t>
      </w:r>
      <w:r w:rsidR="00ED09F8" w:rsidRPr="000517F1">
        <w:rPr>
          <w:rStyle w:val="FootnoteReference"/>
        </w:rPr>
        <w:footnoteReference w:id="6"/>
      </w:r>
      <w:r w:rsidR="00ED09F8" w:rsidRPr="000517F1">
        <w:rPr>
          <w:szCs w:val="22"/>
        </w:rPr>
        <w:t xml:space="preserve">  </w:t>
      </w:r>
      <w:r w:rsidRPr="000517F1">
        <w:t>In the alter</w:t>
      </w:r>
      <w:r w:rsidR="00ED09F8" w:rsidRPr="000517F1">
        <w:t>native, the Motion</w:t>
      </w:r>
      <w:r w:rsidRPr="000517F1">
        <w:t xml:space="preserve"> request</w:t>
      </w:r>
      <w:r w:rsidR="00ED09F8" w:rsidRPr="000517F1">
        <w:t>s</w:t>
      </w:r>
      <w:r w:rsidRPr="000517F1">
        <w:t xml:space="preserve"> that the Commission extend the comment and reply </w:t>
      </w:r>
      <w:r w:rsidR="00ED09F8" w:rsidRPr="000517F1">
        <w:t>comment deadlines, which it</w:t>
      </w:r>
      <w:r w:rsidRPr="000517F1">
        <w:t xml:space="preserve"> assert</w:t>
      </w:r>
      <w:r w:rsidR="00ED09F8" w:rsidRPr="000517F1">
        <w:t>s</w:t>
      </w:r>
      <w:r w:rsidRPr="000517F1">
        <w:t xml:space="preserve"> “are shorter than for a typical rulemaking of this size and scope.”</w:t>
      </w:r>
      <w:r w:rsidRPr="000517F1">
        <w:rPr>
          <w:rStyle w:val="FootnoteReference"/>
        </w:rPr>
        <w:footnoteReference w:id="7"/>
      </w:r>
      <w:r w:rsidRPr="000517F1">
        <w:t xml:space="preserve">  The Motion proposes a comment deadline of May 11, 2015 and a reply comment deadline of May 26, 2015.</w:t>
      </w:r>
      <w:r w:rsidRPr="000517F1">
        <w:rPr>
          <w:rStyle w:val="FootnoteReference"/>
        </w:rPr>
        <w:footnoteReference w:id="8"/>
      </w:r>
      <w:r w:rsidR="00ED09F8" w:rsidRPr="000517F1">
        <w:t xml:space="preserve">  NAB and P</w:t>
      </w:r>
      <w:r w:rsidR="00D01C1B" w:rsidRPr="000517F1">
        <w:t>K</w:t>
      </w:r>
      <w:r w:rsidR="00ED09F8" w:rsidRPr="000517F1">
        <w:t xml:space="preserve"> claim that</w:t>
      </w:r>
      <w:r w:rsidR="00C16EF0">
        <w:t>,</w:t>
      </w:r>
      <w:r w:rsidR="00ED09F8" w:rsidRPr="000517F1">
        <w:t xml:space="preserve"> if the Commission does not narrow the scope of the proceeding, comment deadline extensions are needed “so that affected parties can fully digest the NPRM’s questions </w:t>
      </w:r>
      <w:r w:rsidR="00ED09F8" w:rsidRPr="000517F1">
        <w:lastRenderedPageBreak/>
        <w:t>and develop the most robust submissions</w:t>
      </w:r>
      <w:r w:rsidR="00325716">
        <w:t>” in response to the NPRM</w:t>
      </w:r>
      <w:r w:rsidR="00ED09F8" w:rsidRPr="000517F1">
        <w:t>.</w:t>
      </w:r>
      <w:r w:rsidR="00ED09F8" w:rsidRPr="000517F1">
        <w:rPr>
          <w:rStyle w:val="FootnoteReference"/>
        </w:rPr>
        <w:footnoteReference w:id="9"/>
      </w:r>
      <w:r w:rsidR="00ED09F8" w:rsidRPr="000517F1">
        <w:t xml:space="preserve"> </w:t>
      </w:r>
      <w:r w:rsidR="00535DD3" w:rsidRPr="000517F1">
        <w:t xml:space="preserve"> The National Cable &amp; Telecommunications Association (NCTA) and the American Cable Association (ACA) filed oppositions to the Motion.</w:t>
      </w:r>
      <w:r w:rsidR="00535DD3" w:rsidRPr="000517F1">
        <w:rPr>
          <w:rStyle w:val="FootnoteReference"/>
        </w:rPr>
        <w:footnoteReference w:id="10"/>
      </w:r>
    </w:p>
    <w:p w:rsidR="00E16DD3" w:rsidRPr="00EA7B4B" w:rsidRDefault="00D01C1B" w:rsidP="00EA7B4B">
      <w:pPr>
        <w:pStyle w:val="ParaNum"/>
        <w:tabs>
          <w:tab w:val="clear" w:pos="1080"/>
        </w:tabs>
        <w:jc w:val="left"/>
        <w:rPr>
          <w:szCs w:val="22"/>
        </w:rPr>
      </w:pPr>
      <w:r w:rsidRPr="000517F1">
        <w:t xml:space="preserve">We </w:t>
      </w:r>
      <w:r w:rsidR="00D8101C">
        <w:t>decline to</w:t>
      </w:r>
      <w:r w:rsidR="00535DD3" w:rsidRPr="000517F1">
        <w:t xml:space="preserve"> lim</w:t>
      </w:r>
      <w:r w:rsidR="00E16DD3" w:rsidRPr="000517F1">
        <w:t xml:space="preserve">it the scope of </w:t>
      </w:r>
      <w:r w:rsidR="00D8101C">
        <w:t>this proceeding, and we emphasize that the</w:t>
      </w:r>
      <w:r w:rsidR="00E16DD3" w:rsidRPr="000517F1">
        <w:t xml:space="preserve"> Commission has clear authority </w:t>
      </w:r>
      <w:r w:rsidR="00D62F71" w:rsidRPr="000517F1">
        <w:t xml:space="preserve">to conduct its proceedings as it </w:t>
      </w:r>
      <w:r w:rsidR="00C16EF0">
        <w:t>determines will best enable it to carry out its responsibilities</w:t>
      </w:r>
      <w:r w:rsidR="00DB547E" w:rsidRPr="000517F1">
        <w:t>.</w:t>
      </w:r>
      <w:r w:rsidR="00D62F71" w:rsidRPr="000517F1">
        <w:rPr>
          <w:rStyle w:val="FootnoteReference"/>
        </w:rPr>
        <w:footnoteReference w:id="11"/>
      </w:r>
      <w:r w:rsidR="00DB547E" w:rsidRPr="000517F1">
        <w:t xml:space="preserve">  The Commission has determined that the most administratively efficient approach in this proceeding is to consider </w:t>
      </w:r>
      <w:r w:rsidR="00403DD7">
        <w:t>all</w:t>
      </w:r>
      <w:r w:rsidR="00EA7B4B">
        <w:t xml:space="preserve"> issues raised in the NPRM</w:t>
      </w:r>
      <w:r w:rsidRPr="000517F1">
        <w:t>.</w:t>
      </w:r>
      <w:r w:rsidRPr="000517F1">
        <w:rPr>
          <w:rStyle w:val="FootnoteReference"/>
        </w:rPr>
        <w:footnoteReference w:id="12"/>
      </w:r>
      <w:r w:rsidRPr="000517F1">
        <w:t xml:space="preserve">  </w:t>
      </w:r>
      <w:r w:rsidR="00F33505">
        <w:t>Accordingly, w</w:t>
      </w:r>
      <w:r w:rsidRPr="000517F1">
        <w:t>e will not narrow the issues under consideration in this proceeding.</w:t>
      </w:r>
      <w:r w:rsidR="00EA7B4B">
        <w:t xml:space="preserve">  Nor will w</w:t>
      </w:r>
      <w:r w:rsidR="00E16DD3" w:rsidRPr="000517F1">
        <w:t>e exten</w:t>
      </w:r>
      <w:r w:rsidR="00EA7B4B">
        <w:t>d</w:t>
      </w:r>
      <w:r w:rsidR="00E16DD3" w:rsidRPr="000517F1">
        <w:t xml:space="preserve"> the comment deadlines</w:t>
      </w:r>
      <w:r w:rsidR="00EA7B4B">
        <w:t>, as any such extension</w:t>
      </w:r>
      <w:r w:rsidR="00B67996">
        <w:t xml:space="preserve"> </w:t>
      </w:r>
      <w:r w:rsidR="00E16DD3" w:rsidRPr="000517F1">
        <w:t xml:space="preserve">would </w:t>
      </w:r>
      <w:r w:rsidR="00F33505">
        <w:t>render it</w:t>
      </w:r>
      <w:r w:rsidR="00E16DD3" w:rsidRPr="000517F1">
        <w:t xml:space="preserve"> impossible for the Commission to </w:t>
      </w:r>
      <w:r w:rsidR="00C16EF0">
        <w:t>meet</w:t>
      </w:r>
      <w:r w:rsidR="00C16EF0" w:rsidRPr="000517F1">
        <w:t xml:space="preserve"> </w:t>
      </w:r>
      <w:r w:rsidR="00E16DD3" w:rsidRPr="000517F1">
        <w:t>the statutory deadline</w:t>
      </w:r>
      <w:r w:rsidR="00E67A96">
        <w:t xml:space="preserve"> of June 2, 2015</w:t>
      </w:r>
      <w:r w:rsidR="005F672F">
        <w:t xml:space="preserve"> through reasoned decision-making</w:t>
      </w:r>
      <w:r w:rsidR="00E16DD3" w:rsidRPr="000517F1">
        <w:t>.</w:t>
      </w:r>
      <w:r w:rsidR="00E16DD3" w:rsidRPr="000517F1">
        <w:rPr>
          <w:rStyle w:val="FootnoteReference"/>
        </w:rPr>
        <w:footnoteReference w:id="13"/>
      </w:r>
    </w:p>
    <w:p w:rsidR="004A2F65" w:rsidRPr="000517F1" w:rsidRDefault="00D01C1B" w:rsidP="00D01C1B">
      <w:pPr>
        <w:pStyle w:val="ParaNumCharCharCharCharCharCharCharChar"/>
        <w:numPr>
          <w:ilvl w:val="0"/>
          <w:numId w:val="13"/>
        </w:numPr>
        <w:tabs>
          <w:tab w:val="clear" w:pos="1080"/>
        </w:tabs>
        <w:ind w:left="-60"/>
        <w:jc w:val="left"/>
      </w:pPr>
      <w:r w:rsidRPr="000517F1">
        <w:t>For the</w:t>
      </w:r>
      <w:r w:rsidR="00C16EF0">
        <w:t>se</w:t>
      </w:r>
      <w:r w:rsidRPr="000517F1">
        <w:t xml:space="preserve"> reasons, we deny the request that we narrow the scope of this proceeding, and we also deny the request for an extension of time.  </w:t>
      </w:r>
      <w:r w:rsidR="006529FA" w:rsidRPr="000517F1">
        <w:t>This action is taken under delegated authority pu</w:t>
      </w:r>
      <w:r w:rsidR="00A65A92" w:rsidRPr="000517F1">
        <w:t>rsuant to Sections 0.61 and 0.283</w:t>
      </w:r>
      <w:r w:rsidR="006529FA" w:rsidRPr="000517F1">
        <w:t xml:space="preserve"> of the Commission’s R</w:t>
      </w:r>
      <w:r w:rsidR="00A65A92" w:rsidRPr="000517F1">
        <w:t>ules, 47 C.F.R. §§ 0.61, 0.283</w:t>
      </w:r>
      <w:r w:rsidR="006529FA" w:rsidRPr="000517F1">
        <w:t>.</w:t>
      </w:r>
    </w:p>
    <w:p w:rsidR="004A2F65" w:rsidRPr="000517F1" w:rsidRDefault="006529FA">
      <w:pPr>
        <w:pStyle w:val="ParaNum"/>
        <w:numPr>
          <w:ilvl w:val="0"/>
          <w:numId w:val="0"/>
        </w:numPr>
        <w:spacing w:before="240"/>
        <w:jc w:val="left"/>
      </w:pPr>
      <w:r w:rsidRPr="000517F1">
        <w:tab/>
      </w:r>
      <w:r w:rsidRPr="000517F1">
        <w:tab/>
      </w:r>
      <w:r w:rsidRPr="000517F1">
        <w:tab/>
      </w:r>
      <w:r w:rsidRPr="000517F1">
        <w:tab/>
        <w:t>FEDERAL COMMUNICATIONS COMMISSION</w:t>
      </w:r>
    </w:p>
    <w:p w:rsidR="004A2F65" w:rsidRPr="000517F1" w:rsidRDefault="004A2F65">
      <w:pPr>
        <w:pStyle w:val="ParaNum"/>
        <w:numPr>
          <w:ilvl w:val="0"/>
          <w:numId w:val="0"/>
        </w:numPr>
        <w:jc w:val="left"/>
      </w:pPr>
    </w:p>
    <w:p w:rsidR="004A2F65" w:rsidRPr="000517F1" w:rsidRDefault="006529FA">
      <w:pPr>
        <w:pStyle w:val="ParaNum"/>
        <w:numPr>
          <w:ilvl w:val="0"/>
          <w:numId w:val="0"/>
        </w:numPr>
        <w:spacing w:after="0"/>
        <w:jc w:val="left"/>
      </w:pPr>
      <w:r w:rsidRPr="000517F1">
        <w:tab/>
      </w:r>
      <w:r w:rsidRPr="000517F1">
        <w:tab/>
      </w:r>
      <w:r w:rsidRPr="000517F1">
        <w:tab/>
      </w:r>
      <w:r w:rsidRPr="000517F1">
        <w:tab/>
        <w:t xml:space="preserve">William T. Lake, </w:t>
      </w:r>
    </w:p>
    <w:p w:rsidR="006529FA" w:rsidRPr="00535DD3" w:rsidRDefault="006529FA">
      <w:pPr>
        <w:pStyle w:val="ParaNum"/>
        <w:numPr>
          <w:ilvl w:val="0"/>
          <w:numId w:val="0"/>
        </w:numPr>
        <w:jc w:val="left"/>
      </w:pPr>
      <w:r w:rsidRPr="000517F1">
        <w:tab/>
      </w:r>
      <w:r w:rsidRPr="000517F1">
        <w:tab/>
      </w:r>
      <w:r w:rsidRPr="000517F1">
        <w:tab/>
      </w:r>
      <w:r w:rsidRPr="000517F1">
        <w:tab/>
        <w:t>Chief, Media Bureau</w:t>
      </w:r>
    </w:p>
    <w:sectPr w:rsidR="006529FA" w:rsidRPr="00535D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0B" w:rsidRDefault="00A7590B">
      <w:r>
        <w:separator/>
      </w:r>
    </w:p>
  </w:endnote>
  <w:endnote w:type="continuationSeparator" w:id="0">
    <w:p w:rsidR="00A7590B" w:rsidRDefault="00A7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1F" w:rsidRDefault="00754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D" w:rsidRDefault="006529F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63B54">
      <w:rPr>
        <w:rStyle w:val="PageNumber"/>
        <w:noProof/>
      </w:rPr>
      <w:t>2</w:t>
    </w:r>
    <w:r>
      <w:rPr>
        <w:rStyle w:val="PageNumber"/>
      </w:rPr>
      <w:fldChar w:fldCharType="end"/>
    </w:r>
  </w:p>
  <w:p w:rsidR="007A4FED" w:rsidRDefault="00263B54">
    <w:pPr>
      <w:pStyle w:val="Footer"/>
      <w:tabs>
        <w:tab w:val="clear" w:pos="8640"/>
      </w:tabs>
      <w:ind w:left="-720" w:right="-720"/>
      <w:jc w:val="center"/>
    </w:pPr>
  </w:p>
  <w:p w:rsidR="007A4FED" w:rsidRDefault="00263B5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D" w:rsidRDefault="00263B54">
    <w:pPr>
      <w:pStyle w:val="Footer"/>
      <w:tabs>
        <w:tab w:val="clear" w:pos="8640"/>
      </w:tabs>
      <w:ind w:left="-720"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0B" w:rsidRDefault="00A7590B">
      <w:pPr>
        <w:rPr>
          <w:sz w:val="20"/>
        </w:rPr>
      </w:pPr>
      <w:r>
        <w:rPr>
          <w:sz w:val="20"/>
        </w:rPr>
        <w:separator/>
      </w:r>
    </w:p>
  </w:footnote>
  <w:footnote w:type="continuationSeparator" w:id="0">
    <w:p w:rsidR="00A7590B" w:rsidRDefault="00A7590B">
      <w:pPr>
        <w:rPr>
          <w:sz w:val="20"/>
        </w:rPr>
      </w:pPr>
      <w:r>
        <w:rPr>
          <w:sz w:val="20"/>
        </w:rPr>
        <w:separator/>
      </w:r>
    </w:p>
    <w:p w:rsidR="00A7590B" w:rsidRDefault="00A7590B">
      <w:pPr>
        <w:rPr>
          <w:sz w:val="20"/>
        </w:rPr>
      </w:pPr>
      <w:r>
        <w:rPr>
          <w:sz w:val="20"/>
        </w:rPr>
        <w:t>(...continued from previous page)</w:t>
      </w:r>
    </w:p>
  </w:footnote>
  <w:footnote w:type="continuationNotice" w:id="1">
    <w:p w:rsidR="00A7590B" w:rsidRDefault="00A7590B">
      <w:pPr>
        <w:jc w:val="right"/>
        <w:rPr>
          <w:sz w:val="20"/>
        </w:rPr>
      </w:pPr>
      <w:r>
        <w:rPr>
          <w:sz w:val="20"/>
        </w:rPr>
        <w:t>(continued....)</w:t>
      </w:r>
    </w:p>
  </w:footnote>
  <w:footnote w:id="2">
    <w:p w:rsidR="00DF67D4" w:rsidRDefault="00DF67D4" w:rsidP="000517F1">
      <w:pPr>
        <w:pStyle w:val="FootnoteText"/>
        <w:jc w:val="left"/>
      </w:pPr>
      <w:r>
        <w:rPr>
          <w:rStyle w:val="FootnoteReference"/>
        </w:rPr>
        <w:footnoteRef/>
      </w:r>
      <w:r>
        <w:t xml:space="preserve"> National Association of Broadcasters and Public Knowledge, Motion to Narrow the Scope of the Proceeding or for an Extension of Time, MB Docket No. 15-53 (filed Mar. 26, 2015) (the “Motion”).</w:t>
      </w:r>
    </w:p>
  </w:footnote>
  <w:footnote w:id="3">
    <w:p w:rsidR="00DF67D4" w:rsidRPr="00DF67D4" w:rsidRDefault="00DF67D4" w:rsidP="000517F1">
      <w:pPr>
        <w:pStyle w:val="FootnoteText"/>
        <w:jc w:val="left"/>
      </w:pPr>
      <w:r>
        <w:rPr>
          <w:rStyle w:val="FootnoteReference"/>
        </w:rPr>
        <w:footnoteRef/>
      </w:r>
      <w:r>
        <w:t xml:space="preserve"> </w:t>
      </w:r>
      <w:r>
        <w:rPr>
          <w:i/>
        </w:rPr>
        <w:t>Amendment to the Commission’s Rules Concerning Effective Competition; Implementation of Section 111 of the STELA Reauthorization Act</w:t>
      </w:r>
      <w:r>
        <w:t>, Notice of Proposed Rulemaking, MB Docket No. 15-53, FCC 15-30 (2015) (the “NPRM”).</w:t>
      </w:r>
    </w:p>
  </w:footnote>
  <w:footnote w:id="4">
    <w:p w:rsidR="000C08D0" w:rsidRPr="000C08D0" w:rsidRDefault="000C08D0" w:rsidP="000517F1">
      <w:pPr>
        <w:pStyle w:val="FootnoteText"/>
        <w:jc w:val="left"/>
      </w:pPr>
      <w:r>
        <w:rPr>
          <w:rStyle w:val="FootnoteReference"/>
        </w:rPr>
        <w:footnoteRef/>
      </w:r>
      <w:r>
        <w:t xml:space="preserve"> </w:t>
      </w:r>
      <w:r>
        <w:rPr>
          <w:i/>
        </w:rPr>
        <w:t>Media Bureau Announces Comment and Reply Comment Deadlines for Notice of Proposed Rulemaking Regarding Effective Competition</w:t>
      </w:r>
      <w:r>
        <w:t>, Public Notice, MB Docket No. 15-53, DA 15-360 (rel. Mar. 20, 2015).</w:t>
      </w:r>
    </w:p>
  </w:footnote>
  <w:footnote w:id="5">
    <w:p w:rsidR="00ED09F8" w:rsidRDefault="00ED09F8" w:rsidP="000517F1">
      <w:pPr>
        <w:pStyle w:val="FootnoteText"/>
        <w:jc w:val="left"/>
      </w:pPr>
      <w:r>
        <w:rPr>
          <w:rStyle w:val="FootnoteReference"/>
        </w:rPr>
        <w:footnoteRef/>
      </w:r>
      <w:r>
        <w:t xml:space="preserve"> Pub. L. No. 113-200, § 111, 128 Stat. 2059 (2014).</w:t>
      </w:r>
    </w:p>
  </w:footnote>
  <w:footnote w:id="6">
    <w:p w:rsidR="00ED09F8" w:rsidRDefault="00ED09F8" w:rsidP="000517F1">
      <w:pPr>
        <w:pStyle w:val="FootnoteText"/>
        <w:jc w:val="left"/>
      </w:pPr>
      <w:r>
        <w:rPr>
          <w:rStyle w:val="FootnoteReference"/>
        </w:rPr>
        <w:footnoteRef/>
      </w:r>
      <w:r>
        <w:t xml:space="preserve"> Motion at 3.</w:t>
      </w:r>
    </w:p>
  </w:footnote>
  <w:footnote w:id="7">
    <w:p w:rsidR="00FA0C22" w:rsidRDefault="00FA0C22" w:rsidP="000517F1">
      <w:pPr>
        <w:pStyle w:val="FootnoteText"/>
        <w:jc w:val="left"/>
      </w:pPr>
      <w:r>
        <w:rPr>
          <w:rStyle w:val="FootnoteReference"/>
        </w:rPr>
        <w:footnoteRef/>
      </w:r>
      <w:r>
        <w:t xml:space="preserve"> </w:t>
      </w:r>
      <w:r w:rsidR="00ED09F8">
        <w:rPr>
          <w:i/>
        </w:rPr>
        <w:t>Id.</w:t>
      </w:r>
      <w:r>
        <w:t xml:space="preserve"> at 1.</w:t>
      </w:r>
    </w:p>
  </w:footnote>
  <w:footnote w:id="8">
    <w:p w:rsidR="00FA0C22" w:rsidRPr="00FA0C22" w:rsidRDefault="00FA0C22" w:rsidP="000517F1">
      <w:pPr>
        <w:pStyle w:val="FootnoteText"/>
        <w:jc w:val="left"/>
        <w:rPr>
          <w:i/>
        </w:rPr>
      </w:pPr>
      <w:r>
        <w:rPr>
          <w:rStyle w:val="FootnoteReference"/>
        </w:rPr>
        <w:footnoteRef/>
      </w:r>
      <w:r>
        <w:t xml:space="preserve"> </w:t>
      </w:r>
      <w:r>
        <w:rPr>
          <w:i/>
        </w:rPr>
        <w:t>Id.</w:t>
      </w:r>
    </w:p>
  </w:footnote>
  <w:footnote w:id="9">
    <w:p w:rsidR="00ED09F8" w:rsidRDefault="00ED09F8" w:rsidP="000517F1">
      <w:pPr>
        <w:pStyle w:val="FootnoteText"/>
        <w:jc w:val="left"/>
      </w:pPr>
      <w:r>
        <w:rPr>
          <w:rStyle w:val="FootnoteReference"/>
        </w:rPr>
        <w:footnoteRef/>
      </w:r>
      <w:r>
        <w:t xml:space="preserve"> </w:t>
      </w:r>
      <w:r w:rsidR="00EA7B4B">
        <w:rPr>
          <w:i/>
        </w:rPr>
        <w:t>Id.</w:t>
      </w:r>
      <w:r>
        <w:t xml:space="preserve"> at 3.</w:t>
      </w:r>
    </w:p>
  </w:footnote>
  <w:footnote w:id="10">
    <w:p w:rsidR="00535DD3" w:rsidRPr="00E7335D" w:rsidRDefault="00535DD3" w:rsidP="000517F1">
      <w:pPr>
        <w:pStyle w:val="FootnoteText"/>
        <w:jc w:val="left"/>
      </w:pPr>
      <w:r>
        <w:rPr>
          <w:rStyle w:val="FootnoteReference"/>
        </w:rPr>
        <w:footnoteRef/>
      </w:r>
      <w:r>
        <w:t xml:space="preserve"> National Cable &amp; Telecommunications Association, Opposition, MB Docket No. 15-53 (filed Mar. 30, 2015) (“NCTA Opposition”); Letter from Craig Gilley, Counsel for ACA, to Marlene H. Dortch, Secretary, FCC, MB Docket No. 15-53 (filed Mar. 30, 2015) (“ACA Opposition”).</w:t>
      </w:r>
      <w:r w:rsidR="00E7335D">
        <w:t xml:space="preserve">  </w:t>
      </w:r>
      <w:r w:rsidR="007A3AE2">
        <w:t xml:space="preserve">NCTA is the principal trade association for the U.S. cable industry.  NCTA Opposition at 1, n. 1.  </w:t>
      </w:r>
      <w:r w:rsidR="00E7335D">
        <w:t xml:space="preserve">ACA represents small- and medium-sized cable operators.  </w:t>
      </w:r>
      <w:r w:rsidR="00E7335D">
        <w:rPr>
          <w:i/>
        </w:rPr>
        <w:t xml:space="preserve">See </w:t>
      </w:r>
      <w:hyperlink r:id="rId1" w:history="1">
        <w:r w:rsidR="00E7335D" w:rsidRPr="009C1E20">
          <w:rPr>
            <w:rStyle w:val="Hyperlink"/>
          </w:rPr>
          <w:t>http://www.americancable.org/about_us</w:t>
        </w:r>
      </w:hyperlink>
      <w:r w:rsidR="00E7335D" w:rsidRPr="009C1E20">
        <w:t>.</w:t>
      </w:r>
      <w:r w:rsidR="00E7335D">
        <w:rPr>
          <w:i/>
        </w:rPr>
        <w:t xml:space="preserve"> </w:t>
      </w:r>
    </w:p>
  </w:footnote>
  <w:footnote w:id="11">
    <w:p w:rsidR="00D62F71" w:rsidRPr="00DB547E" w:rsidRDefault="00D62F71" w:rsidP="000517F1">
      <w:pPr>
        <w:pStyle w:val="FootnoteText"/>
        <w:jc w:val="left"/>
      </w:pPr>
      <w:r>
        <w:rPr>
          <w:rStyle w:val="FootnoteReference"/>
        </w:rPr>
        <w:footnoteRef/>
      </w:r>
      <w:r>
        <w:t xml:space="preserve"> </w:t>
      </w:r>
      <w:r>
        <w:rPr>
          <w:i/>
        </w:rPr>
        <w:t xml:space="preserve">See </w:t>
      </w:r>
      <w:r>
        <w:t>47 U.S.C. § 154(j) (“The Commission may conduct its proceedings in such manner as will best conduce to the proper dispatch of business and to the ends of justice.”).</w:t>
      </w:r>
      <w:r w:rsidR="00DB547E">
        <w:t xml:space="preserve">  </w:t>
      </w:r>
      <w:r w:rsidR="00DB547E">
        <w:rPr>
          <w:i/>
        </w:rPr>
        <w:t xml:space="preserve">See also </w:t>
      </w:r>
      <w:r w:rsidR="00DB547E">
        <w:t>NCTA Opposition at 2 (“The request to modify the NPRM after release represents an extraordinary and improper attempt to obtain premature reconsideration of a proposed rule before the Commission even has a chance to consider it, let alone adopt it.”).</w:t>
      </w:r>
    </w:p>
  </w:footnote>
  <w:footnote w:id="12">
    <w:p w:rsidR="00D01C1B" w:rsidRPr="00D01C1B" w:rsidRDefault="00D01C1B" w:rsidP="000517F1">
      <w:pPr>
        <w:pStyle w:val="FootnoteText"/>
        <w:jc w:val="left"/>
      </w:pPr>
      <w:r>
        <w:rPr>
          <w:rStyle w:val="FootnoteReference"/>
        </w:rPr>
        <w:footnoteRef/>
      </w:r>
      <w:r>
        <w:t xml:space="preserve"> </w:t>
      </w:r>
      <w:r>
        <w:rPr>
          <w:i/>
        </w:rPr>
        <w:t xml:space="preserve">See </w:t>
      </w:r>
      <w:r>
        <w:t>ACA Opposition (noting that the Motion “would interfere with the Commission’s consideration of viable options in accordance with Congress’ directive and prevent it from completing the rulemaking adopting relief for small</w:t>
      </w:r>
      <w:r w:rsidR="00EA7B4B">
        <w:t>er</w:t>
      </w:r>
      <w:r>
        <w:t xml:space="preserve"> cable operators by the deadline established in Section 111.”).</w:t>
      </w:r>
    </w:p>
  </w:footnote>
  <w:footnote w:id="13">
    <w:p w:rsidR="00E16DD3" w:rsidRPr="00E16DD3" w:rsidRDefault="00E16DD3" w:rsidP="000517F1">
      <w:pPr>
        <w:pStyle w:val="FootnoteText"/>
        <w:jc w:val="left"/>
      </w:pPr>
      <w:r>
        <w:rPr>
          <w:rStyle w:val="FootnoteReference"/>
        </w:rPr>
        <w:footnoteRef/>
      </w:r>
      <w:r>
        <w:t xml:space="preserve"> </w:t>
      </w:r>
      <w:r>
        <w:rPr>
          <w:i/>
        </w:rPr>
        <w:t xml:space="preserve">See </w:t>
      </w:r>
      <w:r w:rsidR="00EA7B4B">
        <w:t>47 C.F.R. § 1.46(a) (“extensions of time shall not be routinely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1F" w:rsidRDefault="00754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D" w:rsidRDefault="006529FA">
    <w:pPr>
      <w:pStyle w:val="Header"/>
      <w:tabs>
        <w:tab w:val="clear" w:pos="4320"/>
        <w:tab w:val="clear" w:pos="8640"/>
        <w:tab w:val="center" w:pos="4680"/>
        <w:tab w:val="right" w:pos="9360"/>
      </w:tabs>
      <w:rPr>
        <w:b/>
      </w:rPr>
    </w:pPr>
    <w:r>
      <w:rPr>
        <w:b/>
      </w:rPr>
      <w:tab/>
      <w:t>Federal Com</w:t>
    </w:r>
    <w:r w:rsidR="00535DD3">
      <w:rPr>
        <w:b/>
      </w:rPr>
      <w:t>munications Commission</w:t>
    </w:r>
    <w:r w:rsidR="00535DD3">
      <w:rPr>
        <w:b/>
      </w:rPr>
      <w:tab/>
      <w:t>DA 15</w:t>
    </w:r>
    <w:r w:rsidR="00FF697B">
      <w:rPr>
        <w:b/>
      </w:rPr>
      <w:t>-425</w:t>
    </w:r>
    <w:r>
      <w:rPr>
        <w:b/>
      </w:rPr>
      <w:t xml:space="preserve"> </w:t>
    </w:r>
  </w:p>
  <w:p w:rsidR="007A4FED" w:rsidRDefault="00AE7BD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D9A0ACD" wp14:editId="099D17D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A4FED" w:rsidRDefault="00263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D" w:rsidRDefault="006529FA">
    <w:pPr>
      <w:pStyle w:val="Header"/>
      <w:tabs>
        <w:tab w:val="clear" w:pos="4320"/>
        <w:tab w:val="clear" w:pos="8640"/>
        <w:tab w:val="center" w:pos="4680"/>
        <w:tab w:val="right" w:pos="9360"/>
      </w:tabs>
      <w:rPr>
        <w:b/>
      </w:rPr>
    </w:pPr>
    <w:r>
      <w:rPr>
        <w:b/>
      </w:rPr>
      <w:tab/>
      <w:t>Federal</w:t>
    </w:r>
    <w:r w:rsidR="00D02955">
      <w:rPr>
        <w:b/>
      </w:rPr>
      <w:t xml:space="preserve"> C</w:t>
    </w:r>
    <w:r w:rsidR="00FF697B">
      <w:rPr>
        <w:b/>
      </w:rPr>
      <w:t>ommunications Commission</w:t>
    </w:r>
    <w:r w:rsidR="00FF697B">
      <w:rPr>
        <w:b/>
      </w:rPr>
      <w:tab/>
      <w:t>DA 15-425</w:t>
    </w:r>
    <w:r>
      <w:rPr>
        <w:b/>
      </w:rPr>
      <w:t xml:space="preserve">  </w:t>
    </w:r>
  </w:p>
  <w:p w:rsidR="007A4FED" w:rsidRDefault="00AE7BD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D0"/>
    <w:rsid w:val="000517F1"/>
    <w:rsid w:val="00082AB8"/>
    <w:rsid w:val="000C08D0"/>
    <w:rsid w:val="00135C20"/>
    <w:rsid w:val="00197CB7"/>
    <w:rsid w:val="001F06CB"/>
    <w:rsid w:val="00263B54"/>
    <w:rsid w:val="00264DFE"/>
    <w:rsid w:val="00325716"/>
    <w:rsid w:val="00353499"/>
    <w:rsid w:val="00393781"/>
    <w:rsid w:val="003A42AF"/>
    <w:rsid w:val="00403DD7"/>
    <w:rsid w:val="004A2F65"/>
    <w:rsid w:val="00535DD3"/>
    <w:rsid w:val="005A229C"/>
    <w:rsid w:val="005F672F"/>
    <w:rsid w:val="00612D68"/>
    <w:rsid w:val="006529FA"/>
    <w:rsid w:val="00754C1F"/>
    <w:rsid w:val="0076388A"/>
    <w:rsid w:val="007A3AE2"/>
    <w:rsid w:val="007F1C28"/>
    <w:rsid w:val="0090075B"/>
    <w:rsid w:val="0096374C"/>
    <w:rsid w:val="00971F02"/>
    <w:rsid w:val="009B357D"/>
    <w:rsid w:val="009C1E20"/>
    <w:rsid w:val="00A41BED"/>
    <w:rsid w:val="00A65A92"/>
    <w:rsid w:val="00A7590B"/>
    <w:rsid w:val="00AE7BD0"/>
    <w:rsid w:val="00B63859"/>
    <w:rsid w:val="00B67996"/>
    <w:rsid w:val="00B804E6"/>
    <w:rsid w:val="00BB7CE4"/>
    <w:rsid w:val="00C16EF0"/>
    <w:rsid w:val="00C5225E"/>
    <w:rsid w:val="00C93037"/>
    <w:rsid w:val="00CA2F4A"/>
    <w:rsid w:val="00CD487C"/>
    <w:rsid w:val="00D01C1B"/>
    <w:rsid w:val="00D02955"/>
    <w:rsid w:val="00D17C72"/>
    <w:rsid w:val="00D257FB"/>
    <w:rsid w:val="00D40FBE"/>
    <w:rsid w:val="00D62F71"/>
    <w:rsid w:val="00D8101C"/>
    <w:rsid w:val="00DB547E"/>
    <w:rsid w:val="00DF67D4"/>
    <w:rsid w:val="00E10975"/>
    <w:rsid w:val="00E16DD3"/>
    <w:rsid w:val="00E27812"/>
    <w:rsid w:val="00E67A96"/>
    <w:rsid w:val="00E7335D"/>
    <w:rsid w:val="00EA7B4B"/>
    <w:rsid w:val="00ED09F8"/>
    <w:rsid w:val="00ED21E6"/>
    <w:rsid w:val="00F33505"/>
    <w:rsid w:val="00FA0C22"/>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1"/>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paranum0">
    <w:name w:val="paranum"/>
    <w:basedOn w:val="Normal"/>
    <w:pPr>
      <w:tabs>
        <w:tab w:val="num" w:pos="1080"/>
      </w:tabs>
      <w:spacing w:after="220"/>
      <w:ind w:firstLine="720"/>
      <w:jc w:val="both"/>
    </w:pPr>
    <w:rPr>
      <w:szCs w:val="22"/>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2 Char Char,Footnote Text Char1 Char Char Char,Footnote Text Char Char Char Char Char,Footnote Text Char2 Char Char1 Char Char Char,Footnote Text Char1 Char Char Char1 Char Char Char"/>
    <w:link w:val="FootnoteText"/>
    <w:rPr>
      <w:lang w:val="en-US" w:eastAsia="en-US" w:bidi="ar-SA"/>
    </w:rPr>
  </w:style>
  <w:style w:type="paragraph" w:customStyle="1" w:styleId="ParaNumCharCharCharCharCharCharCharChar">
    <w:name w:val="ParaNum Char Char Char Char Char Char Char Char"/>
    <w:basedOn w:val="Normal"/>
    <w:link w:val="ParaNumCharCharCharCharCharCharCharCharChar"/>
    <w:pPr>
      <w:widowControl w:val="0"/>
      <w:tabs>
        <w:tab w:val="num" w:pos="1020"/>
        <w:tab w:val="left" w:pos="1440"/>
      </w:tabs>
      <w:spacing w:after="220"/>
      <w:ind w:left="-60" w:firstLine="720"/>
      <w:jc w:val="both"/>
    </w:pPr>
  </w:style>
  <w:style w:type="character" w:customStyle="1" w:styleId="ParaNumCharCharCharCharCharCharCharCharChar">
    <w:name w:val="ParaNum Char Char Char Char Char Char Char Char Char"/>
    <w:link w:val="ParaNumCharCharCharCharCharCharCharChar"/>
    <w:rPr>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AHeading">
    <w:name w:val="toa heading"/>
    <w:basedOn w:val="Normal"/>
    <w:next w:val="Normal"/>
    <w:rsid w:val="00DF67D4"/>
    <w:pPr>
      <w:widowControl w:val="0"/>
      <w:tabs>
        <w:tab w:val="right" w:pos="9360"/>
      </w:tabs>
      <w:suppressAutoHyphens/>
    </w:pPr>
    <w:rPr>
      <w:snapToGrid w:val="0"/>
      <w:kern w:val="28"/>
    </w:rPr>
  </w:style>
  <w:style w:type="character" w:styleId="PlaceholderText">
    <w:name w:val="Placeholder Text"/>
    <w:basedOn w:val="DefaultParagraphFont"/>
    <w:uiPriority w:val="99"/>
    <w:semiHidden/>
    <w:rsid w:val="00D17C72"/>
    <w:rPr>
      <w:color w:val="808080"/>
    </w:rPr>
  </w:style>
  <w:style w:type="character" w:styleId="Hyperlink">
    <w:name w:val="Hyperlink"/>
    <w:basedOn w:val="DefaultParagraphFont"/>
    <w:rsid w:val="00E73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1"/>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paranum0">
    <w:name w:val="paranum"/>
    <w:basedOn w:val="Normal"/>
    <w:pPr>
      <w:tabs>
        <w:tab w:val="num" w:pos="1080"/>
      </w:tabs>
      <w:spacing w:after="220"/>
      <w:ind w:firstLine="720"/>
      <w:jc w:val="both"/>
    </w:pPr>
    <w:rPr>
      <w:szCs w:val="22"/>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2 Char Char,Footnote Text Char1 Char Char Char,Footnote Text Char Char Char Char Char,Footnote Text Char2 Char Char1 Char Char Char,Footnote Text Char1 Char Char Char1 Char Char Char"/>
    <w:link w:val="FootnoteText"/>
    <w:rPr>
      <w:lang w:val="en-US" w:eastAsia="en-US" w:bidi="ar-SA"/>
    </w:rPr>
  </w:style>
  <w:style w:type="paragraph" w:customStyle="1" w:styleId="ParaNumCharCharCharCharCharCharCharChar">
    <w:name w:val="ParaNum Char Char Char Char Char Char Char Char"/>
    <w:basedOn w:val="Normal"/>
    <w:link w:val="ParaNumCharCharCharCharCharCharCharCharChar"/>
    <w:pPr>
      <w:widowControl w:val="0"/>
      <w:tabs>
        <w:tab w:val="num" w:pos="1020"/>
        <w:tab w:val="left" w:pos="1440"/>
      </w:tabs>
      <w:spacing w:after="220"/>
      <w:ind w:left="-60" w:firstLine="720"/>
      <w:jc w:val="both"/>
    </w:pPr>
  </w:style>
  <w:style w:type="character" w:customStyle="1" w:styleId="ParaNumCharCharCharCharCharCharCharCharChar">
    <w:name w:val="ParaNum Char Char Char Char Char Char Char Char Char"/>
    <w:link w:val="ParaNumCharCharCharCharCharCharCharChar"/>
    <w:rPr>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AHeading">
    <w:name w:val="toa heading"/>
    <w:basedOn w:val="Normal"/>
    <w:next w:val="Normal"/>
    <w:rsid w:val="00DF67D4"/>
    <w:pPr>
      <w:widowControl w:val="0"/>
      <w:tabs>
        <w:tab w:val="right" w:pos="9360"/>
      </w:tabs>
      <w:suppressAutoHyphens/>
    </w:pPr>
    <w:rPr>
      <w:snapToGrid w:val="0"/>
      <w:kern w:val="28"/>
    </w:rPr>
  </w:style>
  <w:style w:type="character" w:styleId="PlaceholderText">
    <w:name w:val="Placeholder Text"/>
    <w:basedOn w:val="DefaultParagraphFont"/>
    <w:uiPriority w:val="99"/>
    <w:semiHidden/>
    <w:rsid w:val="00D17C72"/>
    <w:rPr>
      <w:color w:val="808080"/>
    </w:rPr>
  </w:style>
  <w:style w:type="character" w:styleId="Hyperlink">
    <w:name w:val="Hyperlink"/>
    <w:basedOn w:val="DefaultParagraphFont"/>
    <w:rsid w:val="00E73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62694">
      <w:bodyDiv w:val="1"/>
      <w:marLeft w:val="0"/>
      <w:marRight w:val="0"/>
      <w:marTop w:val="0"/>
      <w:marBottom w:val="0"/>
      <w:divBdr>
        <w:top w:val="none" w:sz="0" w:space="0" w:color="auto"/>
        <w:left w:val="none" w:sz="0" w:space="0" w:color="auto"/>
        <w:bottom w:val="none" w:sz="0" w:space="0" w:color="auto"/>
        <w:right w:val="none" w:sz="0" w:space="0" w:color="auto"/>
      </w:divBdr>
    </w:div>
    <w:div w:id="2020765802">
      <w:bodyDiv w:val="1"/>
      <w:marLeft w:val="0"/>
      <w:marRight w:val="0"/>
      <w:marTop w:val="0"/>
      <w:marBottom w:val="0"/>
      <w:divBdr>
        <w:top w:val="none" w:sz="0" w:space="0" w:color="auto"/>
        <w:left w:val="none" w:sz="0" w:space="0" w:color="auto"/>
        <w:bottom w:val="none" w:sz="0" w:space="0" w:color="auto"/>
        <w:right w:val="none" w:sz="0" w:space="0" w:color="auto"/>
      </w:divBdr>
      <w:divsChild>
        <w:div w:id="116759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cable.org/about_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483</Words>
  <Characters>2515</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2015-04-01T13:29:00Z</cp:lastPrinted>
  <dcterms:created xsi:type="dcterms:W3CDTF">2015-04-07T14:24:00Z</dcterms:created>
  <dcterms:modified xsi:type="dcterms:W3CDTF">2015-04-07T14:24:00Z</dcterms:modified>
  <cp:category> </cp:category>
  <cp:contentStatus> </cp:contentStatus>
</cp:coreProperties>
</file>