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0" w:rsidRDefault="006171A0">
      <w:pPr>
        <w:pStyle w:val="Header"/>
        <w:tabs>
          <w:tab w:val="clear" w:pos="4320"/>
          <w:tab w:val="clear" w:pos="8640"/>
        </w:tabs>
        <w:sectPr w:rsidR="006171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171A0" w:rsidRDefault="0017504F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 xml:space="preserve">DA </w:t>
      </w:r>
      <w:r w:rsidR="001678CE" w:rsidRPr="001678CE">
        <w:rPr>
          <w:b/>
          <w:szCs w:val="22"/>
        </w:rPr>
        <w:t>15-451</w:t>
      </w:r>
    </w:p>
    <w:p w:rsidR="006171A0" w:rsidRPr="006171A0" w:rsidRDefault="00D36EE1" w:rsidP="00DA1F50">
      <w:pPr>
        <w:jc w:val="right"/>
        <w:rPr>
          <w:szCs w:val="22"/>
        </w:rPr>
      </w:pPr>
      <w:r>
        <w:rPr>
          <w:b/>
          <w:szCs w:val="22"/>
        </w:rPr>
        <w:t xml:space="preserve">Released: </w:t>
      </w:r>
      <w:r w:rsidR="00DC385E">
        <w:rPr>
          <w:b/>
          <w:szCs w:val="22"/>
        </w:rPr>
        <w:t>April</w:t>
      </w:r>
      <w:r w:rsidR="00EF37E4">
        <w:rPr>
          <w:b/>
          <w:szCs w:val="22"/>
        </w:rPr>
        <w:t xml:space="preserve"> </w:t>
      </w:r>
      <w:r w:rsidR="0064173D">
        <w:rPr>
          <w:b/>
          <w:szCs w:val="22"/>
        </w:rPr>
        <w:t>10</w:t>
      </w:r>
      <w:r w:rsidR="00C77B13">
        <w:rPr>
          <w:b/>
          <w:szCs w:val="22"/>
        </w:rPr>
        <w:t>, 20</w:t>
      </w:r>
      <w:r w:rsidR="00861800">
        <w:rPr>
          <w:b/>
          <w:szCs w:val="22"/>
        </w:rPr>
        <w:t>15</w:t>
      </w:r>
    </w:p>
    <w:p w:rsidR="006171A0" w:rsidRPr="006171A0" w:rsidRDefault="006171A0">
      <w:pPr>
        <w:jc w:val="right"/>
        <w:rPr>
          <w:szCs w:val="22"/>
        </w:rPr>
      </w:pPr>
    </w:p>
    <w:p w:rsidR="00A51C38" w:rsidRDefault="000E5FDE" w:rsidP="00A51C38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PUBLIC SAFETY AND HOMELAND SECURITY </w:t>
      </w:r>
      <w:r w:rsidR="00A940CA">
        <w:rPr>
          <w:b/>
          <w:caps/>
          <w:szCs w:val="22"/>
        </w:rPr>
        <w:t xml:space="preserve">BUREAU </w:t>
      </w:r>
      <w:r w:rsidR="009D26B7">
        <w:rPr>
          <w:b/>
          <w:caps/>
          <w:szCs w:val="22"/>
        </w:rPr>
        <w:t>CLARIFI</w:t>
      </w:r>
      <w:r w:rsidR="004A41FB">
        <w:rPr>
          <w:b/>
          <w:caps/>
          <w:szCs w:val="22"/>
        </w:rPr>
        <w:t xml:space="preserve">es </w:t>
      </w:r>
    </w:p>
    <w:p w:rsidR="00861800" w:rsidRPr="00861800" w:rsidRDefault="009D26B7" w:rsidP="00861800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THE </w:t>
      </w:r>
      <w:r w:rsidR="00861800">
        <w:rPr>
          <w:b/>
          <w:caps/>
          <w:szCs w:val="22"/>
        </w:rPr>
        <w:t xml:space="preserve">PROCESS FOR ACCEPTING APPLICATIONS FROM </w:t>
      </w:r>
      <w:r w:rsidR="001438F8">
        <w:rPr>
          <w:b/>
          <w:caps/>
          <w:szCs w:val="22"/>
        </w:rPr>
        <w:t xml:space="preserve">public safety licensees </w:t>
      </w:r>
      <w:r w:rsidR="0008520A">
        <w:rPr>
          <w:b/>
          <w:caps/>
          <w:szCs w:val="22"/>
        </w:rPr>
        <w:t xml:space="preserve">THAT </w:t>
      </w:r>
      <w:r w:rsidR="002E0CA3">
        <w:rPr>
          <w:b/>
          <w:caps/>
          <w:szCs w:val="22"/>
        </w:rPr>
        <w:t>ELECT</w:t>
      </w:r>
      <w:r w:rsidR="00861800">
        <w:rPr>
          <w:b/>
          <w:caps/>
          <w:szCs w:val="22"/>
        </w:rPr>
        <w:t xml:space="preserve">ED </w:t>
      </w:r>
      <w:r w:rsidR="00C924E4">
        <w:rPr>
          <w:b/>
          <w:caps/>
          <w:szCs w:val="22"/>
        </w:rPr>
        <w:t xml:space="preserve">to remain in the </w:t>
      </w:r>
      <w:r w:rsidR="0041175B">
        <w:rPr>
          <w:b/>
          <w:caps/>
          <w:szCs w:val="22"/>
        </w:rPr>
        <w:t xml:space="preserve">800 MHz </w:t>
      </w:r>
      <w:r w:rsidR="00C924E4">
        <w:rPr>
          <w:b/>
          <w:caps/>
          <w:szCs w:val="22"/>
        </w:rPr>
        <w:t>Expansion band</w:t>
      </w:r>
      <w:r w:rsidR="006171A0" w:rsidRPr="006171A0">
        <w:rPr>
          <w:b/>
          <w:caps/>
          <w:szCs w:val="22"/>
        </w:rPr>
        <w:t xml:space="preserve"> </w:t>
      </w:r>
    </w:p>
    <w:p w:rsidR="006171A0" w:rsidRPr="006171A0" w:rsidRDefault="006171A0" w:rsidP="008D6727">
      <w:pPr>
        <w:spacing w:after="240"/>
        <w:jc w:val="center"/>
        <w:rPr>
          <w:b/>
          <w:szCs w:val="22"/>
        </w:rPr>
      </w:pPr>
      <w:r w:rsidRPr="006171A0">
        <w:rPr>
          <w:b/>
          <w:szCs w:val="22"/>
        </w:rPr>
        <w:t>WT Docket No. 02-55</w:t>
      </w:r>
    </w:p>
    <w:p w:rsidR="00EA5001" w:rsidRDefault="0082086D" w:rsidP="008D6727">
      <w:pPr>
        <w:spacing w:after="120"/>
        <w:ind w:firstLine="720"/>
      </w:pPr>
      <w:r>
        <w:t>By this Public Notice, the Public Safety a</w:t>
      </w:r>
      <w:r w:rsidRPr="0082086D">
        <w:t>nd Homeland Security Bureau</w:t>
      </w:r>
      <w:r>
        <w:t xml:space="preserve"> (PSHSB) </w:t>
      </w:r>
      <w:r w:rsidR="009D26B7">
        <w:t>clarifies</w:t>
      </w:r>
      <w:r w:rsidR="001B6D22">
        <w:t xml:space="preserve"> </w:t>
      </w:r>
      <w:r w:rsidR="00C924E4">
        <w:t xml:space="preserve">the </w:t>
      </w:r>
      <w:r w:rsidR="00861800">
        <w:t xml:space="preserve">process by which it will accept applications for expanded </w:t>
      </w:r>
      <w:r w:rsidR="00B25CA1">
        <w:t xml:space="preserve">coverage or additional channels </w:t>
      </w:r>
      <w:r w:rsidR="00861800">
        <w:t xml:space="preserve">from </w:t>
      </w:r>
      <w:r w:rsidR="00C924E4">
        <w:t xml:space="preserve">public safety </w:t>
      </w:r>
      <w:r w:rsidR="00861800">
        <w:t xml:space="preserve">licensees </w:t>
      </w:r>
      <w:r w:rsidR="00DE4173">
        <w:t>that</w:t>
      </w:r>
      <w:r w:rsidR="00AF44BE">
        <w:t xml:space="preserve"> elected to remain </w:t>
      </w:r>
      <w:r w:rsidR="00861800">
        <w:t>in the 800 MHz Expansion Band</w:t>
      </w:r>
      <w:r w:rsidR="00DC385E">
        <w:t xml:space="preserve"> (815-816/860-861 MHz).</w:t>
      </w:r>
      <w:r w:rsidR="00DC385E" w:rsidRPr="00C77B13">
        <w:rPr>
          <w:rStyle w:val="FootnoteReference"/>
        </w:rPr>
        <w:footnoteReference w:id="1"/>
      </w:r>
      <w:r w:rsidR="00DC385E">
        <w:t xml:space="preserve">  Such</w:t>
      </w:r>
      <w:r w:rsidR="00E90CB8">
        <w:t xml:space="preserve"> app</w:t>
      </w:r>
      <w:r w:rsidR="00EA5001">
        <w:t xml:space="preserve">lications </w:t>
      </w:r>
      <w:r w:rsidR="00DC385E">
        <w:t>wi</w:t>
      </w:r>
      <w:r w:rsidR="00EA5001">
        <w:t xml:space="preserve">ll be subject to pre-coordination and will only be accepted </w:t>
      </w:r>
      <w:r w:rsidR="00BE5E0D">
        <w:t xml:space="preserve">on or </w:t>
      </w:r>
      <w:r w:rsidR="00EA5001">
        <w:t xml:space="preserve">after the filing date established by PSHSB and the Wireless Telecommunications Bureau (WTB) upon completion of band reconfiguration in </w:t>
      </w:r>
      <w:r w:rsidR="00DC385E">
        <w:t>each</w:t>
      </w:r>
      <w:r w:rsidR="00EA5001">
        <w:t xml:space="preserve"> N</w:t>
      </w:r>
      <w:r w:rsidR="00EF6F82">
        <w:t xml:space="preserve">ational Public Safety </w:t>
      </w:r>
      <w:r w:rsidR="00EA5001">
        <w:t>P</w:t>
      </w:r>
      <w:r w:rsidR="00EF6F82">
        <w:t>lanning Advisory Committee (NP</w:t>
      </w:r>
      <w:r w:rsidR="00EA5001">
        <w:t>SPAC</w:t>
      </w:r>
      <w:r w:rsidR="00EF6F82">
        <w:t>)</w:t>
      </w:r>
      <w:r w:rsidR="00EA5001">
        <w:t xml:space="preserve"> region.</w:t>
      </w:r>
    </w:p>
    <w:p w:rsidR="00EA5001" w:rsidRPr="00E7257E" w:rsidRDefault="00EA5001" w:rsidP="00E7257E">
      <w:pPr>
        <w:spacing w:after="120"/>
        <w:rPr>
          <w:u w:val="single"/>
        </w:rPr>
      </w:pPr>
      <w:r w:rsidRPr="00E7257E">
        <w:rPr>
          <w:u w:val="single"/>
        </w:rPr>
        <w:t>Expansion Band</w:t>
      </w:r>
    </w:p>
    <w:p w:rsidR="00B25CA1" w:rsidRDefault="00B25CA1" w:rsidP="008D6727">
      <w:pPr>
        <w:spacing w:after="120"/>
        <w:ind w:firstLine="720"/>
      </w:pPr>
      <w:r>
        <w:t>In April 2007</w:t>
      </w:r>
      <w:r w:rsidR="00DC385E">
        <w:t>,</w:t>
      </w:r>
      <w:r>
        <w:t xml:space="preserve"> PSHSB released a Public Notice detailing the rights of public safety licensees </w:t>
      </w:r>
      <w:r w:rsidR="008C2BD8">
        <w:t xml:space="preserve">that had operated in </w:t>
      </w:r>
      <w:r>
        <w:t>the Expansion Band</w:t>
      </w:r>
      <w:r w:rsidR="008C2BD8">
        <w:t xml:space="preserve"> prior to 800 MHz rebanding</w:t>
      </w:r>
      <w:r w:rsidR="007D6BDF">
        <w:t>.</w:t>
      </w:r>
      <w:r w:rsidR="001A7E91">
        <w:rPr>
          <w:rStyle w:val="FootnoteReference"/>
        </w:rPr>
        <w:footnoteReference w:id="2"/>
      </w:r>
      <w:r w:rsidR="007D6BDF">
        <w:t xml:space="preserve">  </w:t>
      </w:r>
      <w:r w:rsidR="008C2BD8">
        <w:t xml:space="preserve">These </w:t>
      </w:r>
      <w:r w:rsidR="007D6BDF">
        <w:t>licensees were offered the option of remaining on their current channels or re-tuning to channels lower in the band.</w:t>
      </w:r>
      <w:r w:rsidR="007D6BDF" w:rsidRPr="00A51C38">
        <w:rPr>
          <w:rStyle w:val="FootnoteReference"/>
        </w:rPr>
        <w:footnoteReference w:id="3"/>
      </w:r>
      <w:r w:rsidR="007D6BDF">
        <w:t xml:space="preserve">  To accommodate public safety licensees exercising their option to re</w:t>
      </w:r>
      <w:r w:rsidR="007F52B4">
        <w:t>-tune</w:t>
      </w:r>
      <w:r w:rsidR="007D6BDF">
        <w:t xml:space="preserve">, the Commission </w:t>
      </w:r>
      <w:r w:rsidR="00BE5E0D">
        <w:t xml:space="preserve">(1) </w:t>
      </w:r>
      <w:r w:rsidR="007D6BDF">
        <w:t>reclassified twelve SMR channels below the Expansion Band as public safety channels</w:t>
      </w:r>
      <w:r w:rsidR="00BE5E0D">
        <w:t xml:space="preserve"> and (2) </w:t>
      </w:r>
      <w:r w:rsidR="007D6BDF">
        <w:t xml:space="preserve">reclassified the twelve </w:t>
      </w:r>
      <w:r w:rsidR="007D6BDF">
        <w:lastRenderedPageBreak/>
        <w:t>public safety channels in the Expansion Band as SMR channels, but allowed public safety licensees to remain on those channels notwithstanding their reclassification.</w:t>
      </w:r>
      <w:r w:rsidR="007D6BDF" w:rsidRPr="00A51C38">
        <w:rPr>
          <w:rStyle w:val="FootnoteReference"/>
        </w:rPr>
        <w:footnoteReference w:id="4"/>
      </w:r>
    </w:p>
    <w:p w:rsidR="00764F88" w:rsidRDefault="007D6BDF" w:rsidP="008D6727">
      <w:pPr>
        <w:spacing w:after="120"/>
        <w:ind w:firstLine="720"/>
      </w:pPr>
      <w:r>
        <w:t xml:space="preserve">In the </w:t>
      </w:r>
      <w:r w:rsidR="00281BAA">
        <w:rPr>
          <w:i/>
        </w:rPr>
        <w:t xml:space="preserve">Expansion Band </w:t>
      </w:r>
      <w:r w:rsidR="0084179E">
        <w:rPr>
          <w:i/>
        </w:rPr>
        <w:t xml:space="preserve">Guidance </w:t>
      </w:r>
      <w:r w:rsidRPr="00281BAA">
        <w:rPr>
          <w:i/>
        </w:rPr>
        <w:t>P</w:t>
      </w:r>
      <w:r w:rsidR="00281BAA">
        <w:rPr>
          <w:i/>
        </w:rPr>
        <w:t>N</w:t>
      </w:r>
      <w:r>
        <w:t xml:space="preserve">, PSHSB </w:t>
      </w:r>
      <w:r w:rsidR="007F52B4">
        <w:t>explained that public s</w:t>
      </w:r>
      <w:r w:rsidR="00EE7138">
        <w:t xml:space="preserve">afety licensees </w:t>
      </w:r>
      <w:r w:rsidR="00DE4173">
        <w:t>that</w:t>
      </w:r>
      <w:r w:rsidR="00EE7138">
        <w:t xml:space="preserve"> elected to remain on their </w:t>
      </w:r>
      <w:r w:rsidR="00764F88">
        <w:t xml:space="preserve">reclassified </w:t>
      </w:r>
      <w:r w:rsidR="00EE7138">
        <w:t xml:space="preserve">Expansion Band channels are permitted to modify their operations on those channels, </w:t>
      </w:r>
      <w:r w:rsidR="00EE7138" w:rsidRPr="00EE7138">
        <w:t>including expan</w:t>
      </w:r>
      <w:r w:rsidR="00EE7138">
        <w:t xml:space="preserve">ding </w:t>
      </w:r>
      <w:r w:rsidR="00EE7138" w:rsidRPr="00EE7138">
        <w:t>coverage contours, without the need to request a rule waiver.</w:t>
      </w:r>
      <w:r w:rsidR="001A7E91">
        <w:rPr>
          <w:rStyle w:val="FootnoteReference"/>
        </w:rPr>
        <w:footnoteReference w:id="5"/>
      </w:r>
      <w:r w:rsidR="00EE7138">
        <w:t xml:space="preserve">  Furthermore, PSHSB explained that </w:t>
      </w:r>
      <w:r w:rsidR="00764F88">
        <w:t xml:space="preserve">public safety licensees </w:t>
      </w:r>
      <w:r w:rsidR="00DE4173">
        <w:t>that</w:t>
      </w:r>
      <w:r w:rsidR="00764F88">
        <w:t xml:space="preserve"> elected to remain in the Expansion Band are permitted to add Expansion Band channels to their operations provided their applications are accompanied by a request for intercategory sharing</w:t>
      </w:r>
      <w:r w:rsidR="00764F88">
        <w:rPr>
          <w:rStyle w:val="FootnoteReference"/>
        </w:rPr>
        <w:footnoteReference w:id="6"/>
      </w:r>
      <w:r w:rsidR="00764F88">
        <w:t xml:space="preserve"> or other relief that would permit use of channels designated for other services.</w:t>
      </w:r>
      <w:r w:rsidR="007B15F4">
        <w:rPr>
          <w:rStyle w:val="FootnoteReference"/>
        </w:rPr>
        <w:footnoteReference w:id="7"/>
      </w:r>
    </w:p>
    <w:p w:rsidR="00EA5001" w:rsidRPr="00E7257E" w:rsidRDefault="00EA5001" w:rsidP="00E7257E">
      <w:pPr>
        <w:spacing w:after="120"/>
        <w:rPr>
          <w:u w:val="single"/>
        </w:rPr>
      </w:pPr>
      <w:r w:rsidRPr="00E7257E">
        <w:rPr>
          <w:u w:val="single"/>
        </w:rPr>
        <w:t>Process for Licensing of Expansion Band Channels</w:t>
      </w:r>
    </w:p>
    <w:p w:rsidR="00281BAA" w:rsidRDefault="00281BAA" w:rsidP="008D6727">
      <w:pPr>
        <w:spacing w:after="120"/>
        <w:ind w:firstLine="720"/>
      </w:pPr>
      <w:r>
        <w:t xml:space="preserve">Since release of the </w:t>
      </w:r>
      <w:r>
        <w:rPr>
          <w:i/>
        </w:rPr>
        <w:t xml:space="preserve">Expansion Band </w:t>
      </w:r>
      <w:r w:rsidR="0084179E">
        <w:rPr>
          <w:i/>
        </w:rPr>
        <w:t xml:space="preserve">Guidance </w:t>
      </w:r>
      <w:r w:rsidRPr="00281BAA">
        <w:rPr>
          <w:i/>
        </w:rPr>
        <w:t>P</w:t>
      </w:r>
      <w:r>
        <w:rPr>
          <w:i/>
        </w:rPr>
        <w:t>N</w:t>
      </w:r>
      <w:r>
        <w:t xml:space="preserve">, </w:t>
      </w:r>
      <w:r w:rsidR="0084179E">
        <w:t xml:space="preserve">PSHSB </w:t>
      </w:r>
      <w:r w:rsidR="00E90CB8">
        <w:t xml:space="preserve">and </w:t>
      </w:r>
      <w:r w:rsidR="001743AE">
        <w:t xml:space="preserve">WTB </w:t>
      </w:r>
      <w:r w:rsidR="0034701F">
        <w:t>(collectively</w:t>
      </w:r>
      <w:r w:rsidR="00E90CB8">
        <w:t>,</w:t>
      </w:r>
      <w:r w:rsidR="0034701F">
        <w:t xml:space="preserve"> the Bureaus) </w:t>
      </w:r>
      <w:r w:rsidR="00E90CB8">
        <w:t xml:space="preserve">have </w:t>
      </w:r>
      <w:r w:rsidR="00211BB8">
        <w:t xml:space="preserve">established a process for licensing channels in the Expansion Band to all eligible entities upon completion of band reconfiguration in </w:t>
      </w:r>
      <w:r w:rsidR="00E90CB8">
        <w:t>each</w:t>
      </w:r>
      <w:r w:rsidR="00211BB8">
        <w:t xml:space="preserve"> NPSPAC region.</w:t>
      </w:r>
      <w:r w:rsidR="00F818CE">
        <w:rPr>
          <w:rStyle w:val="FootnoteReference"/>
        </w:rPr>
        <w:footnoteReference w:id="8"/>
      </w:r>
      <w:r w:rsidR="00C82819">
        <w:t xml:space="preserve">  The process consists of the Bureaus establishing a date </w:t>
      </w:r>
      <w:r w:rsidR="0054665F">
        <w:t xml:space="preserve">on </w:t>
      </w:r>
      <w:r w:rsidR="00C82819">
        <w:t>which eligible entities can begin filing applications for Expansion Band channels</w:t>
      </w:r>
      <w:r w:rsidR="00E90CB8">
        <w:t xml:space="preserve"> in specified regions</w:t>
      </w:r>
      <w:r w:rsidR="00F818CE">
        <w:t>.</w:t>
      </w:r>
      <w:r w:rsidR="009A5AE2">
        <w:rPr>
          <w:rStyle w:val="FootnoteReference"/>
        </w:rPr>
        <w:footnoteReference w:id="9"/>
      </w:r>
      <w:r w:rsidR="00F818CE">
        <w:t xml:space="preserve">  The Bureaus also instruct </w:t>
      </w:r>
      <w:r w:rsidR="00C82819">
        <w:t>frequency coordinators to pre-coordinate applications for Expansion Band channels prior to the filing date</w:t>
      </w:r>
      <w:r w:rsidR="00FA1BDB">
        <w:t xml:space="preserve"> in order to resolve conflicting applications</w:t>
      </w:r>
      <w:r w:rsidR="00C82819">
        <w:t>.</w:t>
      </w:r>
      <w:r w:rsidR="009A5AE2">
        <w:rPr>
          <w:rStyle w:val="FootnoteReference"/>
        </w:rPr>
        <w:footnoteReference w:id="10"/>
      </w:r>
      <w:r w:rsidR="00C82819">
        <w:t xml:space="preserve">  </w:t>
      </w:r>
      <w:r w:rsidR="00211BB8">
        <w:t xml:space="preserve">  </w:t>
      </w:r>
      <w:r w:rsidR="0084179E">
        <w:t xml:space="preserve"> </w:t>
      </w:r>
    </w:p>
    <w:p w:rsidR="00563D2E" w:rsidRDefault="00F818CE" w:rsidP="008D6727">
      <w:pPr>
        <w:spacing w:after="120"/>
        <w:ind w:firstLine="720"/>
      </w:pPr>
      <w:r>
        <w:t xml:space="preserve">By this Public Notice, we clarify that applications from public safety licensees </w:t>
      </w:r>
      <w:r w:rsidR="00DE4173">
        <w:t xml:space="preserve">that </w:t>
      </w:r>
      <w:r>
        <w:t>chose to remain on Expansion Band channels will be subject to the same process established for other licensees seeking to license Expansion Band channels.  Th</w:t>
      </w:r>
      <w:r w:rsidR="00541662">
        <w:t>us</w:t>
      </w:r>
      <w:r w:rsidR="009059F3">
        <w:t>,</w:t>
      </w:r>
      <w:r w:rsidR="00541662">
        <w:t xml:space="preserve"> </w:t>
      </w:r>
      <w:r>
        <w:t xml:space="preserve">public safety </w:t>
      </w:r>
      <w:r w:rsidR="00541662">
        <w:t xml:space="preserve">licensees </w:t>
      </w:r>
      <w:r w:rsidR="0008520A">
        <w:t>that</w:t>
      </w:r>
      <w:r w:rsidR="00541662">
        <w:t xml:space="preserve"> chose to remain on Expansion Band channels retain the </w:t>
      </w:r>
      <w:r w:rsidR="009059F3">
        <w:t>privileges</w:t>
      </w:r>
      <w:r w:rsidR="00541662">
        <w:t xml:space="preserve"> established in the </w:t>
      </w:r>
      <w:r w:rsidR="00541662">
        <w:rPr>
          <w:i/>
        </w:rPr>
        <w:t xml:space="preserve">Expansion Band Guidance </w:t>
      </w:r>
      <w:r w:rsidR="00541662" w:rsidRPr="00281BAA">
        <w:rPr>
          <w:i/>
        </w:rPr>
        <w:t>P</w:t>
      </w:r>
      <w:r w:rsidR="00541662">
        <w:rPr>
          <w:i/>
        </w:rPr>
        <w:t>N</w:t>
      </w:r>
      <w:r w:rsidR="00E90CB8">
        <w:t>,</w:t>
      </w:r>
      <w:r w:rsidR="00541662">
        <w:t xml:space="preserve"> but their </w:t>
      </w:r>
      <w:r>
        <w:t xml:space="preserve">applications </w:t>
      </w:r>
      <w:r w:rsidR="00541662">
        <w:t xml:space="preserve">for expanded coverage or additional channels </w:t>
      </w:r>
      <w:r>
        <w:t xml:space="preserve">will be subject to pre-coordination and </w:t>
      </w:r>
      <w:r w:rsidR="00541662">
        <w:t xml:space="preserve">will only be accepted </w:t>
      </w:r>
      <w:r w:rsidR="00DE4173">
        <w:t xml:space="preserve">on or </w:t>
      </w:r>
      <w:r w:rsidR="00541662">
        <w:t xml:space="preserve">after the filing date established by the Bureaus for </w:t>
      </w:r>
      <w:r w:rsidR="00E90CB8">
        <w:t xml:space="preserve">each </w:t>
      </w:r>
      <w:r w:rsidR="00541662">
        <w:t>NPSPAC region.</w:t>
      </w:r>
      <w:r w:rsidR="00E90CB8">
        <w:t xml:space="preserve">  </w:t>
      </w:r>
      <w:r w:rsidR="00563D2E">
        <w:t xml:space="preserve">The Bureaus find </w:t>
      </w:r>
      <w:r w:rsidR="008C2BD8">
        <w:t xml:space="preserve">this to be </w:t>
      </w:r>
      <w:r w:rsidR="00563D2E">
        <w:t xml:space="preserve">in the public interest </w:t>
      </w:r>
      <w:r w:rsidR="008C2BD8">
        <w:t xml:space="preserve">because it will </w:t>
      </w:r>
      <w:r w:rsidR="00563D2E">
        <w:t xml:space="preserve">maintain a stable spectral environment for the Expansion Band </w:t>
      </w:r>
      <w:r w:rsidR="00FA1BDB">
        <w:t xml:space="preserve">prior to the announcement of a filing date </w:t>
      </w:r>
      <w:r w:rsidR="008C2BD8">
        <w:t xml:space="preserve">and will enable </w:t>
      </w:r>
      <w:r w:rsidR="00A4461F">
        <w:t>frequency coordinator</w:t>
      </w:r>
      <w:r w:rsidR="00FA1BDB">
        <w:t>s</w:t>
      </w:r>
      <w:r w:rsidR="00A4461F">
        <w:t xml:space="preserve"> to pre-coordinate applications</w:t>
      </w:r>
      <w:r w:rsidR="00747301">
        <w:t xml:space="preserve"> and </w:t>
      </w:r>
      <w:r w:rsidR="009C7542">
        <w:t>resolve any conflicts</w:t>
      </w:r>
      <w:r w:rsidR="00A4461F">
        <w:t>.</w:t>
      </w:r>
      <w:r w:rsidR="00FA1BDB">
        <w:t xml:space="preserve">  </w:t>
      </w:r>
    </w:p>
    <w:p w:rsidR="001743AE" w:rsidRDefault="00BF073D" w:rsidP="00E7257E">
      <w:pPr>
        <w:spacing w:after="120"/>
        <w:ind w:firstLine="720"/>
        <w:rPr>
          <w:szCs w:val="22"/>
        </w:rPr>
      </w:pPr>
      <w:r>
        <w:t xml:space="preserve">Any public safety licensee </w:t>
      </w:r>
      <w:r w:rsidR="0008520A">
        <w:t>that</w:t>
      </w:r>
      <w:r>
        <w:t xml:space="preserve"> has an urgent need to expand coverage or add channels in the Expansion Band prior to the filing date established by the Bureaus may seek a waiver for early access but must demonstrate a compelling reason why it is unable to wait for the filing date to submit its application.</w:t>
      </w:r>
      <w:r w:rsidR="00E90CB8">
        <w:rPr>
          <w:rStyle w:val="FootnoteReference"/>
        </w:rPr>
        <w:footnoteReference w:id="11"/>
      </w:r>
    </w:p>
    <w:p w:rsidR="00CE5047" w:rsidRDefault="00CE5047">
      <w:pPr>
        <w:rPr>
          <w:szCs w:val="22"/>
        </w:rPr>
      </w:pPr>
      <w:r>
        <w:rPr>
          <w:szCs w:val="22"/>
        </w:rPr>
        <w:br w:type="page"/>
      </w:r>
    </w:p>
    <w:p w:rsidR="00466BF2" w:rsidRDefault="00466BF2" w:rsidP="00C924E4">
      <w:pPr>
        <w:spacing w:after="120"/>
        <w:ind w:firstLine="720"/>
      </w:pPr>
      <w:r w:rsidRPr="006171A0">
        <w:rPr>
          <w:szCs w:val="22"/>
        </w:rPr>
        <w:t>For additional information</w:t>
      </w:r>
      <w:r w:rsidR="009C7542">
        <w:rPr>
          <w:szCs w:val="22"/>
        </w:rPr>
        <w:t xml:space="preserve">, </w:t>
      </w:r>
      <w:r>
        <w:rPr>
          <w:szCs w:val="22"/>
        </w:rPr>
        <w:t>p</w:t>
      </w:r>
      <w:r w:rsidRPr="006171A0">
        <w:rPr>
          <w:szCs w:val="22"/>
        </w:rPr>
        <w:t>leas</w:t>
      </w:r>
      <w:r w:rsidR="00EE65BE">
        <w:rPr>
          <w:szCs w:val="22"/>
        </w:rPr>
        <w:t xml:space="preserve">e contact </w:t>
      </w:r>
      <w:r w:rsidR="00BF073D">
        <w:rPr>
          <w:szCs w:val="22"/>
        </w:rPr>
        <w:t>Brian Marenco</w:t>
      </w:r>
      <w:r w:rsidRPr="006171A0">
        <w:rPr>
          <w:szCs w:val="22"/>
        </w:rPr>
        <w:t xml:space="preserve">, </w:t>
      </w:r>
      <w:r>
        <w:rPr>
          <w:szCs w:val="22"/>
        </w:rPr>
        <w:t xml:space="preserve">Policy </w:t>
      </w:r>
      <w:r w:rsidR="00BF073D">
        <w:rPr>
          <w:szCs w:val="22"/>
        </w:rPr>
        <w:t xml:space="preserve">and Licensing </w:t>
      </w:r>
      <w:r>
        <w:rPr>
          <w:szCs w:val="22"/>
        </w:rPr>
        <w:t>Division</w:t>
      </w:r>
      <w:r w:rsidRPr="006171A0">
        <w:rPr>
          <w:szCs w:val="22"/>
        </w:rPr>
        <w:t xml:space="preserve">, </w:t>
      </w:r>
      <w:r>
        <w:rPr>
          <w:szCs w:val="22"/>
        </w:rPr>
        <w:t xml:space="preserve">Public Safety and Homeland Security </w:t>
      </w:r>
      <w:r w:rsidRPr="006171A0">
        <w:rPr>
          <w:szCs w:val="22"/>
        </w:rPr>
        <w:t>Bureau, at (202) 418-</w:t>
      </w:r>
      <w:r w:rsidR="00BF073D">
        <w:rPr>
          <w:szCs w:val="22"/>
        </w:rPr>
        <w:t xml:space="preserve">0838 </w:t>
      </w:r>
      <w:r w:rsidRPr="006171A0">
        <w:rPr>
          <w:szCs w:val="22"/>
        </w:rPr>
        <w:t xml:space="preserve">or via e-mail </w:t>
      </w:r>
      <w:r w:rsidR="00EE65BE">
        <w:rPr>
          <w:szCs w:val="22"/>
        </w:rPr>
        <w:t>at</w:t>
      </w:r>
      <w:r w:rsidR="00BF073D">
        <w:rPr>
          <w:szCs w:val="22"/>
        </w:rPr>
        <w:t xml:space="preserve"> </w:t>
      </w:r>
      <w:hyperlink r:id="rId14" w:history="1">
        <w:r w:rsidR="00BF073D" w:rsidRPr="00E04ED0">
          <w:rPr>
            <w:rStyle w:val="Hyperlink"/>
            <w:szCs w:val="22"/>
          </w:rPr>
          <w:t>Brian.Marenco@fcc.gov</w:t>
        </w:r>
      </w:hyperlink>
      <w:r w:rsidRPr="006171A0">
        <w:rPr>
          <w:szCs w:val="22"/>
        </w:rPr>
        <w:t>.</w:t>
      </w:r>
    </w:p>
    <w:p w:rsidR="006171A0" w:rsidRPr="006171A0" w:rsidRDefault="00A208A0" w:rsidP="008D6727">
      <w:pPr>
        <w:pStyle w:val="BodyText3"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6171A0" w:rsidRPr="006171A0">
        <w:rPr>
          <w:sz w:val="22"/>
          <w:szCs w:val="22"/>
        </w:rPr>
        <w:t xml:space="preserve">Action by the </w:t>
      </w:r>
      <w:r w:rsidR="00BF073D">
        <w:rPr>
          <w:sz w:val="22"/>
          <w:szCs w:val="22"/>
        </w:rPr>
        <w:t xml:space="preserve">Deputy </w:t>
      </w:r>
      <w:r w:rsidR="006171A0" w:rsidRPr="006171A0">
        <w:rPr>
          <w:sz w:val="22"/>
          <w:szCs w:val="22"/>
        </w:rPr>
        <w:t xml:space="preserve">Chief, Public Safety and </w:t>
      </w:r>
      <w:r w:rsidR="00066600">
        <w:rPr>
          <w:sz w:val="22"/>
          <w:szCs w:val="22"/>
        </w:rPr>
        <w:t>Homeland Security</w:t>
      </w:r>
      <w:r w:rsidR="006171A0" w:rsidRPr="006171A0">
        <w:rPr>
          <w:sz w:val="22"/>
          <w:szCs w:val="22"/>
        </w:rPr>
        <w:t xml:space="preserve"> Bureau.   </w:t>
      </w:r>
    </w:p>
    <w:p w:rsidR="00A940CA" w:rsidRDefault="00A940CA" w:rsidP="00A940CA">
      <w:pPr>
        <w:tabs>
          <w:tab w:val="left" w:pos="-720"/>
        </w:tabs>
        <w:suppressAutoHyphens/>
        <w:ind w:left="360"/>
        <w:rPr>
          <w:szCs w:val="22"/>
        </w:rPr>
      </w:pPr>
    </w:p>
    <w:p w:rsidR="006171A0" w:rsidRPr="006171A0" w:rsidRDefault="006171A0" w:rsidP="003E77A0">
      <w:pPr>
        <w:numPr>
          <w:ilvl w:val="0"/>
          <w:numId w:val="13"/>
        </w:numPr>
        <w:tabs>
          <w:tab w:val="left" w:pos="-720"/>
        </w:tabs>
        <w:suppressAutoHyphens/>
        <w:jc w:val="center"/>
        <w:rPr>
          <w:szCs w:val="22"/>
        </w:rPr>
      </w:pPr>
      <w:r w:rsidRPr="006171A0">
        <w:rPr>
          <w:szCs w:val="22"/>
        </w:rPr>
        <w:t>FCC –</w:t>
      </w:r>
    </w:p>
    <w:sectPr w:rsidR="006171A0" w:rsidRPr="006171A0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BD" w:rsidRDefault="00E33EBD">
      <w:r>
        <w:separator/>
      </w:r>
    </w:p>
  </w:endnote>
  <w:endnote w:type="continuationSeparator" w:id="0">
    <w:p w:rsidR="00E33EBD" w:rsidRDefault="00E3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86" w:rsidRDefault="00627386" w:rsidP="003535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CD1">
      <w:rPr>
        <w:rStyle w:val="PageNumber"/>
        <w:noProof/>
      </w:rPr>
      <w:t>1</w:t>
    </w:r>
    <w:r>
      <w:rPr>
        <w:rStyle w:val="PageNumber"/>
      </w:rPr>
      <w:fldChar w:fldCharType="end"/>
    </w:r>
  </w:p>
  <w:p w:rsidR="00627386" w:rsidRDefault="00627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86" w:rsidRDefault="00627386" w:rsidP="003535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567">
      <w:rPr>
        <w:rStyle w:val="PageNumber"/>
        <w:noProof/>
      </w:rPr>
      <w:t>3</w:t>
    </w:r>
    <w:r>
      <w:rPr>
        <w:rStyle w:val="PageNumber"/>
      </w:rPr>
      <w:fldChar w:fldCharType="end"/>
    </w:r>
  </w:p>
  <w:p w:rsidR="00627386" w:rsidRDefault="00627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D3" w:rsidRDefault="00E77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BD" w:rsidRDefault="00E33EBD">
      <w:r>
        <w:separator/>
      </w:r>
    </w:p>
  </w:footnote>
  <w:footnote w:type="continuationSeparator" w:id="0">
    <w:p w:rsidR="00E33EBD" w:rsidRDefault="00E33EBD">
      <w:r>
        <w:continuationSeparator/>
      </w:r>
    </w:p>
  </w:footnote>
  <w:footnote w:id="1">
    <w:p w:rsidR="00DC385E" w:rsidRPr="001A7E91" w:rsidRDefault="00DC385E" w:rsidP="00CE5047">
      <w:pPr>
        <w:pStyle w:val="FootnoteText"/>
        <w:spacing w:after="120"/>
        <w:rPr>
          <w:sz w:val="20"/>
        </w:rPr>
      </w:pPr>
      <w:r w:rsidRPr="001A7E91">
        <w:rPr>
          <w:rStyle w:val="FootnoteReference"/>
          <w:sz w:val="20"/>
        </w:rPr>
        <w:footnoteRef/>
      </w:r>
      <w:r w:rsidRPr="001A7E91">
        <w:rPr>
          <w:sz w:val="20"/>
        </w:rPr>
        <w:t xml:space="preserve"> </w:t>
      </w:r>
      <w:r w:rsidRPr="00DC385E">
        <w:rPr>
          <w:sz w:val="20"/>
        </w:rPr>
        <w:t xml:space="preserve">The Expansion Band consists of forty channels </w:t>
      </w:r>
      <w:r>
        <w:rPr>
          <w:sz w:val="20"/>
        </w:rPr>
        <w:t xml:space="preserve">in </w:t>
      </w:r>
      <w:r w:rsidRPr="00DC385E">
        <w:rPr>
          <w:sz w:val="20"/>
        </w:rPr>
        <w:t>the 815-816/860-861 MHz segment of the 800 MHz band intended for private land mobile radio (PLMR) systems that would not be adversely impacted by ESMR and other cellular-architecture systems operating on frequencies above 817/862 MHz.</w:t>
      </w:r>
      <w:r>
        <w:rPr>
          <w:sz w:val="20"/>
        </w:rPr>
        <w:t xml:space="preserve">  </w:t>
      </w:r>
      <w:r w:rsidRPr="001A7E91">
        <w:rPr>
          <w:i/>
          <w:sz w:val="20"/>
        </w:rPr>
        <w:t xml:space="preserve">See </w:t>
      </w:r>
      <w:r w:rsidRPr="001A7E91">
        <w:rPr>
          <w:sz w:val="20"/>
        </w:rPr>
        <w:t xml:space="preserve">Improving Public Safety Communications in the 800 MHz Band, WT Docket 02-55, </w:t>
      </w:r>
      <w:r w:rsidRPr="001A7E91">
        <w:rPr>
          <w:i/>
          <w:sz w:val="20"/>
        </w:rPr>
        <w:t>Report and Order, Fifth Report and Order, Fourth Memorandum Opinion and Order, and Order</w:t>
      </w:r>
      <w:r w:rsidRPr="001A7E91">
        <w:rPr>
          <w:sz w:val="20"/>
        </w:rPr>
        <w:t>, 19 FCC Rcd 14969, 15053 ¶¶ 154-155 (2004)</w:t>
      </w:r>
      <w:r>
        <w:rPr>
          <w:sz w:val="20"/>
        </w:rPr>
        <w:t xml:space="preserve"> (</w:t>
      </w:r>
      <w:r w:rsidRPr="00DD2CA1">
        <w:rPr>
          <w:i/>
          <w:sz w:val="20"/>
        </w:rPr>
        <w:t>800 MHz R&amp;O</w:t>
      </w:r>
      <w:r>
        <w:rPr>
          <w:sz w:val="20"/>
        </w:rPr>
        <w:t>)</w:t>
      </w:r>
      <w:r w:rsidRPr="001A7E91">
        <w:rPr>
          <w:sz w:val="20"/>
        </w:rPr>
        <w:t>.</w:t>
      </w:r>
      <w:r>
        <w:rPr>
          <w:sz w:val="20"/>
        </w:rPr>
        <w:t xml:space="preserve">  In certain </w:t>
      </w:r>
      <w:r w:rsidR="00E90CB8">
        <w:rPr>
          <w:sz w:val="20"/>
        </w:rPr>
        <w:t xml:space="preserve">counties in the southeastern U.S., </w:t>
      </w:r>
      <w:r>
        <w:rPr>
          <w:sz w:val="20"/>
        </w:rPr>
        <w:t xml:space="preserve">the Expansion Band is </w:t>
      </w:r>
      <w:r w:rsidR="00E90CB8">
        <w:rPr>
          <w:sz w:val="20"/>
        </w:rPr>
        <w:t xml:space="preserve">at </w:t>
      </w:r>
      <w:r>
        <w:rPr>
          <w:sz w:val="20"/>
        </w:rPr>
        <w:t>812.5-813.5/857.5-858.5 MHz</w:t>
      </w:r>
      <w:r w:rsidR="00E90CB8">
        <w:rPr>
          <w:sz w:val="20"/>
        </w:rPr>
        <w:t>.</w:t>
      </w:r>
      <w:r>
        <w:rPr>
          <w:sz w:val="20"/>
        </w:rPr>
        <w:t xml:space="preserve">  </w:t>
      </w:r>
      <w:r>
        <w:rPr>
          <w:i/>
          <w:sz w:val="20"/>
        </w:rPr>
        <w:t>Id.</w:t>
      </w:r>
      <w:r>
        <w:rPr>
          <w:sz w:val="20"/>
        </w:rPr>
        <w:t xml:space="preserve"> at 15058 </w:t>
      </w:r>
      <w:r w:rsidRPr="001A7E91">
        <w:rPr>
          <w:sz w:val="20"/>
        </w:rPr>
        <w:t xml:space="preserve">¶ </w:t>
      </w:r>
      <w:r>
        <w:rPr>
          <w:sz w:val="20"/>
        </w:rPr>
        <w:t xml:space="preserve">166.  </w:t>
      </w:r>
      <w:r w:rsidR="00E90CB8">
        <w:rPr>
          <w:sz w:val="20"/>
        </w:rPr>
        <w:t xml:space="preserve">Other regions </w:t>
      </w:r>
      <w:r>
        <w:rPr>
          <w:sz w:val="20"/>
        </w:rPr>
        <w:t>have either a reduced Expansion Band or no Expansion Band</w:t>
      </w:r>
      <w:r w:rsidR="00E90CB8">
        <w:rPr>
          <w:sz w:val="20"/>
        </w:rPr>
        <w:t>,</w:t>
      </w:r>
      <w:r>
        <w:rPr>
          <w:sz w:val="20"/>
        </w:rPr>
        <w:t xml:space="preserve"> including the Atlanta region, Canada Border Regions 1-6, Puerto Rico, the U.S. Virgin Islands and NPSPAC Region 5.  </w:t>
      </w:r>
      <w:r>
        <w:rPr>
          <w:i/>
          <w:sz w:val="20"/>
        </w:rPr>
        <w:t xml:space="preserve">See </w:t>
      </w:r>
      <w:r w:rsidRPr="00CC0C28">
        <w:rPr>
          <w:sz w:val="20"/>
        </w:rPr>
        <w:t>Improving Public Safety Communications in the 800 MHz Band, WT Docket 02-55,</w:t>
      </w:r>
      <w:r>
        <w:rPr>
          <w:sz w:val="20"/>
        </w:rPr>
        <w:t xml:space="preserve"> </w:t>
      </w:r>
      <w:r w:rsidRPr="00CC0C28">
        <w:rPr>
          <w:i/>
          <w:sz w:val="20"/>
        </w:rPr>
        <w:t>Memorandum Opinion and Order</w:t>
      </w:r>
      <w:r>
        <w:rPr>
          <w:sz w:val="20"/>
        </w:rPr>
        <w:t xml:space="preserve">, 20 FCC Rcd 16015, 16036 </w:t>
      </w:r>
      <w:r w:rsidRPr="001A7E91">
        <w:rPr>
          <w:sz w:val="20"/>
        </w:rPr>
        <w:t>¶¶</w:t>
      </w:r>
      <w:r>
        <w:rPr>
          <w:sz w:val="20"/>
        </w:rPr>
        <w:t xml:space="preserve"> 47-48 (2005); </w:t>
      </w:r>
      <w:r w:rsidRPr="00CC0C28">
        <w:rPr>
          <w:sz w:val="20"/>
        </w:rPr>
        <w:t>Improving Public Safety Communications in the 800 MHz Band, WT Docket 02-55,</w:t>
      </w:r>
      <w:r>
        <w:rPr>
          <w:sz w:val="20"/>
        </w:rPr>
        <w:t xml:space="preserve"> </w:t>
      </w:r>
      <w:r w:rsidRPr="004602AA">
        <w:rPr>
          <w:i/>
          <w:sz w:val="20"/>
        </w:rPr>
        <w:t>Second Report and Order</w:t>
      </w:r>
      <w:r>
        <w:rPr>
          <w:sz w:val="20"/>
        </w:rPr>
        <w:t xml:space="preserve">, 23 FCC Rcd 7605, 7613-14 </w:t>
      </w:r>
      <w:r w:rsidRPr="001A7E91">
        <w:rPr>
          <w:sz w:val="20"/>
        </w:rPr>
        <w:t>¶</w:t>
      </w:r>
      <w:r>
        <w:rPr>
          <w:sz w:val="20"/>
        </w:rPr>
        <w:t xml:space="preserve"> 18 (PSHSB 2008); </w:t>
      </w:r>
      <w:r w:rsidRPr="00CC0C28">
        <w:rPr>
          <w:sz w:val="20"/>
        </w:rPr>
        <w:t>Improving Public Safety Communications in the 800 MHz Band</w:t>
      </w:r>
      <w:r>
        <w:rPr>
          <w:sz w:val="20"/>
        </w:rPr>
        <w:t xml:space="preserve">, </w:t>
      </w:r>
      <w:r w:rsidRPr="007422C8">
        <w:rPr>
          <w:i/>
          <w:sz w:val="20"/>
        </w:rPr>
        <w:t>Third</w:t>
      </w:r>
      <w:r>
        <w:rPr>
          <w:i/>
          <w:sz w:val="20"/>
        </w:rPr>
        <w:t xml:space="preserve"> Report and Order and Third Further Notice of Proposed Rulemaking</w:t>
      </w:r>
      <w:r>
        <w:rPr>
          <w:sz w:val="20"/>
        </w:rPr>
        <w:t xml:space="preserve">, </w:t>
      </w:r>
      <w:r w:rsidRPr="009A0057">
        <w:rPr>
          <w:sz w:val="20"/>
        </w:rPr>
        <w:t>25 FCC Rcd 4443</w:t>
      </w:r>
      <w:r>
        <w:rPr>
          <w:sz w:val="20"/>
        </w:rPr>
        <w:t xml:space="preserve">, 4444 </w:t>
      </w:r>
      <w:r w:rsidRPr="001A7E91">
        <w:rPr>
          <w:sz w:val="20"/>
        </w:rPr>
        <w:t>¶</w:t>
      </w:r>
      <w:r>
        <w:rPr>
          <w:sz w:val="20"/>
        </w:rPr>
        <w:t xml:space="preserve"> 5 (PSHSB 2010); </w:t>
      </w:r>
      <w:r w:rsidRPr="00CC0C28">
        <w:rPr>
          <w:sz w:val="20"/>
        </w:rPr>
        <w:t>Improving Public Safety Communications in the 800 MHz Band, WT Docket 02-55</w:t>
      </w:r>
      <w:r>
        <w:rPr>
          <w:sz w:val="20"/>
        </w:rPr>
        <w:t xml:space="preserve">, </w:t>
      </w:r>
      <w:r>
        <w:rPr>
          <w:i/>
          <w:sz w:val="20"/>
        </w:rPr>
        <w:t>Fourth Report and Order</w:t>
      </w:r>
      <w:r>
        <w:rPr>
          <w:sz w:val="20"/>
        </w:rPr>
        <w:t xml:space="preserve">, </w:t>
      </w:r>
      <w:r w:rsidRPr="006F3CF0">
        <w:rPr>
          <w:sz w:val="20"/>
        </w:rPr>
        <w:t>26 FCC Rcd 1937</w:t>
      </w:r>
      <w:r>
        <w:rPr>
          <w:sz w:val="20"/>
        </w:rPr>
        <w:t xml:space="preserve">, 1938-39 </w:t>
      </w:r>
      <w:r w:rsidRPr="001A7E91">
        <w:rPr>
          <w:sz w:val="20"/>
        </w:rPr>
        <w:t>¶</w:t>
      </w:r>
      <w:r>
        <w:rPr>
          <w:sz w:val="20"/>
        </w:rPr>
        <w:t xml:space="preserve"> 5; </w:t>
      </w:r>
      <w:r w:rsidRPr="00CC0C28">
        <w:rPr>
          <w:sz w:val="20"/>
        </w:rPr>
        <w:t>Improving Public Safety Communications in the 800 MHz Band, WT Docket 02-55</w:t>
      </w:r>
      <w:r>
        <w:rPr>
          <w:sz w:val="20"/>
        </w:rPr>
        <w:t xml:space="preserve">, </w:t>
      </w:r>
      <w:r>
        <w:rPr>
          <w:i/>
          <w:sz w:val="20"/>
        </w:rPr>
        <w:t>Fifth Report and Order</w:t>
      </w:r>
      <w:r>
        <w:rPr>
          <w:sz w:val="20"/>
        </w:rPr>
        <w:t xml:space="preserve">, 28 FCC Rcd 4085, 4098 </w:t>
      </w:r>
      <w:r w:rsidRPr="001A7E91">
        <w:rPr>
          <w:sz w:val="20"/>
        </w:rPr>
        <w:t>¶</w:t>
      </w:r>
      <w:r>
        <w:rPr>
          <w:sz w:val="20"/>
        </w:rPr>
        <w:t xml:space="preserve"> 40 (PSHSB 2013). </w:t>
      </w:r>
      <w:r w:rsidRPr="007422C8">
        <w:rPr>
          <w:i/>
          <w:sz w:val="20"/>
        </w:rPr>
        <w:t xml:space="preserve"> </w:t>
      </w:r>
      <w:r>
        <w:rPr>
          <w:sz w:val="20"/>
        </w:rPr>
        <w:t xml:space="preserve">   </w:t>
      </w:r>
    </w:p>
  </w:footnote>
  <w:footnote w:id="2">
    <w:p w:rsidR="001A7E91" w:rsidRPr="001A7E91" w:rsidRDefault="001A7E91" w:rsidP="00CE5047">
      <w:pPr>
        <w:pStyle w:val="FootnoteText"/>
        <w:spacing w:after="120"/>
        <w:rPr>
          <w:sz w:val="20"/>
        </w:rPr>
      </w:pPr>
      <w:r w:rsidRPr="001A7E91">
        <w:rPr>
          <w:rStyle w:val="FootnoteReference"/>
          <w:sz w:val="20"/>
        </w:rPr>
        <w:footnoteRef/>
      </w:r>
      <w:r w:rsidRPr="001A7E91">
        <w:rPr>
          <w:sz w:val="20"/>
        </w:rPr>
        <w:t xml:space="preserve"> Public Safety and Homeland Security Bureau Clarifies the Rights of 800 MHz Public Safety Licensees Electing to Remain in the 800 MHz Expansion Band</w:t>
      </w:r>
      <w:r>
        <w:rPr>
          <w:sz w:val="20"/>
        </w:rPr>
        <w:t xml:space="preserve">, </w:t>
      </w:r>
      <w:r>
        <w:rPr>
          <w:i/>
          <w:sz w:val="20"/>
        </w:rPr>
        <w:t>Public Notice</w:t>
      </w:r>
      <w:r>
        <w:rPr>
          <w:sz w:val="20"/>
        </w:rPr>
        <w:t xml:space="preserve">, </w:t>
      </w:r>
      <w:r w:rsidRPr="001A7E91">
        <w:rPr>
          <w:sz w:val="20"/>
        </w:rPr>
        <w:t>22 FCC Rcd 6803</w:t>
      </w:r>
      <w:r>
        <w:rPr>
          <w:sz w:val="20"/>
        </w:rPr>
        <w:t xml:space="preserve"> (PSHSB 2007) (</w:t>
      </w:r>
      <w:r w:rsidRPr="001A7E91">
        <w:rPr>
          <w:i/>
          <w:sz w:val="20"/>
        </w:rPr>
        <w:t>Expansion Band Guidance PN</w:t>
      </w:r>
      <w:r>
        <w:rPr>
          <w:sz w:val="20"/>
        </w:rPr>
        <w:t>).</w:t>
      </w:r>
    </w:p>
  </w:footnote>
  <w:footnote w:id="3">
    <w:p w:rsidR="007D6BDF" w:rsidRPr="00DD2CA1" w:rsidRDefault="007D6BDF" w:rsidP="00CE5047">
      <w:pPr>
        <w:pStyle w:val="FootnoteText"/>
        <w:spacing w:after="120"/>
        <w:rPr>
          <w:sz w:val="20"/>
        </w:rPr>
      </w:pPr>
      <w:r w:rsidRPr="001A7E91">
        <w:rPr>
          <w:rStyle w:val="FootnoteReference"/>
          <w:sz w:val="20"/>
        </w:rPr>
        <w:footnoteRef/>
      </w:r>
      <w:r w:rsidRPr="001A7E91">
        <w:rPr>
          <w:sz w:val="20"/>
        </w:rPr>
        <w:t xml:space="preserve"> </w:t>
      </w:r>
      <w:r w:rsidR="00DD2CA1" w:rsidRPr="00DD2CA1">
        <w:rPr>
          <w:i/>
          <w:sz w:val="20"/>
        </w:rPr>
        <w:t>800 MHz R&amp;O</w:t>
      </w:r>
      <w:r w:rsidR="00DD2CA1">
        <w:rPr>
          <w:i/>
          <w:sz w:val="20"/>
        </w:rPr>
        <w:t xml:space="preserve">, </w:t>
      </w:r>
      <w:r w:rsidR="00DD2CA1" w:rsidRPr="001A7E91">
        <w:rPr>
          <w:sz w:val="20"/>
        </w:rPr>
        <w:t xml:space="preserve">19 FCC Rcd </w:t>
      </w:r>
      <w:r w:rsidR="00DD2CA1">
        <w:rPr>
          <w:sz w:val="20"/>
        </w:rPr>
        <w:t>at</w:t>
      </w:r>
      <w:r w:rsidR="00DD2CA1" w:rsidRPr="001A7E91">
        <w:rPr>
          <w:sz w:val="20"/>
        </w:rPr>
        <w:t xml:space="preserve"> 15053 ¶¶ 154-155</w:t>
      </w:r>
      <w:r w:rsidR="00DD2CA1">
        <w:rPr>
          <w:sz w:val="20"/>
        </w:rPr>
        <w:t>.</w:t>
      </w:r>
    </w:p>
  </w:footnote>
  <w:footnote w:id="4">
    <w:p w:rsidR="007D6BDF" w:rsidRPr="001A7E91" w:rsidRDefault="007D6BDF" w:rsidP="00CE5047">
      <w:pPr>
        <w:pStyle w:val="FootnoteText"/>
        <w:spacing w:after="120"/>
        <w:rPr>
          <w:sz w:val="20"/>
        </w:rPr>
      </w:pPr>
      <w:r w:rsidRPr="001A7E91">
        <w:rPr>
          <w:rStyle w:val="FootnoteReference"/>
          <w:sz w:val="20"/>
        </w:rPr>
        <w:footnoteRef/>
      </w:r>
      <w:r w:rsidRPr="001A7E91">
        <w:rPr>
          <w:sz w:val="20"/>
        </w:rPr>
        <w:t xml:space="preserve"> </w:t>
      </w:r>
      <w:r w:rsidRPr="001A7E91">
        <w:rPr>
          <w:i/>
          <w:sz w:val="20"/>
        </w:rPr>
        <w:t xml:space="preserve"> Id</w:t>
      </w:r>
      <w:r w:rsidRPr="001A7E91">
        <w:rPr>
          <w:sz w:val="20"/>
        </w:rPr>
        <w:t>.</w:t>
      </w:r>
    </w:p>
  </w:footnote>
  <w:footnote w:id="5">
    <w:p w:rsidR="001A7E91" w:rsidRPr="001A7E91" w:rsidRDefault="001A7E91" w:rsidP="00CE504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1A7E91">
        <w:rPr>
          <w:i/>
          <w:sz w:val="20"/>
        </w:rPr>
        <w:t>Expansion Band Guidance PN</w:t>
      </w:r>
      <w:r w:rsidR="007B15F4">
        <w:rPr>
          <w:sz w:val="20"/>
        </w:rPr>
        <w:t xml:space="preserve">, </w:t>
      </w:r>
      <w:r w:rsidR="007B15F4" w:rsidRPr="001A7E91">
        <w:rPr>
          <w:sz w:val="20"/>
        </w:rPr>
        <w:t>22 FCC Rcd</w:t>
      </w:r>
      <w:r w:rsidR="007B15F4">
        <w:rPr>
          <w:sz w:val="20"/>
        </w:rPr>
        <w:t xml:space="preserve"> at </w:t>
      </w:r>
      <w:r w:rsidR="007B15F4" w:rsidRPr="001A7E91">
        <w:rPr>
          <w:sz w:val="20"/>
        </w:rPr>
        <w:t>6803</w:t>
      </w:r>
      <w:r w:rsidR="007B15F4">
        <w:rPr>
          <w:sz w:val="20"/>
        </w:rPr>
        <w:t>.</w:t>
      </w:r>
    </w:p>
  </w:footnote>
  <w:footnote w:id="6">
    <w:p w:rsidR="00764F88" w:rsidRPr="001A7E91" w:rsidRDefault="00764F88" w:rsidP="00CE5047">
      <w:pPr>
        <w:pStyle w:val="FootnoteText"/>
        <w:spacing w:after="120"/>
        <w:rPr>
          <w:sz w:val="20"/>
        </w:rPr>
      </w:pPr>
      <w:r w:rsidRPr="001A7E91">
        <w:rPr>
          <w:rStyle w:val="FootnoteReference"/>
          <w:sz w:val="20"/>
        </w:rPr>
        <w:footnoteRef/>
      </w:r>
      <w:r w:rsidRPr="001A7E91">
        <w:rPr>
          <w:sz w:val="20"/>
        </w:rPr>
        <w:t xml:space="preserve"> In general, intercategory sharing requests require a demonstration that no other suitable public safety channels are available to the applicant.  </w:t>
      </w:r>
      <w:r w:rsidRPr="001A7E91">
        <w:rPr>
          <w:i/>
          <w:sz w:val="20"/>
        </w:rPr>
        <w:t xml:space="preserve">See </w:t>
      </w:r>
      <w:r w:rsidRPr="001A7E91">
        <w:rPr>
          <w:sz w:val="20"/>
        </w:rPr>
        <w:t>47 C.F.R. § 90.617(d).</w:t>
      </w:r>
    </w:p>
  </w:footnote>
  <w:footnote w:id="7">
    <w:p w:rsidR="007B15F4" w:rsidRPr="007B15F4" w:rsidRDefault="007B15F4" w:rsidP="00CE5047">
      <w:pPr>
        <w:pStyle w:val="FootnoteText"/>
        <w:spacing w:after="120"/>
        <w:rPr>
          <w:sz w:val="20"/>
        </w:rPr>
      </w:pPr>
      <w:r w:rsidRPr="007B15F4">
        <w:rPr>
          <w:rStyle w:val="FootnoteReference"/>
          <w:sz w:val="20"/>
        </w:rPr>
        <w:footnoteRef/>
      </w:r>
      <w:r w:rsidRPr="007B15F4">
        <w:rPr>
          <w:sz w:val="20"/>
        </w:rPr>
        <w:t xml:space="preserve"> </w:t>
      </w:r>
      <w:r w:rsidR="005943A1" w:rsidRPr="001A7E91">
        <w:rPr>
          <w:i/>
          <w:sz w:val="20"/>
        </w:rPr>
        <w:t>Expansion Band Guidance PN</w:t>
      </w:r>
      <w:r w:rsidR="005943A1">
        <w:rPr>
          <w:i/>
          <w:sz w:val="20"/>
        </w:rPr>
        <w:t xml:space="preserve">, </w:t>
      </w:r>
      <w:r w:rsidR="005943A1" w:rsidRPr="001A7E91">
        <w:rPr>
          <w:sz w:val="20"/>
        </w:rPr>
        <w:t>22 FCC Rcd</w:t>
      </w:r>
      <w:r w:rsidR="005943A1">
        <w:rPr>
          <w:sz w:val="20"/>
        </w:rPr>
        <w:t xml:space="preserve"> </w:t>
      </w:r>
      <w:r w:rsidRPr="007B15F4">
        <w:rPr>
          <w:sz w:val="20"/>
        </w:rPr>
        <w:t xml:space="preserve">at </w:t>
      </w:r>
      <w:r w:rsidRPr="001A7E91">
        <w:rPr>
          <w:sz w:val="20"/>
        </w:rPr>
        <w:t>6803</w:t>
      </w:r>
      <w:r>
        <w:rPr>
          <w:sz w:val="20"/>
        </w:rPr>
        <w:t>-04.</w:t>
      </w:r>
    </w:p>
  </w:footnote>
  <w:footnote w:id="8">
    <w:p w:rsidR="00F818CE" w:rsidRPr="009A5AE2" w:rsidRDefault="00F818CE" w:rsidP="00CE5047">
      <w:pPr>
        <w:pStyle w:val="FootnoteText"/>
        <w:spacing w:after="120"/>
        <w:rPr>
          <w:sz w:val="20"/>
        </w:rPr>
      </w:pPr>
      <w:r w:rsidRPr="009A5AE2">
        <w:rPr>
          <w:rStyle w:val="FootnoteReference"/>
          <w:sz w:val="20"/>
        </w:rPr>
        <w:footnoteRef/>
      </w:r>
      <w:r w:rsidRPr="009A5AE2">
        <w:rPr>
          <w:sz w:val="20"/>
        </w:rPr>
        <w:t xml:space="preserve"> </w:t>
      </w:r>
      <w:r w:rsidR="0054665F" w:rsidRPr="009A5AE2">
        <w:rPr>
          <w:i/>
          <w:sz w:val="20"/>
        </w:rPr>
        <w:t xml:space="preserve">See </w:t>
      </w:r>
      <w:r w:rsidR="0054665F" w:rsidRPr="009A5AE2">
        <w:rPr>
          <w:sz w:val="20"/>
        </w:rPr>
        <w:t xml:space="preserve">Public Safety and Homeland Security Bureau and Wireless Telecommunications Bureau Announce the Completion of 800 MHz Band Reconfiguration in Certain NPSPAC Regions, </w:t>
      </w:r>
      <w:r w:rsidR="0054665F" w:rsidRPr="009A5AE2">
        <w:rPr>
          <w:i/>
          <w:sz w:val="20"/>
        </w:rPr>
        <w:t>Public Notice</w:t>
      </w:r>
      <w:r w:rsidR="0054665F" w:rsidRPr="009A5AE2">
        <w:rPr>
          <w:sz w:val="20"/>
        </w:rPr>
        <w:t>, 27 FCC Rcd 14775, 14781-82 (PSHSB, WTB 2012) (</w:t>
      </w:r>
      <w:r w:rsidR="0054665F" w:rsidRPr="009A5AE2">
        <w:rPr>
          <w:i/>
          <w:sz w:val="20"/>
        </w:rPr>
        <w:t>Completion o</w:t>
      </w:r>
      <w:r w:rsidR="009F5C0A">
        <w:rPr>
          <w:i/>
          <w:sz w:val="20"/>
        </w:rPr>
        <w:t>f</w:t>
      </w:r>
      <w:r w:rsidR="0054665F" w:rsidRPr="009A5AE2">
        <w:rPr>
          <w:i/>
          <w:sz w:val="20"/>
        </w:rPr>
        <w:t xml:space="preserve"> Rebanding PN No. 1</w:t>
      </w:r>
      <w:r w:rsidR="0054665F" w:rsidRPr="009A5AE2">
        <w:rPr>
          <w:sz w:val="20"/>
        </w:rPr>
        <w:t xml:space="preserve">).  </w:t>
      </w:r>
      <w:r w:rsidR="0054665F" w:rsidRPr="009A5AE2">
        <w:rPr>
          <w:i/>
          <w:sz w:val="20"/>
        </w:rPr>
        <w:t xml:space="preserve">See also </w:t>
      </w:r>
      <w:r w:rsidR="0054665F" w:rsidRPr="009A5AE2">
        <w:rPr>
          <w:sz w:val="20"/>
        </w:rPr>
        <w:t xml:space="preserve">Public Safety and Homeland Security Bureau and Wireless Telecommunications Bureau Announce the Completion of 800 MHz Band Reconfiguration in Certain NPSPAC Regions, </w:t>
      </w:r>
      <w:r w:rsidR="0054665F" w:rsidRPr="009A5AE2">
        <w:rPr>
          <w:i/>
          <w:sz w:val="20"/>
        </w:rPr>
        <w:t>Public Notice</w:t>
      </w:r>
      <w:r w:rsidR="0054665F" w:rsidRPr="009A5AE2">
        <w:rPr>
          <w:sz w:val="20"/>
        </w:rPr>
        <w:t xml:space="preserve">, </w:t>
      </w:r>
      <w:r w:rsidR="009A5AE2" w:rsidRPr="009A5AE2">
        <w:rPr>
          <w:sz w:val="20"/>
        </w:rPr>
        <w:t>29 FCC Rcd 16290, 16296-97 ((PSHSB, WTB 2014) (</w:t>
      </w:r>
      <w:r w:rsidR="009A5AE2" w:rsidRPr="009A5AE2">
        <w:rPr>
          <w:i/>
          <w:sz w:val="20"/>
        </w:rPr>
        <w:t>Completion o</w:t>
      </w:r>
      <w:r w:rsidR="009F5C0A">
        <w:rPr>
          <w:i/>
          <w:sz w:val="20"/>
        </w:rPr>
        <w:t>f</w:t>
      </w:r>
      <w:r w:rsidR="009A5AE2" w:rsidRPr="009A5AE2">
        <w:rPr>
          <w:i/>
          <w:sz w:val="20"/>
        </w:rPr>
        <w:t xml:space="preserve"> Rebanding PN No. </w:t>
      </w:r>
      <w:r w:rsidR="00E7257E">
        <w:rPr>
          <w:i/>
          <w:sz w:val="20"/>
        </w:rPr>
        <w:t>2</w:t>
      </w:r>
      <w:r w:rsidR="009A5AE2" w:rsidRPr="009A5AE2">
        <w:rPr>
          <w:sz w:val="20"/>
        </w:rPr>
        <w:t>).</w:t>
      </w:r>
    </w:p>
  </w:footnote>
  <w:footnote w:id="9">
    <w:p w:rsidR="009A5AE2" w:rsidRPr="009A5AE2" w:rsidRDefault="009A5AE2" w:rsidP="00CE5047">
      <w:pPr>
        <w:pStyle w:val="FootnoteText"/>
        <w:spacing w:after="120"/>
        <w:rPr>
          <w:i/>
          <w:sz w:val="20"/>
        </w:rPr>
      </w:pPr>
      <w:r w:rsidRPr="009A5AE2">
        <w:rPr>
          <w:rStyle w:val="FootnoteReference"/>
          <w:sz w:val="20"/>
        </w:rPr>
        <w:footnoteRef/>
      </w:r>
      <w:r w:rsidRPr="009A5AE2">
        <w:rPr>
          <w:sz w:val="20"/>
        </w:rPr>
        <w:t xml:space="preserve"> </w:t>
      </w:r>
      <w:r w:rsidRPr="009A5AE2">
        <w:rPr>
          <w:i/>
          <w:sz w:val="20"/>
        </w:rPr>
        <w:t>Id.</w:t>
      </w:r>
    </w:p>
  </w:footnote>
  <w:footnote w:id="10">
    <w:p w:rsidR="009A5AE2" w:rsidRDefault="009A5AE2" w:rsidP="00CE5047">
      <w:pPr>
        <w:pStyle w:val="FootnoteText"/>
        <w:spacing w:after="120"/>
      </w:pPr>
      <w:r w:rsidRPr="009A5AE2">
        <w:rPr>
          <w:rStyle w:val="FootnoteReference"/>
          <w:sz w:val="20"/>
        </w:rPr>
        <w:footnoteRef/>
      </w:r>
      <w:r w:rsidRPr="009A5AE2">
        <w:rPr>
          <w:sz w:val="20"/>
        </w:rPr>
        <w:t xml:space="preserve"> </w:t>
      </w:r>
      <w:r w:rsidRPr="009A5AE2">
        <w:rPr>
          <w:i/>
          <w:sz w:val="20"/>
        </w:rPr>
        <w:t>Id.</w:t>
      </w:r>
    </w:p>
  </w:footnote>
  <w:footnote w:id="11">
    <w:p w:rsidR="00E90CB8" w:rsidRDefault="00E90CB8" w:rsidP="00CE504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6B3EE7">
        <w:rPr>
          <w:i/>
          <w:sz w:val="20"/>
        </w:rPr>
        <w:t>See</w:t>
      </w:r>
      <w:r w:rsidRPr="00E7257E">
        <w:rPr>
          <w:sz w:val="20"/>
        </w:rPr>
        <w:t xml:space="preserve"> 47 C.F.R. § 1.925.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D3" w:rsidRDefault="00E77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D3" w:rsidRDefault="00E77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86" w:rsidRDefault="0098086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86" w:rsidRDefault="0062738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27386" w:rsidRDefault="0062738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627386" w:rsidRDefault="00627386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Ega&#10;V7mEAgAADw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627386" w:rsidRDefault="0062738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27386" w:rsidRDefault="00627386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627386" w:rsidRDefault="00627386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627386">
      <w:rPr>
        <w:rFonts w:ascii="News Gothic MT" w:hAnsi="News Gothic MT"/>
        <w:b/>
        <w:kern w:val="28"/>
        <w:sz w:val="96"/>
      </w:rPr>
      <w:t>PUBLIC NOTICE</w:t>
    </w:r>
  </w:p>
  <w:p w:rsidR="00627386" w:rsidRDefault="0098086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zF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Kv17M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86" w:rsidRDefault="00627386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27386" w:rsidRDefault="00627386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27386" w:rsidRDefault="00627386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27386" w:rsidRDefault="0062738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T/ga&#10;2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627386" w:rsidRDefault="00627386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27386" w:rsidRDefault="00627386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27386" w:rsidRDefault="00627386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27386" w:rsidRDefault="0062738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27386" w:rsidRDefault="00627386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E9"/>
    <w:multiLevelType w:val="hybridMultilevel"/>
    <w:tmpl w:val="F3049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DE09A1"/>
    <w:multiLevelType w:val="hybridMultilevel"/>
    <w:tmpl w:val="6372947A"/>
    <w:lvl w:ilvl="0" w:tplc="498861A4">
      <w:start w:val="1"/>
      <w:numFmt w:val="decimal"/>
      <w:lvlText w:val="(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2C864FF0"/>
    <w:multiLevelType w:val="hybridMultilevel"/>
    <w:tmpl w:val="CA0CA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34A23DD"/>
    <w:multiLevelType w:val="hybridMultilevel"/>
    <w:tmpl w:val="AFF86B74"/>
    <w:lvl w:ilvl="0" w:tplc="52A293D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D2455"/>
    <w:multiLevelType w:val="singleLevel"/>
    <w:tmpl w:val="2514F5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531A573C"/>
    <w:multiLevelType w:val="hybridMultilevel"/>
    <w:tmpl w:val="A8E02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61182925"/>
    <w:multiLevelType w:val="singleLevel"/>
    <w:tmpl w:val="D180CED0"/>
    <w:lvl w:ilvl="0">
      <w:start w:val="1"/>
      <w:numFmt w:val="decimal"/>
      <w:pStyle w:val="ParaNumCharCharChar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6C391F65"/>
    <w:multiLevelType w:val="hybridMultilevel"/>
    <w:tmpl w:val="2B666FD8"/>
    <w:lvl w:ilvl="0" w:tplc="68E0F1D6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D1"/>
    <w:rsid w:val="000054A8"/>
    <w:rsid w:val="00024BD6"/>
    <w:rsid w:val="0004264C"/>
    <w:rsid w:val="000439C2"/>
    <w:rsid w:val="00045313"/>
    <w:rsid w:val="00052567"/>
    <w:rsid w:val="00066600"/>
    <w:rsid w:val="00067424"/>
    <w:rsid w:val="000761E7"/>
    <w:rsid w:val="00084C68"/>
    <w:rsid w:val="0008520A"/>
    <w:rsid w:val="00087B9D"/>
    <w:rsid w:val="000954D0"/>
    <w:rsid w:val="000A04E6"/>
    <w:rsid w:val="000B2022"/>
    <w:rsid w:val="000D00BD"/>
    <w:rsid w:val="000E26F9"/>
    <w:rsid w:val="000E29BD"/>
    <w:rsid w:val="000E5FDE"/>
    <w:rsid w:val="000F59E6"/>
    <w:rsid w:val="001224F7"/>
    <w:rsid w:val="001438F8"/>
    <w:rsid w:val="0014755E"/>
    <w:rsid w:val="00153DD1"/>
    <w:rsid w:val="001678CE"/>
    <w:rsid w:val="00167E62"/>
    <w:rsid w:val="00171E3C"/>
    <w:rsid w:val="0017422D"/>
    <w:rsid w:val="001743AE"/>
    <w:rsid w:val="0017504F"/>
    <w:rsid w:val="00181CF7"/>
    <w:rsid w:val="001A7E91"/>
    <w:rsid w:val="001B6D22"/>
    <w:rsid w:val="001D66E6"/>
    <w:rsid w:val="001D77BE"/>
    <w:rsid w:val="001E492C"/>
    <w:rsid w:val="001F45D7"/>
    <w:rsid w:val="00211BB8"/>
    <w:rsid w:val="00230B1B"/>
    <w:rsid w:val="00245E85"/>
    <w:rsid w:val="0024722C"/>
    <w:rsid w:val="00251B12"/>
    <w:rsid w:val="0025217B"/>
    <w:rsid w:val="00254889"/>
    <w:rsid w:val="002639D3"/>
    <w:rsid w:val="0027383C"/>
    <w:rsid w:val="00281BAA"/>
    <w:rsid w:val="00285DC5"/>
    <w:rsid w:val="00287F54"/>
    <w:rsid w:val="002A6B18"/>
    <w:rsid w:val="002C57AC"/>
    <w:rsid w:val="002D093F"/>
    <w:rsid w:val="002D587A"/>
    <w:rsid w:val="002E0CA3"/>
    <w:rsid w:val="002E4F7F"/>
    <w:rsid w:val="002E6EC8"/>
    <w:rsid w:val="002F258E"/>
    <w:rsid w:val="003012CD"/>
    <w:rsid w:val="00307453"/>
    <w:rsid w:val="00310169"/>
    <w:rsid w:val="00314206"/>
    <w:rsid w:val="00320AB3"/>
    <w:rsid w:val="00327C8D"/>
    <w:rsid w:val="00327FD4"/>
    <w:rsid w:val="00336082"/>
    <w:rsid w:val="00342186"/>
    <w:rsid w:val="0034701F"/>
    <w:rsid w:val="003515A6"/>
    <w:rsid w:val="00353590"/>
    <w:rsid w:val="00353A0C"/>
    <w:rsid w:val="003544B5"/>
    <w:rsid w:val="00357B77"/>
    <w:rsid w:val="00365F6E"/>
    <w:rsid w:val="0038075A"/>
    <w:rsid w:val="0038150F"/>
    <w:rsid w:val="003969BA"/>
    <w:rsid w:val="00397D17"/>
    <w:rsid w:val="003A531A"/>
    <w:rsid w:val="003B1D63"/>
    <w:rsid w:val="003B3BAA"/>
    <w:rsid w:val="003D4CE3"/>
    <w:rsid w:val="003D4FF1"/>
    <w:rsid w:val="003E4123"/>
    <w:rsid w:val="003E77A0"/>
    <w:rsid w:val="003F188A"/>
    <w:rsid w:val="003F5E46"/>
    <w:rsid w:val="0040227C"/>
    <w:rsid w:val="0040773F"/>
    <w:rsid w:val="0041175B"/>
    <w:rsid w:val="00413C53"/>
    <w:rsid w:val="00420D38"/>
    <w:rsid w:val="0042183D"/>
    <w:rsid w:val="004237CE"/>
    <w:rsid w:val="00437067"/>
    <w:rsid w:val="00440A3A"/>
    <w:rsid w:val="00443662"/>
    <w:rsid w:val="004602AA"/>
    <w:rsid w:val="00462CD0"/>
    <w:rsid w:val="00463BD1"/>
    <w:rsid w:val="00464119"/>
    <w:rsid w:val="00466BF2"/>
    <w:rsid w:val="00474CD1"/>
    <w:rsid w:val="0049019A"/>
    <w:rsid w:val="0049226B"/>
    <w:rsid w:val="00492B39"/>
    <w:rsid w:val="004943AF"/>
    <w:rsid w:val="004978A9"/>
    <w:rsid w:val="004A41FB"/>
    <w:rsid w:val="004A5E21"/>
    <w:rsid w:val="004E1A7B"/>
    <w:rsid w:val="004E3535"/>
    <w:rsid w:val="004E56D9"/>
    <w:rsid w:val="004E6EC0"/>
    <w:rsid w:val="00507FCC"/>
    <w:rsid w:val="00521833"/>
    <w:rsid w:val="0052570E"/>
    <w:rsid w:val="00526420"/>
    <w:rsid w:val="00535B3C"/>
    <w:rsid w:val="00541662"/>
    <w:rsid w:val="00545087"/>
    <w:rsid w:val="0054665F"/>
    <w:rsid w:val="00563D2E"/>
    <w:rsid w:val="00570660"/>
    <w:rsid w:val="00585724"/>
    <w:rsid w:val="005943A1"/>
    <w:rsid w:val="005B6DED"/>
    <w:rsid w:val="005C1BCE"/>
    <w:rsid w:val="005C699D"/>
    <w:rsid w:val="005E2D0C"/>
    <w:rsid w:val="005E4CF7"/>
    <w:rsid w:val="005E66C8"/>
    <w:rsid w:val="006171A0"/>
    <w:rsid w:val="00627127"/>
    <w:rsid w:val="00627386"/>
    <w:rsid w:val="00630042"/>
    <w:rsid w:val="00633C5F"/>
    <w:rsid w:val="00637E8B"/>
    <w:rsid w:val="0064173D"/>
    <w:rsid w:val="00644179"/>
    <w:rsid w:val="00651C46"/>
    <w:rsid w:val="006662CC"/>
    <w:rsid w:val="0068032C"/>
    <w:rsid w:val="006952A6"/>
    <w:rsid w:val="006958B1"/>
    <w:rsid w:val="00697A21"/>
    <w:rsid w:val="006B15AB"/>
    <w:rsid w:val="006B2BCC"/>
    <w:rsid w:val="006B3967"/>
    <w:rsid w:val="006B3EE7"/>
    <w:rsid w:val="006C08CC"/>
    <w:rsid w:val="006C3AAF"/>
    <w:rsid w:val="006E530B"/>
    <w:rsid w:val="006E75A4"/>
    <w:rsid w:val="006F215C"/>
    <w:rsid w:val="006F3CF0"/>
    <w:rsid w:val="006F63FA"/>
    <w:rsid w:val="00725A1D"/>
    <w:rsid w:val="00731BC5"/>
    <w:rsid w:val="00735163"/>
    <w:rsid w:val="00736D8A"/>
    <w:rsid w:val="007422C8"/>
    <w:rsid w:val="00743F81"/>
    <w:rsid w:val="00744243"/>
    <w:rsid w:val="00747301"/>
    <w:rsid w:val="00752F49"/>
    <w:rsid w:val="00764F88"/>
    <w:rsid w:val="007839FF"/>
    <w:rsid w:val="00785665"/>
    <w:rsid w:val="00791534"/>
    <w:rsid w:val="007929AA"/>
    <w:rsid w:val="007A046C"/>
    <w:rsid w:val="007B15F4"/>
    <w:rsid w:val="007B4CE8"/>
    <w:rsid w:val="007B501F"/>
    <w:rsid w:val="007C3425"/>
    <w:rsid w:val="007C5017"/>
    <w:rsid w:val="007D6BDF"/>
    <w:rsid w:val="007F4083"/>
    <w:rsid w:val="007F52B4"/>
    <w:rsid w:val="00806A74"/>
    <w:rsid w:val="008107F6"/>
    <w:rsid w:val="0082086D"/>
    <w:rsid w:val="00826707"/>
    <w:rsid w:val="0084179E"/>
    <w:rsid w:val="008557C6"/>
    <w:rsid w:val="0085632C"/>
    <w:rsid w:val="00857A67"/>
    <w:rsid w:val="00861800"/>
    <w:rsid w:val="008675CC"/>
    <w:rsid w:val="008763D8"/>
    <w:rsid w:val="008827A0"/>
    <w:rsid w:val="0089346C"/>
    <w:rsid w:val="008C2BD8"/>
    <w:rsid w:val="008C65F6"/>
    <w:rsid w:val="008D6727"/>
    <w:rsid w:val="009059F3"/>
    <w:rsid w:val="00915D4B"/>
    <w:rsid w:val="00916D7B"/>
    <w:rsid w:val="009361F4"/>
    <w:rsid w:val="00947E41"/>
    <w:rsid w:val="009730B0"/>
    <w:rsid w:val="00974F45"/>
    <w:rsid w:val="00975C26"/>
    <w:rsid w:val="00977AA6"/>
    <w:rsid w:val="009806EA"/>
    <w:rsid w:val="0098086F"/>
    <w:rsid w:val="00995B5F"/>
    <w:rsid w:val="00995BDB"/>
    <w:rsid w:val="009A0057"/>
    <w:rsid w:val="009A1D46"/>
    <w:rsid w:val="009A5AE2"/>
    <w:rsid w:val="009B410E"/>
    <w:rsid w:val="009C3804"/>
    <w:rsid w:val="009C7542"/>
    <w:rsid w:val="009D26B7"/>
    <w:rsid w:val="009F23B9"/>
    <w:rsid w:val="009F3EE8"/>
    <w:rsid w:val="009F5C0A"/>
    <w:rsid w:val="00A01724"/>
    <w:rsid w:val="00A0515F"/>
    <w:rsid w:val="00A07121"/>
    <w:rsid w:val="00A11178"/>
    <w:rsid w:val="00A1554A"/>
    <w:rsid w:val="00A208A0"/>
    <w:rsid w:val="00A239D1"/>
    <w:rsid w:val="00A25F19"/>
    <w:rsid w:val="00A4461F"/>
    <w:rsid w:val="00A460DE"/>
    <w:rsid w:val="00A51C38"/>
    <w:rsid w:val="00A60111"/>
    <w:rsid w:val="00A940CA"/>
    <w:rsid w:val="00A95919"/>
    <w:rsid w:val="00AA6ADC"/>
    <w:rsid w:val="00AA6BB5"/>
    <w:rsid w:val="00AB307C"/>
    <w:rsid w:val="00AC0C99"/>
    <w:rsid w:val="00AF44BE"/>
    <w:rsid w:val="00B0370F"/>
    <w:rsid w:val="00B05F8E"/>
    <w:rsid w:val="00B064BA"/>
    <w:rsid w:val="00B25CA1"/>
    <w:rsid w:val="00B30B7F"/>
    <w:rsid w:val="00B3262C"/>
    <w:rsid w:val="00B412AA"/>
    <w:rsid w:val="00B46BEA"/>
    <w:rsid w:val="00B47A21"/>
    <w:rsid w:val="00B818E2"/>
    <w:rsid w:val="00B9575A"/>
    <w:rsid w:val="00BA4000"/>
    <w:rsid w:val="00BB7341"/>
    <w:rsid w:val="00BC7698"/>
    <w:rsid w:val="00BD32D0"/>
    <w:rsid w:val="00BD7D1F"/>
    <w:rsid w:val="00BE1C5B"/>
    <w:rsid w:val="00BE5171"/>
    <w:rsid w:val="00BE5E0D"/>
    <w:rsid w:val="00BF073D"/>
    <w:rsid w:val="00BF7E5A"/>
    <w:rsid w:val="00C07914"/>
    <w:rsid w:val="00C13D90"/>
    <w:rsid w:val="00C24827"/>
    <w:rsid w:val="00C253AD"/>
    <w:rsid w:val="00C43640"/>
    <w:rsid w:val="00C557EA"/>
    <w:rsid w:val="00C7369F"/>
    <w:rsid w:val="00C76730"/>
    <w:rsid w:val="00C77B13"/>
    <w:rsid w:val="00C826C2"/>
    <w:rsid w:val="00C82819"/>
    <w:rsid w:val="00C877C3"/>
    <w:rsid w:val="00C924E4"/>
    <w:rsid w:val="00C95735"/>
    <w:rsid w:val="00CA7580"/>
    <w:rsid w:val="00CB241C"/>
    <w:rsid w:val="00CB3E60"/>
    <w:rsid w:val="00CC0C28"/>
    <w:rsid w:val="00CC3CBD"/>
    <w:rsid w:val="00CC4046"/>
    <w:rsid w:val="00CC4FAF"/>
    <w:rsid w:val="00CD17A2"/>
    <w:rsid w:val="00CD77B6"/>
    <w:rsid w:val="00CE075A"/>
    <w:rsid w:val="00CE12C7"/>
    <w:rsid w:val="00CE5047"/>
    <w:rsid w:val="00D00AC4"/>
    <w:rsid w:val="00D02937"/>
    <w:rsid w:val="00D36EE1"/>
    <w:rsid w:val="00D45F9E"/>
    <w:rsid w:val="00D641E9"/>
    <w:rsid w:val="00D64401"/>
    <w:rsid w:val="00D6700D"/>
    <w:rsid w:val="00D744B0"/>
    <w:rsid w:val="00D764ED"/>
    <w:rsid w:val="00D8124B"/>
    <w:rsid w:val="00D81F98"/>
    <w:rsid w:val="00D8775C"/>
    <w:rsid w:val="00D92DEC"/>
    <w:rsid w:val="00DA1F50"/>
    <w:rsid w:val="00DB14C4"/>
    <w:rsid w:val="00DC385E"/>
    <w:rsid w:val="00DC3DED"/>
    <w:rsid w:val="00DD2CA1"/>
    <w:rsid w:val="00DE4173"/>
    <w:rsid w:val="00DE5587"/>
    <w:rsid w:val="00DE7E56"/>
    <w:rsid w:val="00DF1721"/>
    <w:rsid w:val="00DF2659"/>
    <w:rsid w:val="00DF3D66"/>
    <w:rsid w:val="00DF5512"/>
    <w:rsid w:val="00E16743"/>
    <w:rsid w:val="00E33EBD"/>
    <w:rsid w:val="00E35F39"/>
    <w:rsid w:val="00E379DC"/>
    <w:rsid w:val="00E40C90"/>
    <w:rsid w:val="00E418EE"/>
    <w:rsid w:val="00E55571"/>
    <w:rsid w:val="00E7257E"/>
    <w:rsid w:val="00E72C5A"/>
    <w:rsid w:val="00E74077"/>
    <w:rsid w:val="00E77AD3"/>
    <w:rsid w:val="00E80221"/>
    <w:rsid w:val="00E83167"/>
    <w:rsid w:val="00E90CB8"/>
    <w:rsid w:val="00E969BE"/>
    <w:rsid w:val="00E97FA2"/>
    <w:rsid w:val="00EA2731"/>
    <w:rsid w:val="00EA5001"/>
    <w:rsid w:val="00EA7AA3"/>
    <w:rsid w:val="00EB04BB"/>
    <w:rsid w:val="00EB2E0C"/>
    <w:rsid w:val="00EB3AA6"/>
    <w:rsid w:val="00EB57BC"/>
    <w:rsid w:val="00EB6022"/>
    <w:rsid w:val="00EC34DA"/>
    <w:rsid w:val="00EC61D1"/>
    <w:rsid w:val="00ED29CB"/>
    <w:rsid w:val="00EE65BE"/>
    <w:rsid w:val="00EE7138"/>
    <w:rsid w:val="00EF28EC"/>
    <w:rsid w:val="00EF37E4"/>
    <w:rsid w:val="00EF6092"/>
    <w:rsid w:val="00EF6F82"/>
    <w:rsid w:val="00F046F2"/>
    <w:rsid w:val="00F129A9"/>
    <w:rsid w:val="00F208CE"/>
    <w:rsid w:val="00F216F9"/>
    <w:rsid w:val="00F3381F"/>
    <w:rsid w:val="00F45AAD"/>
    <w:rsid w:val="00F51C60"/>
    <w:rsid w:val="00F53F7D"/>
    <w:rsid w:val="00F73E4F"/>
    <w:rsid w:val="00F74705"/>
    <w:rsid w:val="00F76994"/>
    <w:rsid w:val="00F818CE"/>
    <w:rsid w:val="00FA1BDB"/>
    <w:rsid w:val="00FB0912"/>
    <w:rsid w:val="00FB3555"/>
    <w:rsid w:val="00FB3B6C"/>
    <w:rsid w:val="00FB584C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aliases w:val="Footnote Text Char1,Footnote Text Char Char,Footnote Text Char2,Footnote Text Char1 Char1,Footnote Text Char1 Char Char Char,Footnote Text Char2 Char Char Char Char,Footnote Text Char Char Char Char Char Char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rsid w:val="006171A0"/>
    <w:pPr>
      <w:widowControl w:val="0"/>
      <w:tabs>
        <w:tab w:val="left" w:pos="-720"/>
      </w:tabs>
      <w:suppressAutoHyphens/>
      <w:jc w:val="both"/>
    </w:pPr>
    <w:rPr>
      <w:snapToGrid w:val="0"/>
      <w:sz w:val="24"/>
    </w:rPr>
  </w:style>
  <w:style w:type="character" w:customStyle="1" w:styleId="FootnoteTextChar">
    <w:name w:val="Footnote Text Char"/>
    <w:aliases w:val="Footnote Text Char1 Char,Footnote Text Char Char Char,Footnote Text Char2 Char,Footnote Text Char1 Char1 Char,Footnote Text Char1 Char Char Char Char,Footnote Text Char2 Char Char Char Char Char"/>
    <w:basedOn w:val="DefaultParagraphFont"/>
    <w:link w:val="FootnoteText"/>
    <w:rsid w:val="006171A0"/>
    <w:rPr>
      <w:sz w:val="22"/>
      <w:lang w:val="en-US" w:eastAsia="en-US" w:bidi="ar-SA"/>
    </w:rPr>
  </w:style>
  <w:style w:type="table" w:styleId="TableGrid">
    <w:name w:val="Table Grid"/>
    <w:basedOn w:val="TableNormal"/>
    <w:rsid w:val="0061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01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3590"/>
  </w:style>
  <w:style w:type="paragraph" w:customStyle="1" w:styleId="ParaNumCharCharChar">
    <w:name w:val="ParaNum Char Char Char"/>
    <w:basedOn w:val="Normal"/>
    <w:link w:val="ParaNumCharCharCharChar"/>
    <w:rsid w:val="002E4F7F"/>
    <w:pPr>
      <w:widowControl w:val="0"/>
      <w:numPr>
        <w:numId w:val="16"/>
      </w:numPr>
      <w:spacing w:after="120"/>
    </w:pPr>
    <w:rPr>
      <w:snapToGrid w:val="0"/>
      <w:kern w:val="28"/>
    </w:rPr>
  </w:style>
  <w:style w:type="character" w:customStyle="1" w:styleId="ParaNumCharCharCharChar">
    <w:name w:val="ParaNum Char Char Char Char"/>
    <w:basedOn w:val="DefaultParagraphFont"/>
    <w:link w:val="ParaNumCharCharChar"/>
    <w:rsid w:val="002E4F7F"/>
    <w:rPr>
      <w:snapToGrid w:val="0"/>
      <w:kern w:val="28"/>
      <w:sz w:val="22"/>
      <w:lang w:val="en-US" w:eastAsia="en-US" w:bidi="ar-SA"/>
    </w:rPr>
  </w:style>
  <w:style w:type="paragraph" w:customStyle="1" w:styleId="ParaNum0">
    <w:name w:val="ParaNum"/>
    <w:basedOn w:val="Normal"/>
    <w:rsid w:val="00C924E4"/>
    <w:pPr>
      <w:widowControl w:val="0"/>
      <w:tabs>
        <w:tab w:val="num" w:pos="1440"/>
      </w:tabs>
      <w:spacing w:after="120"/>
      <w:ind w:firstLine="720"/>
    </w:pPr>
    <w:rPr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aliases w:val="Footnote Text Char1,Footnote Text Char Char,Footnote Text Char2,Footnote Text Char1 Char1,Footnote Text Char1 Char Char Char,Footnote Text Char2 Char Char Char Char,Footnote Text Char Char Char Char Char Char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rsid w:val="006171A0"/>
    <w:pPr>
      <w:widowControl w:val="0"/>
      <w:tabs>
        <w:tab w:val="left" w:pos="-720"/>
      </w:tabs>
      <w:suppressAutoHyphens/>
      <w:jc w:val="both"/>
    </w:pPr>
    <w:rPr>
      <w:snapToGrid w:val="0"/>
      <w:sz w:val="24"/>
    </w:rPr>
  </w:style>
  <w:style w:type="character" w:customStyle="1" w:styleId="FootnoteTextChar">
    <w:name w:val="Footnote Text Char"/>
    <w:aliases w:val="Footnote Text Char1 Char,Footnote Text Char Char Char,Footnote Text Char2 Char,Footnote Text Char1 Char1 Char,Footnote Text Char1 Char Char Char Char,Footnote Text Char2 Char Char Char Char Char"/>
    <w:basedOn w:val="DefaultParagraphFont"/>
    <w:link w:val="FootnoteText"/>
    <w:rsid w:val="006171A0"/>
    <w:rPr>
      <w:sz w:val="22"/>
      <w:lang w:val="en-US" w:eastAsia="en-US" w:bidi="ar-SA"/>
    </w:rPr>
  </w:style>
  <w:style w:type="table" w:styleId="TableGrid">
    <w:name w:val="Table Grid"/>
    <w:basedOn w:val="TableNormal"/>
    <w:rsid w:val="0061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01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3590"/>
  </w:style>
  <w:style w:type="paragraph" w:customStyle="1" w:styleId="ParaNumCharCharChar">
    <w:name w:val="ParaNum Char Char Char"/>
    <w:basedOn w:val="Normal"/>
    <w:link w:val="ParaNumCharCharCharChar"/>
    <w:rsid w:val="002E4F7F"/>
    <w:pPr>
      <w:widowControl w:val="0"/>
      <w:numPr>
        <w:numId w:val="16"/>
      </w:numPr>
      <w:spacing w:after="120"/>
    </w:pPr>
    <w:rPr>
      <w:snapToGrid w:val="0"/>
      <w:kern w:val="28"/>
    </w:rPr>
  </w:style>
  <w:style w:type="character" w:customStyle="1" w:styleId="ParaNumCharCharCharChar">
    <w:name w:val="ParaNum Char Char Char Char"/>
    <w:basedOn w:val="DefaultParagraphFont"/>
    <w:link w:val="ParaNumCharCharChar"/>
    <w:rsid w:val="002E4F7F"/>
    <w:rPr>
      <w:snapToGrid w:val="0"/>
      <w:kern w:val="28"/>
      <w:sz w:val="22"/>
      <w:lang w:val="en-US" w:eastAsia="en-US" w:bidi="ar-SA"/>
    </w:rPr>
  </w:style>
  <w:style w:type="paragraph" w:customStyle="1" w:styleId="ParaNum0">
    <w:name w:val="ParaNum"/>
    <w:basedOn w:val="Normal"/>
    <w:rsid w:val="00C924E4"/>
    <w:pPr>
      <w:widowControl w:val="0"/>
      <w:tabs>
        <w:tab w:val="num" w:pos="1440"/>
      </w:tabs>
      <w:spacing w:after="120"/>
      <w:ind w:firstLine="720"/>
    </w:pPr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ian.Marenco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3571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4211</CharactersWithSpaces>
  <SharedDoc>false</SharedDoc>
  <HyperlinkBase> </HyperlinkBase>
  <HLinks>
    <vt:vector size="6" baseType="variant"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mailto:Roberto.Mussenden@fcc.gov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2008-01-15T21:45:00Z</cp:lastPrinted>
  <dcterms:created xsi:type="dcterms:W3CDTF">2015-04-10T14:56:00Z</dcterms:created>
  <dcterms:modified xsi:type="dcterms:W3CDTF">2015-04-10T14:56:00Z</dcterms:modified>
  <cp:category> </cp:category>
  <cp:contentStatus> </cp:contentStatus>
</cp:coreProperties>
</file>