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24" w:rsidRDefault="000E0424">
      <w:pPr>
        <w:pStyle w:val="Header"/>
        <w:tabs>
          <w:tab w:val="clear" w:pos="4320"/>
          <w:tab w:val="clear" w:pos="8640"/>
          <w:tab w:val="left" w:pos="1440"/>
        </w:tabs>
        <w:jc w:val="center"/>
        <w:rPr>
          <w:b/>
          <w:sz w:val="22"/>
          <w:szCs w:val="22"/>
        </w:rPr>
      </w:pPr>
      <w:bookmarkStart w:id="0" w:name="_GoBack"/>
      <w:bookmarkEnd w:id="0"/>
    </w:p>
    <w:p w:rsidR="0000251C" w:rsidRPr="00D1216B" w:rsidRDefault="0000251C">
      <w:pPr>
        <w:pStyle w:val="Header"/>
        <w:tabs>
          <w:tab w:val="clear" w:pos="4320"/>
          <w:tab w:val="clear" w:pos="8640"/>
          <w:tab w:val="left" w:pos="1440"/>
        </w:tabs>
        <w:jc w:val="center"/>
        <w:rPr>
          <w:b/>
          <w:sz w:val="22"/>
          <w:szCs w:val="22"/>
        </w:rPr>
      </w:pPr>
      <w:r w:rsidRPr="00D1216B">
        <w:rPr>
          <w:b/>
          <w:sz w:val="22"/>
          <w:szCs w:val="22"/>
        </w:rPr>
        <w:t>Before the</w:t>
      </w:r>
    </w:p>
    <w:p w:rsidR="0000251C" w:rsidRPr="00D1216B" w:rsidRDefault="0000251C">
      <w:pPr>
        <w:pStyle w:val="Header"/>
        <w:tabs>
          <w:tab w:val="clear" w:pos="4320"/>
          <w:tab w:val="clear" w:pos="8640"/>
          <w:tab w:val="left" w:pos="1440"/>
        </w:tabs>
        <w:jc w:val="center"/>
        <w:rPr>
          <w:b/>
          <w:sz w:val="22"/>
          <w:szCs w:val="22"/>
        </w:rPr>
      </w:pPr>
      <w:r w:rsidRPr="00D1216B">
        <w:rPr>
          <w:b/>
          <w:sz w:val="22"/>
          <w:szCs w:val="22"/>
        </w:rPr>
        <w:t>Federal Communications Commission</w:t>
      </w:r>
    </w:p>
    <w:p w:rsidR="0000251C" w:rsidRPr="00D1216B" w:rsidRDefault="0000251C">
      <w:pPr>
        <w:pStyle w:val="Header"/>
        <w:tabs>
          <w:tab w:val="clear" w:pos="4320"/>
          <w:tab w:val="clear" w:pos="8640"/>
          <w:tab w:val="left" w:pos="1440"/>
        </w:tabs>
        <w:jc w:val="center"/>
        <w:rPr>
          <w:sz w:val="22"/>
          <w:szCs w:val="22"/>
        </w:rPr>
      </w:pPr>
      <w:r w:rsidRPr="00D1216B">
        <w:rPr>
          <w:b/>
          <w:sz w:val="22"/>
          <w:szCs w:val="22"/>
        </w:rPr>
        <w:t>Washington, DC  20554</w:t>
      </w:r>
    </w:p>
    <w:p w:rsidR="0000251C" w:rsidRPr="00D1216B" w:rsidRDefault="0000251C">
      <w:pPr>
        <w:pStyle w:val="Header"/>
        <w:tabs>
          <w:tab w:val="clear" w:pos="4320"/>
          <w:tab w:val="clear" w:pos="8640"/>
          <w:tab w:val="left" w:pos="1440"/>
        </w:tabs>
        <w:rPr>
          <w:sz w:val="22"/>
          <w:szCs w:val="22"/>
        </w:rPr>
      </w:pPr>
    </w:p>
    <w:p w:rsidR="00661C6F" w:rsidRPr="00D1216B" w:rsidRDefault="00661C6F" w:rsidP="00FD1498">
      <w:pPr>
        <w:pStyle w:val="Header"/>
        <w:tabs>
          <w:tab w:val="clear" w:pos="4320"/>
          <w:tab w:val="clear" w:pos="8640"/>
          <w:tab w:val="left" w:pos="4680"/>
        </w:tabs>
        <w:rPr>
          <w:sz w:val="22"/>
          <w:szCs w:val="22"/>
        </w:rPr>
      </w:pPr>
      <w:r w:rsidRPr="00D1216B">
        <w:rPr>
          <w:sz w:val="22"/>
          <w:szCs w:val="22"/>
        </w:rPr>
        <w:t>In the Matter of</w:t>
      </w:r>
      <w:r w:rsidRPr="00D1216B">
        <w:rPr>
          <w:sz w:val="22"/>
          <w:szCs w:val="22"/>
        </w:rPr>
        <w:tab/>
        <w:t>)</w:t>
      </w:r>
    </w:p>
    <w:p w:rsidR="00661C6F" w:rsidRPr="00D12534" w:rsidRDefault="00661C6F" w:rsidP="00FD1498">
      <w:pPr>
        <w:pStyle w:val="Header"/>
        <w:tabs>
          <w:tab w:val="clear" w:pos="4320"/>
          <w:tab w:val="clear" w:pos="8640"/>
          <w:tab w:val="left" w:pos="4680"/>
        </w:tabs>
        <w:rPr>
          <w:sz w:val="22"/>
          <w:szCs w:val="22"/>
        </w:rPr>
      </w:pPr>
      <w:r w:rsidRPr="00D1216B">
        <w:rPr>
          <w:sz w:val="22"/>
          <w:szCs w:val="22"/>
        </w:rPr>
        <w:tab/>
        <w:t>)</w:t>
      </w:r>
    </w:p>
    <w:p w:rsidR="00661C6F" w:rsidRPr="00D12534" w:rsidRDefault="0088046A" w:rsidP="00FD1498">
      <w:pPr>
        <w:pStyle w:val="Header"/>
        <w:tabs>
          <w:tab w:val="clear" w:pos="4320"/>
          <w:tab w:val="clear" w:pos="8640"/>
          <w:tab w:val="left" w:pos="4680"/>
        </w:tabs>
        <w:rPr>
          <w:sz w:val="22"/>
          <w:szCs w:val="22"/>
        </w:rPr>
      </w:pPr>
      <w:r w:rsidRPr="00D12534">
        <w:rPr>
          <w:sz w:val="22"/>
          <w:szCs w:val="22"/>
        </w:rPr>
        <w:t>Request</w:t>
      </w:r>
      <w:r w:rsidR="00E277E9">
        <w:rPr>
          <w:sz w:val="22"/>
          <w:szCs w:val="22"/>
        </w:rPr>
        <w:t xml:space="preserve">s </w:t>
      </w:r>
      <w:r w:rsidR="00A64B65" w:rsidRPr="00D12534">
        <w:rPr>
          <w:sz w:val="22"/>
          <w:szCs w:val="22"/>
        </w:rPr>
        <w:t>for Review</w:t>
      </w:r>
      <w:r w:rsidR="000B79FA" w:rsidRPr="00D12534">
        <w:rPr>
          <w:sz w:val="22"/>
          <w:szCs w:val="22"/>
        </w:rPr>
        <w:t xml:space="preserve"> </w:t>
      </w:r>
      <w:r w:rsidR="00661C6F" w:rsidRPr="00D12534">
        <w:rPr>
          <w:sz w:val="22"/>
          <w:szCs w:val="22"/>
        </w:rPr>
        <w:t>of</w:t>
      </w:r>
      <w:r w:rsidR="00661C6F" w:rsidRPr="00D12534">
        <w:rPr>
          <w:sz w:val="22"/>
          <w:szCs w:val="22"/>
        </w:rPr>
        <w:tab/>
        <w:t>)</w:t>
      </w:r>
    </w:p>
    <w:p w:rsidR="00661C6F" w:rsidRPr="00D12534" w:rsidRDefault="00661C6F" w:rsidP="00FD1498">
      <w:pPr>
        <w:pStyle w:val="Header"/>
        <w:tabs>
          <w:tab w:val="clear" w:pos="4320"/>
          <w:tab w:val="clear" w:pos="8640"/>
          <w:tab w:val="left" w:pos="4680"/>
        </w:tabs>
        <w:rPr>
          <w:sz w:val="22"/>
          <w:szCs w:val="22"/>
        </w:rPr>
      </w:pPr>
      <w:r w:rsidRPr="00D12534">
        <w:rPr>
          <w:sz w:val="22"/>
          <w:szCs w:val="22"/>
        </w:rPr>
        <w:t>Decision</w:t>
      </w:r>
      <w:r w:rsidR="006F68DE" w:rsidRPr="00D12534">
        <w:rPr>
          <w:sz w:val="22"/>
          <w:szCs w:val="22"/>
        </w:rPr>
        <w:t>s</w:t>
      </w:r>
      <w:r w:rsidRPr="00D12534">
        <w:rPr>
          <w:sz w:val="22"/>
          <w:szCs w:val="22"/>
        </w:rPr>
        <w:t xml:space="preserve"> of the</w:t>
      </w:r>
      <w:r w:rsidRPr="00D12534">
        <w:rPr>
          <w:sz w:val="22"/>
          <w:szCs w:val="22"/>
        </w:rPr>
        <w:tab/>
        <w:t>)</w:t>
      </w:r>
    </w:p>
    <w:p w:rsidR="0000251C" w:rsidRPr="00D12534" w:rsidRDefault="0088046A" w:rsidP="00FD1498">
      <w:pPr>
        <w:pStyle w:val="Header"/>
        <w:tabs>
          <w:tab w:val="clear" w:pos="4320"/>
          <w:tab w:val="clear" w:pos="8640"/>
          <w:tab w:val="left" w:pos="1440"/>
          <w:tab w:val="left" w:pos="4680"/>
        </w:tabs>
        <w:rPr>
          <w:sz w:val="22"/>
          <w:szCs w:val="22"/>
        </w:rPr>
      </w:pPr>
      <w:r w:rsidRPr="00D12534">
        <w:rPr>
          <w:sz w:val="22"/>
          <w:szCs w:val="22"/>
        </w:rPr>
        <w:t xml:space="preserve">Universal Service Administrator </w:t>
      </w:r>
      <w:r w:rsidR="00661C6F" w:rsidRPr="00D12534">
        <w:rPr>
          <w:sz w:val="22"/>
          <w:szCs w:val="22"/>
        </w:rPr>
        <w:t>by</w:t>
      </w:r>
      <w:r w:rsidR="0000251C" w:rsidRPr="00D12534">
        <w:rPr>
          <w:sz w:val="22"/>
          <w:szCs w:val="22"/>
        </w:rPr>
        <w:tab/>
        <w:t>)</w:t>
      </w:r>
    </w:p>
    <w:p w:rsidR="003045D1" w:rsidRDefault="003045D1" w:rsidP="00FD1498">
      <w:pPr>
        <w:pStyle w:val="Header"/>
        <w:tabs>
          <w:tab w:val="clear" w:pos="4320"/>
          <w:tab w:val="clear" w:pos="8640"/>
          <w:tab w:val="left" w:pos="1440"/>
          <w:tab w:val="left" w:pos="4680"/>
        </w:tabs>
        <w:rPr>
          <w:sz w:val="22"/>
          <w:szCs w:val="22"/>
        </w:rPr>
      </w:pPr>
      <w:r>
        <w:rPr>
          <w:sz w:val="22"/>
          <w:szCs w:val="22"/>
        </w:rPr>
        <w:tab/>
      </w:r>
      <w:r>
        <w:rPr>
          <w:sz w:val="22"/>
          <w:szCs w:val="22"/>
        </w:rPr>
        <w:tab/>
        <w:t>)</w:t>
      </w:r>
    </w:p>
    <w:p w:rsidR="003045D1" w:rsidRPr="003045D1" w:rsidRDefault="003045D1" w:rsidP="006F446D">
      <w:pPr>
        <w:pStyle w:val="Header"/>
        <w:tabs>
          <w:tab w:val="clear" w:pos="4320"/>
          <w:tab w:val="clear" w:pos="8640"/>
          <w:tab w:val="left" w:pos="1440"/>
          <w:tab w:val="left" w:pos="4680"/>
          <w:tab w:val="left" w:pos="5400"/>
        </w:tabs>
        <w:rPr>
          <w:sz w:val="22"/>
          <w:szCs w:val="22"/>
          <w:lang w:val="fr-FR"/>
        </w:rPr>
      </w:pPr>
      <w:r w:rsidRPr="00667C0F">
        <w:rPr>
          <w:sz w:val="22"/>
          <w:szCs w:val="22"/>
        </w:rPr>
        <w:t>Achieve Telecom Network of MA</w:t>
      </w:r>
      <w:r w:rsidR="006F446D">
        <w:rPr>
          <w:sz w:val="22"/>
          <w:szCs w:val="22"/>
        </w:rPr>
        <w:tab/>
        <w:t>)</w:t>
      </w:r>
      <w:r w:rsidR="006F446D">
        <w:rPr>
          <w:sz w:val="22"/>
          <w:szCs w:val="22"/>
        </w:rPr>
        <w:tab/>
      </w:r>
      <w:r>
        <w:rPr>
          <w:sz w:val="22"/>
          <w:szCs w:val="22"/>
        </w:rPr>
        <w:t>File</w:t>
      </w:r>
      <w:r w:rsidRPr="00CB587F">
        <w:rPr>
          <w:sz w:val="22"/>
          <w:szCs w:val="22"/>
        </w:rPr>
        <w:t xml:space="preserve"> Nos. </w:t>
      </w:r>
      <w:r w:rsidRPr="003045D1">
        <w:rPr>
          <w:sz w:val="22"/>
          <w:szCs w:val="22"/>
          <w:lang w:val="fr-FR"/>
        </w:rPr>
        <w:t xml:space="preserve">SLD- 514834, </w:t>
      </w:r>
      <w:r w:rsidRPr="003045D1">
        <w:rPr>
          <w:i/>
          <w:sz w:val="22"/>
          <w:szCs w:val="22"/>
          <w:lang w:val="fr-FR"/>
        </w:rPr>
        <w:t>et al.</w:t>
      </w:r>
    </w:p>
    <w:p w:rsidR="008F6EED" w:rsidRPr="003045D1" w:rsidRDefault="003045D1" w:rsidP="00FD1498">
      <w:pPr>
        <w:pStyle w:val="Header"/>
        <w:tabs>
          <w:tab w:val="clear" w:pos="4320"/>
          <w:tab w:val="clear" w:pos="8640"/>
          <w:tab w:val="left" w:pos="1440"/>
          <w:tab w:val="left" w:pos="4680"/>
        </w:tabs>
        <w:rPr>
          <w:sz w:val="22"/>
          <w:szCs w:val="22"/>
          <w:lang w:val="fr-FR"/>
        </w:rPr>
      </w:pPr>
      <w:r w:rsidRPr="003045D1">
        <w:rPr>
          <w:sz w:val="22"/>
          <w:szCs w:val="22"/>
          <w:lang w:val="fr-FR"/>
        </w:rPr>
        <w:t>Canton, MA</w:t>
      </w:r>
      <w:r w:rsidRPr="003045D1">
        <w:rPr>
          <w:sz w:val="22"/>
          <w:szCs w:val="22"/>
          <w:lang w:val="fr-FR"/>
        </w:rPr>
        <w:tab/>
      </w:r>
      <w:r w:rsidRPr="003045D1">
        <w:rPr>
          <w:sz w:val="22"/>
          <w:szCs w:val="22"/>
          <w:lang w:val="fr-FR"/>
        </w:rPr>
        <w:tab/>
        <w:t>)</w:t>
      </w:r>
    </w:p>
    <w:p w:rsidR="003045D1" w:rsidRPr="004F4661" w:rsidRDefault="003045D1" w:rsidP="00FD1498">
      <w:pPr>
        <w:pStyle w:val="Header"/>
        <w:tabs>
          <w:tab w:val="clear" w:pos="4320"/>
          <w:tab w:val="clear" w:pos="8640"/>
          <w:tab w:val="left" w:pos="1440"/>
          <w:tab w:val="left" w:pos="4680"/>
        </w:tabs>
        <w:rPr>
          <w:sz w:val="22"/>
          <w:szCs w:val="22"/>
        </w:rPr>
      </w:pPr>
      <w:r w:rsidRPr="00081B3E">
        <w:rPr>
          <w:sz w:val="22"/>
          <w:szCs w:val="22"/>
          <w:lang w:val="fr-FR"/>
        </w:rPr>
        <w:tab/>
      </w:r>
      <w:r w:rsidRPr="00081B3E">
        <w:rPr>
          <w:sz w:val="22"/>
          <w:szCs w:val="22"/>
          <w:lang w:val="fr-FR"/>
        </w:rPr>
        <w:tab/>
      </w:r>
      <w:r w:rsidR="00D369D9" w:rsidRPr="004F4661">
        <w:rPr>
          <w:sz w:val="22"/>
          <w:szCs w:val="22"/>
        </w:rPr>
        <w:t>)</w:t>
      </w:r>
    </w:p>
    <w:p w:rsidR="00CB587F" w:rsidRPr="00081B3E" w:rsidRDefault="00CB587F" w:rsidP="006F446D">
      <w:pPr>
        <w:pStyle w:val="Header"/>
        <w:tabs>
          <w:tab w:val="clear" w:pos="4320"/>
          <w:tab w:val="clear" w:pos="8640"/>
          <w:tab w:val="left" w:pos="1440"/>
          <w:tab w:val="left" w:pos="4680"/>
          <w:tab w:val="left" w:pos="5400"/>
        </w:tabs>
        <w:rPr>
          <w:sz w:val="22"/>
          <w:szCs w:val="22"/>
          <w:lang w:val="fr-FR"/>
        </w:rPr>
      </w:pPr>
      <w:r>
        <w:rPr>
          <w:sz w:val="22"/>
          <w:szCs w:val="22"/>
        </w:rPr>
        <w:t>Broc</w:t>
      </w:r>
      <w:r w:rsidR="006F446D">
        <w:rPr>
          <w:sz w:val="22"/>
          <w:szCs w:val="22"/>
        </w:rPr>
        <w:t>kton Public School District</w:t>
      </w:r>
      <w:r w:rsidR="006F446D">
        <w:rPr>
          <w:sz w:val="22"/>
          <w:szCs w:val="22"/>
        </w:rPr>
        <w:tab/>
        <w:t>)</w:t>
      </w:r>
      <w:r w:rsidR="006F446D">
        <w:rPr>
          <w:sz w:val="22"/>
          <w:szCs w:val="22"/>
        </w:rPr>
        <w:tab/>
      </w:r>
      <w:r>
        <w:rPr>
          <w:sz w:val="22"/>
          <w:szCs w:val="22"/>
        </w:rPr>
        <w:t xml:space="preserve">File Nos. </w:t>
      </w:r>
      <w:r w:rsidRPr="00081B3E">
        <w:rPr>
          <w:sz w:val="22"/>
          <w:szCs w:val="22"/>
          <w:lang w:val="fr-FR"/>
        </w:rPr>
        <w:t xml:space="preserve">SLD- 575224, </w:t>
      </w:r>
      <w:r w:rsidRPr="00081B3E">
        <w:rPr>
          <w:i/>
          <w:sz w:val="22"/>
          <w:szCs w:val="22"/>
          <w:lang w:val="fr-FR"/>
        </w:rPr>
        <w:t>et al</w:t>
      </w:r>
      <w:r w:rsidRPr="00081B3E">
        <w:rPr>
          <w:sz w:val="22"/>
          <w:szCs w:val="22"/>
          <w:lang w:val="fr-FR"/>
        </w:rPr>
        <w:t>.</w:t>
      </w:r>
    </w:p>
    <w:p w:rsidR="00CB587F" w:rsidRPr="00081B3E" w:rsidRDefault="00CB587F" w:rsidP="00FD1498">
      <w:pPr>
        <w:pStyle w:val="Header"/>
        <w:tabs>
          <w:tab w:val="clear" w:pos="4320"/>
          <w:tab w:val="clear" w:pos="8640"/>
          <w:tab w:val="left" w:pos="1440"/>
          <w:tab w:val="left" w:pos="4680"/>
        </w:tabs>
        <w:rPr>
          <w:sz w:val="22"/>
          <w:szCs w:val="22"/>
          <w:lang w:val="fr-FR"/>
        </w:rPr>
      </w:pPr>
      <w:r w:rsidRPr="00081B3E">
        <w:rPr>
          <w:sz w:val="22"/>
          <w:szCs w:val="22"/>
          <w:lang w:val="fr-FR"/>
        </w:rPr>
        <w:t>Brockton, MA</w:t>
      </w:r>
      <w:r w:rsidRPr="00081B3E">
        <w:rPr>
          <w:sz w:val="22"/>
          <w:szCs w:val="22"/>
          <w:lang w:val="fr-FR"/>
        </w:rPr>
        <w:tab/>
      </w:r>
      <w:r w:rsidRPr="00081B3E">
        <w:rPr>
          <w:sz w:val="22"/>
          <w:szCs w:val="22"/>
          <w:lang w:val="fr-FR"/>
        </w:rPr>
        <w:tab/>
        <w:t>)</w:t>
      </w:r>
    </w:p>
    <w:p w:rsidR="00CB587F" w:rsidRDefault="00CB587F" w:rsidP="00FD1498">
      <w:pPr>
        <w:pStyle w:val="Header"/>
        <w:tabs>
          <w:tab w:val="clear" w:pos="4320"/>
          <w:tab w:val="clear" w:pos="8640"/>
          <w:tab w:val="left" w:pos="1440"/>
          <w:tab w:val="left" w:pos="4680"/>
        </w:tabs>
        <w:rPr>
          <w:sz w:val="22"/>
          <w:szCs w:val="22"/>
        </w:rPr>
      </w:pPr>
      <w:r w:rsidRPr="00081B3E">
        <w:rPr>
          <w:sz w:val="22"/>
          <w:szCs w:val="22"/>
          <w:lang w:val="fr-FR"/>
        </w:rPr>
        <w:tab/>
      </w:r>
      <w:r w:rsidRPr="00081B3E">
        <w:rPr>
          <w:sz w:val="22"/>
          <w:szCs w:val="22"/>
          <w:lang w:val="fr-FR"/>
        </w:rPr>
        <w:tab/>
      </w:r>
      <w:r>
        <w:rPr>
          <w:sz w:val="22"/>
          <w:szCs w:val="22"/>
        </w:rPr>
        <w:t>)</w:t>
      </w:r>
    </w:p>
    <w:p w:rsidR="00CB587F" w:rsidRPr="00081B3E" w:rsidRDefault="006F446D" w:rsidP="006F446D">
      <w:pPr>
        <w:pStyle w:val="Header"/>
        <w:tabs>
          <w:tab w:val="clear" w:pos="4320"/>
          <w:tab w:val="clear" w:pos="8640"/>
          <w:tab w:val="left" w:pos="1440"/>
          <w:tab w:val="left" w:pos="4680"/>
          <w:tab w:val="left" w:pos="5400"/>
        </w:tabs>
        <w:rPr>
          <w:sz w:val="22"/>
          <w:szCs w:val="22"/>
          <w:lang w:val="fr-FR"/>
        </w:rPr>
      </w:pPr>
      <w:r>
        <w:rPr>
          <w:sz w:val="22"/>
          <w:szCs w:val="22"/>
        </w:rPr>
        <w:t>Chelsea School District</w:t>
      </w:r>
      <w:r>
        <w:rPr>
          <w:sz w:val="22"/>
          <w:szCs w:val="22"/>
        </w:rPr>
        <w:tab/>
        <w:t>)</w:t>
      </w:r>
      <w:r>
        <w:rPr>
          <w:sz w:val="22"/>
          <w:szCs w:val="22"/>
        </w:rPr>
        <w:tab/>
      </w:r>
      <w:r w:rsidR="00CB587F">
        <w:rPr>
          <w:sz w:val="22"/>
          <w:szCs w:val="22"/>
        </w:rPr>
        <w:t xml:space="preserve">File Nos. </w:t>
      </w:r>
      <w:r w:rsidR="00CB587F" w:rsidRPr="00081B3E">
        <w:rPr>
          <w:sz w:val="22"/>
          <w:szCs w:val="22"/>
          <w:lang w:val="fr-FR"/>
        </w:rPr>
        <w:t xml:space="preserve">SLD- 502263, </w:t>
      </w:r>
      <w:r w:rsidR="00CB587F" w:rsidRPr="00081B3E">
        <w:rPr>
          <w:i/>
          <w:sz w:val="22"/>
          <w:szCs w:val="22"/>
          <w:lang w:val="fr-FR"/>
        </w:rPr>
        <w:t>et al</w:t>
      </w:r>
      <w:r w:rsidR="00CB587F" w:rsidRPr="00081B3E">
        <w:rPr>
          <w:sz w:val="22"/>
          <w:szCs w:val="22"/>
          <w:lang w:val="fr-FR"/>
        </w:rPr>
        <w:t>.</w:t>
      </w:r>
    </w:p>
    <w:p w:rsidR="00CB587F" w:rsidRPr="00081B3E" w:rsidRDefault="00CB587F" w:rsidP="00FD1498">
      <w:pPr>
        <w:pStyle w:val="Header"/>
        <w:tabs>
          <w:tab w:val="clear" w:pos="4320"/>
          <w:tab w:val="clear" w:pos="8640"/>
          <w:tab w:val="left" w:pos="1440"/>
          <w:tab w:val="left" w:pos="4680"/>
        </w:tabs>
        <w:rPr>
          <w:sz w:val="22"/>
          <w:szCs w:val="22"/>
          <w:lang w:val="fr-FR"/>
        </w:rPr>
      </w:pPr>
      <w:r w:rsidRPr="00081B3E">
        <w:rPr>
          <w:sz w:val="22"/>
          <w:szCs w:val="22"/>
          <w:lang w:val="fr-FR"/>
        </w:rPr>
        <w:t>Chelsea, MA</w:t>
      </w:r>
      <w:r w:rsidRPr="00081B3E">
        <w:rPr>
          <w:sz w:val="22"/>
          <w:szCs w:val="22"/>
          <w:lang w:val="fr-FR"/>
        </w:rPr>
        <w:tab/>
      </w:r>
      <w:r w:rsidRPr="00081B3E">
        <w:rPr>
          <w:sz w:val="22"/>
          <w:szCs w:val="22"/>
          <w:lang w:val="fr-FR"/>
        </w:rPr>
        <w:tab/>
        <w:t>)</w:t>
      </w:r>
    </w:p>
    <w:p w:rsidR="00CB587F" w:rsidRDefault="00CB587F" w:rsidP="00FD1498">
      <w:pPr>
        <w:pStyle w:val="Header"/>
        <w:tabs>
          <w:tab w:val="clear" w:pos="4320"/>
          <w:tab w:val="clear" w:pos="8640"/>
          <w:tab w:val="left" w:pos="1440"/>
          <w:tab w:val="left" w:pos="4680"/>
        </w:tabs>
        <w:rPr>
          <w:sz w:val="22"/>
          <w:szCs w:val="22"/>
        </w:rPr>
      </w:pPr>
      <w:r w:rsidRPr="00081B3E">
        <w:rPr>
          <w:sz w:val="22"/>
          <w:szCs w:val="22"/>
          <w:lang w:val="fr-FR"/>
        </w:rPr>
        <w:tab/>
      </w:r>
      <w:r w:rsidRPr="00081B3E">
        <w:rPr>
          <w:sz w:val="22"/>
          <w:szCs w:val="22"/>
          <w:lang w:val="fr-FR"/>
        </w:rPr>
        <w:tab/>
      </w:r>
      <w:r>
        <w:rPr>
          <w:sz w:val="22"/>
          <w:szCs w:val="22"/>
        </w:rPr>
        <w:t>)</w:t>
      </w:r>
    </w:p>
    <w:p w:rsidR="00CB587F" w:rsidRPr="00CB587F" w:rsidRDefault="006F446D" w:rsidP="006F446D">
      <w:pPr>
        <w:pStyle w:val="Header"/>
        <w:tabs>
          <w:tab w:val="clear" w:pos="4320"/>
          <w:tab w:val="clear" w:pos="8640"/>
          <w:tab w:val="left" w:pos="1440"/>
          <w:tab w:val="left" w:pos="4680"/>
          <w:tab w:val="left" w:pos="5400"/>
        </w:tabs>
        <w:rPr>
          <w:sz w:val="22"/>
          <w:szCs w:val="22"/>
          <w:lang w:val="fr-FR"/>
        </w:rPr>
      </w:pPr>
      <w:r>
        <w:rPr>
          <w:sz w:val="22"/>
          <w:szCs w:val="22"/>
        </w:rPr>
        <w:t>Somerville School District</w:t>
      </w:r>
      <w:r>
        <w:rPr>
          <w:sz w:val="22"/>
          <w:szCs w:val="22"/>
        </w:rPr>
        <w:tab/>
        <w:t>)</w:t>
      </w:r>
      <w:r>
        <w:rPr>
          <w:sz w:val="22"/>
          <w:szCs w:val="22"/>
        </w:rPr>
        <w:tab/>
      </w:r>
      <w:r w:rsidR="00CB587F" w:rsidRPr="00081B3E">
        <w:rPr>
          <w:sz w:val="22"/>
          <w:szCs w:val="22"/>
        </w:rPr>
        <w:t xml:space="preserve">File Nos. </w:t>
      </w:r>
      <w:r w:rsidR="00CB587F">
        <w:rPr>
          <w:sz w:val="22"/>
          <w:szCs w:val="22"/>
          <w:lang w:val="fr-FR"/>
        </w:rPr>
        <w:t xml:space="preserve">SLD- </w:t>
      </w:r>
      <w:r w:rsidR="00CB587F" w:rsidRPr="00CB587F">
        <w:rPr>
          <w:sz w:val="22"/>
          <w:szCs w:val="22"/>
          <w:lang w:val="fr-FR"/>
        </w:rPr>
        <w:t xml:space="preserve">425096, </w:t>
      </w:r>
      <w:r w:rsidR="00CB587F" w:rsidRPr="00CB587F">
        <w:rPr>
          <w:i/>
          <w:sz w:val="22"/>
          <w:szCs w:val="22"/>
          <w:lang w:val="fr-FR"/>
        </w:rPr>
        <w:t>et al</w:t>
      </w:r>
      <w:r w:rsidR="00CB587F" w:rsidRPr="00CB587F">
        <w:rPr>
          <w:sz w:val="22"/>
          <w:szCs w:val="22"/>
          <w:lang w:val="fr-FR"/>
        </w:rPr>
        <w:t>.</w:t>
      </w:r>
    </w:p>
    <w:p w:rsidR="00CB587F" w:rsidRPr="00CB587F" w:rsidRDefault="00CB587F" w:rsidP="00FD1498">
      <w:pPr>
        <w:pStyle w:val="Header"/>
        <w:tabs>
          <w:tab w:val="clear" w:pos="4320"/>
          <w:tab w:val="clear" w:pos="8640"/>
          <w:tab w:val="left" w:pos="1440"/>
          <w:tab w:val="left" w:pos="4680"/>
        </w:tabs>
        <w:rPr>
          <w:sz w:val="22"/>
          <w:szCs w:val="22"/>
          <w:lang w:val="fr-FR"/>
        </w:rPr>
      </w:pPr>
      <w:r w:rsidRPr="00CB587F">
        <w:rPr>
          <w:sz w:val="22"/>
          <w:szCs w:val="22"/>
          <w:lang w:val="fr-FR"/>
        </w:rPr>
        <w:t>Somerville, MA</w:t>
      </w:r>
      <w:r w:rsidRPr="00CB587F">
        <w:rPr>
          <w:sz w:val="22"/>
          <w:szCs w:val="22"/>
          <w:lang w:val="fr-FR"/>
        </w:rPr>
        <w:tab/>
      </w:r>
      <w:r w:rsidRPr="00CB587F">
        <w:rPr>
          <w:sz w:val="22"/>
          <w:szCs w:val="22"/>
          <w:lang w:val="fr-FR"/>
        </w:rPr>
        <w:tab/>
        <w:t>)</w:t>
      </w:r>
    </w:p>
    <w:p w:rsidR="00CB587F" w:rsidRPr="00CB587F" w:rsidRDefault="00CB587F" w:rsidP="00FD1498">
      <w:pPr>
        <w:pStyle w:val="Header"/>
        <w:tabs>
          <w:tab w:val="clear" w:pos="4320"/>
          <w:tab w:val="clear" w:pos="8640"/>
          <w:tab w:val="left" w:pos="1440"/>
          <w:tab w:val="left" w:pos="4680"/>
        </w:tabs>
        <w:rPr>
          <w:sz w:val="22"/>
          <w:szCs w:val="22"/>
        </w:rPr>
      </w:pPr>
      <w:r>
        <w:rPr>
          <w:sz w:val="22"/>
          <w:szCs w:val="22"/>
          <w:lang w:val="fr-FR"/>
        </w:rPr>
        <w:tab/>
      </w:r>
      <w:r>
        <w:rPr>
          <w:sz w:val="22"/>
          <w:szCs w:val="22"/>
          <w:lang w:val="fr-FR"/>
        </w:rPr>
        <w:tab/>
      </w:r>
      <w:r w:rsidRPr="00CB587F">
        <w:rPr>
          <w:sz w:val="22"/>
          <w:szCs w:val="22"/>
        </w:rPr>
        <w:t>)</w:t>
      </w:r>
    </w:p>
    <w:p w:rsidR="00CB587F" w:rsidRDefault="006F446D" w:rsidP="006F446D">
      <w:pPr>
        <w:pStyle w:val="Header"/>
        <w:tabs>
          <w:tab w:val="clear" w:pos="4320"/>
          <w:tab w:val="clear" w:pos="8640"/>
          <w:tab w:val="left" w:pos="1440"/>
          <w:tab w:val="left" w:pos="4680"/>
          <w:tab w:val="left" w:pos="5400"/>
        </w:tabs>
        <w:rPr>
          <w:sz w:val="22"/>
          <w:szCs w:val="22"/>
        </w:rPr>
      </w:pPr>
      <w:r>
        <w:rPr>
          <w:sz w:val="22"/>
          <w:szCs w:val="22"/>
        </w:rPr>
        <w:t>Springfield Public Schools</w:t>
      </w:r>
      <w:r>
        <w:rPr>
          <w:sz w:val="22"/>
          <w:szCs w:val="22"/>
        </w:rPr>
        <w:tab/>
        <w:t>)</w:t>
      </w:r>
      <w:r>
        <w:rPr>
          <w:sz w:val="22"/>
          <w:szCs w:val="22"/>
        </w:rPr>
        <w:tab/>
      </w:r>
      <w:r w:rsidR="00CB587F">
        <w:rPr>
          <w:sz w:val="22"/>
          <w:szCs w:val="22"/>
        </w:rPr>
        <w:t xml:space="preserve">File Nos. SLD- 433768, </w:t>
      </w:r>
      <w:r w:rsidR="00CB587F" w:rsidRPr="00CB587F">
        <w:rPr>
          <w:i/>
          <w:sz w:val="22"/>
          <w:szCs w:val="22"/>
        </w:rPr>
        <w:t>et al.</w:t>
      </w:r>
    </w:p>
    <w:p w:rsidR="00CB587F" w:rsidRDefault="00CB587F" w:rsidP="00FD1498">
      <w:pPr>
        <w:pStyle w:val="Header"/>
        <w:tabs>
          <w:tab w:val="clear" w:pos="4320"/>
          <w:tab w:val="clear" w:pos="8640"/>
          <w:tab w:val="left" w:pos="1440"/>
          <w:tab w:val="left" w:pos="4680"/>
        </w:tabs>
        <w:rPr>
          <w:sz w:val="22"/>
          <w:szCs w:val="22"/>
        </w:rPr>
      </w:pPr>
      <w:r>
        <w:rPr>
          <w:sz w:val="22"/>
          <w:szCs w:val="22"/>
        </w:rPr>
        <w:t>Springfield, MA</w:t>
      </w:r>
      <w:r>
        <w:rPr>
          <w:sz w:val="22"/>
          <w:szCs w:val="22"/>
        </w:rPr>
        <w:tab/>
        <w:t>)</w:t>
      </w:r>
    </w:p>
    <w:p w:rsidR="0000251C" w:rsidRPr="00D12534" w:rsidRDefault="00CB587F" w:rsidP="00FD1498">
      <w:pPr>
        <w:pStyle w:val="Header"/>
        <w:tabs>
          <w:tab w:val="clear" w:pos="4320"/>
          <w:tab w:val="clear" w:pos="8640"/>
          <w:tab w:val="left" w:pos="1440"/>
          <w:tab w:val="left" w:pos="4680"/>
        </w:tabs>
        <w:rPr>
          <w:sz w:val="22"/>
          <w:szCs w:val="22"/>
        </w:rPr>
      </w:pPr>
      <w:r>
        <w:rPr>
          <w:sz w:val="22"/>
          <w:szCs w:val="22"/>
        </w:rPr>
        <w:tab/>
      </w:r>
      <w:r w:rsidR="0000251C" w:rsidRPr="00D12534">
        <w:rPr>
          <w:sz w:val="22"/>
          <w:szCs w:val="22"/>
        </w:rPr>
        <w:tab/>
        <w:t>)</w:t>
      </w:r>
    </w:p>
    <w:p w:rsidR="00477FFA" w:rsidRPr="00D12534" w:rsidRDefault="003E6485" w:rsidP="006F446D">
      <w:pPr>
        <w:pStyle w:val="Header"/>
        <w:tabs>
          <w:tab w:val="clear" w:pos="4320"/>
          <w:tab w:val="clear" w:pos="8640"/>
          <w:tab w:val="left" w:pos="1440"/>
          <w:tab w:val="left" w:pos="4680"/>
          <w:tab w:val="left" w:pos="5400"/>
          <w:tab w:val="left" w:pos="5760"/>
        </w:tabs>
        <w:rPr>
          <w:sz w:val="22"/>
          <w:szCs w:val="22"/>
        </w:rPr>
      </w:pPr>
      <w:r>
        <w:rPr>
          <w:sz w:val="22"/>
          <w:szCs w:val="22"/>
        </w:rPr>
        <w:t>S</w:t>
      </w:r>
      <w:r w:rsidR="00A64B65" w:rsidRPr="00D12534">
        <w:rPr>
          <w:sz w:val="22"/>
          <w:szCs w:val="22"/>
        </w:rPr>
        <w:t>chool</w:t>
      </w:r>
      <w:r>
        <w:rPr>
          <w:sz w:val="22"/>
          <w:szCs w:val="22"/>
        </w:rPr>
        <w:t>s</w:t>
      </w:r>
      <w:r w:rsidR="00A64B65" w:rsidRPr="00D12534">
        <w:rPr>
          <w:sz w:val="22"/>
          <w:szCs w:val="22"/>
        </w:rPr>
        <w:t xml:space="preserve"> and Libraries Universal Service</w:t>
      </w:r>
      <w:r w:rsidR="00285997" w:rsidRPr="00D12534">
        <w:rPr>
          <w:sz w:val="22"/>
          <w:szCs w:val="22"/>
        </w:rPr>
        <w:tab/>
      </w:r>
      <w:r w:rsidR="00CE4368" w:rsidRPr="00D12534">
        <w:rPr>
          <w:sz w:val="22"/>
          <w:szCs w:val="22"/>
        </w:rPr>
        <w:t>)</w:t>
      </w:r>
      <w:r w:rsidR="00CE4368" w:rsidRPr="00D12534">
        <w:rPr>
          <w:sz w:val="22"/>
          <w:szCs w:val="22"/>
        </w:rPr>
        <w:tab/>
        <w:t>CC Docket No. 02-6</w:t>
      </w:r>
    </w:p>
    <w:p w:rsidR="00477FFA" w:rsidRPr="00D12534" w:rsidRDefault="00A64B65" w:rsidP="00FD1498">
      <w:pPr>
        <w:pStyle w:val="Header"/>
        <w:tabs>
          <w:tab w:val="clear" w:pos="4320"/>
          <w:tab w:val="clear" w:pos="8640"/>
          <w:tab w:val="left" w:pos="1440"/>
          <w:tab w:val="left" w:pos="4680"/>
        </w:tabs>
        <w:rPr>
          <w:sz w:val="22"/>
          <w:szCs w:val="22"/>
        </w:rPr>
      </w:pPr>
      <w:r w:rsidRPr="00D12534">
        <w:rPr>
          <w:sz w:val="22"/>
          <w:szCs w:val="22"/>
        </w:rPr>
        <w:t>Support Mechanism</w:t>
      </w:r>
      <w:r w:rsidRPr="00D12534">
        <w:rPr>
          <w:sz w:val="22"/>
          <w:szCs w:val="22"/>
        </w:rPr>
        <w:tab/>
      </w:r>
      <w:r w:rsidR="00477FFA" w:rsidRPr="00D12534">
        <w:rPr>
          <w:sz w:val="22"/>
          <w:szCs w:val="22"/>
        </w:rPr>
        <w:t>)</w:t>
      </w:r>
    </w:p>
    <w:p w:rsidR="0000251C" w:rsidRPr="00D12534" w:rsidRDefault="0000251C" w:rsidP="00653748">
      <w:pPr>
        <w:pStyle w:val="Titleinfo"/>
        <w:tabs>
          <w:tab w:val="left" w:pos="1440"/>
        </w:tabs>
        <w:rPr>
          <w:szCs w:val="22"/>
        </w:rPr>
      </w:pPr>
    </w:p>
    <w:p w:rsidR="0000251C" w:rsidRPr="00D12534" w:rsidRDefault="0000251C" w:rsidP="00653748">
      <w:pPr>
        <w:pStyle w:val="Header"/>
        <w:tabs>
          <w:tab w:val="clear" w:pos="4320"/>
          <w:tab w:val="clear" w:pos="8640"/>
          <w:tab w:val="left" w:pos="1440"/>
        </w:tabs>
        <w:jc w:val="center"/>
        <w:rPr>
          <w:caps/>
          <w:sz w:val="22"/>
          <w:szCs w:val="22"/>
        </w:rPr>
      </w:pPr>
      <w:r w:rsidRPr="00D12534">
        <w:rPr>
          <w:b/>
          <w:caps/>
          <w:sz w:val="22"/>
          <w:szCs w:val="22"/>
        </w:rPr>
        <w:t>order</w:t>
      </w:r>
    </w:p>
    <w:p w:rsidR="0000251C" w:rsidRPr="00D1216B" w:rsidRDefault="0000251C" w:rsidP="00653748">
      <w:pPr>
        <w:pStyle w:val="Header"/>
        <w:tabs>
          <w:tab w:val="clear" w:pos="4320"/>
          <w:tab w:val="clear" w:pos="8640"/>
          <w:tab w:val="left" w:pos="1440"/>
        </w:tabs>
        <w:rPr>
          <w:sz w:val="22"/>
          <w:szCs w:val="22"/>
        </w:rPr>
      </w:pPr>
    </w:p>
    <w:p w:rsidR="0000251C" w:rsidRPr="00D1216B" w:rsidRDefault="0000251C" w:rsidP="00037BDF">
      <w:pPr>
        <w:pStyle w:val="Header"/>
        <w:tabs>
          <w:tab w:val="clear" w:pos="4320"/>
          <w:tab w:val="clear" w:pos="8640"/>
          <w:tab w:val="left" w:pos="1440"/>
          <w:tab w:val="left" w:pos="6480"/>
          <w:tab w:val="right" w:pos="9360"/>
        </w:tabs>
        <w:rPr>
          <w:b/>
          <w:sz w:val="22"/>
          <w:szCs w:val="22"/>
        </w:rPr>
      </w:pPr>
      <w:r w:rsidRPr="00D1216B">
        <w:rPr>
          <w:b/>
          <w:sz w:val="22"/>
          <w:szCs w:val="22"/>
        </w:rPr>
        <w:t>Adopted:</w:t>
      </w:r>
      <w:r w:rsidR="00942CEF">
        <w:rPr>
          <w:b/>
          <w:sz w:val="22"/>
          <w:szCs w:val="22"/>
        </w:rPr>
        <w:t xml:space="preserve">  </w:t>
      </w:r>
      <w:r w:rsidR="00280B30">
        <w:rPr>
          <w:b/>
          <w:sz w:val="22"/>
          <w:szCs w:val="22"/>
        </w:rPr>
        <w:t>April</w:t>
      </w:r>
      <w:r w:rsidR="005F63C4">
        <w:rPr>
          <w:b/>
          <w:sz w:val="22"/>
          <w:szCs w:val="22"/>
        </w:rPr>
        <w:t xml:space="preserve"> </w:t>
      </w:r>
      <w:r w:rsidR="001E70FD">
        <w:rPr>
          <w:b/>
          <w:sz w:val="22"/>
          <w:szCs w:val="22"/>
        </w:rPr>
        <w:t>15</w:t>
      </w:r>
      <w:r w:rsidR="00FD1498">
        <w:rPr>
          <w:b/>
          <w:sz w:val="22"/>
          <w:szCs w:val="22"/>
        </w:rPr>
        <w:t>, 201</w:t>
      </w:r>
      <w:r w:rsidR="00852D10">
        <w:rPr>
          <w:b/>
          <w:sz w:val="22"/>
          <w:szCs w:val="22"/>
        </w:rPr>
        <w:t>5</w:t>
      </w:r>
      <w:r w:rsidR="00FC03C1" w:rsidRPr="00D1216B">
        <w:rPr>
          <w:b/>
          <w:sz w:val="22"/>
          <w:szCs w:val="22"/>
        </w:rPr>
        <w:tab/>
      </w:r>
      <w:r w:rsidRPr="00D1216B">
        <w:rPr>
          <w:b/>
          <w:sz w:val="22"/>
          <w:szCs w:val="22"/>
        </w:rPr>
        <w:t xml:space="preserve">Released:  </w:t>
      </w:r>
      <w:r w:rsidR="00280B30">
        <w:rPr>
          <w:b/>
          <w:sz w:val="22"/>
          <w:szCs w:val="22"/>
        </w:rPr>
        <w:t>April</w:t>
      </w:r>
      <w:r w:rsidR="001C05EC">
        <w:rPr>
          <w:b/>
          <w:sz w:val="22"/>
          <w:szCs w:val="22"/>
        </w:rPr>
        <w:t xml:space="preserve"> </w:t>
      </w:r>
      <w:r w:rsidR="001E70FD">
        <w:rPr>
          <w:b/>
          <w:sz w:val="22"/>
          <w:szCs w:val="22"/>
        </w:rPr>
        <w:t>15</w:t>
      </w:r>
      <w:r w:rsidR="00FD1498">
        <w:rPr>
          <w:b/>
          <w:sz w:val="22"/>
          <w:szCs w:val="22"/>
        </w:rPr>
        <w:t>, 201</w:t>
      </w:r>
      <w:r w:rsidR="00852D10">
        <w:rPr>
          <w:b/>
          <w:sz w:val="22"/>
          <w:szCs w:val="22"/>
        </w:rPr>
        <w:t>5</w:t>
      </w:r>
    </w:p>
    <w:p w:rsidR="0000251C" w:rsidRPr="00D1216B" w:rsidRDefault="0000251C" w:rsidP="00653748">
      <w:pPr>
        <w:pStyle w:val="Header"/>
        <w:tabs>
          <w:tab w:val="clear" w:pos="4320"/>
          <w:tab w:val="clear" w:pos="8640"/>
          <w:tab w:val="left" w:pos="1440"/>
          <w:tab w:val="left" w:pos="5760"/>
        </w:tabs>
        <w:rPr>
          <w:sz w:val="22"/>
          <w:szCs w:val="22"/>
        </w:rPr>
      </w:pPr>
    </w:p>
    <w:p w:rsidR="00BD4A8B" w:rsidRDefault="000C6D82" w:rsidP="00653748">
      <w:pPr>
        <w:pStyle w:val="Numberedparagraphs"/>
        <w:rPr>
          <w:i/>
          <w:sz w:val="22"/>
          <w:szCs w:val="22"/>
        </w:rPr>
      </w:pPr>
      <w:r>
        <w:rPr>
          <w:sz w:val="22"/>
          <w:szCs w:val="22"/>
        </w:rPr>
        <w:t>By the</w:t>
      </w:r>
      <w:r w:rsidR="00AD086F">
        <w:rPr>
          <w:sz w:val="22"/>
          <w:szCs w:val="22"/>
        </w:rPr>
        <w:t xml:space="preserve"> </w:t>
      </w:r>
      <w:r w:rsidR="00747573" w:rsidRPr="00D1216B">
        <w:rPr>
          <w:sz w:val="22"/>
          <w:szCs w:val="22"/>
        </w:rPr>
        <w:t xml:space="preserve">Chief, </w:t>
      </w:r>
      <w:r w:rsidR="00406FE6" w:rsidRPr="00820252">
        <w:rPr>
          <w:sz w:val="22"/>
          <w:szCs w:val="22"/>
        </w:rPr>
        <w:t>Telecommunications Access Policy Division,</w:t>
      </w:r>
      <w:r w:rsidR="00406FE6">
        <w:rPr>
          <w:sz w:val="22"/>
          <w:szCs w:val="22"/>
        </w:rPr>
        <w:t xml:space="preserve"> </w:t>
      </w:r>
      <w:r w:rsidR="00747573" w:rsidRPr="00D1216B">
        <w:rPr>
          <w:sz w:val="22"/>
          <w:szCs w:val="22"/>
        </w:rPr>
        <w:t>Wireline Competition Bureau:</w:t>
      </w:r>
    </w:p>
    <w:p w:rsidR="00F40063" w:rsidRPr="00820252" w:rsidRDefault="00F40063" w:rsidP="00653748">
      <w:pPr>
        <w:pStyle w:val="Numberedparagraphs"/>
        <w:rPr>
          <w:b/>
          <w:sz w:val="22"/>
          <w:szCs w:val="22"/>
        </w:rPr>
      </w:pPr>
      <w:r>
        <w:rPr>
          <w:b/>
          <w:sz w:val="22"/>
          <w:szCs w:val="22"/>
        </w:rPr>
        <w:t>I.          INTRODU</w:t>
      </w:r>
      <w:r w:rsidR="00901523">
        <w:rPr>
          <w:b/>
          <w:sz w:val="22"/>
          <w:szCs w:val="22"/>
        </w:rPr>
        <w:t>C</w:t>
      </w:r>
      <w:r>
        <w:rPr>
          <w:b/>
          <w:sz w:val="22"/>
          <w:szCs w:val="22"/>
        </w:rPr>
        <w:t>TION</w:t>
      </w:r>
    </w:p>
    <w:p w:rsidR="00A51B4A" w:rsidRPr="00D710E8" w:rsidRDefault="004F79DD" w:rsidP="001716D8">
      <w:pPr>
        <w:pStyle w:val="par1"/>
        <w:tabs>
          <w:tab w:val="num" w:pos="1440"/>
        </w:tabs>
        <w:ind w:left="0"/>
        <w:rPr>
          <w:b/>
          <w:color w:val="000000"/>
          <w:sz w:val="22"/>
          <w:szCs w:val="22"/>
        </w:rPr>
      </w:pPr>
      <w:r w:rsidRPr="009C7D15">
        <w:rPr>
          <w:sz w:val="22"/>
          <w:szCs w:val="22"/>
        </w:rPr>
        <w:t xml:space="preserve">In this </w:t>
      </w:r>
      <w:r w:rsidR="00BA1274">
        <w:rPr>
          <w:sz w:val="22"/>
          <w:szCs w:val="22"/>
        </w:rPr>
        <w:t>O</w:t>
      </w:r>
      <w:r w:rsidR="002D234A">
        <w:rPr>
          <w:sz w:val="22"/>
          <w:szCs w:val="22"/>
        </w:rPr>
        <w:t xml:space="preserve">rder, we </w:t>
      </w:r>
      <w:r w:rsidR="00AD5125">
        <w:rPr>
          <w:sz w:val="22"/>
          <w:szCs w:val="22"/>
        </w:rPr>
        <w:t xml:space="preserve">deny a request by Achieve Telecom Network of Massachusetts, LLC, (Achieve) </w:t>
      </w:r>
      <w:r w:rsidR="00AC6B7E" w:rsidRPr="009C7D15">
        <w:rPr>
          <w:rStyle w:val="StyleNumberedparagraphs11ptChar"/>
          <w:szCs w:val="22"/>
        </w:rPr>
        <w:t>seeking review of decisions made by the Universal Service Administrative Company (USAC) under the E-rate program (more formally known as the schools and libraries universal service support program)</w:t>
      </w:r>
      <w:r w:rsidR="000C6D82">
        <w:rPr>
          <w:rStyle w:val="StyleNumberedparagraphs11ptChar"/>
          <w:szCs w:val="22"/>
        </w:rPr>
        <w:t xml:space="preserve"> for funding years 2004-2008</w:t>
      </w:r>
      <w:r w:rsidR="00AC6B7E" w:rsidRPr="009C7D15">
        <w:rPr>
          <w:rStyle w:val="StyleNumberedparagraphs11ptChar"/>
          <w:szCs w:val="22"/>
        </w:rPr>
        <w:t>.</w:t>
      </w:r>
      <w:r w:rsidR="00AC6B7E" w:rsidRPr="00AC6B7E">
        <w:rPr>
          <w:rStyle w:val="FootnoteReference"/>
          <w:sz w:val="22"/>
          <w:szCs w:val="22"/>
        </w:rPr>
        <w:footnoteReference w:id="2"/>
      </w:r>
      <w:r w:rsidR="00AC6B7E" w:rsidRPr="009C7D15">
        <w:rPr>
          <w:rStyle w:val="StyleNumberedparagraphs11ptChar"/>
          <w:szCs w:val="22"/>
        </w:rPr>
        <w:t xml:space="preserve"> </w:t>
      </w:r>
      <w:r w:rsidR="00AD5125">
        <w:rPr>
          <w:rStyle w:val="StyleNumberedparagraphs11ptChar"/>
          <w:szCs w:val="22"/>
        </w:rPr>
        <w:t xml:space="preserve"> </w:t>
      </w:r>
      <w:r w:rsidR="00A51B4A">
        <w:rPr>
          <w:rStyle w:val="StyleNumberedparagraphs11ptChar"/>
          <w:szCs w:val="22"/>
        </w:rPr>
        <w:t xml:space="preserve">We also </w:t>
      </w:r>
      <w:r w:rsidR="00A51B4A">
        <w:rPr>
          <w:sz w:val="22"/>
          <w:szCs w:val="22"/>
        </w:rPr>
        <w:t>deny requests from Brockton Public School District (Brockton),</w:t>
      </w:r>
      <w:r w:rsidR="00A51B4A" w:rsidRPr="007361F9">
        <w:rPr>
          <w:sz w:val="22"/>
          <w:szCs w:val="22"/>
        </w:rPr>
        <w:t xml:space="preserve"> Chelsea School District</w:t>
      </w:r>
      <w:r w:rsidR="00A51B4A">
        <w:rPr>
          <w:sz w:val="22"/>
          <w:szCs w:val="22"/>
        </w:rPr>
        <w:t xml:space="preserve"> (Chelsea)</w:t>
      </w:r>
      <w:r w:rsidR="00A51B4A" w:rsidRPr="007361F9">
        <w:rPr>
          <w:sz w:val="22"/>
          <w:szCs w:val="22"/>
        </w:rPr>
        <w:t>, Somerville School Distr</w:t>
      </w:r>
      <w:r w:rsidR="00A51B4A">
        <w:rPr>
          <w:sz w:val="22"/>
          <w:szCs w:val="22"/>
        </w:rPr>
        <w:t>ict (Somerville), and Springfield Public Schools (Springfield) (collectively, the Schools</w:t>
      </w:r>
      <w:r w:rsidR="00882D93">
        <w:rPr>
          <w:sz w:val="22"/>
          <w:szCs w:val="22"/>
        </w:rPr>
        <w:t xml:space="preserve"> or the School Petitioners</w:t>
      </w:r>
      <w:r w:rsidR="00A51B4A">
        <w:rPr>
          <w:sz w:val="22"/>
          <w:szCs w:val="22"/>
        </w:rPr>
        <w:t>) seeking review of related USAC decisions.</w:t>
      </w:r>
      <w:r w:rsidR="00A51B4A" w:rsidRPr="00AC6B7E">
        <w:rPr>
          <w:rStyle w:val="FootnoteReference"/>
          <w:sz w:val="22"/>
          <w:szCs w:val="22"/>
        </w:rPr>
        <w:footnoteReference w:id="3"/>
      </w:r>
      <w:r w:rsidR="00A51B4A" w:rsidRPr="009C7D15">
        <w:rPr>
          <w:sz w:val="22"/>
          <w:szCs w:val="22"/>
        </w:rPr>
        <w:t xml:space="preserve"> </w:t>
      </w:r>
    </w:p>
    <w:p w:rsidR="00D710E8" w:rsidRPr="00D710E8" w:rsidRDefault="00D710E8" w:rsidP="00225DF4">
      <w:pPr>
        <w:pStyle w:val="par1"/>
        <w:numPr>
          <w:ilvl w:val="0"/>
          <w:numId w:val="0"/>
        </w:numPr>
        <w:rPr>
          <w:rStyle w:val="StyleNumberedparagraphs11ptChar"/>
          <w:b/>
          <w:color w:val="000000"/>
          <w:szCs w:val="22"/>
        </w:rPr>
      </w:pPr>
    </w:p>
    <w:p w:rsidR="00D710E8" w:rsidRPr="00D710E8" w:rsidRDefault="00D710E8" w:rsidP="001716D8">
      <w:pPr>
        <w:pStyle w:val="par1"/>
        <w:tabs>
          <w:tab w:val="num" w:pos="1440"/>
        </w:tabs>
        <w:ind w:left="0"/>
        <w:rPr>
          <w:b/>
          <w:color w:val="000000"/>
          <w:sz w:val="22"/>
          <w:szCs w:val="22"/>
        </w:rPr>
      </w:pPr>
      <w:r>
        <w:rPr>
          <w:rStyle w:val="StyleNumberedparagraphs11ptChar"/>
          <w:szCs w:val="22"/>
        </w:rPr>
        <w:t xml:space="preserve">In its decisions, </w:t>
      </w:r>
      <w:r w:rsidRPr="00794711">
        <w:rPr>
          <w:rStyle w:val="StyleNumberedparagraphs11ptChar"/>
          <w:szCs w:val="22"/>
        </w:rPr>
        <w:t>USAC determined that the Schools and their selected service provider, Achieve, violated the Commission’s competitive bidding rules because Achieve</w:t>
      </w:r>
      <w:r w:rsidRPr="00794711">
        <w:rPr>
          <w:sz w:val="22"/>
          <w:szCs w:val="22"/>
        </w:rPr>
        <w:t xml:space="preserve"> had an unfair advantage during the Schools’ respective competitive bidding processes.</w:t>
      </w:r>
      <w:r>
        <w:rPr>
          <w:rStyle w:val="FootnoteReference"/>
          <w:sz w:val="22"/>
          <w:szCs w:val="22"/>
        </w:rPr>
        <w:footnoteReference w:id="4"/>
      </w:r>
      <w:r w:rsidRPr="00794711">
        <w:rPr>
          <w:sz w:val="22"/>
          <w:szCs w:val="22"/>
        </w:rPr>
        <w:t xml:space="preserve">  </w:t>
      </w:r>
      <w:r>
        <w:rPr>
          <w:sz w:val="22"/>
          <w:szCs w:val="22"/>
        </w:rPr>
        <w:t>After reviewing the underlying record, including subpoenaed records,</w:t>
      </w:r>
      <w:r w:rsidRPr="00986D50">
        <w:rPr>
          <w:rStyle w:val="FootnoteReference"/>
          <w:sz w:val="22"/>
          <w:szCs w:val="22"/>
        </w:rPr>
        <w:footnoteReference w:id="5"/>
      </w:r>
      <w:r>
        <w:rPr>
          <w:sz w:val="22"/>
          <w:szCs w:val="22"/>
        </w:rPr>
        <w:t xml:space="preserve"> we find that Achieve unlawfully funded the Schools’ co-payment for E-rate services through its </w:t>
      </w:r>
      <w:r w:rsidRPr="00A8533E">
        <w:rPr>
          <w:i/>
          <w:sz w:val="22"/>
          <w:szCs w:val="22"/>
        </w:rPr>
        <w:t>de facto</w:t>
      </w:r>
      <w:r>
        <w:rPr>
          <w:sz w:val="22"/>
          <w:szCs w:val="22"/>
        </w:rPr>
        <w:t xml:space="preserve"> control of grants to the </w:t>
      </w:r>
      <w:r w:rsidRPr="00801F9B">
        <w:rPr>
          <w:sz w:val="22"/>
          <w:szCs w:val="22"/>
        </w:rPr>
        <w:t>Schools</w:t>
      </w:r>
      <w:r w:rsidR="00BC6C71" w:rsidRPr="00801F9B">
        <w:rPr>
          <w:sz w:val="22"/>
          <w:szCs w:val="22"/>
        </w:rPr>
        <w:t xml:space="preserve"> and caused the </w:t>
      </w:r>
      <w:r w:rsidR="00756B29">
        <w:rPr>
          <w:sz w:val="22"/>
          <w:szCs w:val="22"/>
        </w:rPr>
        <w:t xml:space="preserve">Schools to violate </w:t>
      </w:r>
      <w:r w:rsidR="00BC6C71" w:rsidRPr="00801F9B">
        <w:rPr>
          <w:sz w:val="22"/>
          <w:szCs w:val="22"/>
        </w:rPr>
        <w:t>the requirement that applicant</w:t>
      </w:r>
      <w:r w:rsidR="00756B29">
        <w:rPr>
          <w:sz w:val="22"/>
          <w:szCs w:val="22"/>
        </w:rPr>
        <w:t>s</w:t>
      </w:r>
      <w:r w:rsidR="00BC6C71" w:rsidRPr="00801F9B">
        <w:rPr>
          <w:sz w:val="22"/>
          <w:szCs w:val="22"/>
        </w:rPr>
        <w:t xml:space="preserve"> </w:t>
      </w:r>
      <w:r w:rsidR="00756B29">
        <w:rPr>
          <w:sz w:val="22"/>
          <w:szCs w:val="22"/>
        </w:rPr>
        <w:t xml:space="preserve">not accept payment from vendors, directly or indirectly, for the applicants’ </w:t>
      </w:r>
      <w:r w:rsidR="00BC6C71" w:rsidRPr="00801F9B">
        <w:rPr>
          <w:sz w:val="22"/>
          <w:szCs w:val="22"/>
        </w:rPr>
        <w:t>non-discounted portion o</w:t>
      </w:r>
      <w:r w:rsidR="00BC6C71" w:rsidRPr="004B211B">
        <w:rPr>
          <w:sz w:val="22"/>
          <w:szCs w:val="22"/>
        </w:rPr>
        <w:t>f the cost of E-rate</w:t>
      </w:r>
      <w:r w:rsidR="00756B29">
        <w:rPr>
          <w:sz w:val="22"/>
          <w:szCs w:val="22"/>
        </w:rPr>
        <w:t xml:space="preserve"> supported</w:t>
      </w:r>
      <w:r w:rsidR="00BC6C71" w:rsidRPr="004B211B">
        <w:rPr>
          <w:sz w:val="22"/>
          <w:szCs w:val="22"/>
        </w:rPr>
        <w:t xml:space="preserve"> services</w:t>
      </w:r>
      <w:r w:rsidRPr="00405B37">
        <w:rPr>
          <w:sz w:val="22"/>
          <w:szCs w:val="22"/>
        </w:rPr>
        <w:t>.</w:t>
      </w:r>
      <w:r w:rsidR="00BC6C71" w:rsidRPr="00405B37">
        <w:rPr>
          <w:rStyle w:val="FootnoteReference"/>
          <w:sz w:val="22"/>
          <w:szCs w:val="22"/>
        </w:rPr>
        <w:footnoteReference w:id="6"/>
      </w:r>
      <w:r>
        <w:rPr>
          <w:sz w:val="22"/>
          <w:szCs w:val="22"/>
        </w:rPr>
        <w:t xml:space="preserve">  </w:t>
      </w:r>
      <w:r w:rsidRPr="00986D50">
        <w:rPr>
          <w:sz w:val="22"/>
          <w:szCs w:val="22"/>
        </w:rPr>
        <w:t>We also find that Achieve violated its obligation to ensure compliance with the non-discount share requirement through its independent billing and collection responsibilities.</w:t>
      </w:r>
      <w:r w:rsidRPr="00986D50">
        <w:rPr>
          <w:rStyle w:val="FootnoteReference"/>
          <w:sz w:val="22"/>
          <w:szCs w:val="22"/>
        </w:rPr>
        <w:footnoteReference w:id="7"/>
      </w:r>
      <w:r>
        <w:rPr>
          <w:sz w:val="22"/>
          <w:szCs w:val="22"/>
        </w:rPr>
        <w:t xml:space="preserve">  </w:t>
      </w:r>
      <w:r w:rsidRPr="00986D50">
        <w:rPr>
          <w:sz w:val="22"/>
          <w:szCs w:val="22"/>
        </w:rPr>
        <w:t xml:space="preserve">Additionally, we </w:t>
      </w:r>
      <w:r>
        <w:rPr>
          <w:sz w:val="22"/>
          <w:szCs w:val="22"/>
        </w:rPr>
        <w:t>affirm</w:t>
      </w:r>
      <w:r w:rsidRPr="00986D50">
        <w:rPr>
          <w:sz w:val="22"/>
          <w:szCs w:val="22"/>
        </w:rPr>
        <w:t xml:space="preserve"> USAC’s </w:t>
      </w:r>
      <w:r>
        <w:rPr>
          <w:sz w:val="22"/>
          <w:szCs w:val="22"/>
        </w:rPr>
        <w:t>finding</w:t>
      </w:r>
      <w:r w:rsidRPr="00986D50">
        <w:rPr>
          <w:sz w:val="22"/>
          <w:szCs w:val="22"/>
        </w:rPr>
        <w:t xml:space="preserve"> that these grants gave Achieve an unfair advantage during the Schools’ competitive bidding processes.  We therefore deny </w:t>
      </w:r>
      <w:r w:rsidR="00BB3678">
        <w:rPr>
          <w:sz w:val="22"/>
          <w:szCs w:val="22"/>
        </w:rPr>
        <w:t xml:space="preserve">the Schools’ and </w:t>
      </w:r>
      <w:r w:rsidRPr="00986D50">
        <w:rPr>
          <w:sz w:val="22"/>
          <w:szCs w:val="22"/>
        </w:rPr>
        <w:t>Achieve’s Requests for Review</w:t>
      </w:r>
      <w:r w:rsidR="00BB3678">
        <w:rPr>
          <w:sz w:val="22"/>
          <w:szCs w:val="22"/>
        </w:rPr>
        <w:t>.</w:t>
      </w:r>
    </w:p>
    <w:p w:rsidR="00D710E8" w:rsidRDefault="00D710E8" w:rsidP="00D710E8">
      <w:pPr>
        <w:pStyle w:val="ListParagraph"/>
        <w:rPr>
          <w:sz w:val="22"/>
          <w:szCs w:val="22"/>
        </w:rPr>
      </w:pPr>
    </w:p>
    <w:p w:rsidR="00D710E8" w:rsidRPr="00D710E8" w:rsidRDefault="00756B29" w:rsidP="001716D8">
      <w:pPr>
        <w:pStyle w:val="par1"/>
        <w:tabs>
          <w:tab w:val="num" w:pos="1440"/>
        </w:tabs>
        <w:ind w:left="0"/>
        <w:rPr>
          <w:b/>
          <w:color w:val="000000"/>
          <w:sz w:val="22"/>
          <w:szCs w:val="22"/>
        </w:rPr>
      </w:pPr>
      <w:r>
        <w:rPr>
          <w:sz w:val="22"/>
          <w:szCs w:val="22"/>
        </w:rPr>
        <w:t>W</w:t>
      </w:r>
      <w:r w:rsidR="00BB3678">
        <w:rPr>
          <w:sz w:val="22"/>
          <w:szCs w:val="22"/>
        </w:rPr>
        <w:t xml:space="preserve">e </w:t>
      </w:r>
      <w:r w:rsidR="00D710E8" w:rsidRPr="00986D50">
        <w:rPr>
          <w:rStyle w:val="StyleNumberedparagraphs11ptChar"/>
          <w:szCs w:val="22"/>
        </w:rPr>
        <w:t>direct USAC to</w:t>
      </w:r>
      <w:r w:rsidR="00C95E4B">
        <w:rPr>
          <w:rStyle w:val="StyleNumberedparagraphs11ptChar"/>
          <w:szCs w:val="22"/>
        </w:rPr>
        <w:t xml:space="preserve"> </w:t>
      </w:r>
      <w:r w:rsidR="00004412">
        <w:rPr>
          <w:rStyle w:val="StyleNumberedparagraphs11ptChar"/>
          <w:szCs w:val="22"/>
        </w:rPr>
        <w:t xml:space="preserve">discontinue its recovery actions against the Schools, but </w:t>
      </w:r>
      <w:r w:rsidR="00C95E4B" w:rsidRPr="00986D50">
        <w:rPr>
          <w:rStyle w:val="StyleNumberedparagraphs11ptChar"/>
          <w:szCs w:val="22"/>
        </w:rPr>
        <w:t xml:space="preserve">continue its recovery actions against Achieve, </w:t>
      </w:r>
      <w:r w:rsidR="00953879">
        <w:rPr>
          <w:rStyle w:val="StyleNumberedparagraphs11ptChar"/>
          <w:szCs w:val="22"/>
        </w:rPr>
        <w:t>the party that</w:t>
      </w:r>
      <w:r w:rsidR="00C7235C">
        <w:rPr>
          <w:rStyle w:val="StyleNumberedparagraphs11ptChar"/>
          <w:szCs w:val="22"/>
        </w:rPr>
        <w:t>,</w:t>
      </w:r>
      <w:r w:rsidR="00953879">
        <w:rPr>
          <w:rStyle w:val="StyleNumberedparagraphs11ptChar"/>
          <w:szCs w:val="22"/>
        </w:rPr>
        <w:t xml:space="preserve"> in this case</w:t>
      </w:r>
      <w:r w:rsidR="00C7235C">
        <w:rPr>
          <w:rStyle w:val="StyleNumberedparagraphs11ptChar"/>
          <w:szCs w:val="22"/>
        </w:rPr>
        <w:t>,</w:t>
      </w:r>
      <w:r w:rsidR="00953879">
        <w:rPr>
          <w:rStyle w:val="StyleNumberedparagraphs11ptChar"/>
          <w:szCs w:val="22"/>
        </w:rPr>
        <w:t xml:space="preserve"> was in the best position to prevent the violation of E-rate program rules</w:t>
      </w:r>
      <w:r w:rsidR="00D710E8">
        <w:rPr>
          <w:rStyle w:val="StyleNumberedparagraphs11ptChar"/>
          <w:szCs w:val="22"/>
        </w:rPr>
        <w:t>.</w:t>
      </w:r>
      <w:r w:rsidR="00D710E8" w:rsidRPr="00986D50">
        <w:rPr>
          <w:rStyle w:val="FootnoteReference"/>
          <w:sz w:val="22"/>
          <w:szCs w:val="22"/>
        </w:rPr>
        <w:footnoteReference w:id="8"/>
      </w:r>
      <w:r w:rsidR="00D710E8" w:rsidRPr="00986D50">
        <w:rPr>
          <w:rStyle w:val="StyleNumberedparagraphs11ptChar"/>
          <w:szCs w:val="22"/>
        </w:rPr>
        <w:t xml:space="preserve">  </w:t>
      </w:r>
      <w:r>
        <w:rPr>
          <w:rStyle w:val="StyleNumberedparagraphs11ptChar"/>
          <w:szCs w:val="22"/>
        </w:rPr>
        <w:t>We also</w:t>
      </w:r>
      <w:r w:rsidR="00D710E8" w:rsidRPr="00986D50">
        <w:rPr>
          <w:rStyle w:val="StyleNumberedparagraphs11ptChar"/>
          <w:szCs w:val="22"/>
        </w:rPr>
        <w:t xml:space="preserve"> direct USAC to apply this ruling to all</w:t>
      </w:r>
      <w:r w:rsidR="00C24264">
        <w:rPr>
          <w:rStyle w:val="StyleNumberedparagraphs11ptChar"/>
          <w:szCs w:val="22"/>
        </w:rPr>
        <w:t xml:space="preserve"> other applications in </w:t>
      </w:r>
      <w:r w:rsidR="00C24264">
        <w:rPr>
          <w:rStyle w:val="StyleNumberedparagraphs11ptChar"/>
          <w:szCs w:val="22"/>
        </w:rPr>
        <w:lastRenderedPageBreak/>
        <w:t>which Achieve i</w:t>
      </w:r>
      <w:r w:rsidR="008B4302">
        <w:rPr>
          <w:rStyle w:val="StyleNumberedparagraphs11ptChar"/>
          <w:szCs w:val="22"/>
        </w:rPr>
        <w:t>s the selected service provider</w:t>
      </w:r>
      <w:r w:rsidR="00D10C51">
        <w:rPr>
          <w:rStyle w:val="StyleNumberedparagraphs11ptChar"/>
          <w:szCs w:val="22"/>
        </w:rPr>
        <w:t xml:space="preserve"> to the extent evidence shows that those applications were subject to the same or substantially similar misconduct on Achieve’s part as described herein.</w:t>
      </w:r>
      <w:r w:rsidR="00D10C51" w:rsidRPr="00986D50">
        <w:rPr>
          <w:rStyle w:val="StyleNumberedparagraphs11ptChar"/>
          <w:szCs w:val="22"/>
        </w:rPr>
        <w:t xml:space="preserve"> </w:t>
      </w:r>
      <w:r w:rsidR="00D10C51">
        <w:rPr>
          <w:sz w:val="22"/>
          <w:szCs w:val="22"/>
        </w:rPr>
        <w:t xml:space="preserve"> </w:t>
      </w:r>
      <w:r w:rsidR="00D710E8" w:rsidRPr="00986D50">
        <w:rPr>
          <w:rStyle w:val="StyleNumberedparagraphs11ptChar"/>
          <w:szCs w:val="22"/>
        </w:rPr>
        <w:t xml:space="preserve"> </w:t>
      </w:r>
      <w:r w:rsidR="00D710E8">
        <w:rPr>
          <w:sz w:val="22"/>
          <w:szCs w:val="22"/>
        </w:rPr>
        <w:t xml:space="preserve"> </w:t>
      </w:r>
    </w:p>
    <w:p w:rsidR="00305EE6" w:rsidRDefault="00305EE6">
      <w:pPr>
        <w:pStyle w:val="par1"/>
        <w:numPr>
          <w:ilvl w:val="0"/>
          <w:numId w:val="0"/>
        </w:numPr>
        <w:rPr>
          <w:sz w:val="22"/>
          <w:szCs w:val="22"/>
        </w:rPr>
      </w:pPr>
    </w:p>
    <w:p w:rsidR="00F40063" w:rsidRDefault="00F40063">
      <w:pPr>
        <w:pStyle w:val="par1"/>
        <w:numPr>
          <w:ilvl w:val="0"/>
          <w:numId w:val="0"/>
        </w:numPr>
        <w:rPr>
          <w:b/>
          <w:sz w:val="22"/>
          <w:szCs w:val="22"/>
        </w:rPr>
      </w:pPr>
      <w:r>
        <w:rPr>
          <w:b/>
          <w:sz w:val="22"/>
          <w:szCs w:val="22"/>
        </w:rPr>
        <w:t>II.</w:t>
      </w:r>
      <w:r>
        <w:rPr>
          <w:b/>
          <w:sz w:val="22"/>
          <w:szCs w:val="22"/>
        </w:rPr>
        <w:tab/>
        <w:t>BACKGROUND</w:t>
      </w:r>
    </w:p>
    <w:p w:rsidR="00F40063" w:rsidRPr="00225DF4" w:rsidRDefault="00F40063">
      <w:pPr>
        <w:pStyle w:val="par1"/>
        <w:numPr>
          <w:ilvl w:val="0"/>
          <w:numId w:val="0"/>
        </w:numPr>
        <w:rPr>
          <w:b/>
          <w:sz w:val="22"/>
          <w:szCs w:val="22"/>
        </w:rPr>
      </w:pPr>
    </w:p>
    <w:p w:rsidR="00B22043" w:rsidRPr="00374E4E" w:rsidRDefault="00F40063" w:rsidP="00B22043">
      <w:pPr>
        <w:pStyle w:val="par1"/>
        <w:tabs>
          <w:tab w:val="clear" w:pos="1530"/>
          <w:tab w:val="num" w:pos="1440"/>
        </w:tabs>
        <w:ind w:left="0"/>
        <w:rPr>
          <w:rStyle w:val="stylenumberedparagraphs11ptchar0"/>
          <w:b/>
          <w:color w:val="000000"/>
          <w:sz w:val="22"/>
          <w:szCs w:val="22"/>
        </w:rPr>
      </w:pPr>
      <w:r>
        <w:rPr>
          <w:sz w:val="22"/>
          <w:szCs w:val="22"/>
          <w:u w:val="single"/>
        </w:rPr>
        <w:t>E-rate Program Rules and Requirements</w:t>
      </w:r>
      <w:r w:rsidR="00FD3DF6" w:rsidRPr="005430A5">
        <w:rPr>
          <w:sz w:val="22"/>
          <w:szCs w:val="22"/>
        </w:rPr>
        <w:t xml:space="preserve">.  </w:t>
      </w:r>
      <w:r w:rsidR="006A6999">
        <w:rPr>
          <w:sz w:val="22"/>
          <w:szCs w:val="22"/>
        </w:rPr>
        <w:t>The E-rate program provides</w:t>
      </w:r>
      <w:r w:rsidR="006A6999" w:rsidRPr="00D63D95">
        <w:rPr>
          <w:sz w:val="22"/>
          <w:szCs w:val="22"/>
        </w:rPr>
        <w:t xml:space="preserve"> eligible schools, libraries, and consortia that include eligible schools and libraries </w:t>
      </w:r>
      <w:r w:rsidR="006A6999">
        <w:rPr>
          <w:sz w:val="22"/>
          <w:szCs w:val="22"/>
        </w:rPr>
        <w:t>funding</w:t>
      </w:r>
      <w:r w:rsidR="006A6999" w:rsidRPr="006A6999">
        <w:rPr>
          <w:sz w:val="22"/>
          <w:szCs w:val="22"/>
        </w:rPr>
        <w:t xml:space="preserve"> for the purchase of telecommunications, telecommunications services, Internet access, internal connections and basic maintenance of internal connections</w:t>
      </w:r>
      <w:r w:rsidR="006A6999" w:rsidRPr="00D63D95">
        <w:rPr>
          <w:sz w:val="22"/>
          <w:szCs w:val="22"/>
        </w:rPr>
        <w:t>.</w:t>
      </w:r>
      <w:r w:rsidR="006A6999" w:rsidRPr="00D63D95">
        <w:rPr>
          <w:sz w:val="22"/>
          <w:szCs w:val="22"/>
          <w:vertAlign w:val="superscript"/>
        </w:rPr>
        <w:footnoteReference w:id="9"/>
      </w:r>
      <w:r w:rsidR="006A6999" w:rsidRPr="00D63D95">
        <w:rPr>
          <w:sz w:val="22"/>
          <w:szCs w:val="22"/>
        </w:rPr>
        <w:t xml:space="preserve">  </w:t>
      </w:r>
      <w:r w:rsidR="00B22043" w:rsidRPr="005430A5">
        <w:rPr>
          <w:rStyle w:val="stylenumberedparagraphs11ptchar0"/>
          <w:sz w:val="22"/>
          <w:szCs w:val="22"/>
        </w:rPr>
        <w:t xml:space="preserve">Under the Commission’s rules, the Universal Service Fund, administered by USAC, pays 20 percent to 90 percent of the price of eligible services, based on indicators </w:t>
      </w:r>
      <w:r w:rsidR="005430A5">
        <w:rPr>
          <w:rStyle w:val="stylenumberedparagraphs11ptchar0"/>
          <w:sz w:val="22"/>
          <w:szCs w:val="22"/>
        </w:rPr>
        <w:t>of need, and the applicants pay</w:t>
      </w:r>
      <w:r w:rsidR="00B22043" w:rsidRPr="005430A5">
        <w:rPr>
          <w:rStyle w:val="stylenumberedparagraphs11ptchar0"/>
          <w:sz w:val="22"/>
          <w:szCs w:val="22"/>
        </w:rPr>
        <w:t xml:space="preserve"> the balance.</w:t>
      </w:r>
      <w:r w:rsidR="00B22043" w:rsidRPr="005430A5">
        <w:rPr>
          <w:rStyle w:val="FootnoteReference"/>
          <w:sz w:val="22"/>
          <w:szCs w:val="22"/>
        </w:rPr>
        <w:footnoteReference w:id="10"/>
      </w:r>
      <w:r w:rsidR="00B22043" w:rsidRPr="005430A5">
        <w:rPr>
          <w:rStyle w:val="FootnoteReference"/>
          <w:sz w:val="22"/>
          <w:szCs w:val="22"/>
        </w:rPr>
        <w:t xml:space="preserve"> </w:t>
      </w:r>
      <w:r w:rsidR="00B22043" w:rsidRPr="005430A5">
        <w:rPr>
          <w:rStyle w:val="stylenumberedparagraphs11ptchar0"/>
          <w:sz w:val="22"/>
          <w:szCs w:val="22"/>
        </w:rPr>
        <w:t xml:space="preserve"> </w:t>
      </w:r>
      <w:r w:rsidR="00882D93" w:rsidRPr="005430A5">
        <w:rPr>
          <w:rStyle w:val="stylenumberedparagraphs11ptchar0"/>
          <w:sz w:val="22"/>
          <w:szCs w:val="22"/>
        </w:rPr>
        <w:t xml:space="preserve">The percentage paid by USAC for eligible services is generally referred to as an applicant’s discount rate, and the amount paid by </w:t>
      </w:r>
      <w:r w:rsidR="006A6999">
        <w:rPr>
          <w:rStyle w:val="stylenumberedparagraphs11ptchar0"/>
          <w:sz w:val="22"/>
          <w:szCs w:val="22"/>
        </w:rPr>
        <w:t xml:space="preserve">the </w:t>
      </w:r>
      <w:r w:rsidR="00882D93" w:rsidRPr="005430A5">
        <w:rPr>
          <w:rStyle w:val="stylenumberedparagraphs11ptchar0"/>
          <w:sz w:val="22"/>
          <w:szCs w:val="22"/>
        </w:rPr>
        <w:t>applicant is referred to as the “non-discount share.”</w:t>
      </w:r>
      <w:r w:rsidR="006A6999">
        <w:rPr>
          <w:rStyle w:val="FootnoteReference"/>
          <w:sz w:val="22"/>
          <w:szCs w:val="22"/>
        </w:rPr>
        <w:footnoteReference w:id="11"/>
      </w:r>
      <w:r w:rsidR="00882D93" w:rsidRPr="005430A5">
        <w:rPr>
          <w:rStyle w:val="stylenumberedparagraphs11ptchar0"/>
          <w:sz w:val="22"/>
          <w:szCs w:val="22"/>
        </w:rPr>
        <w:t xml:space="preserve">  </w:t>
      </w:r>
      <w:r w:rsidR="00B22043" w:rsidRPr="005430A5">
        <w:rPr>
          <w:rStyle w:val="stylenumberedparagraphs11ptchar0"/>
          <w:sz w:val="22"/>
          <w:szCs w:val="22"/>
        </w:rPr>
        <w:t xml:space="preserve">Schools and libraries in areas with higher percentages of students eligible for </w:t>
      </w:r>
      <w:r w:rsidR="00B22043" w:rsidRPr="00BA29E1">
        <w:rPr>
          <w:rStyle w:val="stylenumberedparagraphs11ptchar0"/>
          <w:sz w:val="22"/>
          <w:szCs w:val="22"/>
        </w:rPr>
        <w:t>free or reduced price lunch through the National School Lunch Program (NSLP) or an alternative mechanism qualify for higher discounts for eligible services than applicants with low levels of eligibility for such programs.</w:t>
      </w:r>
      <w:r w:rsidR="00B22043" w:rsidRPr="00BA29E1">
        <w:rPr>
          <w:rStyle w:val="FootnoteReference"/>
          <w:sz w:val="22"/>
          <w:szCs w:val="22"/>
        </w:rPr>
        <w:footnoteReference w:id="12"/>
      </w:r>
      <w:r w:rsidR="00B22043" w:rsidRPr="00BA29E1">
        <w:rPr>
          <w:rStyle w:val="FootnoteReference"/>
          <w:sz w:val="22"/>
          <w:szCs w:val="22"/>
        </w:rPr>
        <w:t xml:space="preserve"> </w:t>
      </w:r>
      <w:r w:rsidR="00B22043" w:rsidRPr="00BA29E1">
        <w:rPr>
          <w:rStyle w:val="stylenumberedparagraphs11ptchar0"/>
          <w:sz w:val="22"/>
          <w:szCs w:val="22"/>
        </w:rPr>
        <w:t xml:space="preserve"> </w:t>
      </w:r>
      <w:r w:rsidR="00882D93" w:rsidRPr="00BA29E1">
        <w:rPr>
          <w:rStyle w:val="stylenumberedparagraphs11ptchar0"/>
          <w:sz w:val="22"/>
          <w:szCs w:val="22"/>
        </w:rPr>
        <w:t>The School</w:t>
      </w:r>
      <w:r w:rsidR="00215E45">
        <w:rPr>
          <w:rStyle w:val="stylenumberedparagraphs11ptchar0"/>
          <w:sz w:val="22"/>
          <w:szCs w:val="22"/>
        </w:rPr>
        <w:t xml:space="preserve"> Petitioner</w:t>
      </w:r>
      <w:r w:rsidR="006A6999" w:rsidRPr="00BA29E1">
        <w:rPr>
          <w:rStyle w:val="stylenumberedparagraphs11ptchar0"/>
          <w:sz w:val="22"/>
          <w:szCs w:val="22"/>
        </w:rPr>
        <w:t>s</w:t>
      </w:r>
      <w:r w:rsidR="0074105E">
        <w:rPr>
          <w:rStyle w:val="stylenumberedparagraphs11ptchar0"/>
          <w:sz w:val="22"/>
          <w:szCs w:val="22"/>
        </w:rPr>
        <w:t xml:space="preserve"> in this appeal </w:t>
      </w:r>
      <w:r w:rsidR="00882D93" w:rsidRPr="00BA29E1">
        <w:rPr>
          <w:rStyle w:val="stylenumberedparagraphs11ptchar0"/>
          <w:sz w:val="22"/>
          <w:szCs w:val="22"/>
        </w:rPr>
        <w:t xml:space="preserve">qualified for </w:t>
      </w:r>
      <w:r w:rsidR="0074105E">
        <w:rPr>
          <w:rStyle w:val="stylenumberedparagraphs11ptchar0"/>
          <w:sz w:val="22"/>
          <w:szCs w:val="22"/>
        </w:rPr>
        <w:t>discounts</w:t>
      </w:r>
      <w:r w:rsidR="00DB75BA">
        <w:rPr>
          <w:rStyle w:val="stylenumberedparagraphs11ptchar0"/>
          <w:sz w:val="22"/>
          <w:szCs w:val="22"/>
        </w:rPr>
        <w:t xml:space="preserve"> of</w:t>
      </w:r>
      <w:r w:rsidR="00882D93" w:rsidRPr="00BA29E1">
        <w:rPr>
          <w:rStyle w:val="stylenumberedparagraphs11ptchar0"/>
          <w:sz w:val="22"/>
          <w:szCs w:val="22"/>
        </w:rPr>
        <w:t xml:space="preserve"> </w:t>
      </w:r>
      <w:r w:rsidR="00502440">
        <w:rPr>
          <w:rStyle w:val="stylenumberedparagraphs11ptchar0"/>
          <w:sz w:val="22"/>
          <w:szCs w:val="22"/>
        </w:rPr>
        <w:t>between 79</w:t>
      </w:r>
      <w:r w:rsidR="00AA7C6D">
        <w:rPr>
          <w:rStyle w:val="stylenumberedparagraphs11ptchar0"/>
          <w:sz w:val="22"/>
          <w:szCs w:val="22"/>
        </w:rPr>
        <w:t xml:space="preserve"> percent and</w:t>
      </w:r>
      <w:r w:rsidR="002C7130">
        <w:rPr>
          <w:rStyle w:val="stylenumberedparagraphs11ptchar0"/>
          <w:sz w:val="22"/>
          <w:szCs w:val="22"/>
        </w:rPr>
        <w:t xml:space="preserve"> </w:t>
      </w:r>
      <w:r w:rsidR="0074105E">
        <w:rPr>
          <w:rStyle w:val="stylenumberedparagraphs11ptchar0"/>
          <w:sz w:val="22"/>
          <w:szCs w:val="22"/>
        </w:rPr>
        <w:t>88 percent</w:t>
      </w:r>
      <w:r w:rsidR="00882D93" w:rsidRPr="00BA29E1">
        <w:rPr>
          <w:rStyle w:val="stylenumberedparagraphs11ptchar0"/>
          <w:sz w:val="22"/>
          <w:szCs w:val="22"/>
        </w:rPr>
        <w:t xml:space="preserve">, which meant they received </w:t>
      </w:r>
      <w:r w:rsidR="0074105E">
        <w:rPr>
          <w:rStyle w:val="stylenumberedparagraphs11ptchar0"/>
          <w:sz w:val="22"/>
          <w:szCs w:val="22"/>
        </w:rPr>
        <w:t>$10,181,315</w:t>
      </w:r>
      <w:r w:rsidR="00F35BB3">
        <w:rPr>
          <w:rStyle w:val="stylenumberedparagraphs11ptchar0"/>
          <w:sz w:val="22"/>
          <w:szCs w:val="22"/>
        </w:rPr>
        <w:t>, collectively,</w:t>
      </w:r>
      <w:r w:rsidR="0074105E">
        <w:rPr>
          <w:rStyle w:val="stylenumberedparagraphs11ptchar0"/>
          <w:sz w:val="22"/>
          <w:szCs w:val="22"/>
        </w:rPr>
        <w:t xml:space="preserve"> in funding commitments</w:t>
      </w:r>
      <w:r w:rsidR="00DB75BA">
        <w:rPr>
          <w:rStyle w:val="stylenumberedparagraphs11ptchar0"/>
          <w:sz w:val="22"/>
          <w:szCs w:val="22"/>
        </w:rPr>
        <w:t xml:space="preserve"> </w:t>
      </w:r>
      <w:r w:rsidR="00882D93" w:rsidRPr="00BA29E1">
        <w:rPr>
          <w:rStyle w:val="stylenumberedparagraphs11ptchar0"/>
          <w:sz w:val="22"/>
          <w:szCs w:val="22"/>
        </w:rPr>
        <w:t xml:space="preserve">and </w:t>
      </w:r>
      <w:r w:rsidR="00F35BB3">
        <w:rPr>
          <w:rStyle w:val="stylenumberedparagraphs11ptchar0"/>
          <w:sz w:val="22"/>
          <w:szCs w:val="22"/>
        </w:rPr>
        <w:t xml:space="preserve">should have </w:t>
      </w:r>
      <w:r w:rsidR="00882D93" w:rsidRPr="00BA29E1">
        <w:rPr>
          <w:rStyle w:val="stylenumberedparagraphs11ptchar0"/>
          <w:sz w:val="22"/>
          <w:szCs w:val="22"/>
        </w:rPr>
        <w:t xml:space="preserve">paid </w:t>
      </w:r>
      <w:r w:rsidR="0074105E">
        <w:rPr>
          <w:rStyle w:val="stylenumberedparagraphs11ptchar0"/>
          <w:sz w:val="22"/>
          <w:szCs w:val="22"/>
        </w:rPr>
        <w:t>$</w:t>
      </w:r>
      <w:r w:rsidR="00D47C5E">
        <w:rPr>
          <w:rStyle w:val="stylenumberedparagraphs11ptchar0"/>
          <w:sz w:val="22"/>
          <w:szCs w:val="22"/>
        </w:rPr>
        <w:t>1,</w:t>
      </w:r>
      <w:r w:rsidR="00260E83">
        <w:rPr>
          <w:rStyle w:val="stylenumberedparagraphs11ptchar0"/>
          <w:sz w:val="22"/>
          <w:szCs w:val="22"/>
        </w:rPr>
        <w:t xml:space="preserve">694,863, </w:t>
      </w:r>
      <w:r w:rsidR="00F35BB3">
        <w:rPr>
          <w:rStyle w:val="stylenumberedparagraphs11ptchar0"/>
          <w:sz w:val="22"/>
          <w:szCs w:val="22"/>
        </w:rPr>
        <w:t>collectively</w:t>
      </w:r>
      <w:r w:rsidR="00541B20">
        <w:rPr>
          <w:rStyle w:val="stylenumberedparagraphs11ptchar0"/>
          <w:sz w:val="22"/>
          <w:szCs w:val="22"/>
        </w:rPr>
        <w:t>,</w:t>
      </w:r>
      <w:r w:rsidR="00F35BB3">
        <w:rPr>
          <w:rStyle w:val="stylenumberedparagraphs11ptchar0"/>
          <w:sz w:val="22"/>
          <w:szCs w:val="22"/>
        </w:rPr>
        <w:t xml:space="preserve"> </w:t>
      </w:r>
      <w:r w:rsidR="00DB75BA">
        <w:rPr>
          <w:rStyle w:val="stylenumberedparagraphs11ptchar0"/>
          <w:sz w:val="22"/>
          <w:szCs w:val="22"/>
        </w:rPr>
        <w:t xml:space="preserve">for their </w:t>
      </w:r>
      <w:r w:rsidR="00F35BB3">
        <w:rPr>
          <w:rStyle w:val="stylenumberedparagraphs11ptchar0"/>
          <w:sz w:val="22"/>
          <w:szCs w:val="22"/>
        </w:rPr>
        <w:t>non-discount share</w:t>
      </w:r>
      <w:r w:rsidR="00882D93" w:rsidRPr="00BA29E1">
        <w:rPr>
          <w:rStyle w:val="stylenumberedparagraphs11ptchar0"/>
          <w:sz w:val="22"/>
          <w:szCs w:val="22"/>
        </w:rPr>
        <w:t>.</w:t>
      </w:r>
      <w:r w:rsidR="00F115CF" w:rsidRPr="00BA29E1">
        <w:rPr>
          <w:rStyle w:val="FootnoteReference"/>
          <w:sz w:val="22"/>
          <w:szCs w:val="22"/>
        </w:rPr>
        <w:footnoteReference w:id="13"/>
      </w:r>
      <w:r w:rsidR="00863601" w:rsidRPr="00863601">
        <w:rPr>
          <w:sz w:val="22"/>
          <w:szCs w:val="22"/>
        </w:rPr>
        <w:t xml:space="preserve"> </w:t>
      </w:r>
    </w:p>
    <w:p w:rsidR="00305EE6" w:rsidRDefault="00305EE6">
      <w:pPr>
        <w:pStyle w:val="par1"/>
        <w:numPr>
          <w:ilvl w:val="0"/>
          <w:numId w:val="0"/>
        </w:numPr>
        <w:ind w:left="720"/>
        <w:rPr>
          <w:rStyle w:val="stylenumberedparagraphs11ptchar0"/>
          <w:b/>
          <w:color w:val="000000"/>
          <w:sz w:val="22"/>
          <w:szCs w:val="22"/>
        </w:rPr>
      </w:pPr>
    </w:p>
    <w:p w:rsidR="00005A46" w:rsidRPr="00FE516A" w:rsidRDefault="00CB1819" w:rsidP="003E1B7D">
      <w:pPr>
        <w:pStyle w:val="par1"/>
        <w:tabs>
          <w:tab w:val="clear" w:pos="1530"/>
          <w:tab w:val="num" w:pos="1440"/>
        </w:tabs>
        <w:ind w:left="0"/>
        <w:rPr>
          <w:b/>
          <w:color w:val="000000"/>
          <w:sz w:val="22"/>
          <w:szCs w:val="22"/>
        </w:rPr>
      </w:pPr>
      <w:r>
        <w:rPr>
          <w:rFonts w:eastAsia="Calibri"/>
          <w:sz w:val="22"/>
          <w:szCs w:val="22"/>
        </w:rPr>
        <w:t xml:space="preserve">The Commission’s rules prohibit the selected service provider from paying for, and applicants from receiving from the selected service provider, the applicant’s non-discount share </w:t>
      </w:r>
      <w:r w:rsidR="00BA14CC">
        <w:rPr>
          <w:rFonts w:eastAsia="Calibri"/>
          <w:sz w:val="22"/>
          <w:szCs w:val="22"/>
        </w:rPr>
        <w:t>of the costs of E-rate eligible services.</w:t>
      </w:r>
      <w:r>
        <w:rPr>
          <w:rStyle w:val="FootnoteReference"/>
          <w:rFonts w:eastAsia="Calibri"/>
          <w:sz w:val="22"/>
          <w:szCs w:val="22"/>
        </w:rPr>
        <w:footnoteReference w:id="14"/>
      </w:r>
      <w:r>
        <w:rPr>
          <w:rFonts w:eastAsia="Calibri"/>
          <w:sz w:val="22"/>
          <w:szCs w:val="22"/>
        </w:rPr>
        <w:t xml:space="preserve">  </w:t>
      </w:r>
      <w:r w:rsidR="00F115CF" w:rsidRPr="003E1B7D">
        <w:rPr>
          <w:sz w:val="22"/>
          <w:szCs w:val="22"/>
        </w:rPr>
        <w:t>The Commission</w:t>
      </w:r>
      <w:r w:rsidR="006A6999" w:rsidRPr="003E1B7D">
        <w:rPr>
          <w:sz w:val="22"/>
          <w:szCs w:val="22"/>
        </w:rPr>
        <w:t xml:space="preserve"> permits</w:t>
      </w:r>
      <w:r w:rsidR="003E1B7D" w:rsidRPr="003E1B7D">
        <w:rPr>
          <w:sz w:val="22"/>
          <w:szCs w:val="22"/>
        </w:rPr>
        <w:t xml:space="preserve"> a</w:t>
      </w:r>
      <w:r w:rsidR="00F115CF" w:rsidRPr="003E1B7D">
        <w:rPr>
          <w:sz w:val="22"/>
          <w:szCs w:val="22"/>
        </w:rPr>
        <w:t xml:space="preserve">pplicants </w:t>
      </w:r>
      <w:r w:rsidR="003E1B7D" w:rsidRPr="003E1B7D">
        <w:rPr>
          <w:sz w:val="22"/>
          <w:szCs w:val="22"/>
        </w:rPr>
        <w:t>to</w:t>
      </w:r>
      <w:r w:rsidR="00F115CF" w:rsidRPr="003E1B7D">
        <w:rPr>
          <w:sz w:val="22"/>
          <w:szCs w:val="22"/>
        </w:rPr>
        <w:t xml:space="preserve"> use grants to help pay for their non-discount share</w:t>
      </w:r>
      <w:r w:rsidR="005A46A0">
        <w:rPr>
          <w:sz w:val="22"/>
          <w:szCs w:val="22"/>
        </w:rPr>
        <w:t xml:space="preserve"> so</w:t>
      </w:r>
      <w:r w:rsidR="003E1B7D" w:rsidRPr="003E1B7D">
        <w:rPr>
          <w:sz w:val="22"/>
          <w:szCs w:val="22"/>
        </w:rPr>
        <w:t xml:space="preserve"> long as</w:t>
      </w:r>
      <w:r w:rsidR="00F115CF" w:rsidRPr="003E1B7D">
        <w:rPr>
          <w:sz w:val="22"/>
          <w:szCs w:val="22"/>
        </w:rPr>
        <w:t xml:space="preserve"> the</w:t>
      </w:r>
      <w:r w:rsidR="00F115CF" w:rsidRPr="003E1B7D">
        <w:rPr>
          <w:rFonts w:eastAsia="Calibri"/>
          <w:sz w:val="22"/>
          <w:szCs w:val="22"/>
        </w:rPr>
        <w:t xml:space="preserve"> grants </w:t>
      </w:r>
      <w:r w:rsidR="00FA501C">
        <w:rPr>
          <w:rFonts w:eastAsia="Calibri"/>
          <w:sz w:val="22"/>
          <w:szCs w:val="22"/>
        </w:rPr>
        <w:t>do not come</w:t>
      </w:r>
      <w:r w:rsidR="000C46E1">
        <w:rPr>
          <w:rFonts w:eastAsia="Calibri"/>
          <w:sz w:val="22"/>
          <w:szCs w:val="22"/>
        </w:rPr>
        <w:t xml:space="preserve"> </w:t>
      </w:r>
      <w:r w:rsidR="00FA501C">
        <w:rPr>
          <w:rFonts w:eastAsia="Calibri"/>
          <w:sz w:val="22"/>
          <w:szCs w:val="22"/>
        </w:rPr>
        <w:t>from the applicant’s selected service provider</w:t>
      </w:r>
      <w:r w:rsidR="000C46E1">
        <w:rPr>
          <w:rFonts w:eastAsia="Calibri"/>
          <w:sz w:val="22"/>
          <w:szCs w:val="22"/>
        </w:rPr>
        <w:t>,</w:t>
      </w:r>
      <w:r w:rsidR="00DD10E7">
        <w:rPr>
          <w:rFonts w:eastAsia="Calibri"/>
          <w:sz w:val="22"/>
          <w:szCs w:val="22"/>
        </w:rPr>
        <w:t xml:space="preserve"> or</w:t>
      </w:r>
      <w:r w:rsidR="000C46E1">
        <w:rPr>
          <w:rFonts w:eastAsia="Calibri"/>
          <w:sz w:val="22"/>
          <w:szCs w:val="22"/>
        </w:rPr>
        <w:t xml:space="preserve"> </w:t>
      </w:r>
      <w:r w:rsidR="008C1CF1">
        <w:rPr>
          <w:rFonts w:eastAsia="Calibri"/>
          <w:sz w:val="22"/>
          <w:szCs w:val="22"/>
        </w:rPr>
        <w:t xml:space="preserve">from </w:t>
      </w:r>
      <w:r w:rsidR="000C46E1">
        <w:rPr>
          <w:rFonts w:eastAsia="Calibri"/>
          <w:sz w:val="22"/>
          <w:szCs w:val="22"/>
        </w:rPr>
        <w:t>any entity</w:t>
      </w:r>
      <w:r w:rsidR="008C1CF1">
        <w:rPr>
          <w:rFonts w:eastAsia="Calibri"/>
          <w:sz w:val="22"/>
          <w:szCs w:val="22"/>
        </w:rPr>
        <w:t xml:space="preserve"> </w:t>
      </w:r>
      <w:r w:rsidR="00DD10E7">
        <w:rPr>
          <w:rFonts w:eastAsia="Calibri"/>
          <w:sz w:val="22"/>
          <w:szCs w:val="22"/>
        </w:rPr>
        <w:t>not independent of the service provider</w:t>
      </w:r>
      <w:r w:rsidR="009B742F">
        <w:rPr>
          <w:rFonts w:eastAsia="Calibri"/>
          <w:sz w:val="22"/>
          <w:szCs w:val="22"/>
        </w:rPr>
        <w:t>.</w:t>
      </w:r>
      <w:r w:rsidR="00F115CF" w:rsidRPr="00986D50">
        <w:rPr>
          <w:rFonts w:eastAsia="Calibri"/>
          <w:sz w:val="22"/>
          <w:szCs w:val="22"/>
          <w:vertAlign w:val="superscript"/>
        </w:rPr>
        <w:footnoteReference w:id="15"/>
      </w:r>
      <w:r w:rsidR="00F115CF" w:rsidRPr="003E1B7D">
        <w:rPr>
          <w:rFonts w:eastAsia="Calibri"/>
          <w:sz w:val="22"/>
          <w:szCs w:val="22"/>
        </w:rPr>
        <w:t xml:space="preserve">  </w:t>
      </w:r>
      <w:r w:rsidR="00F115CF" w:rsidRPr="003E1B7D">
        <w:rPr>
          <w:rFonts w:eastAsia="Calibri"/>
          <w:color w:val="000000"/>
          <w:sz w:val="22"/>
          <w:szCs w:val="22"/>
        </w:rPr>
        <w:t>Since 2003, USAC has provided guidance on its website and in its training materials explaining that service providers may not indirectly pay any portion of an applicant’s non-discount share by steering funds through a third</w:t>
      </w:r>
      <w:r w:rsidR="00F40063">
        <w:rPr>
          <w:rFonts w:eastAsia="Calibri"/>
          <w:color w:val="000000"/>
          <w:sz w:val="22"/>
          <w:szCs w:val="22"/>
        </w:rPr>
        <w:t>-</w:t>
      </w:r>
      <w:r w:rsidR="00F115CF" w:rsidRPr="003E1B7D">
        <w:rPr>
          <w:rFonts w:eastAsia="Calibri"/>
          <w:color w:val="000000"/>
          <w:sz w:val="22"/>
          <w:szCs w:val="22"/>
        </w:rPr>
        <w:t xml:space="preserve">party donor organization to </w:t>
      </w:r>
      <w:r w:rsidR="00A74544">
        <w:rPr>
          <w:rFonts w:eastAsia="Calibri"/>
          <w:color w:val="000000"/>
          <w:sz w:val="22"/>
          <w:szCs w:val="22"/>
        </w:rPr>
        <w:t>p</w:t>
      </w:r>
      <w:r w:rsidR="009524BD">
        <w:rPr>
          <w:rFonts w:eastAsia="Calibri"/>
          <w:color w:val="000000"/>
          <w:sz w:val="22"/>
          <w:szCs w:val="22"/>
        </w:rPr>
        <w:t>articular</w:t>
      </w:r>
      <w:r w:rsidR="00A74544">
        <w:rPr>
          <w:rFonts w:eastAsia="Calibri"/>
          <w:color w:val="000000"/>
          <w:sz w:val="22"/>
          <w:szCs w:val="22"/>
        </w:rPr>
        <w:t xml:space="preserve"> </w:t>
      </w:r>
      <w:r w:rsidR="00F115CF" w:rsidRPr="003E1B7D">
        <w:rPr>
          <w:rFonts w:eastAsia="Calibri"/>
          <w:color w:val="000000"/>
          <w:sz w:val="22"/>
          <w:szCs w:val="22"/>
        </w:rPr>
        <w:t>schools or libraries.</w:t>
      </w:r>
      <w:r w:rsidR="00F115CF" w:rsidRPr="00DA0968">
        <w:rPr>
          <w:rFonts w:eastAsia="Calibri"/>
          <w:color w:val="000000"/>
          <w:sz w:val="22"/>
          <w:szCs w:val="22"/>
          <w:vertAlign w:val="superscript"/>
        </w:rPr>
        <w:footnoteReference w:id="16"/>
      </w:r>
      <w:r w:rsidR="00F115CF" w:rsidRPr="003E1B7D">
        <w:rPr>
          <w:rFonts w:eastAsia="Calibri"/>
          <w:color w:val="000000"/>
          <w:sz w:val="22"/>
          <w:szCs w:val="22"/>
        </w:rPr>
        <w:t xml:space="preserve">  </w:t>
      </w:r>
      <w:r w:rsidR="00005A46">
        <w:rPr>
          <w:color w:val="000000"/>
          <w:sz w:val="22"/>
          <w:szCs w:val="22"/>
        </w:rPr>
        <w:t>S</w:t>
      </w:r>
      <w:r w:rsidR="00005A46" w:rsidRPr="009D1BA7">
        <w:rPr>
          <w:color w:val="000000"/>
          <w:sz w:val="22"/>
          <w:szCs w:val="22"/>
        </w:rPr>
        <w:t xml:space="preserve">ervice providers are </w:t>
      </w:r>
      <w:r w:rsidR="005A46A0">
        <w:rPr>
          <w:color w:val="000000"/>
          <w:sz w:val="22"/>
          <w:szCs w:val="22"/>
        </w:rPr>
        <w:t xml:space="preserve">also </w:t>
      </w:r>
      <w:r w:rsidR="00005A46" w:rsidRPr="009D1BA7">
        <w:rPr>
          <w:color w:val="000000"/>
          <w:sz w:val="22"/>
          <w:szCs w:val="22"/>
        </w:rPr>
        <w:t xml:space="preserve">required to make a </w:t>
      </w:r>
      <w:r w:rsidR="00005A46" w:rsidRPr="00D80E96">
        <w:rPr>
          <w:i/>
          <w:color w:val="000000"/>
          <w:sz w:val="22"/>
          <w:szCs w:val="22"/>
        </w:rPr>
        <w:t>bona fide</w:t>
      </w:r>
      <w:r w:rsidR="00005A46" w:rsidRPr="008C23F3">
        <w:rPr>
          <w:color w:val="000000"/>
          <w:sz w:val="22"/>
          <w:szCs w:val="22"/>
        </w:rPr>
        <w:t xml:space="preserve"> </w:t>
      </w:r>
      <w:r w:rsidR="00005A46" w:rsidRPr="009D1BA7">
        <w:rPr>
          <w:color w:val="000000"/>
          <w:sz w:val="22"/>
          <w:szCs w:val="22"/>
        </w:rPr>
        <w:t>effort to collect from applicants the non-discount portion of the costs of services supported by the E-rate program and to certify on the FCC Form 473, Service Provider Annual Certification Form, that it has billed the applicant for its non-discount share.</w:t>
      </w:r>
      <w:r w:rsidR="00005A46">
        <w:rPr>
          <w:rStyle w:val="FootnoteReference"/>
          <w:sz w:val="22"/>
          <w:szCs w:val="22"/>
        </w:rPr>
        <w:footnoteReference w:id="17"/>
      </w:r>
      <w:r w:rsidR="00005A46">
        <w:rPr>
          <w:color w:val="000000"/>
          <w:sz w:val="22"/>
          <w:szCs w:val="22"/>
        </w:rPr>
        <w:t xml:space="preserve">  </w:t>
      </w:r>
      <w:r w:rsidR="00005A46" w:rsidRPr="009D1BA7">
        <w:rPr>
          <w:color w:val="000000"/>
          <w:sz w:val="22"/>
          <w:szCs w:val="22"/>
        </w:rPr>
        <w:t xml:space="preserve">The Commission has determined that failure to make a </w:t>
      </w:r>
      <w:r w:rsidR="00005A46" w:rsidRPr="00D80E96">
        <w:rPr>
          <w:i/>
          <w:color w:val="000000"/>
          <w:sz w:val="22"/>
          <w:szCs w:val="22"/>
        </w:rPr>
        <w:t>bona fide</w:t>
      </w:r>
      <w:r w:rsidR="00005A46" w:rsidRPr="009D1BA7">
        <w:rPr>
          <w:color w:val="000000"/>
          <w:sz w:val="22"/>
          <w:szCs w:val="22"/>
        </w:rPr>
        <w:t xml:space="preserve"> effort will render the service provider liable for recovery of E-rate funds disbursed for which the applicant did not pay its non-discount share.</w:t>
      </w:r>
      <w:r w:rsidR="00005A46" w:rsidRPr="001E29E8">
        <w:rPr>
          <w:rStyle w:val="FootnoteReference"/>
          <w:rFonts w:cs="Courier New"/>
          <w:sz w:val="22"/>
          <w:szCs w:val="22"/>
        </w:rPr>
        <w:footnoteReference w:id="18"/>
      </w:r>
      <w:r w:rsidR="00005A46" w:rsidRPr="00F02DF9">
        <w:rPr>
          <w:sz w:val="22"/>
          <w:szCs w:val="22"/>
        </w:rPr>
        <w:t xml:space="preserve"> </w:t>
      </w:r>
    </w:p>
    <w:p w:rsidR="00005A46" w:rsidRPr="00FE516A" w:rsidRDefault="00005A46" w:rsidP="00FE516A">
      <w:pPr>
        <w:pStyle w:val="par1"/>
        <w:numPr>
          <w:ilvl w:val="0"/>
          <w:numId w:val="0"/>
        </w:numPr>
        <w:ind w:left="720"/>
        <w:rPr>
          <w:b/>
          <w:color w:val="000000"/>
          <w:sz w:val="22"/>
          <w:szCs w:val="22"/>
        </w:rPr>
      </w:pPr>
    </w:p>
    <w:p w:rsidR="00305EE6" w:rsidRPr="003E1B7D" w:rsidRDefault="003E1B7D" w:rsidP="003E1B7D">
      <w:pPr>
        <w:pStyle w:val="par1"/>
        <w:tabs>
          <w:tab w:val="clear" w:pos="1530"/>
          <w:tab w:val="num" w:pos="1440"/>
        </w:tabs>
        <w:ind w:left="0"/>
        <w:rPr>
          <w:rStyle w:val="stylenumberedparagraphs11ptchar0"/>
          <w:b/>
          <w:color w:val="000000"/>
          <w:sz w:val="22"/>
          <w:szCs w:val="22"/>
        </w:rPr>
      </w:pPr>
      <w:r>
        <w:rPr>
          <w:rFonts w:eastAsia="Calibri"/>
          <w:color w:val="000000"/>
          <w:sz w:val="22"/>
          <w:szCs w:val="22"/>
        </w:rPr>
        <w:t>The Commission’</w:t>
      </w:r>
      <w:r w:rsidRPr="00B22043">
        <w:rPr>
          <w:sz w:val="22"/>
          <w:szCs w:val="22"/>
        </w:rPr>
        <w:t xml:space="preserve">s rules </w:t>
      </w:r>
      <w:r>
        <w:rPr>
          <w:sz w:val="22"/>
          <w:szCs w:val="22"/>
        </w:rPr>
        <w:t>also require E-rate applicants to s</w:t>
      </w:r>
      <w:r w:rsidRPr="00B22043">
        <w:rPr>
          <w:sz w:val="22"/>
          <w:szCs w:val="22"/>
        </w:rPr>
        <w:t>eek competitive bids for all services eligible for support.</w:t>
      </w:r>
      <w:r w:rsidRPr="00B22043">
        <w:rPr>
          <w:sz w:val="22"/>
          <w:szCs w:val="22"/>
          <w:vertAlign w:val="superscript"/>
        </w:rPr>
        <w:footnoteReference w:id="19"/>
      </w:r>
      <w:r w:rsidRPr="00B22043">
        <w:rPr>
          <w:sz w:val="22"/>
          <w:szCs w:val="22"/>
        </w:rPr>
        <w:t xml:space="preserve">  The Commission has consistently stated that the competitive bidding process must be fair and open and must not have been compromised because of improper conduct by the applicant, service provider, or both</w:t>
      </w:r>
      <w:r w:rsidR="00293050" w:rsidRPr="00293050">
        <w:rPr>
          <w:sz w:val="22"/>
          <w:szCs w:val="22"/>
        </w:rPr>
        <w:t xml:space="preserve"> </w:t>
      </w:r>
      <w:r w:rsidR="00293050" w:rsidRPr="00B22043">
        <w:rPr>
          <w:sz w:val="22"/>
          <w:szCs w:val="22"/>
        </w:rPr>
        <w:t>parties.</w:t>
      </w:r>
      <w:r w:rsidR="00293050" w:rsidRPr="00B22043">
        <w:rPr>
          <w:sz w:val="22"/>
          <w:szCs w:val="22"/>
          <w:vertAlign w:val="superscript"/>
        </w:rPr>
        <w:footnoteReference w:id="20"/>
      </w:r>
      <w:r w:rsidR="00293050" w:rsidRPr="00B22043">
        <w:rPr>
          <w:sz w:val="22"/>
          <w:szCs w:val="22"/>
        </w:rPr>
        <w:t xml:space="preserve">  In essence, all potential bidders and service providers must have access to the same information and must be treated in the same manner throughout the procurement process.</w:t>
      </w:r>
      <w:r w:rsidR="00293050" w:rsidRPr="00B22043">
        <w:rPr>
          <w:sz w:val="22"/>
          <w:szCs w:val="22"/>
          <w:vertAlign w:val="superscript"/>
        </w:rPr>
        <w:footnoteReference w:id="21"/>
      </w:r>
      <w:r w:rsidR="00293050" w:rsidRPr="00B22043">
        <w:rPr>
          <w:sz w:val="22"/>
          <w:szCs w:val="22"/>
        </w:rPr>
        <w:t xml:space="preserve">  </w:t>
      </w:r>
    </w:p>
    <w:p w:rsidR="00305EE6" w:rsidRDefault="00305EE6">
      <w:pPr>
        <w:pStyle w:val="par1"/>
        <w:numPr>
          <w:ilvl w:val="0"/>
          <w:numId w:val="0"/>
        </w:numPr>
        <w:ind w:left="720"/>
        <w:rPr>
          <w:rStyle w:val="stylenumberedparagraphs11ptchar0"/>
          <w:b/>
          <w:color w:val="000000"/>
          <w:sz w:val="22"/>
          <w:szCs w:val="22"/>
        </w:rPr>
      </w:pPr>
    </w:p>
    <w:p w:rsidR="00314712" w:rsidRPr="006A3FFF" w:rsidRDefault="00F40063" w:rsidP="0093384D">
      <w:pPr>
        <w:pStyle w:val="par1"/>
        <w:tabs>
          <w:tab w:val="num" w:pos="1440"/>
        </w:tabs>
        <w:ind w:left="0"/>
        <w:rPr>
          <w:b/>
          <w:color w:val="000000"/>
          <w:sz w:val="22"/>
          <w:szCs w:val="22"/>
        </w:rPr>
      </w:pPr>
      <w:r>
        <w:rPr>
          <w:sz w:val="22"/>
          <w:szCs w:val="22"/>
          <w:u w:val="single"/>
        </w:rPr>
        <w:t>Summary o</w:t>
      </w:r>
      <w:r w:rsidR="00820252">
        <w:rPr>
          <w:sz w:val="22"/>
          <w:szCs w:val="22"/>
          <w:u w:val="single"/>
        </w:rPr>
        <w:t>f</w:t>
      </w:r>
      <w:r>
        <w:rPr>
          <w:sz w:val="22"/>
          <w:szCs w:val="22"/>
          <w:u w:val="single"/>
        </w:rPr>
        <w:t xml:space="preserve"> </w:t>
      </w:r>
      <w:r w:rsidRPr="00820252">
        <w:rPr>
          <w:sz w:val="22"/>
          <w:szCs w:val="22"/>
          <w:u w:val="single"/>
        </w:rPr>
        <w:t>Facts</w:t>
      </w:r>
      <w:r>
        <w:rPr>
          <w:sz w:val="22"/>
          <w:szCs w:val="22"/>
        </w:rPr>
        <w:t xml:space="preserve">.  </w:t>
      </w:r>
      <w:r w:rsidR="00305EE6" w:rsidRPr="00F40063">
        <w:rPr>
          <w:sz w:val="22"/>
          <w:szCs w:val="22"/>
        </w:rPr>
        <w:t>The</w:t>
      </w:r>
      <w:r w:rsidR="00305EE6">
        <w:rPr>
          <w:sz w:val="22"/>
          <w:szCs w:val="22"/>
        </w:rPr>
        <w:t xml:space="preserve"> Schools at issue in this appeal </w:t>
      </w:r>
      <w:r w:rsidR="00305EE6" w:rsidRPr="008A629C">
        <w:rPr>
          <w:rStyle w:val="documentbody1"/>
          <w:rFonts w:ascii="Times New Roman" w:hAnsi="Times New Roman"/>
          <w:color w:val="000000"/>
          <w:sz w:val="22"/>
        </w:rPr>
        <w:t>entered into contracts with Achieve and filed their FCC Forms</w:t>
      </w:r>
      <w:r w:rsidR="00305EE6">
        <w:rPr>
          <w:rStyle w:val="documentbody1"/>
          <w:rFonts w:ascii="Times New Roman" w:hAnsi="Times New Roman"/>
          <w:color w:val="000000"/>
          <w:sz w:val="22"/>
        </w:rPr>
        <w:t xml:space="preserve"> 471 with USAC for funding years 2004 through 2008</w:t>
      </w:r>
      <w:r w:rsidR="00305EE6" w:rsidRPr="008A629C">
        <w:rPr>
          <w:rStyle w:val="documentbody1"/>
          <w:rFonts w:ascii="Times New Roman" w:hAnsi="Times New Roman"/>
          <w:color w:val="000000"/>
          <w:sz w:val="22"/>
        </w:rPr>
        <w:t>.</w:t>
      </w:r>
      <w:r w:rsidR="00305EE6">
        <w:rPr>
          <w:rStyle w:val="FootnoteReference"/>
          <w:color w:val="000000"/>
          <w:sz w:val="22"/>
          <w:szCs w:val="19"/>
        </w:rPr>
        <w:footnoteReference w:id="22"/>
      </w:r>
      <w:r w:rsidR="00305EE6">
        <w:rPr>
          <w:rStyle w:val="documentbody1"/>
          <w:rFonts w:ascii="Times New Roman" w:hAnsi="Times New Roman"/>
          <w:color w:val="000000"/>
          <w:sz w:val="22"/>
        </w:rPr>
        <w:t xml:space="preserve">  During this time,</w:t>
      </w:r>
      <w:r w:rsidR="006A3FFF">
        <w:rPr>
          <w:rFonts w:cs="Courier New"/>
          <w:sz w:val="22"/>
          <w:szCs w:val="22"/>
        </w:rPr>
        <w:t xml:space="preserve"> </w:t>
      </w:r>
      <w:r w:rsidR="00B27728">
        <w:rPr>
          <w:rFonts w:cs="Courier New"/>
          <w:sz w:val="22"/>
          <w:szCs w:val="22"/>
        </w:rPr>
        <w:t xml:space="preserve">the record demonstrates that </w:t>
      </w:r>
      <w:r w:rsidR="0001626B" w:rsidRPr="00F02DF9">
        <w:rPr>
          <w:sz w:val="22"/>
          <w:szCs w:val="22"/>
        </w:rPr>
        <w:t>Achieve</w:t>
      </w:r>
      <w:r w:rsidR="00AE2CFC" w:rsidRPr="00F02DF9">
        <w:rPr>
          <w:sz w:val="22"/>
          <w:szCs w:val="22"/>
        </w:rPr>
        <w:t xml:space="preserve"> </w:t>
      </w:r>
      <w:r w:rsidR="00990407">
        <w:rPr>
          <w:sz w:val="22"/>
          <w:szCs w:val="22"/>
        </w:rPr>
        <w:t>directed</w:t>
      </w:r>
      <w:r w:rsidR="002F2601">
        <w:rPr>
          <w:sz w:val="22"/>
          <w:szCs w:val="22"/>
        </w:rPr>
        <w:t xml:space="preserve"> </w:t>
      </w:r>
      <w:r w:rsidR="004D2DDE">
        <w:rPr>
          <w:sz w:val="22"/>
          <w:szCs w:val="22"/>
        </w:rPr>
        <w:t xml:space="preserve">money to the Schools through </w:t>
      </w:r>
      <w:r w:rsidR="00314712">
        <w:rPr>
          <w:sz w:val="22"/>
          <w:szCs w:val="22"/>
        </w:rPr>
        <w:t>several intermediaries, including</w:t>
      </w:r>
      <w:r w:rsidR="00E96F91">
        <w:rPr>
          <w:sz w:val="22"/>
          <w:szCs w:val="22"/>
        </w:rPr>
        <w:t xml:space="preserve"> </w:t>
      </w:r>
      <w:r w:rsidR="0001626B" w:rsidRPr="00F02DF9">
        <w:rPr>
          <w:sz w:val="22"/>
          <w:szCs w:val="22"/>
        </w:rPr>
        <w:t>the United States Distance Learning Association (USDLA)</w:t>
      </w:r>
      <w:r w:rsidR="006A3FFF">
        <w:rPr>
          <w:sz w:val="22"/>
          <w:szCs w:val="22"/>
        </w:rPr>
        <w:t>, to pay for the Schools</w:t>
      </w:r>
      <w:r w:rsidR="00DB60B6">
        <w:rPr>
          <w:sz w:val="22"/>
          <w:szCs w:val="22"/>
        </w:rPr>
        <w:t>’</w:t>
      </w:r>
      <w:r w:rsidR="006A3FFF">
        <w:rPr>
          <w:sz w:val="22"/>
          <w:szCs w:val="22"/>
        </w:rPr>
        <w:t xml:space="preserve"> non-discount share of the cost of </w:t>
      </w:r>
      <w:r w:rsidR="006A3FFF" w:rsidRPr="008A629C">
        <w:rPr>
          <w:rStyle w:val="documentbody1"/>
          <w:rFonts w:ascii="Times New Roman" w:hAnsi="Times New Roman"/>
          <w:color w:val="000000"/>
          <w:sz w:val="22"/>
        </w:rPr>
        <w:t>E-rate eligible distance learning services</w:t>
      </w:r>
      <w:r w:rsidR="00314712">
        <w:rPr>
          <w:sz w:val="22"/>
          <w:szCs w:val="22"/>
        </w:rPr>
        <w:t>.</w:t>
      </w:r>
      <w:r w:rsidR="00314712">
        <w:rPr>
          <w:rStyle w:val="FootnoteReference"/>
          <w:sz w:val="22"/>
          <w:szCs w:val="22"/>
        </w:rPr>
        <w:footnoteReference w:id="23"/>
      </w:r>
      <w:r w:rsidR="006A3FFF">
        <w:rPr>
          <w:sz w:val="22"/>
          <w:szCs w:val="22"/>
        </w:rPr>
        <w:t xml:space="preserve"> </w:t>
      </w:r>
      <w:r w:rsidR="003D4F76">
        <w:rPr>
          <w:sz w:val="22"/>
          <w:szCs w:val="22"/>
        </w:rPr>
        <w:t xml:space="preserve"> As detail</w:t>
      </w:r>
      <w:r w:rsidR="0093345D">
        <w:rPr>
          <w:sz w:val="22"/>
          <w:szCs w:val="22"/>
        </w:rPr>
        <w:t xml:space="preserve">ed </w:t>
      </w:r>
      <w:r w:rsidR="003D4F76">
        <w:rPr>
          <w:sz w:val="22"/>
          <w:szCs w:val="22"/>
        </w:rPr>
        <w:t xml:space="preserve">below, </w:t>
      </w:r>
      <w:r w:rsidR="00A37EA3">
        <w:rPr>
          <w:sz w:val="22"/>
          <w:szCs w:val="22"/>
        </w:rPr>
        <w:t xml:space="preserve">a foundation </w:t>
      </w:r>
      <w:r w:rsidR="000F579A">
        <w:rPr>
          <w:sz w:val="22"/>
          <w:szCs w:val="22"/>
        </w:rPr>
        <w:t xml:space="preserve">called the Ralph G. Adams Foundation (Foundation) </w:t>
      </w:r>
      <w:r w:rsidR="00A37EA3">
        <w:rPr>
          <w:sz w:val="22"/>
          <w:szCs w:val="22"/>
        </w:rPr>
        <w:t xml:space="preserve">was established to which </w:t>
      </w:r>
      <w:r w:rsidR="003D4F76">
        <w:rPr>
          <w:sz w:val="22"/>
          <w:szCs w:val="22"/>
        </w:rPr>
        <w:t xml:space="preserve">Achieve </w:t>
      </w:r>
      <w:r w:rsidR="00A37EA3">
        <w:rPr>
          <w:sz w:val="22"/>
          <w:szCs w:val="22"/>
        </w:rPr>
        <w:t xml:space="preserve">and its business partners donated more than $450,000.  Nearly all </w:t>
      </w:r>
      <w:r w:rsidR="003D6F3D">
        <w:rPr>
          <w:sz w:val="22"/>
          <w:szCs w:val="22"/>
        </w:rPr>
        <w:t xml:space="preserve">of </w:t>
      </w:r>
      <w:r w:rsidR="00A37EA3">
        <w:rPr>
          <w:sz w:val="22"/>
          <w:szCs w:val="22"/>
        </w:rPr>
        <w:t>the funds</w:t>
      </w:r>
      <w:r w:rsidR="00E8260D">
        <w:rPr>
          <w:sz w:val="22"/>
          <w:szCs w:val="22"/>
        </w:rPr>
        <w:t xml:space="preserve"> donated to th</w:t>
      </w:r>
      <w:r w:rsidR="003D6F3D">
        <w:rPr>
          <w:sz w:val="22"/>
          <w:szCs w:val="22"/>
        </w:rPr>
        <w:t>e F</w:t>
      </w:r>
      <w:r w:rsidR="00E8260D">
        <w:rPr>
          <w:sz w:val="22"/>
          <w:szCs w:val="22"/>
        </w:rPr>
        <w:t>oundation</w:t>
      </w:r>
      <w:r w:rsidR="00E8260D" w:rsidRPr="000F579A">
        <w:rPr>
          <w:sz w:val="22"/>
          <w:szCs w:val="22"/>
        </w:rPr>
        <w:t xml:space="preserve">, whose President was </w:t>
      </w:r>
      <w:r w:rsidR="00A37EA3" w:rsidRPr="000F579A">
        <w:rPr>
          <w:sz w:val="22"/>
          <w:szCs w:val="22"/>
        </w:rPr>
        <w:t xml:space="preserve">an Achieve employee, were transferred to </w:t>
      </w:r>
      <w:r w:rsidR="00426DF0">
        <w:rPr>
          <w:sz w:val="22"/>
          <w:szCs w:val="22"/>
        </w:rPr>
        <w:t>USDLA</w:t>
      </w:r>
      <w:r w:rsidR="00A37EA3" w:rsidRPr="000F579A">
        <w:rPr>
          <w:sz w:val="22"/>
          <w:szCs w:val="22"/>
        </w:rPr>
        <w:t xml:space="preserve"> for a grant program called the Digital Divide Fund (DDF)</w:t>
      </w:r>
      <w:r w:rsidR="00153449" w:rsidRPr="000F579A">
        <w:rPr>
          <w:sz w:val="22"/>
          <w:szCs w:val="22"/>
        </w:rPr>
        <w:t xml:space="preserve">.  </w:t>
      </w:r>
      <w:r w:rsidR="00426DF0">
        <w:rPr>
          <w:sz w:val="22"/>
          <w:szCs w:val="22"/>
        </w:rPr>
        <w:t>USDLA</w:t>
      </w:r>
      <w:r w:rsidR="0070671E">
        <w:rPr>
          <w:sz w:val="22"/>
          <w:szCs w:val="22"/>
        </w:rPr>
        <w:t xml:space="preserve"> </w:t>
      </w:r>
      <w:r w:rsidR="00A37EA3" w:rsidRPr="000F579A">
        <w:rPr>
          <w:sz w:val="22"/>
          <w:szCs w:val="22"/>
        </w:rPr>
        <w:t xml:space="preserve">used the funds </w:t>
      </w:r>
      <w:r w:rsidR="003D6F3D">
        <w:rPr>
          <w:sz w:val="22"/>
          <w:szCs w:val="22"/>
        </w:rPr>
        <w:t xml:space="preserve">from the DDF </w:t>
      </w:r>
      <w:r w:rsidR="00A37EA3" w:rsidRPr="000F579A">
        <w:rPr>
          <w:sz w:val="22"/>
          <w:szCs w:val="22"/>
        </w:rPr>
        <w:t>to pay the non-discount share of E-rate services for Achieve’s clients</w:t>
      </w:r>
      <w:r w:rsidR="00E8260D" w:rsidRPr="000F579A">
        <w:rPr>
          <w:sz w:val="22"/>
          <w:szCs w:val="22"/>
        </w:rPr>
        <w:t xml:space="preserve">, </w:t>
      </w:r>
      <w:r w:rsidR="00E8260D" w:rsidRPr="00070B6D">
        <w:rPr>
          <w:sz w:val="22"/>
        </w:rPr>
        <w:t>and only Achieve’s clients</w:t>
      </w:r>
      <w:r w:rsidR="00E8260D" w:rsidRPr="000F579A">
        <w:rPr>
          <w:sz w:val="22"/>
          <w:szCs w:val="22"/>
        </w:rPr>
        <w:t xml:space="preserve">, </w:t>
      </w:r>
      <w:r w:rsidR="00153449" w:rsidRPr="000F579A">
        <w:rPr>
          <w:sz w:val="22"/>
          <w:szCs w:val="22"/>
        </w:rPr>
        <w:t xml:space="preserve">and received </w:t>
      </w:r>
      <w:r w:rsidR="002F2601" w:rsidRPr="000F579A">
        <w:rPr>
          <w:sz w:val="22"/>
          <w:szCs w:val="22"/>
        </w:rPr>
        <w:t xml:space="preserve">substantial assistance </w:t>
      </w:r>
      <w:r w:rsidR="00153449" w:rsidRPr="000F579A">
        <w:rPr>
          <w:sz w:val="22"/>
          <w:szCs w:val="22"/>
        </w:rPr>
        <w:t xml:space="preserve">and oversight </w:t>
      </w:r>
      <w:r w:rsidR="002F2601" w:rsidRPr="000F579A">
        <w:rPr>
          <w:sz w:val="22"/>
          <w:szCs w:val="22"/>
        </w:rPr>
        <w:t xml:space="preserve">from Achieve in the </w:t>
      </w:r>
      <w:r w:rsidR="004B1E88">
        <w:rPr>
          <w:sz w:val="22"/>
          <w:szCs w:val="22"/>
        </w:rPr>
        <w:t xml:space="preserve">DDF’s </w:t>
      </w:r>
      <w:r w:rsidR="003D6F3D">
        <w:rPr>
          <w:sz w:val="22"/>
          <w:szCs w:val="22"/>
        </w:rPr>
        <w:t>operation</w:t>
      </w:r>
      <w:r w:rsidR="004B1E88">
        <w:rPr>
          <w:sz w:val="22"/>
          <w:szCs w:val="22"/>
        </w:rPr>
        <w:t>.</w:t>
      </w:r>
      <w:r w:rsidR="004F1114" w:rsidRPr="000F579A">
        <w:rPr>
          <w:rStyle w:val="FootnoteReference"/>
          <w:sz w:val="22"/>
          <w:szCs w:val="22"/>
        </w:rPr>
        <w:footnoteReference w:id="24"/>
      </w:r>
      <w:r w:rsidR="004F1114">
        <w:rPr>
          <w:sz w:val="22"/>
          <w:szCs w:val="22"/>
        </w:rPr>
        <w:t xml:space="preserve"> </w:t>
      </w:r>
      <w:r w:rsidR="0093384D">
        <w:rPr>
          <w:sz w:val="22"/>
          <w:szCs w:val="22"/>
        </w:rPr>
        <w:t xml:space="preserve"> </w:t>
      </w:r>
      <w:r w:rsidR="00426DF0">
        <w:rPr>
          <w:sz w:val="22"/>
          <w:szCs w:val="22"/>
        </w:rPr>
        <w:t>USDLA</w:t>
      </w:r>
      <w:r w:rsidR="00C521F9" w:rsidRPr="0093345D">
        <w:rPr>
          <w:sz w:val="22"/>
          <w:szCs w:val="22"/>
        </w:rPr>
        <w:t xml:space="preserve"> also reaped benefits from this arrangement because it retained for itself as a service fee 10</w:t>
      </w:r>
      <w:r w:rsidR="00AA7C6D">
        <w:rPr>
          <w:sz w:val="22"/>
          <w:szCs w:val="22"/>
        </w:rPr>
        <w:t xml:space="preserve"> percent</w:t>
      </w:r>
      <w:r w:rsidR="00C521F9" w:rsidRPr="0093345D">
        <w:rPr>
          <w:sz w:val="22"/>
          <w:szCs w:val="22"/>
        </w:rPr>
        <w:t xml:space="preserve"> to 20</w:t>
      </w:r>
      <w:r w:rsidR="00AA7C6D">
        <w:rPr>
          <w:sz w:val="22"/>
          <w:szCs w:val="22"/>
        </w:rPr>
        <w:t xml:space="preserve"> percent</w:t>
      </w:r>
      <w:r w:rsidR="00C521F9" w:rsidRPr="0093345D">
        <w:rPr>
          <w:sz w:val="22"/>
          <w:szCs w:val="22"/>
        </w:rPr>
        <w:t xml:space="preserve"> of the grant am</w:t>
      </w:r>
      <w:r w:rsidR="0070671E">
        <w:rPr>
          <w:sz w:val="22"/>
          <w:szCs w:val="22"/>
        </w:rPr>
        <w:t xml:space="preserve">ount issued to </w:t>
      </w:r>
      <w:r w:rsidR="009524BD">
        <w:rPr>
          <w:sz w:val="22"/>
          <w:szCs w:val="22"/>
        </w:rPr>
        <w:t xml:space="preserve">schools that used </w:t>
      </w:r>
      <w:r w:rsidR="0070671E">
        <w:rPr>
          <w:sz w:val="22"/>
          <w:szCs w:val="22"/>
        </w:rPr>
        <w:t>Achieve</w:t>
      </w:r>
      <w:r w:rsidR="009524BD">
        <w:rPr>
          <w:sz w:val="22"/>
          <w:szCs w:val="22"/>
        </w:rPr>
        <w:t xml:space="preserve"> as their service provider</w:t>
      </w:r>
      <w:r w:rsidR="0070671E">
        <w:rPr>
          <w:sz w:val="22"/>
          <w:szCs w:val="22"/>
        </w:rPr>
        <w:t>.</w:t>
      </w:r>
      <w:r w:rsidR="004F1114">
        <w:rPr>
          <w:rStyle w:val="FootnoteReference"/>
          <w:sz w:val="22"/>
          <w:szCs w:val="22"/>
        </w:rPr>
        <w:footnoteReference w:id="25"/>
      </w:r>
    </w:p>
    <w:p w:rsidR="006A3FFF" w:rsidRPr="008B7CF7" w:rsidRDefault="006A3FFF" w:rsidP="006A3FFF">
      <w:pPr>
        <w:pStyle w:val="ListParagraph"/>
        <w:rPr>
          <w:b/>
          <w:color w:val="000000"/>
          <w:sz w:val="22"/>
        </w:rPr>
      </w:pPr>
    </w:p>
    <w:p w:rsidR="00305EE6" w:rsidRPr="0093345D" w:rsidRDefault="00592CA6" w:rsidP="00D10C51">
      <w:pPr>
        <w:pStyle w:val="par1"/>
        <w:tabs>
          <w:tab w:val="num" w:pos="1440"/>
        </w:tabs>
        <w:ind w:left="0"/>
        <w:rPr>
          <w:sz w:val="22"/>
          <w:szCs w:val="22"/>
        </w:rPr>
      </w:pPr>
      <w:r w:rsidRPr="00D10C51">
        <w:rPr>
          <w:rFonts w:eastAsia="Calibri"/>
          <w:color w:val="000000"/>
          <w:sz w:val="22"/>
          <w:szCs w:val="22"/>
        </w:rPr>
        <w:t xml:space="preserve">The record demonstrates that </w:t>
      </w:r>
      <w:r w:rsidR="002E736F" w:rsidRPr="00D10C51">
        <w:rPr>
          <w:rFonts w:eastAsia="Calibri"/>
          <w:color w:val="000000"/>
          <w:sz w:val="22"/>
          <w:szCs w:val="22"/>
        </w:rPr>
        <w:t xml:space="preserve">Achieve </w:t>
      </w:r>
      <w:r w:rsidR="00852D10">
        <w:rPr>
          <w:rFonts w:eastAsia="Calibri"/>
          <w:color w:val="000000"/>
          <w:sz w:val="22"/>
          <w:szCs w:val="22"/>
        </w:rPr>
        <w:t xml:space="preserve">attempted to conceal from USAC and the FCC </w:t>
      </w:r>
      <w:r w:rsidR="002E736F" w:rsidRPr="00D10C51">
        <w:rPr>
          <w:rFonts w:eastAsia="Calibri"/>
          <w:color w:val="000000"/>
          <w:sz w:val="22"/>
          <w:szCs w:val="22"/>
        </w:rPr>
        <w:t>its involvement with the Schools’ co-payments</w:t>
      </w:r>
      <w:r w:rsidR="0093384D" w:rsidRPr="00D10C51">
        <w:rPr>
          <w:rFonts w:eastAsia="Calibri"/>
          <w:color w:val="000000"/>
          <w:sz w:val="22"/>
          <w:szCs w:val="22"/>
        </w:rPr>
        <w:t>.</w:t>
      </w:r>
      <w:r w:rsidR="00F115CF" w:rsidRPr="00D10C51">
        <w:rPr>
          <w:rFonts w:eastAsia="Calibri"/>
          <w:color w:val="000000"/>
          <w:sz w:val="22"/>
          <w:szCs w:val="22"/>
        </w:rPr>
        <w:t xml:space="preserve">  </w:t>
      </w:r>
      <w:r w:rsidR="002E736F" w:rsidRPr="00D10C51">
        <w:rPr>
          <w:rFonts w:eastAsia="Calibri"/>
          <w:color w:val="000000"/>
          <w:sz w:val="22"/>
          <w:szCs w:val="22"/>
        </w:rPr>
        <w:t>First, r</w:t>
      </w:r>
      <w:r w:rsidR="00905049" w:rsidRPr="00D10C51">
        <w:rPr>
          <w:rFonts w:eastAsia="Calibri"/>
          <w:color w:val="000000"/>
          <w:sz w:val="22"/>
          <w:szCs w:val="22"/>
        </w:rPr>
        <w:t>ather than providing t</w:t>
      </w:r>
      <w:r w:rsidR="00655C3A" w:rsidRPr="00D10C51">
        <w:rPr>
          <w:rFonts w:eastAsia="Calibri"/>
          <w:color w:val="000000"/>
          <w:sz w:val="22"/>
          <w:szCs w:val="22"/>
        </w:rPr>
        <w:t>he co-payments directly to the S</w:t>
      </w:r>
      <w:r w:rsidR="00905049" w:rsidRPr="00D10C51">
        <w:rPr>
          <w:rFonts w:eastAsia="Calibri"/>
          <w:color w:val="000000"/>
          <w:sz w:val="22"/>
          <w:szCs w:val="22"/>
        </w:rPr>
        <w:t>chools, Achieve</w:t>
      </w:r>
      <w:r w:rsidR="00655C3A" w:rsidRPr="00D10C51">
        <w:rPr>
          <w:rFonts w:eastAsia="Calibri"/>
          <w:color w:val="000000"/>
          <w:sz w:val="22"/>
          <w:szCs w:val="22"/>
        </w:rPr>
        <w:t xml:space="preserve"> </w:t>
      </w:r>
      <w:r w:rsidR="00905049" w:rsidRPr="00D10C51">
        <w:rPr>
          <w:rFonts w:eastAsia="Calibri"/>
          <w:color w:val="000000"/>
          <w:sz w:val="22"/>
          <w:szCs w:val="22"/>
        </w:rPr>
        <w:t xml:space="preserve">created </w:t>
      </w:r>
      <w:r w:rsidR="000F579A">
        <w:rPr>
          <w:rFonts w:eastAsia="Calibri"/>
          <w:color w:val="000000"/>
          <w:sz w:val="22"/>
          <w:szCs w:val="22"/>
        </w:rPr>
        <w:t>the F</w:t>
      </w:r>
      <w:r w:rsidR="00905049" w:rsidRPr="00D10C51">
        <w:rPr>
          <w:rFonts w:eastAsia="Calibri"/>
          <w:color w:val="000000"/>
          <w:sz w:val="22"/>
          <w:szCs w:val="22"/>
        </w:rPr>
        <w:t>oundation</w:t>
      </w:r>
      <w:r w:rsidR="00655C3A" w:rsidRPr="00D10C51">
        <w:rPr>
          <w:rFonts w:eastAsia="Calibri"/>
          <w:color w:val="000000"/>
          <w:sz w:val="22"/>
          <w:szCs w:val="22"/>
        </w:rPr>
        <w:t>,</w:t>
      </w:r>
      <w:r w:rsidR="00905049" w:rsidRPr="00D10C51">
        <w:rPr>
          <w:rFonts w:eastAsia="Calibri"/>
          <w:color w:val="000000"/>
          <w:sz w:val="22"/>
          <w:szCs w:val="22"/>
        </w:rPr>
        <w:t xml:space="preserve"> </w:t>
      </w:r>
      <w:r w:rsidR="00655C3A" w:rsidRPr="00D10C51">
        <w:rPr>
          <w:rFonts w:eastAsia="Calibri"/>
          <w:color w:val="000000"/>
          <w:sz w:val="22"/>
          <w:szCs w:val="22"/>
        </w:rPr>
        <w:t xml:space="preserve">which was controlled by </w:t>
      </w:r>
      <w:r w:rsidR="00BC1C90" w:rsidRPr="00D10C51">
        <w:rPr>
          <w:rFonts w:eastAsia="Calibri"/>
          <w:color w:val="000000"/>
          <w:sz w:val="22"/>
          <w:szCs w:val="22"/>
        </w:rPr>
        <w:t>Victor Gatto, an Achieve employee</w:t>
      </w:r>
      <w:r w:rsidR="00655C3A" w:rsidRPr="00D10C51">
        <w:rPr>
          <w:rFonts w:eastAsia="Calibri"/>
          <w:color w:val="000000"/>
          <w:sz w:val="22"/>
          <w:szCs w:val="22"/>
        </w:rPr>
        <w:t>.</w:t>
      </w:r>
      <w:r w:rsidR="002E736F">
        <w:rPr>
          <w:rStyle w:val="FootnoteReference"/>
          <w:rFonts w:eastAsia="Calibri"/>
          <w:color w:val="000000"/>
          <w:sz w:val="22"/>
          <w:szCs w:val="22"/>
        </w:rPr>
        <w:footnoteReference w:id="26"/>
      </w:r>
      <w:r w:rsidR="00905049" w:rsidRPr="00D10C51">
        <w:rPr>
          <w:rFonts w:eastAsia="Calibri"/>
          <w:color w:val="000000"/>
          <w:sz w:val="22"/>
          <w:szCs w:val="22"/>
        </w:rPr>
        <w:t xml:space="preserve"> </w:t>
      </w:r>
      <w:r w:rsidR="00655C3A" w:rsidRPr="00D10C51">
        <w:rPr>
          <w:rFonts w:eastAsia="Calibri"/>
          <w:color w:val="000000"/>
          <w:sz w:val="22"/>
          <w:szCs w:val="22"/>
        </w:rPr>
        <w:t xml:space="preserve"> </w:t>
      </w:r>
      <w:r w:rsidR="002E736F" w:rsidRPr="00D10C51">
        <w:rPr>
          <w:color w:val="000000"/>
          <w:sz w:val="22"/>
          <w:szCs w:val="22"/>
        </w:rPr>
        <w:t>The evidence shows that funding for the Foundation came from two sources:  Achieve itself</w:t>
      </w:r>
      <w:r w:rsidR="002E736F">
        <w:rPr>
          <w:rStyle w:val="FootnoteReference"/>
          <w:color w:val="000000"/>
          <w:sz w:val="22"/>
          <w:szCs w:val="22"/>
        </w:rPr>
        <w:footnoteReference w:id="27"/>
      </w:r>
      <w:r w:rsidR="002E736F" w:rsidRPr="00D10C51">
        <w:rPr>
          <w:color w:val="000000"/>
          <w:sz w:val="22"/>
          <w:szCs w:val="22"/>
        </w:rPr>
        <w:t xml:space="preserve"> and one of Achieve’s business partners, Roberts Communications Network (RCN).</w:t>
      </w:r>
      <w:r w:rsidR="002E736F">
        <w:rPr>
          <w:rStyle w:val="FootnoteReference"/>
          <w:color w:val="000000"/>
          <w:sz w:val="22"/>
          <w:szCs w:val="22"/>
        </w:rPr>
        <w:footnoteReference w:id="28"/>
      </w:r>
      <w:r w:rsidR="002E736F" w:rsidRPr="00D10C51">
        <w:rPr>
          <w:color w:val="000000"/>
          <w:sz w:val="22"/>
          <w:szCs w:val="22"/>
        </w:rPr>
        <w:t xml:space="preserve"> </w:t>
      </w:r>
      <w:r w:rsidR="00005A46" w:rsidRPr="00D10C51">
        <w:rPr>
          <w:color w:val="000000"/>
          <w:sz w:val="22"/>
          <w:szCs w:val="22"/>
        </w:rPr>
        <w:t xml:space="preserve"> </w:t>
      </w:r>
      <w:r w:rsidR="00BC1C90" w:rsidRPr="00D10C51">
        <w:rPr>
          <w:color w:val="000000"/>
          <w:sz w:val="22"/>
          <w:szCs w:val="22"/>
        </w:rPr>
        <w:t xml:space="preserve">Ultimately, </w:t>
      </w:r>
      <w:r w:rsidR="003710DB" w:rsidRPr="00D10C51">
        <w:rPr>
          <w:color w:val="000000"/>
          <w:sz w:val="22"/>
          <w:szCs w:val="22"/>
        </w:rPr>
        <w:t xml:space="preserve">the Foundation </w:t>
      </w:r>
      <w:r w:rsidR="00BC1C90" w:rsidRPr="00D10C51">
        <w:rPr>
          <w:color w:val="000000"/>
          <w:sz w:val="22"/>
          <w:szCs w:val="22"/>
        </w:rPr>
        <w:t>transferred</w:t>
      </w:r>
      <w:r w:rsidR="003710DB" w:rsidRPr="00D10C51">
        <w:rPr>
          <w:color w:val="000000"/>
          <w:sz w:val="22"/>
          <w:szCs w:val="22"/>
        </w:rPr>
        <w:t xml:space="preserve"> more than $400,000 to </w:t>
      </w:r>
      <w:r w:rsidR="00426DF0">
        <w:rPr>
          <w:color w:val="000000"/>
          <w:sz w:val="22"/>
          <w:szCs w:val="22"/>
        </w:rPr>
        <w:t>USDLA</w:t>
      </w:r>
      <w:r w:rsidR="00D51380">
        <w:rPr>
          <w:color w:val="000000"/>
          <w:sz w:val="22"/>
          <w:szCs w:val="22"/>
        </w:rPr>
        <w:t xml:space="preserve"> for the </w:t>
      </w:r>
      <w:r w:rsidR="007E37C9" w:rsidRPr="00D10C51">
        <w:rPr>
          <w:color w:val="000000"/>
          <w:sz w:val="22"/>
          <w:szCs w:val="22"/>
        </w:rPr>
        <w:t>DD</w:t>
      </w:r>
      <w:r w:rsidR="00FF1437">
        <w:rPr>
          <w:color w:val="000000"/>
          <w:sz w:val="22"/>
          <w:szCs w:val="22"/>
        </w:rPr>
        <w:t>F</w:t>
      </w:r>
      <w:r w:rsidR="004B1E88">
        <w:rPr>
          <w:color w:val="000000"/>
          <w:sz w:val="22"/>
          <w:szCs w:val="22"/>
        </w:rPr>
        <w:t>.</w:t>
      </w:r>
      <w:r w:rsidR="00491610">
        <w:rPr>
          <w:rStyle w:val="FootnoteReference"/>
          <w:color w:val="000000"/>
          <w:sz w:val="22"/>
          <w:szCs w:val="22"/>
        </w:rPr>
        <w:footnoteReference w:id="29"/>
      </w:r>
      <w:r w:rsidR="00491610" w:rsidRPr="00D10C51">
        <w:rPr>
          <w:color w:val="000000"/>
          <w:sz w:val="22"/>
          <w:szCs w:val="22"/>
        </w:rPr>
        <w:t xml:space="preserve"> </w:t>
      </w:r>
      <w:r w:rsidR="009E6377" w:rsidRPr="00D10C51">
        <w:rPr>
          <w:color w:val="000000"/>
          <w:sz w:val="22"/>
          <w:szCs w:val="22"/>
        </w:rPr>
        <w:t xml:space="preserve"> The only other major source of funding for the DDF program was Vincent Barletta (Barletta),</w:t>
      </w:r>
      <w:r w:rsidR="009E6377">
        <w:rPr>
          <w:rStyle w:val="FootnoteReference"/>
          <w:color w:val="000000"/>
          <w:sz w:val="22"/>
          <w:szCs w:val="22"/>
        </w:rPr>
        <w:footnoteReference w:id="30"/>
      </w:r>
      <w:r w:rsidR="009E6377" w:rsidRPr="00D10C51">
        <w:rPr>
          <w:color w:val="000000"/>
          <w:sz w:val="22"/>
          <w:szCs w:val="22"/>
        </w:rPr>
        <w:t xml:space="preserve"> who also had close ties to Achieve.</w:t>
      </w:r>
      <w:r w:rsidR="009E6377">
        <w:rPr>
          <w:rStyle w:val="FootnoteReference"/>
          <w:color w:val="000000"/>
          <w:sz w:val="22"/>
          <w:szCs w:val="22"/>
        </w:rPr>
        <w:footnoteReference w:id="31"/>
      </w:r>
      <w:r w:rsidR="009E6377" w:rsidRPr="00D10C51">
        <w:rPr>
          <w:color w:val="000000"/>
          <w:sz w:val="22"/>
          <w:szCs w:val="22"/>
        </w:rPr>
        <w:t xml:space="preserve">  </w:t>
      </w:r>
      <w:r w:rsidR="00A610CB" w:rsidRPr="00D10C51">
        <w:rPr>
          <w:color w:val="000000"/>
          <w:sz w:val="22"/>
          <w:szCs w:val="22"/>
        </w:rPr>
        <w:t>S</w:t>
      </w:r>
      <w:r w:rsidR="003710DB" w:rsidRPr="00D10C51">
        <w:rPr>
          <w:color w:val="000000"/>
          <w:sz w:val="22"/>
          <w:szCs w:val="22"/>
        </w:rPr>
        <w:t>ubpoenaed b</w:t>
      </w:r>
      <w:r w:rsidR="002E736F" w:rsidRPr="00D10C51">
        <w:rPr>
          <w:color w:val="000000"/>
          <w:sz w:val="22"/>
          <w:szCs w:val="22"/>
        </w:rPr>
        <w:t>ank records show that</w:t>
      </w:r>
      <w:r w:rsidR="00C91AEF" w:rsidRPr="00D10C51">
        <w:rPr>
          <w:color w:val="000000"/>
          <w:sz w:val="22"/>
          <w:szCs w:val="22"/>
        </w:rPr>
        <w:t>,</w:t>
      </w:r>
      <w:r w:rsidR="002E736F" w:rsidRPr="00D10C51">
        <w:rPr>
          <w:color w:val="000000"/>
          <w:sz w:val="22"/>
          <w:szCs w:val="22"/>
        </w:rPr>
        <w:t xml:space="preserve"> after A</w:t>
      </w:r>
      <w:r w:rsidR="00D10C51">
        <w:rPr>
          <w:color w:val="000000"/>
          <w:sz w:val="22"/>
          <w:szCs w:val="22"/>
        </w:rPr>
        <w:t>chieve and its business partner, RCN,</w:t>
      </w:r>
      <w:r w:rsidR="002E736F" w:rsidRPr="00D10C51">
        <w:rPr>
          <w:color w:val="000000"/>
          <w:sz w:val="22"/>
          <w:szCs w:val="22"/>
        </w:rPr>
        <w:t xml:space="preserve"> deposited or wired funds into the Foundation’s bank account, the Foundation would send those funds to USDLA for deposit into </w:t>
      </w:r>
      <w:r w:rsidR="003710DB" w:rsidRPr="00D10C51">
        <w:rPr>
          <w:color w:val="000000"/>
          <w:sz w:val="22"/>
          <w:szCs w:val="22"/>
        </w:rPr>
        <w:t xml:space="preserve">its </w:t>
      </w:r>
      <w:r w:rsidR="002E736F" w:rsidRPr="00D10C51">
        <w:rPr>
          <w:color w:val="000000"/>
          <w:sz w:val="22"/>
          <w:szCs w:val="22"/>
        </w:rPr>
        <w:t>DDF</w:t>
      </w:r>
      <w:r w:rsidR="007E37C9" w:rsidRPr="00D10C51">
        <w:rPr>
          <w:color w:val="000000"/>
          <w:sz w:val="22"/>
          <w:szCs w:val="22"/>
        </w:rPr>
        <w:t xml:space="preserve"> fund</w:t>
      </w:r>
      <w:r w:rsidR="002E736F" w:rsidRPr="00D10C51">
        <w:rPr>
          <w:color w:val="000000"/>
          <w:sz w:val="22"/>
          <w:szCs w:val="22"/>
        </w:rPr>
        <w:t>.</w:t>
      </w:r>
      <w:r w:rsidR="002E736F">
        <w:rPr>
          <w:rStyle w:val="FootnoteReference"/>
          <w:color w:val="000000"/>
          <w:sz w:val="22"/>
          <w:szCs w:val="22"/>
        </w:rPr>
        <w:footnoteReference w:id="32"/>
      </w:r>
      <w:r w:rsidR="00491610" w:rsidRPr="00D10C51">
        <w:rPr>
          <w:color w:val="000000"/>
          <w:sz w:val="22"/>
          <w:szCs w:val="22"/>
        </w:rPr>
        <w:t xml:space="preserve">  USDLA </w:t>
      </w:r>
      <w:r w:rsidR="002E736F" w:rsidRPr="00D10C51">
        <w:rPr>
          <w:color w:val="000000"/>
          <w:sz w:val="22"/>
          <w:szCs w:val="22"/>
        </w:rPr>
        <w:t>then use</w:t>
      </w:r>
      <w:r w:rsidR="007E37C9" w:rsidRPr="00D10C51">
        <w:rPr>
          <w:color w:val="000000"/>
          <w:sz w:val="22"/>
          <w:szCs w:val="22"/>
        </w:rPr>
        <w:t>d</w:t>
      </w:r>
      <w:r w:rsidR="002E736F" w:rsidRPr="00D10C51">
        <w:rPr>
          <w:color w:val="000000"/>
          <w:sz w:val="22"/>
          <w:szCs w:val="22"/>
        </w:rPr>
        <w:t xml:space="preserve"> </w:t>
      </w:r>
      <w:r w:rsidR="00FE14F4" w:rsidRPr="00D10C51">
        <w:rPr>
          <w:color w:val="000000"/>
          <w:sz w:val="22"/>
          <w:szCs w:val="22"/>
        </w:rPr>
        <w:t>the</w:t>
      </w:r>
      <w:r w:rsidR="00685C6D" w:rsidRPr="00D10C51">
        <w:rPr>
          <w:color w:val="000000"/>
          <w:sz w:val="22"/>
          <w:szCs w:val="22"/>
        </w:rPr>
        <w:t xml:space="preserve"> DDF fund </w:t>
      </w:r>
      <w:r w:rsidR="002E736F" w:rsidRPr="00D10C51">
        <w:rPr>
          <w:color w:val="000000"/>
          <w:sz w:val="22"/>
          <w:szCs w:val="22"/>
        </w:rPr>
        <w:t>to provide grants to the Schools to cover the Schools’ non-discount share.</w:t>
      </w:r>
      <w:r w:rsidR="002E736F">
        <w:rPr>
          <w:rStyle w:val="FootnoteReference"/>
          <w:color w:val="000000"/>
          <w:sz w:val="22"/>
          <w:szCs w:val="22"/>
        </w:rPr>
        <w:footnoteReference w:id="33"/>
      </w:r>
      <w:r w:rsidR="002E736F" w:rsidRPr="00D10C51">
        <w:rPr>
          <w:color w:val="000000"/>
          <w:sz w:val="22"/>
          <w:szCs w:val="22"/>
        </w:rPr>
        <w:t xml:space="preserve">  </w:t>
      </w:r>
      <w:r w:rsidR="00FE14F4" w:rsidRPr="00D10C51">
        <w:rPr>
          <w:color w:val="000000"/>
          <w:sz w:val="22"/>
          <w:szCs w:val="22"/>
        </w:rPr>
        <w:t>Notably, USDLA provided grants to only those applicants that were Achieve’s clients.</w:t>
      </w:r>
      <w:r w:rsidR="00FE14F4">
        <w:rPr>
          <w:rStyle w:val="FootnoteReference"/>
          <w:color w:val="000000"/>
          <w:sz w:val="22"/>
          <w:szCs w:val="22"/>
        </w:rPr>
        <w:footnoteReference w:id="34"/>
      </w:r>
    </w:p>
    <w:p w:rsidR="00D16DCF" w:rsidRPr="005B5644" w:rsidRDefault="00D16DCF" w:rsidP="00D16DCF">
      <w:pPr>
        <w:pStyle w:val="par1"/>
        <w:numPr>
          <w:ilvl w:val="0"/>
          <w:numId w:val="0"/>
        </w:numPr>
        <w:ind w:left="720"/>
        <w:rPr>
          <w:b/>
          <w:color w:val="000000"/>
          <w:sz w:val="22"/>
          <w:szCs w:val="22"/>
        </w:rPr>
      </w:pPr>
    </w:p>
    <w:p w:rsidR="00D16DCF" w:rsidRPr="00D10C51" w:rsidRDefault="00D16DCF" w:rsidP="00D16DCF">
      <w:pPr>
        <w:pStyle w:val="par1"/>
        <w:tabs>
          <w:tab w:val="num" w:pos="1440"/>
        </w:tabs>
        <w:ind w:left="0"/>
        <w:rPr>
          <w:sz w:val="22"/>
          <w:szCs w:val="22"/>
        </w:rPr>
      </w:pPr>
      <w:r>
        <w:rPr>
          <w:sz w:val="22"/>
          <w:szCs w:val="22"/>
        </w:rPr>
        <w:t xml:space="preserve">Consistent with Achieve’s role in funding </w:t>
      </w:r>
      <w:r w:rsidR="0093345D">
        <w:rPr>
          <w:sz w:val="22"/>
          <w:szCs w:val="22"/>
        </w:rPr>
        <w:t xml:space="preserve">and overseeing </w:t>
      </w:r>
      <w:r>
        <w:rPr>
          <w:sz w:val="22"/>
          <w:szCs w:val="22"/>
        </w:rPr>
        <w:t xml:space="preserve">the DDF program, subpoenaed documents show that </w:t>
      </w:r>
      <w:r w:rsidR="00D51380">
        <w:rPr>
          <w:sz w:val="22"/>
          <w:szCs w:val="22"/>
        </w:rPr>
        <w:t xml:space="preserve">Achieve’s President, </w:t>
      </w:r>
      <w:r w:rsidRPr="00F02DF9">
        <w:rPr>
          <w:sz w:val="22"/>
          <w:szCs w:val="22"/>
        </w:rPr>
        <w:t xml:space="preserve">Ms. </w:t>
      </w:r>
      <w:r w:rsidR="00D51380">
        <w:rPr>
          <w:sz w:val="22"/>
          <w:szCs w:val="22"/>
        </w:rPr>
        <w:t xml:space="preserve">Joy </w:t>
      </w:r>
      <w:r w:rsidRPr="00F02DF9">
        <w:rPr>
          <w:sz w:val="22"/>
          <w:szCs w:val="22"/>
        </w:rPr>
        <w:t>Jackson</w:t>
      </w:r>
      <w:r w:rsidR="00D51380">
        <w:rPr>
          <w:sz w:val="22"/>
          <w:szCs w:val="22"/>
        </w:rPr>
        <w:t>,</w:t>
      </w:r>
      <w:r w:rsidRPr="00F02DF9">
        <w:rPr>
          <w:sz w:val="22"/>
          <w:szCs w:val="22"/>
        </w:rPr>
        <w:t xml:space="preserve"> </w:t>
      </w:r>
      <w:r>
        <w:rPr>
          <w:sz w:val="22"/>
          <w:szCs w:val="22"/>
        </w:rPr>
        <w:t xml:space="preserve">routinely </w:t>
      </w:r>
      <w:r w:rsidRPr="00F02DF9">
        <w:rPr>
          <w:sz w:val="22"/>
          <w:szCs w:val="22"/>
        </w:rPr>
        <w:t>notified USDLA when to expect donations for the DDF.</w:t>
      </w:r>
      <w:r>
        <w:rPr>
          <w:rStyle w:val="FootnoteReference"/>
          <w:sz w:val="22"/>
          <w:szCs w:val="22"/>
        </w:rPr>
        <w:footnoteReference w:id="35"/>
      </w:r>
      <w:r w:rsidRPr="00F02DF9">
        <w:rPr>
          <w:sz w:val="22"/>
          <w:szCs w:val="22"/>
        </w:rPr>
        <w:t xml:space="preserve">  Ms. Jackson was privy to this information becau</w:t>
      </w:r>
      <w:r>
        <w:rPr>
          <w:sz w:val="22"/>
          <w:szCs w:val="22"/>
        </w:rPr>
        <w:t>se Achieve, its</w:t>
      </w:r>
      <w:r w:rsidRPr="00F02DF9">
        <w:rPr>
          <w:sz w:val="22"/>
          <w:szCs w:val="22"/>
        </w:rPr>
        <w:t xml:space="preserve"> business</w:t>
      </w:r>
      <w:r>
        <w:rPr>
          <w:sz w:val="22"/>
          <w:szCs w:val="22"/>
        </w:rPr>
        <w:t xml:space="preserve"> partner RCN, and Barletta</w:t>
      </w:r>
      <w:r w:rsidRPr="00F02DF9">
        <w:rPr>
          <w:sz w:val="22"/>
          <w:szCs w:val="22"/>
        </w:rPr>
        <w:t xml:space="preserve"> were the DDF’s main </w:t>
      </w:r>
      <w:r>
        <w:rPr>
          <w:sz w:val="22"/>
          <w:szCs w:val="22"/>
        </w:rPr>
        <w:t xml:space="preserve">funding </w:t>
      </w:r>
      <w:r w:rsidRPr="00F02DF9">
        <w:rPr>
          <w:sz w:val="22"/>
          <w:szCs w:val="22"/>
        </w:rPr>
        <w:t>sources</w:t>
      </w:r>
      <w:r w:rsidR="00D51380">
        <w:rPr>
          <w:sz w:val="22"/>
          <w:szCs w:val="22"/>
        </w:rPr>
        <w:t>.</w:t>
      </w:r>
      <w:r>
        <w:rPr>
          <w:rStyle w:val="FootnoteReference"/>
          <w:sz w:val="22"/>
          <w:szCs w:val="22"/>
        </w:rPr>
        <w:footnoteReference w:id="36"/>
      </w:r>
      <w:r w:rsidRPr="00F02DF9">
        <w:rPr>
          <w:rFonts w:eastAsia="Calibri"/>
          <w:sz w:val="22"/>
          <w:szCs w:val="22"/>
        </w:rPr>
        <w:t xml:space="preserve"> </w:t>
      </w:r>
      <w:r w:rsidR="00D51380">
        <w:rPr>
          <w:rFonts w:eastAsia="Calibri"/>
          <w:sz w:val="22"/>
          <w:szCs w:val="22"/>
        </w:rPr>
        <w:t xml:space="preserve"> </w:t>
      </w:r>
      <w:r>
        <w:rPr>
          <w:sz w:val="22"/>
          <w:szCs w:val="22"/>
        </w:rPr>
        <w:t xml:space="preserve">In </w:t>
      </w:r>
      <w:r w:rsidRPr="00F02DF9">
        <w:rPr>
          <w:sz w:val="22"/>
          <w:szCs w:val="22"/>
        </w:rPr>
        <w:t>March 2007</w:t>
      </w:r>
      <w:r>
        <w:rPr>
          <w:sz w:val="22"/>
          <w:szCs w:val="22"/>
        </w:rPr>
        <w:t xml:space="preserve">, for example, </w:t>
      </w:r>
      <w:r w:rsidRPr="00F02DF9">
        <w:rPr>
          <w:sz w:val="22"/>
          <w:szCs w:val="22"/>
        </w:rPr>
        <w:t>Ms. Jackson advised USDLA to expect an “anonymous” donation for $175,000.</w:t>
      </w:r>
      <w:r>
        <w:rPr>
          <w:rStyle w:val="FootnoteReference"/>
          <w:sz w:val="22"/>
          <w:szCs w:val="22"/>
        </w:rPr>
        <w:footnoteReference w:id="37"/>
      </w:r>
      <w:r w:rsidRPr="00F02DF9">
        <w:rPr>
          <w:sz w:val="22"/>
          <w:szCs w:val="22"/>
        </w:rPr>
        <w:t xml:space="preserve">  Bank records show that this so-called</w:t>
      </w:r>
      <w:r w:rsidRPr="00F02DF9">
        <w:rPr>
          <w:rFonts w:eastAsia="Calibri"/>
          <w:sz w:val="22"/>
          <w:szCs w:val="22"/>
        </w:rPr>
        <w:t xml:space="preserve"> </w:t>
      </w:r>
      <w:r w:rsidRPr="00F02DF9">
        <w:rPr>
          <w:sz w:val="22"/>
          <w:szCs w:val="22"/>
        </w:rPr>
        <w:t xml:space="preserve">anonymous donation was actually a transfer of funds to </w:t>
      </w:r>
      <w:r w:rsidR="00426DF0">
        <w:rPr>
          <w:sz w:val="22"/>
          <w:szCs w:val="22"/>
        </w:rPr>
        <w:t>USDLA</w:t>
      </w:r>
      <w:r w:rsidRPr="00F02DF9">
        <w:rPr>
          <w:sz w:val="22"/>
          <w:szCs w:val="22"/>
        </w:rPr>
        <w:t xml:space="preserve"> from the Foundation that Achieve and its principals controlled.</w:t>
      </w:r>
      <w:r>
        <w:rPr>
          <w:rStyle w:val="FootnoteReference"/>
          <w:sz w:val="22"/>
          <w:szCs w:val="22"/>
        </w:rPr>
        <w:footnoteReference w:id="38"/>
      </w:r>
      <w:r w:rsidRPr="00F02DF9">
        <w:rPr>
          <w:sz w:val="22"/>
          <w:szCs w:val="22"/>
        </w:rPr>
        <w:t xml:space="preserve">  </w:t>
      </w:r>
    </w:p>
    <w:p w:rsidR="009E6377" w:rsidRPr="00491610" w:rsidRDefault="009E6377" w:rsidP="009E6377">
      <w:pPr>
        <w:pStyle w:val="par1"/>
        <w:numPr>
          <w:ilvl w:val="0"/>
          <w:numId w:val="0"/>
        </w:numPr>
        <w:ind w:left="720"/>
        <w:rPr>
          <w:sz w:val="22"/>
          <w:szCs w:val="22"/>
        </w:rPr>
      </w:pPr>
    </w:p>
    <w:p w:rsidR="00A1312A" w:rsidRDefault="00852D10" w:rsidP="00A1312A">
      <w:pPr>
        <w:pStyle w:val="par1"/>
        <w:tabs>
          <w:tab w:val="num" w:pos="1440"/>
        </w:tabs>
        <w:ind w:left="0"/>
        <w:rPr>
          <w:b/>
          <w:color w:val="000000"/>
          <w:sz w:val="22"/>
          <w:szCs w:val="22"/>
        </w:rPr>
      </w:pPr>
      <w:r>
        <w:rPr>
          <w:color w:val="000000"/>
          <w:sz w:val="22"/>
          <w:szCs w:val="22"/>
        </w:rPr>
        <w:t xml:space="preserve">In responding to USAC inquiries about Achieve’s involvement with </w:t>
      </w:r>
      <w:r w:rsidR="00426DF0">
        <w:rPr>
          <w:color w:val="000000"/>
          <w:sz w:val="22"/>
          <w:szCs w:val="22"/>
        </w:rPr>
        <w:t>USDLA</w:t>
      </w:r>
      <w:r>
        <w:rPr>
          <w:color w:val="000000"/>
          <w:sz w:val="22"/>
          <w:szCs w:val="22"/>
        </w:rPr>
        <w:t xml:space="preserve"> grants, and in appealing USAC’s decision to the Commission, Ms. Jackson explained that Achieve</w:t>
      </w:r>
      <w:r w:rsidR="00951C5F">
        <w:rPr>
          <w:color w:val="000000"/>
          <w:sz w:val="22"/>
          <w:szCs w:val="22"/>
        </w:rPr>
        <w:t xml:space="preserve"> “</w:t>
      </w:r>
      <w:r w:rsidR="00BC7A21">
        <w:rPr>
          <w:sz w:val="22"/>
          <w:szCs w:val="22"/>
        </w:rPr>
        <w:t>has made applicants . . . aware of the possibility of receiving grants from USDLA and other organizations</w:t>
      </w:r>
      <w:r w:rsidR="00225DF4">
        <w:rPr>
          <w:sz w:val="22"/>
          <w:szCs w:val="22"/>
        </w:rPr>
        <w:t>…</w:t>
      </w:r>
      <w:r w:rsidR="00820252">
        <w:rPr>
          <w:sz w:val="22"/>
          <w:szCs w:val="22"/>
        </w:rPr>
        <w:t>”</w:t>
      </w:r>
      <w:r w:rsidR="00BC7A21">
        <w:rPr>
          <w:rStyle w:val="FootnoteReference"/>
          <w:sz w:val="22"/>
          <w:szCs w:val="22"/>
        </w:rPr>
        <w:footnoteReference w:id="39"/>
      </w:r>
      <w:r w:rsidR="00951C5F">
        <w:rPr>
          <w:sz w:val="22"/>
          <w:szCs w:val="22"/>
        </w:rPr>
        <w:t xml:space="preserve"> and </w:t>
      </w:r>
      <w:r w:rsidR="00951C5F">
        <w:rPr>
          <w:rFonts w:eastAsia="Calibri"/>
          <w:sz w:val="22"/>
          <w:szCs w:val="22"/>
        </w:rPr>
        <w:t>acknowledged understanding that such grants must be “independent of the service provider</w:t>
      </w:r>
      <w:r w:rsidR="00951C5F">
        <w:rPr>
          <w:rFonts w:eastAsia="Calibri"/>
          <w:color w:val="000000"/>
          <w:sz w:val="22"/>
          <w:szCs w:val="22"/>
        </w:rPr>
        <w:t>.”</w:t>
      </w:r>
      <w:r w:rsidR="00951C5F">
        <w:rPr>
          <w:rStyle w:val="FootnoteReference"/>
          <w:rFonts w:eastAsia="Calibri"/>
          <w:color w:val="000000"/>
          <w:sz w:val="22"/>
          <w:szCs w:val="22"/>
        </w:rPr>
        <w:footnoteReference w:id="40"/>
      </w:r>
      <w:r w:rsidR="00951C5F">
        <w:rPr>
          <w:rFonts w:eastAsia="Calibri"/>
          <w:color w:val="000000"/>
          <w:sz w:val="22"/>
          <w:szCs w:val="22"/>
        </w:rPr>
        <w:t xml:space="preserve">  Ms. Jackson also claimed that Achieve </w:t>
      </w:r>
      <w:r w:rsidR="00BC7A21">
        <w:rPr>
          <w:sz w:val="22"/>
          <w:szCs w:val="22"/>
        </w:rPr>
        <w:t>ha</w:t>
      </w:r>
      <w:r>
        <w:rPr>
          <w:sz w:val="22"/>
          <w:szCs w:val="22"/>
        </w:rPr>
        <w:t>d</w:t>
      </w:r>
      <w:r w:rsidR="00BC7A21">
        <w:rPr>
          <w:sz w:val="22"/>
          <w:szCs w:val="22"/>
        </w:rPr>
        <w:t xml:space="preserve"> not </w:t>
      </w:r>
      <w:r w:rsidR="006427C9">
        <w:rPr>
          <w:sz w:val="22"/>
          <w:szCs w:val="22"/>
        </w:rPr>
        <w:t>marketed its servic</w:t>
      </w:r>
      <w:r w:rsidR="00BC7A21">
        <w:rPr>
          <w:sz w:val="22"/>
          <w:szCs w:val="22"/>
        </w:rPr>
        <w:t>es as being free to the schools</w:t>
      </w:r>
      <w:r w:rsidR="00685C6D">
        <w:rPr>
          <w:sz w:val="22"/>
          <w:szCs w:val="22"/>
        </w:rPr>
        <w:t>,</w:t>
      </w:r>
      <w:r w:rsidR="006427C9">
        <w:rPr>
          <w:rStyle w:val="FootnoteReference"/>
          <w:sz w:val="22"/>
          <w:szCs w:val="22"/>
        </w:rPr>
        <w:footnoteReference w:id="41"/>
      </w:r>
      <w:r w:rsidR="00685C6D">
        <w:rPr>
          <w:rFonts w:eastAsia="Calibri"/>
          <w:color w:val="000000"/>
          <w:sz w:val="22"/>
          <w:szCs w:val="22"/>
        </w:rPr>
        <w:t xml:space="preserve"> and</w:t>
      </w:r>
      <w:r w:rsidR="002749D5" w:rsidRPr="00F02DF9">
        <w:rPr>
          <w:sz w:val="22"/>
          <w:szCs w:val="22"/>
        </w:rPr>
        <w:t xml:space="preserve"> repeatedly disclaim</w:t>
      </w:r>
      <w:r w:rsidR="00114CAE">
        <w:rPr>
          <w:sz w:val="22"/>
          <w:szCs w:val="22"/>
        </w:rPr>
        <w:t>ed</w:t>
      </w:r>
      <w:r w:rsidR="002749D5" w:rsidRPr="00F02DF9">
        <w:rPr>
          <w:sz w:val="22"/>
          <w:szCs w:val="22"/>
        </w:rPr>
        <w:t xml:space="preserve"> any fo</w:t>
      </w:r>
      <w:r w:rsidR="001A29DE" w:rsidRPr="00F02DF9">
        <w:rPr>
          <w:sz w:val="22"/>
          <w:szCs w:val="22"/>
        </w:rPr>
        <w:t xml:space="preserve">rm of partnership with USDLA </w:t>
      </w:r>
      <w:r w:rsidR="00114CAE">
        <w:rPr>
          <w:sz w:val="22"/>
          <w:szCs w:val="22"/>
        </w:rPr>
        <w:t xml:space="preserve">or influence </w:t>
      </w:r>
      <w:r w:rsidR="002749D5" w:rsidRPr="00F02DF9">
        <w:rPr>
          <w:sz w:val="22"/>
          <w:szCs w:val="22"/>
        </w:rPr>
        <w:t>over its DDF grants</w:t>
      </w:r>
      <w:r w:rsidR="009112F0">
        <w:rPr>
          <w:sz w:val="22"/>
          <w:szCs w:val="22"/>
        </w:rPr>
        <w:t>.</w:t>
      </w:r>
      <w:r w:rsidR="0085216C">
        <w:rPr>
          <w:rStyle w:val="FootnoteReference"/>
          <w:sz w:val="22"/>
          <w:szCs w:val="22"/>
        </w:rPr>
        <w:footnoteReference w:id="42"/>
      </w:r>
      <w:r w:rsidR="00A50B71">
        <w:rPr>
          <w:sz w:val="22"/>
          <w:szCs w:val="22"/>
        </w:rPr>
        <w:t xml:space="preserve"> </w:t>
      </w:r>
      <w:r w:rsidR="009112F0">
        <w:rPr>
          <w:sz w:val="22"/>
          <w:szCs w:val="22"/>
        </w:rPr>
        <w:t xml:space="preserve"> </w:t>
      </w:r>
      <w:r w:rsidR="001A29DE" w:rsidRPr="00F02DF9">
        <w:rPr>
          <w:sz w:val="22"/>
          <w:szCs w:val="22"/>
        </w:rPr>
        <w:t xml:space="preserve">In particular, </w:t>
      </w:r>
      <w:r w:rsidR="00A90C51" w:rsidRPr="00F02DF9">
        <w:rPr>
          <w:sz w:val="22"/>
          <w:szCs w:val="22"/>
        </w:rPr>
        <w:t>Ms. Jackson state</w:t>
      </w:r>
      <w:r w:rsidR="00114CAE">
        <w:rPr>
          <w:sz w:val="22"/>
          <w:szCs w:val="22"/>
        </w:rPr>
        <w:t>d</w:t>
      </w:r>
      <w:r w:rsidR="002749D5" w:rsidRPr="00F02DF9">
        <w:rPr>
          <w:sz w:val="22"/>
          <w:szCs w:val="22"/>
        </w:rPr>
        <w:t xml:space="preserve"> that “Achieve is not directly or indirectly funding the non-discount portion of any applicant;” “Achieve has not contributed to the fund </w:t>
      </w:r>
      <w:r w:rsidR="00280B30">
        <w:rPr>
          <w:sz w:val="22"/>
          <w:szCs w:val="22"/>
        </w:rPr>
        <w:t>[</w:t>
      </w:r>
      <w:r w:rsidR="002749D5" w:rsidRPr="00F02DF9">
        <w:rPr>
          <w:sz w:val="22"/>
          <w:szCs w:val="22"/>
        </w:rPr>
        <w:t>DDF</w:t>
      </w:r>
      <w:r w:rsidR="00280B30">
        <w:rPr>
          <w:sz w:val="22"/>
          <w:szCs w:val="22"/>
        </w:rPr>
        <w:t>]</w:t>
      </w:r>
      <w:r w:rsidR="002749D5" w:rsidRPr="00F02DF9">
        <w:rPr>
          <w:sz w:val="22"/>
          <w:szCs w:val="22"/>
        </w:rPr>
        <w:t>;” and “Achieve has made no donations to the DDF.”</w:t>
      </w:r>
      <w:r w:rsidR="002749D5">
        <w:rPr>
          <w:rStyle w:val="FootnoteReference"/>
          <w:sz w:val="22"/>
          <w:szCs w:val="22"/>
        </w:rPr>
        <w:footnoteReference w:id="43"/>
      </w:r>
      <w:r w:rsidR="003E362C" w:rsidRPr="00F02DF9">
        <w:rPr>
          <w:sz w:val="22"/>
          <w:szCs w:val="22"/>
        </w:rPr>
        <w:t xml:space="preserve">  </w:t>
      </w:r>
      <w:r w:rsidR="00F613DD">
        <w:rPr>
          <w:sz w:val="22"/>
          <w:szCs w:val="22"/>
        </w:rPr>
        <w:t>Having received the s</w:t>
      </w:r>
      <w:r>
        <w:rPr>
          <w:sz w:val="22"/>
          <w:szCs w:val="22"/>
        </w:rPr>
        <w:t>ubpoenaed documents, which demonstrate the depth of Achieve’s relationship with USDLA</w:t>
      </w:r>
      <w:r w:rsidR="00007C3D">
        <w:rPr>
          <w:sz w:val="22"/>
          <w:szCs w:val="22"/>
        </w:rPr>
        <w:t xml:space="preserve">, Ms. Jackson </w:t>
      </w:r>
      <w:r w:rsidR="00F613DD">
        <w:rPr>
          <w:sz w:val="22"/>
          <w:szCs w:val="22"/>
        </w:rPr>
        <w:t xml:space="preserve">has </w:t>
      </w:r>
      <w:r w:rsidR="00007C3D">
        <w:rPr>
          <w:sz w:val="22"/>
          <w:szCs w:val="22"/>
        </w:rPr>
        <w:t>now concede</w:t>
      </w:r>
      <w:r w:rsidR="00F613DD">
        <w:rPr>
          <w:sz w:val="22"/>
          <w:szCs w:val="22"/>
        </w:rPr>
        <w:t>d</w:t>
      </w:r>
      <w:r w:rsidR="00114CAE">
        <w:rPr>
          <w:sz w:val="22"/>
          <w:szCs w:val="22"/>
        </w:rPr>
        <w:t xml:space="preserve"> that “Achieve contributed to the Adams Foundation… [which</w:t>
      </w:r>
      <w:r w:rsidR="00C30135">
        <w:rPr>
          <w:sz w:val="22"/>
          <w:szCs w:val="22"/>
        </w:rPr>
        <w:t>, in turn,</w:t>
      </w:r>
      <w:r w:rsidR="00114CAE">
        <w:rPr>
          <w:sz w:val="22"/>
          <w:szCs w:val="22"/>
        </w:rPr>
        <w:t xml:space="preserve">] contributed to the Digital Divide Fund of the </w:t>
      </w:r>
      <w:r w:rsidR="00426DF0">
        <w:rPr>
          <w:sz w:val="22"/>
          <w:szCs w:val="22"/>
        </w:rPr>
        <w:t>USDLA</w:t>
      </w:r>
      <w:r w:rsidR="00114CAE">
        <w:rPr>
          <w:sz w:val="22"/>
          <w:szCs w:val="22"/>
        </w:rPr>
        <w:t>… [and] knew that third party contributions to the Digital Divide Fund solicited by Achieve were drawn on by USDLA to fund grants to E-rate applicants that had service contracts with Achieve.”</w:t>
      </w:r>
      <w:r w:rsidR="00114CAE">
        <w:rPr>
          <w:rStyle w:val="FootnoteReference"/>
          <w:sz w:val="22"/>
          <w:szCs w:val="22"/>
        </w:rPr>
        <w:footnoteReference w:id="44"/>
      </w:r>
    </w:p>
    <w:p w:rsidR="00A1312A" w:rsidRPr="00A1312A" w:rsidRDefault="00A1312A" w:rsidP="00A1312A">
      <w:pPr>
        <w:pStyle w:val="par1"/>
        <w:numPr>
          <w:ilvl w:val="0"/>
          <w:numId w:val="0"/>
        </w:numPr>
        <w:ind w:left="720"/>
        <w:rPr>
          <w:b/>
          <w:color w:val="000000"/>
          <w:sz w:val="22"/>
          <w:szCs w:val="22"/>
        </w:rPr>
      </w:pPr>
    </w:p>
    <w:p w:rsidR="00AE3E0B" w:rsidRPr="00E97A01" w:rsidRDefault="001A29DE" w:rsidP="00A1312A">
      <w:pPr>
        <w:pStyle w:val="par1"/>
        <w:tabs>
          <w:tab w:val="num" w:pos="1440"/>
        </w:tabs>
        <w:ind w:left="0"/>
        <w:rPr>
          <w:b/>
          <w:color w:val="000000"/>
          <w:sz w:val="22"/>
          <w:szCs w:val="22"/>
        </w:rPr>
      </w:pPr>
      <w:r w:rsidRPr="00A1312A">
        <w:rPr>
          <w:sz w:val="22"/>
          <w:szCs w:val="22"/>
        </w:rPr>
        <w:t xml:space="preserve">Contrary to </w:t>
      </w:r>
      <w:r w:rsidR="006631E8" w:rsidRPr="00A1312A">
        <w:rPr>
          <w:sz w:val="22"/>
          <w:szCs w:val="22"/>
        </w:rPr>
        <w:t>Ms. Jackson’s</w:t>
      </w:r>
      <w:r w:rsidRPr="00A1312A">
        <w:rPr>
          <w:sz w:val="22"/>
          <w:szCs w:val="22"/>
        </w:rPr>
        <w:t xml:space="preserve"> </w:t>
      </w:r>
      <w:r w:rsidR="00122B58">
        <w:rPr>
          <w:sz w:val="22"/>
          <w:szCs w:val="22"/>
        </w:rPr>
        <w:t>earlier assertions, the record shows tha</w:t>
      </w:r>
      <w:r w:rsidR="00685C6D" w:rsidRPr="00A1312A">
        <w:rPr>
          <w:sz w:val="22"/>
          <w:szCs w:val="22"/>
        </w:rPr>
        <w:t xml:space="preserve">t </w:t>
      </w:r>
      <w:r w:rsidR="00426DF0">
        <w:rPr>
          <w:sz w:val="22"/>
          <w:szCs w:val="22"/>
        </w:rPr>
        <w:t>USDLA</w:t>
      </w:r>
      <w:r w:rsidR="00D314EC" w:rsidRPr="00A1312A">
        <w:rPr>
          <w:sz w:val="22"/>
          <w:szCs w:val="22"/>
        </w:rPr>
        <w:t xml:space="preserve"> described the DDF grant program as a “p</w:t>
      </w:r>
      <w:r w:rsidR="002F15B4" w:rsidRPr="00A1312A">
        <w:rPr>
          <w:sz w:val="22"/>
          <w:szCs w:val="22"/>
        </w:rPr>
        <w:t>artnership with Achieve Telecom</w:t>
      </w:r>
      <w:r w:rsidR="00007C3D">
        <w:rPr>
          <w:sz w:val="22"/>
          <w:szCs w:val="22"/>
        </w:rPr>
        <w:t>.</w:t>
      </w:r>
      <w:r w:rsidR="00D314EC" w:rsidRPr="00A1312A">
        <w:rPr>
          <w:sz w:val="22"/>
          <w:szCs w:val="22"/>
        </w:rPr>
        <w:t>”</w:t>
      </w:r>
      <w:r w:rsidR="00D314EC" w:rsidRPr="00CE5126">
        <w:rPr>
          <w:rStyle w:val="FootnoteReference"/>
          <w:sz w:val="22"/>
          <w:szCs w:val="22"/>
        </w:rPr>
        <w:footnoteReference w:id="45"/>
      </w:r>
      <w:r w:rsidR="002F15B4" w:rsidRPr="00A1312A">
        <w:rPr>
          <w:sz w:val="22"/>
          <w:szCs w:val="22"/>
        </w:rPr>
        <w:t xml:space="preserve"> </w:t>
      </w:r>
      <w:r w:rsidR="00007C3D">
        <w:rPr>
          <w:sz w:val="22"/>
          <w:szCs w:val="22"/>
        </w:rPr>
        <w:t xml:space="preserve"> The record also shows </w:t>
      </w:r>
      <w:r w:rsidR="002F15B4" w:rsidRPr="00A1312A">
        <w:rPr>
          <w:sz w:val="22"/>
          <w:szCs w:val="22"/>
        </w:rPr>
        <w:t xml:space="preserve">that the </w:t>
      </w:r>
      <w:r w:rsidR="00007C3D">
        <w:rPr>
          <w:sz w:val="22"/>
          <w:szCs w:val="22"/>
        </w:rPr>
        <w:t xml:space="preserve">DDF </w:t>
      </w:r>
      <w:r w:rsidR="007C672A" w:rsidRPr="00A1312A">
        <w:rPr>
          <w:sz w:val="22"/>
          <w:szCs w:val="22"/>
        </w:rPr>
        <w:t xml:space="preserve">program </w:t>
      </w:r>
      <w:r w:rsidR="00374D4D" w:rsidRPr="00A1312A">
        <w:rPr>
          <w:sz w:val="22"/>
          <w:szCs w:val="22"/>
        </w:rPr>
        <w:t xml:space="preserve">was </w:t>
      </w:r>
      <w:r w:rsidR="007C672A" w:rsidRPr="00A1312A">
        <w:rPr>
          <w:sz w:val="22"/>
          <w:szCs w:val="22"/>
        </w:rPr>
        <w:t xml:space="preserve">funded </w:t>
      </w:r>
      <w:r w:rsidR="002224F3">
        <w:rPr>
          <w:sz w:val="22"/>
          <w:szCs w:val="22"/>
        </w:rPr>
        <w:t xml:space="preserve">primarily by Achieve or its business partners and associates </w:t>
      </w:r>
      <w:r w:rsidR="007C672A" w:rsidRPr="00A1312A">
        <w:rPr>
          <w:sz w:val="22"/>
          <w:szCs w:val="22"/>
        </w:rPr>
        <w:t xml:space="preserve">and </w:t>
      </w:r>
      <w:r w:rsidR="002224F3">
        <w:rPr>
          <w:sz w:val="22"/>
          <w:szCs w:val="22"/>
        </w:rPr>
        <w:t xml:space="preserve">that its activities were overseen </w:t>
      </w:r>
      <w:r w:rsidR="007C672A" w:rsidRPr="00A1312A">
        <w:rPr>
          <w:sz w:val="22"/>
          <w:szCs w:val="22"/>
        </w:rPr>
        <w:t>by Achieve</w:t>
      </w:r>
      <w:r w:rsidR="00847FF8" w:rsidRPr="00A1312A">
        <w:rPr>
          <w:sz w:val="22"/>
          <w:szCs w:val="22"/>
        </w:rPr>
        <w:t>.</w:t>
      </w:r>
      <w:r w:rsidR="007C672A" w:rsidRPr="00CE5126">
        <w:rPr>
          <w:rStyle w:val="FootnoteReference"/>
          <w:sz w:val="22"/>
          <w:szCs w:val="22"/>
        </w:rPr>
        <w:footnoteReference w:id="46"/>
      </w:r>
      <w:r w:rsidR="00110FFC" w:rsidRPr="00A1312A">
        <w:rPr>
          <w:sz w:val="22"/>
          <w:szCs w:val="22"/>
        </w:rPr>
        <w:t xml:space="preserve"> </w:t>
      </w:r>
      <w:r w:rsidR="00CE5126" w:rsidRPr="00A1312A">
        <w:rPr>
          <w:sz w:val="22"/>
          <w:szCs w:val="22"/>
        </w:rPr>
        <w:t xml:space="preserve"> Only</w:t>
      </w:r>
      <w:r w:rsidR="00110FFC" w:rsidRPr="00A1312A">
        <w:rPr>
          <w:sz w:val="22"/>
          <w:szCs w:val="22"/>
        </w:rPr>
        <w:t xml:space="preserve"> those schools that were client</w:t>
      </w:r>
      <w:r w:rsidR="00C51D07">
        <w:rPr>
          <w:sz w:val="22"/>
          <w:szCs w:val="22"/>
        </w:rPr>
        <w:t>s of Achieve received DDF grants</w:t>
      </w:r>
      <w:r w:rsidR="00112B20">
        <w:rPr>
          <w:sz w:val="22"/>
          <w:szCs w:val="22"/>
        </w:rPr>
        <w:t>.</w:t>
      </w:r>
      <w:r w:rsidR="005011C1">
        <w:rPr>
          <w:rStyle w:val="FootnoteReference"/>
          <w:sz w:val="22"/>
          <w:szCs w:val="22"/>
        </w:rPr>
        <w:footnoteReference w:id="47"/>
      </w:r>
      <w:r w:rsidR="00D51380">
        <w:rPr>
          <w:sz w:val="22"/>
          <w:szCs w:val="22"/>
        </w:rPr>
        <w:t xml:space="preserve"> </w:t>
      </w:r>
      <w:r w:rsidR="008E0D1C">
        <w:rPr>
          <w:sz w:val="22"/>
          <w:szCs w:val="22"/>
        </w:rPr>
        <w:t xml:space="preserve"> </w:t>
      </w:r>
      <w:r w:rsidR="00825515" w:rsidRPr="00A1312A">
        <w:rPr>
          <w:sz w:val="22"/>
          <w:szCs w:val="22"/>
        </w:rPr>
        <w:t xml:space="preserve">To illustrate, in March 2008, </w:t>
      </w:r>
      <w:r w:rsidR="00D47B67" w:rsidRPr="00A1312A">
        <w:rPr>
          <w:sz w:val="22"/>
          <w:szCs w:val="22"/>
        </w:rPr>
        <w:t xml:space="preserve">USDLA’s President, </w:t>
      </w:r>
      <w:r w:rsidR="00110FFC" w:rsidRPr="00A1312A">
        <w:rPr>
          <w:sz w:val="22"/>
          <w:szCs w:val="22"/>
        </w:rPr>
        <w:t xml:space="preserve">Dr. </w:t>
      </w:r>
      <w:r w:rsidR="00D47B67" w:rsidRPr="00A1312A">
        <w:rPr>
          <w:sz w:val="22"/>
          <w:szCs w:val="22"/>
        </w:rPr>
        <w:t xml:space="preserve">John </w:t>
      </w:r>
      <w:r w:rsidR="00110FFC" w:rsidRPr="00A1312A">
        <w:rPr>
          <w:sz w:val="22"/>
          <w:szCs w:val="22"/>
        </w:rPr>
        <w:t>Flores</w:t>
      </w:r>
      <w:r w:rsidR="00D47B67" w:rsidRPr="00A1312A">
        <w:rPr>
          <w:sz w:val="22"/>
          <w:szCs w:val="22"/>
        </w:rPr>
        <w:t>,</w:t>
      </w:r>
      <w:r w:rsidR="00825515" w:rsidRPr="00A1312A">
        <w:rPr>
          <w:sz w:val="22"/>
          <w:szCs w:val="22"/>
        </w:rPr>
        <w:t xml:space="preserve"> </w:t>
      </w:r>
      <w:r w:rsidR="00110FFC" w:rsidRPr="00A1312A">
        <w:rPr>
          <w:sz w:val="22"/>
          <w:szCs w:val="22"/>
        </w:rPr>
        <w:t>instructed Ms. Marcelonis</w:t>
      </w:r>
      <w:r w:rsidR="00A01014" w:rsidRPr="00A1312A">
        <w:rPr>
          <w:sz w:val="22"/>
          <w:szCs w:val="22"/>
        </w:rPr>
        <w:t>, an employee of USDLA who handled administrative duties for the DDF,</w:t>
      </w:r>
      <w:r w:rsidR="00110FFC" w:rsidRPr="00A1312A">
        <w:rPr>
          <w:sz w:val="22"/>
          <w:szCs w:val="22"/>
        </w:rPr>
        <w:t xml:space="preserve"> to</w:t>
      </w:r>
      <w:r w:rsidR="00A01014" w:rsidRPr="00A1312A">
        <w:rPr>
          <w:sz w:val="22"/>
          <w:szCs w:val="22"/>
        </w:rPr>
        <w:t xml:space="preserve"> obtain </w:t>
      </w:r>
      <w:r w:rsidR="00110FFC" w:rsidRPr="00A1312A">
        <w:rPr>
          <w:sz w:val="22"/>
          <w:szCs w:val="22"/>
        </w:rPr>
        <w:t>Ms. Jackson</w:t>
      </w:r>
      <w:r w:rsidR="00A01014" w:rsidRPr="00A1312A">
        <w:rPr>
          <w:sz w:val="22"/>
          <w:szCs w:val="22"/>
        </w:rPr>
        <w:t>’s</w:t>
      </w:r>
      <w:r w:rsidR="00110FFC" w:rsidRPr="00A1312A">
        <w:rPr>
          <w:sz w:val="22"/>
          <w:szCs w:val="22"/>
        </w:rPr>
        <w:t xml:space="preserve"> approval before </w:t>
      </w:r>
      <w:r w:rsidR="00825515" w:rsidRPr="00A1312A">
        <w:rPr>
          <w:sz w:val="22"/>
          <w:szCs w:val="22"/>
        </w:rPr>
        <w:t xml:space="preserve">USDLA </w:t>
      </w:r>
      <w:r w:rsidR="00110FFC" w:rsidRPr="00A1312A">
        <w:rPr>
          <w:sz w:val="22"/>
          <w:szCs w:val="22"/>
        </w:rPr>
        <w:t>issu</w:t>
      </w:r>
      <w:r w:rsidR="00825515" w:rsidRPr="00A1312A">
        <w:rPr>
          <w:sz w:val="22"/>
          <w:szCs w:val="22"/>
        </w:rPr>
        <w:t>ed</w:t>
      </w:r>
      <w:r w:rsidR="00110FFC" w:rsidRPr="00A1312A">
        <w:rPr>
          <w:sz w:val="22"/>
          <w:szCs w:val="22"/>
        </w:rPr>
        <w:t xml:space="preserve"> a grant approval for </w:t>
      </w:r>
      <w:r w:rsidR="00825515" w:rsidRPr="00A1312A">
        <w:rPr>
          <w:sz w:val="22"/>
          <w:szCs w:val="22"/>
        </w:rPr>
        <w:t xml:space="preserve">Brockton </w:t>
      </w:r>
      <w:r w:rsidR="00C0246D" w:rsidRPr="00A1312A">
        <w:rPr>
          <w:sz w:val="22"/>
          <w:szCs w:val="22"/>
        </w:rPr>
        <w:t>schools</w:t>
      </w:r>
      <w:r w:rsidR="00110FFC" w:rsidRPr="00A1312A">
        <w:rPr>
          <w:sz w:val="22"/>
          <w:szCs w:val="22"/>
        </w:rPr>
        <w:t>.</w:t>
      </w:r>
      <w:r w:rsidR="00110FFC" w:rsidRPr="00CE5126">
        <w:rPr>
          <w:rStyle w:val="FootnoteReference"/>
          <w:sz w:val="22"/>
          <w:szCs w:val="22"/>
        </w:rPr>
        <w:footnoteReference w:id="48"/>
      </w:r>
      <w:r w:rsidR="00110FFC" w:rsidRPr="00A1312A">
        <w:rPr>
          <w:sz w:val="22"/>
          <w:szCs w:val="22"/>
        </w:rPr>
        <w:t xml:space="preserve">  In fact, the record shows that Ms. Marcelonis</w:t>
      </w:r>
      <w:r w:rsidR="00A01014" w:rsidRPr="00A1312A">
        <w:rPr>
          <w:sz w:val="22"/>
          <w:szCs w:val="22"/>
        </w:rPr>
        <w:t xml:space="preserve"> </w:t>
      </w:r>
      <w:r w:rsidR="00110FFC" w:rsidRPr="00A1312A">
        <w:rPr>
          <w:sz w:val="22"/>
          <w:szCs w:val="22"/>
        </w:rPr>
        <w:t xml:space="preserve">looked to Ms. Jackson for guidance </w:t>
      </w:r>
      <w:r w:rsidR="00A01014" w:rsidRPr="00A1312A">
        <w:rPr>
          <w:sz w:val="22"/>
          <w:szCs w:val="22"/>
        </w:rPr>
        <w:t xml:space="preserve">throughout </w:t>
      </w:r>
      <w:r w:rsidR="005F372E" w:rsidRPr="00A1312A">
        <w:rPr>
          <w:sz w:val="22"/>
          <w:szCs w:val="22"/>
        </w:rPr>
        <w:t>the grant process</w:t>
      </w:r>
      <w:r w:rsidR="00110FFC" w:rsidRPr="00A1312A">
        <w:rPr>
          <w:sz w:val="22"/>
          <w:szCs w:val="22"/>
        </w:rPr>
        <w:t>, stating “I wouldn’t attempt to even answer any questions [about the DDF grant process] without checking [with you] - - as I really don’t know zip to be honest with you.”</w:t>
      </w:r>
      <w:r w:rsidR="00110FFC" w:rsidRPr="00CE5126">
        <w:rPr>
          <w:rStyle w:val="FootnoteReference"/>
          <w:sz w:val="22"/>
          <w:szCs w:val="22"/>
        </w:rPr>
        <w:footnoteReference w:id="49"/>
      </w:r>
      <w:r w:rsidR="00110FFC" w:rsidRPr="00A1312A">
        <w:rPr>
          <w:sz w:val="22"/>
          <w:szCs w:val="22"/>
        </w:rPr>
        <w:t xml:space="preserve"> </w:t>
      </w:r>
      <w:r w:rsidR="00913998" w:rsidRPr="00A1312A">
        <w:rPr>
          <w:sz w:val="22"/>
          <w:szCs w:val="22"/>
        </w:rPr>
        <w:t xml:space="preserve"> </w:t>
      </w:r>
      <w:r w:rsidR="00E7468C" w:rsidRPr="00A1312A">
        <w:rPr>
          <w:sz w:val="22"/>
          <w:szCs w:val="22"/>
        </w:rPr>
        <w:t xml:space="preserve">Another email exchange shows Ms. Marcelonis </w:t>
      </w:r>
      <w:r w:rsidR="00A01014" w:rsidRPr="00A1312A">
        <w:rPr>
          <w:sz w:val="22"/>
          <w:szCs w:val="22"/>
        </w:rPr>
        <w:t>seeking</w:t>
      </w:r>
      <w:r w:rsidR="00E7468C" w:rsidRPr="00A1312A">
        <w:rPr>
          <w:sz w:val="22"/>
          <w:szCs w:val="22"/>
        </w:rPr>
        <w:t xml:space="preserve"> Ms. Jackson’s help in responding to a question from a potential client about the </w:t>
      </w:r>
      <w:r w:rsidR="00A01014" w:rsidRPr="00A1312A">
        <w:rPr>
          <w:sz w:val="22"/>
          <w:szCs w:val="22"/>
        </w:rPr>
        <w:t>DDF</w:t>
      </w:r>
      <w:r w:rsidR="00E7468C" w:rsidRPr="00A1312A">
        <w:rPr>
          <w:sz w:val="22"/>
          <w:szCs w:val="22"/>
        </w:rPr>
        <w:t xml:space="preserve"> program,</w:t>
      </w:r>
      <w:r w:rsidR="00727497">
        <w:rPr>
          <w:rStyle w:val="FootnoteReference"/>
          <w:sz w:val="22"/>
          <w:szCs w:val="22"/>
        </w:rPr>
        <w:footnoteReference w:id="50"/>
      </w:r>
      <w:r w:rsidR="00727497" w:rsidRPr="00A1312A">
        <w:rPr>
          <w:sz w:val="22"/>
          <w:szCs w:val="22"/>
        </w:rPr>
        <w:t xml:space="preserve"> to which Ms. Jackson replies:  </w:t>
      </w:r>
      <w:r w:rsidR="00E7468C" w:rsidRPr="00A1312A">
        <w:rPr>
          <w:sz w:val="22"/>
          <w:szCs w:val="22"/>
        </w:rPr>
        <w:t xml:space="preserve"> “This is what you should say.  Just copy and paste:  ‘Mr. Bognar- Our focus is the same as E-rate which is all schools and libraries that are eligible.  Our goal and vision for the </w:t>
      </w:r>
      <w:r w:rsidR="00426DF0">
        <w:rPr>
          <w:sz w:val="22"/>
          <w:szCs w:val="22"/>
        </w:rPr>
        <w:t>USDLA</w:t>
      </w:r>
      <w:r w:rsidR="00E7468C" w:rsidRPr="00A1312A">
        <w:rPr>
          <w:sz w:val="22"/>
          <w:szCs w:val="22"/>
        </w:rPr>
        <w:t xml:space="preserve"> Digital Divide Grant Fund is to support urban and rural schools and libraries across America.  Please just substitute school for library in your grant application and cover letter and feel free to submit via email…’</w:t>
      </w:r>
      <w:r w:rsidR="00BE1073" w:rsidRPr="00A1312A">
        <w:rPr>
          <w:sz w:val="22"/>
          <w:szCs w:val="22"/>
        </w:rPr>
        <w:t>”</w:t>
      </w:r>
      <w:r w:rsidR="00E7468C" w:rsidRPr="005B5644">
        <w:rPr>
          <w:rStyle w:val="FootnoteReference"/>
          <w:sz w:val="22"/>
          <w:szCs w:val="22"/>
        </w:rPr>
        <w:footnoteReference w:id="51"/>
      </w:r>
      <w:r w:rsidR="00E7468C" w:rsidRPr="00A1312A">
        <w:rPr>
          <w:sz w:val="22"/>
          <w:szCs w:val="22"/>
        </w:rPr>
        <w:t xml:space="preserve">  </w:t>
      </w:r>
      <w:r w:rsidR="000914A2" w:rsidRPr="00A1312A">
        <w:rPr>
          <w:sz w:val="22"/>
          <w:szCs w:val="22"/>
        </w:rPr>
        <w:t>Additionally</w:t>
      </w:r>
      <w:r w:rsidR="00727497" w:rsidRPr="00A1312A">
        <w:rPr>
          <w:sz w:val="22"/>
          <w:szCs w:val="22"/>
        </w:rPr>
        <w:t>, t</w:t>
      </w:r>
      <w:r w:rsidR="00E7468C" w:rsidRPr="00A1312A">
        <w:rPr>
          <w:sz w:val="22"/>
          <w:szCs w:val="22"/>
        </w:rPr>
        <w:t>he record shows that Ms. Marcelonis</w:t>
      </w:r>
      <w:r w:rsidR="00C30135" w:rsidRPr="00A1312A">
        <w:rPr>
          <w:sz w:val="22"/>
          <w:szCs w:val="22"/>
        </w:rPr>
        <w:t xml:space="preserve"> </w:t>
      </w:r>
      <w:r w:rsidR="00E7468C" w:rsidRPr="00A1312A">
        <w:rPr>
          <w:sz w:val="22"/>
          <w:szCs w:val="22"/>
        </w:rPr>
        <w:t xml:space="preserve">asks Ms. Jackson how to organize and label </w:t>
      </w:r>
      <w:r w:rsidR="00426DF0">
        <w:rPr>
          <w:sz w:val="22"/>
          <w:szCs w:val="22"/>
        </w:rPr>
        <w:t>USDLA</w:t>
      </w:r>
      <w:r w:rsidR="00E7468C" w:rsidRPr="00A1312A">
        <w:rPr>
          <w:sz w:val="22"/>
          <w:szCs w:val="22"/>
        </w:rPr>
        <w:t xml:space="preserve"> files for the DDF.</w:t>
      </w:r>
      <w:r w:rsidR="00E7468C" w:rsidRPr="005B5644">
        <w:rPr>
          <w:rStyle w:val="FootnoteReference"/>
          <w:sz w:val="22"/>
          <w:szCs w:val="22"/>
        </w:rPr>
        <w:footnoteReference w:id="52"/>
      </w:r>
      <w:r w:rsidR="005F372E" w:rsidRPr="00A1312A">
        <w:rPr>
          <w:sz w:val="22"/>
          <w:szCs w:val="22"/>
        </w:rPr>
        <w:t xml:space="preserve"> </w:t>
      </w:r>
      <w:r w:rsidR="00C30135" w:rsidRPr="00A1312A">
        <w:rPr>
          <w:sz w:val="22"/>
          <w:szCs w:val="22"/>
        </w:rPr>
        <w:t>A</w:t>
      </w:r>
      <w:r w:rsidR="000914A2" w:rsidRPr="00A1312A">
        <w:rPr>
          <w:sz w:val="22"/>
          <w:szCs w:val="22"/>
        </w:rPr>
        <w:t xml:space="preserve">lthough </w:t>
      </w:r>
      <w:r w:rsidR="00C30135" w:rsidRPr="00A1312A">
        <w:rPr>
          <w:sz w:val="22"/>
          <w:szCs w:val="22"/>
        </w:rPr>
        <w:t xml:space="preserve">Ms. Jackson and </w:t>
      </w:r>
      <w:r w:rsidR="000914A2" w:rsidRPr="00A1312A">
        <w:rPr>
          <w:sz w:val="22"/>
          <w:szCs w:val="22"/>
        </w:rPr>
        <w:t xml:space="preserve">USDLA maintain that </w:t>
      </w:r>
      <w:r w:rsidR="005F372E" w:rsidRPr="00A1312A">
        <w:rPr>
          <w:sz w:val="22"/>
          <w:szCs w:val="22"/>
        </w:rPr>
        <w:t>Dr. Flores was responsible for reviewing and approving each grant application</w:t>
      </w:r>
      <w:r w:rsidR="000914A2" w:rsidRPr="00A1312A">
        <w:rPr>
          <w:sz w:val="22"/>
          <w:szCs w:val="22"/>
        </w:rPr>
        <w:t>,</w:t>
      </w:r>
      <w:r w:rsidR="005F372E" w:rsidRPr="005B5644">
        <w:rPr>
          <w:rStyle w:val="FootnoteReference"/>
          <w:sz w:val="22"/>
          <w:szCs w:val="22"/>
        </w:rPr>
        <w:footnoteReference w:id="53"/>
      </w:r>
      <w:r w:rsidR="000914A2" w:rsidRPr="00A1312A">
        <w:rPr>
          <w:sz w:val="22"/>
          <w:szCs w:val="22"/>
        </w:rPr>
        <w:t xml:space="preserve"> the record</w:t>
      </w:r>
      <w:r w:rsidR="005F372E" w:rsidRPr="00A1312A">
        <w:rPr>
          <w:sz w:val="22"/>
          <w:szCs w:val="22"/>
        </w:rPr>
        <w:t xml:space="preserve"> </w:t>
      </w:r>
      <w:r w:rsidR="000914A2" w:rsidRPr="00A1312A">
        <w:rPr>
          <w:sz w:val="22"/>
          <w:szCs w:val="22"/>
        </w:rPr>
        <w:t xml:space="preserve">reveals that </w:t>
      </w:r>
      <w:r w:rsidR="008A7D3B" w:rsidRPr="00A1312A">
        <w:rPr>
          <w:sz w:val="22"/>
          <w:szCs w:val="22"/>
        </w:rPr>
        <w:t>USDLA</w:t>
      </w:r>
      <w:r w:rsidR="005F372E" w:rsidRPr="00A1312A">
        <w:rPr>
          <w:sz w:val="22"/>
          <w:szCs w:val="22"/>
        </w:rPr>
        <w:t xml:space="preserve"> did not make all </w:t>
      </w:r>
      <w:r w:rsidR="009861A6">
        <w:rPr>
          <w:sz w:val="22"/>
          <w:szCs w:val="22"/>
        </w:rPr>
        <w:t xml:space="preserve">(if any) </w:t>
      </w:r>
      <w:r w:rsidR="005F372E" w:rsidRPr="00A1312A">
        <w:rPr>
          <w:sz w:val="22"/>
          <w:szCs w:val="22"/>
        </w:rPr>
        <w:t xml:space="preserve">of the decisions </w:t>
      </w:r>
      <w:r w:rsidR="00CD1133">
        <w:rPr>
          <w:sz w:val="22"/>
          <w:szCs w:val="22"/>
        </w:rPr>
        <w:t>it</w:t>
      </w:r>
      <w:r w:rsidR="005F372E" w:rsidRPr="00A1312A">
        <w:rPr>
          <w:sz w:val="22"/>
          <w:szCs w:val="22"/>
        </w:rPr>
        <w:t>self</w:t>
      </w:r>
      <w:r w:rsidR="008A7D3B" w:rsidRPr="00A1312A">
        <w:rPr>
          <w:sz w:val="22"/>
          <w:szCs w:val="22"/>
        </w:rPr>
        <w:t xml:space="preserve"> and relied </w:t>
      </w:r>
      <w:r w:rsidR="00122B58">
        <w:rPr>
          <w:sz w:val="22"/>
          <w:szCs w:val="22"/>
        </w:rPr>
        <w:t xml:space="preserve">heavily </w:t>
      </w:r>
      <w:r w:rsidR="008A7D3B" w:rsidRPr="00A1312A">
        <w:rPr>
          <w:sz w:val="22"/>
          <w:szCs w:val="22"/>
        </w:rPr>
        <w:t>on the guidance and direction of Ms. Jackson</w:t>
      </w:r>
      <w:r w:rsidR="005F372E" w:rsidRPr="00A1312A">
        <w:rPr>
          <w:sz w:val="22"/>
          <w:szCs w:val="22"/>
        </w:rPr>
        <w:t xml:space="preserve">. </w:t>
      </w:r>
      <w:r w:rsidR="0099692C" w:rsidRPr="00070B6D">
        <w:rPr>
          <w:sz w:val="22"/>
        </w:rPr>
        <w:t xml:space="preserve"> </w:t>
      </w:r>
    </w:p>
    <w:p w:rsidR="00F02DF9" w:rsidRPr="00F02DF9" w:rsidRDefault="00F02DF9" w:rsidP="00F02DF9">
      <w:pPr>
        <w:pStyle w:val="par1"/>
        <w:numPr>
          <w:ilvl w:val="0"/>
          <w:numId w:val="0"/>
        </w:numPr>
        <w:ind w:left="720"/>
        <w:rPr>
          <w:b/>
          <w:color w:val="000000"/>
          <w:sz w:val="22"/>
          <w:szCs w:val="22"/>
        </w:rPr>
      </w:pPr>
    </w:p>
    <w:p w:rsidR="00182AA5" w:rsidRPr="005B5644" w:rsidRDefault="005E4998" w:rsidP="00F02DF9">
      <w:pPr>
        <w:pStyle w:val="par1"/>
        <w:tabs>
          <w:tab w:val="num" w:pos="1440"/>
        </w:tabs>
        <w:ind w:left="0"/>
        <w:rPr>
          <w:b/>
          <w:color w:val="000000"/>
          <w:sz w:val="22"/>
          <w:szCs w:val="22"/>
        </w:rPr>
      </w:pPr>
      <w:r>
        <w:rPr>
          <w:sz w:val="22"/>
          <w:szCs w:val="22"/>
        </w:rPr>
        <w:t xml:space="preserve">In addition to </w:t>
      </w:r>
      <w:r w:rsidR="00F613DD">
        <w:rPr>
          <w:sz w:val="22"/>
          <w:szCs w:val="22"/>
        </w:rPr>
        <w:t xml:space="preserve">providing direction to USDLA on which schools </w:t>
      </w:r>
      <w:r w:rsidR="00B0111C">
        <w:rPr>
          <w:sz w:val="22"/>
          <w:szCs w:val="22"/>
        </w:rPr>
        <w:t>should receive</w:t>
      </w:r>
      <w:r w:rsidR="00C51D07">
        <w:rPr>
          <w:sz w:val="22"/>
          <w:szCs w:val="22"/>
        </w:rPr>
        <w:t xml:space="preserve"> the DD</w:t>
      </w:r>
      <w:r w:rsidR="00F613DD">
        <w:rPr>
          <w:sz w:val="22"/>
          <w:szCs w:val="22"/>
        </w:rPr>
        <w:t xml:space="preserve">F grants, </w:t>
      </w:r>
      <w:r w:rsidR="00C30135">
        <w:rPr>
          <w:sz w:val="22"/>
          <w:szCs w:val="22"/>
        </w:rPr>
        <w:t>Achieve</w:t>
      </w:r>
      <w:r w:rsidR="003E362C" w:rsidRPr="00F02DF9">
        <w:rPr>
          <w:sz w:val="22"/>
          <w:szCs w:val="22"/>
        </w:rPr>
        <w:t xml:space="preserve"> </w:t>
      </w:r>
      <w:r w:rsidR="0099692C">
        <w:rPr>
          <w:sz w:val="22"/>
          <w:szCs w:val="22"/>
        </w:rPr>
        <w:t xml:space="preserve">often </w:t>
      </w:r>
      <w:r w:rsidR="003E362C" w:rsidRPr="00F02DF9">
        <w:rPr>
          <w:sz w:val="22"/>
          <w:szCs w:val="22"/>
        </w:rPr>
        <w:t>advised</w:t>
      </w:r>
      <w:r w:rsidR="006730A5" w:rsidRPr="00F02DF9">
        <w:rPr>
          <w:sz w:val="22"/>
          <w:szCs w:val="22"/>
        </w:rPr>
        <w:t xml:space="preserve"> USDLA when to issue th</w:t>
      </w:r>
      <w:r w:rsidR="003E362C" w:rsidRPr="00F02DF9">
        <w:rPr>
          <w:sz w:val="22"/>
          <w:szCs w:val="22"/>
        </w:rPr>
        <w:t>e grants</w:t>
      </w:r>
      <w:r w:rsidR="008A7D3B">
        <w:rPr>
          <w:sz w:val="22"/>
          <w:szCs w:val="22"/>
        </w:rPr>
        <w:t xml:space="preserve">, indicated what the </w:t>
      </w:r>
      <w:r w:rsidR="00B22561">
        <w:rPr>
          <w:sz w:val="22"/>
          <w:szCs w:val="22"/>
        </w:rPr>
        <w:t>amount</w:t>
      </w:r>
      <w:r w:rsidR="00990D43">
        <w:rPr>
          <w:sz w:val="22"/>
          <w:szCs w:val="22"/>
        </w:rPr>
        <w:t xml:space="preserve"> </w:t>
      </w:r>
      <w:r w:rsidR="00C30135">
        <w:rPr>
          <w:sz w:val="22"/>
          <w:szCs w:val="22"/>
        </w:rPr>
        <w:t xml:space="preserve">of </w:t>
      </w:r>
      <w:r w:rsidR="008A7D3B">
        <w:rPr>
          <w:sz w:val="22"/>
          <w:szCs w:val="22"/>
        </w:rPr>
        <w:t>the</w:t>
      </w:r>
      <w:r w:rsidR="00C30135">
        <w:rPr>
          <w:sz w:val="22"/>
          <w:szCs w:val="22"/>
        </w:rPr>
        <w:t xml:space="preserve"> grants</w:t>
      </w:r>
      <w:r w:rsidR="008A7D3B">
        <w:rPr>
          <w:sz w:val="22"/>
          <w:szCs w:val="22"/>
        </w:rPr>
        <w:t xml:space="preserve"> should be</w:t>
      </w:r>
      <w:r w:rsidR="00B22561">
        <w:rPr>
          <w:sz w:val="22"/>
          <w:szCs w:val="22"/>
        </w:rPr>
        <w:t xml:space="preserve">, </w:t>
      </w:r>
      <w:r w:rsidR="00B2274F" w:rsidRPr="00F02DF9">
        <w:rPr>
          <w:sz w:val="22"/>
          <w:szCs w:val="22"/>
        </w:rPr>
        <w:t xml:space="preserve">identified </w:t>
      </w:r>
      <w:r w:rsidR="003E362C" w:rsidRPr="00F02DF9">
        <w:rPr>
          <w:sz w:val="22"/>
          <w:szCs w:val="22"/>
        </w:rPr>
        <w:t>which parties at the Schools should receive</w:t>
      </w:r>
      <w:r w:rsidR="006730A5" w:rsidRPr="00F02DF9">
        <w:rPr>
          <w:sz w:val="22"/>
          <w:szCs w:val="22"/>
        </w:rPr>
        <w:t xml:space="preserve"> the approval letters, and </w:t>
      </w:r>
      <w:r w:rsidR="00600E8C">
        <w:rPr>
          <w:sz w:val="22"/>
          <w:szCs w:val="22"/>
        </w:rPr>
        <w:t xml:space="preserve">provided USDLA with the </w:t>
      </w:r>
      <w:r w:rsidR="006730A5" w:rsidRPr="00F02DF9">
        <w:rPr>
          <w:sz w:val="22"/>
          <w:szCs w:val="22"/>
        </w:rPr>
        <w:t xml:space="preserve">paperwork required to document </w:t>
      </w:r>
      <w:r w:rsidR="00600E8C">
        <w:rPr>
          <w:sz w:val="22"/>
          <w:szCs w:val="22"/>
        </w:rPr>
        <w:t xml:space="preserve">and issue the </w:t>
      </w:r>
      <w:r w:rsidR="006730A5" w:rsidRPr="00F02DF9">
        <w:rPr>
          <w:sz w:val="22"/>
          <w:szCs w:val="22"/>
        </w:rPr>
        <w:t>g</w:t>
      </w:r>
      <w:r w:rsidR="003E362C" w:rsidRPr="00F02DF9">
        <w:rPr>
          <w:sz w:val="22"/>
          <w:szCs w:val="22"/>
        </w:rPr>
        <w:t>rant approvals.</w:t>
      </w:r>
      <w:r w:rsidR="00A82634" w:rsidRPr="00A82634">
        <w:rPr>
          <w:rStyle w:val="FootnoteReference"/>
          <w:sz w:val="22"/>
          <w:szCs w:val="22"/>
        </w:rPr>
        <w:t xml:space="preserve"> </w:t>
      </w:r>
      <w:r w:rsidR="00A82634">
        <w:rPr>
          <w:rStyle w:val="FootnoteReference"/>
          <w:sz w:val="22"/>
          <w:szCs w:val="22"/>
        </w:rPr>
        <w:footnoteReference w:id="54"/>
      </w:r>
      <w:r w:rsidR="003E362C" w:rsidRPr="00F02DF9">
        <w:rPr>
          <w:sz w:val="22"/>
          <w:szCs w:val="22"/>
        </w:rPr>
        <w:t xml:space="preserve">  </w:t>
      </w:r>
      <w:r w:rsidR="008A7D3B">
        <w:rPr>
          <w:sz w:val="22"/>
          <w:szCs w:val="22"/>
        </w:rPr>
        <w:t>To illustrate</w:t>
      </w:r>
      <w:r w:rsidR="00D964A3">
        <w:rPr>
          <w:sz w:val="22"/>
          <w:szCs w:val="22"/>
        </w:rPr>
        <w:t>, i</w:t>
      </w:r>
      <w:r w:rsidR="00B2274F" w:rsidRPr="00F02DF9">
        <w:rPr>
          <w:sz w:val="22"/>
          <w:szCs w:val="22"/>
        </w:rPr>
        <w:t xml:space="preserve">n an </w:t>
      </w:r>
      <w:r w:rsidR="00316907" w:rsidRPr="00F02DF9">
        <w:rPr>
          <w:sz w:val="22"/>
          <w:szCs w:val="22"/>
        </w:rPr>
        <w:t>e</w:t>
      </w:r>
      <w:r w:rsidR="006730A5" w:rsidRPr="00F02DF9">
        <w:rPr>
          <w:sz w:val="22"/>
          <w:szCs w:val="22"/>
        </w:rPr>
        <w:t>mail</w:t>
      </w:r>
      <w:r w:rsidR="00B2274F" w:rsidRPr="00F02DF9">
        <w:rPr>
          <w:sz w:val="22"/>
          <w:szCs w:val="22"/>
        </w:rPr>
        <w:t xml:space="preserve"> exchange between Ms. Jackson </w:t>
      </w:r>
      <w:r w:rsidR="00D47B67">
        <w:rPr>
          <w:sz w:val="22"/>
          <w:szCs w:val="22"/>
        </w:rPr>
        <w:t xml:space="preserve">and </w:t>
      </w:r>
      <w:r w:rsidR="00BA14CC">
        <w:rPr>
          <w:sz w:val="22"/>
          <w:szCs w:val="22"/>
        </w:rPr>
        <w:t>D</w:t>
      </w:r>
      <w:r w:rsidR="00B2274F" w:rsidRPr="00F02DF9">
        <w:rPr>
          <w:sz w:val="22"/>
          <w:szCs w:val="22"/>
        </w:rPr>
        <w:t>r. Flores, Ms. Jackson states</w:t>
      </w:r>
      <w:r w:rsidR="00913998">
        <w:rPr>
          <w:sz w:val="22"/>
          <w:szCs w:val="22"/>
        </w:rPr>
        <w:t>:</w:t>
      </w:r>
      <w:r w:rsidR="00B2274F" w:rsidRPr="00F02DF9">
        <w:rPr>
          <w:sz w:val="22"/>
          <w:szCs w:val="22"/>
        </w:rPr>
        <w:t xml:space="preserve"> </w:t>
      </w:r>
      <w:r w:rsidR="00913998">
        <w:rPr>
          <w:sz w:val="22"/>
          <w:szCs w:val="22"/>
        </w:rPr>
        <w:t xml:space="preserve"> </w:t>
      </w:r>
      <w:r w:rsidR="006730A5" w:rsidRPr="00F02DF9">
        <w:rPr>
          <w:sz w:val="22"/>
          <w:szCs w:val="22"/>
        </w:rPr>
        <w:t>“I am not expecting you to pay Brockton’s portion UNTIL they submit the grant [request] (and are approved for USDLA support) . . .</w:t>
      </w:r>
      <w:r w:rsidR="00304365">
        <w:rPr>
          <w:sz w:val="22"/>
          <w:szCs w:val="22"/>
        </w:rPr>
        <w:t xml:space="preserve"> .</w:t>
      </w:r>
      <w:r w:rsidR="006730A5" w:rsidRPr="00F02DF9">
        <w:rPr>
          <w:sz w:val="22"/>
          <w:szCs w:val="22"/>
        </w:rPr>
        <w:t>”</w:t>
      </w:r>
      <w:r w:rsidR="006730A5">
        <w:rPr>
          <w:rStyle w:val="FootnoteReference"/>
          <w:sz w:val="22"/>
          <w:szCs w:val="22"/>
        </w:rPr>
        <w:footnoteReference w:id="55"/>
      </w:r>
      <w:r w:rsidR="006730A5" w:rsidRPr="00F02DF9">
        <w:rPr>
          <w:sz w:val="22"/>
          <w:szCs w:val="22"/>
        </w:rPr>
        <w:t xml:space="preserve">  In another </w:t>
      </w:r>
      <w:r w:rsidR="00B2274F" w:rsidRPr="00F02DF9">
        <w:rPr>
          <w:sz w:val="22"/>
          <w:szCs w:val="22"/>
        </w:rPr>
        <w:t>e</w:t>
      </w:r>
      <w:r w:rsidR="006730A5" w:rsidRPr="00F02DF9">
        <w:rPr>
          <w:sz w:val="22"/>
          <w:szCs w:val="22"/>
        </w:rPr>
        <w:t>mail exchange with Ms.</w:t>
      </w:r>
      <w:r w:rsidR="00316907" w:rsidRPr="00F02DF9">
        <w:rPr>
          <w:sz w:val="22"/>
          <w:szCs w:val="22"/>
        </w:rPr>
        <w:t xml:space="preserve"> Marcelonis, Ms. Jackson wri</w:t>
      </w:r>
      <w:r w:rsidR="006730A5" w:rsidRPr="00F02DF9">
        <w:rPr>
          <w:sz w:val="22"/>
          <w:szCs w:val="22"/>
        </w:rPr>
        <w:t>te</w:t>
      </w:r>
      <w:r w:rsidR="00316907" w:rsidRPr="00F02DF9">
        <w:rPr>
          <w:sz w:val="22"/>
          <w:szCs w:val="22"/>
        </w:rPr>
        <w:t>s</w:t>
      </w:r>
      <w:r w:rsidR="001A29DE" w:rsidRPr="00F02DF9">
        <w:rPr>
          <w:sz w:val="22"/>
          <w:szCs w:val="22"/>
        </w:rPr>
        <w:t>:  “</w:t>
      </w:r>
      <w:r w:rsidR="006344DE" w:rsidRPr="00F02DF9">
        <w:rPr>
          <w:sz w:val="22"/>
          <w:szCs w:val="22"/>
        </w:rPr>
        <w:t>I have</w:t>
      </w:r>
      <w:r w:rsidR="001A29DE" w:rsidRPr="00F02DF9">
        <w:rPr>
          <w:sz w:val="22"/>
          <w:szCs w:val="22"/>
        </w:rPr>
        <w:t xml:space="preserve"> </w:t>
      </w:r>
      <w:r w:rsidR="006730A5" w:rsidRPr="00F02DF9">
        <w:rPr>
          <w:sz w:val="22"/>
          <w:szCs w:val="22"/>
        </w:rPr>
        <w:t>attached the grant application and cover letter from Brockton . . .</w:t>
      </w:r>
      <w:r w:rsidR="006344DE" w:rsidRPr="00F02DF9">
        <w:rPr>
          <w:sz w:val="22"/>
          <w:szCs w:val="22"/>
        </w:rPr>
        <w:t xml:space="preserve"> </w:t>
      </w:r>
      <w:r w:rsidR="006730A5" w:rsidRPr="00F02DF9">
        <w:rPr>
          <w:i/>
          <w:sz w:val="22"/>
          <w:szCs w:val="22"/>
        </w:rPr>
        <w:t>The approval letter should go directly to Anne Thompson and please send me a copy via email</w:t>
      </w:r>
      <w:r w:rsidR="006730A5" w:rsidRPr="00F02DF9">
        <w:rPr>
          <w:sz w:val="22"/>
          <w:szCs w:val="22"/>
        </w:rPr>
        <w:t>.”</w:t>
      </w:r>
      <w:r w:rsidR="006730A5">
        <w:rPr>
          <w:rStyle w:val="FootnoteReference"/>
          <w:sz w:val="22"/>
          <w:szCs w:val="22"/>
        </w:rPr>
        <w:footnoteReference w:id="56"/>
      </w:r>
      <w:r w:rsidR="006730A5" w:rsidRPr="00F02DF9">
        <w:rPr>
          <w:sz w:val="22"/>
          <w:szCs w:val="22"/>
        </w:rPr>
        <w:t xml:space="preserve">  </w:t>
      </w:r>
      <w:r w:rsidR="00235C01">
        <w:rPr>
          <w:sz w:val="22"/>
          <w:szCs w:val="22"/>
        </w:rPr>
        <w:t xml:space="preserve">Two weeks later, </w:t>
      </w:r>
      <w:r w:rsidR="00293500">
        <w:rPr>
          <w:sz w:val="22"/>
          <w:szCs w:val="22"/>
        </w:rPr>
        <w:t xml:space="preserve">after receiving the finalized </w:t>
      </w:r>
      <w:r w:rsidR="00BA14CC">
        <w:rPr>
          <w:sz w:val="22"/>
          <w:szCs w:val="22"/>
        </w:rPr>
        <w:t xml:space="preserve">DDF grant </w:t>
      </w:r>
      <w:r w:rsidR="00293500">
        <w:rPr>
          <w:sz w:val="22"/>
          <w:szCs w:val="22"/>
        </w:rPr>
        <w:t xml:space="preserve">application package from the School, </w:t>
      </w:r>
      <w:r w:rsidR="00235C01">
        <w:rPr>
          <w:sz w:val="22"/>
          <w:szCs w:val="22"/>
        </w:rPr>
        <w:t>Ms. Jackson writes:  “I have attached a PDF file for the Brockton grant- Ann</w:t>
      </w:r>
      <w:r w:rsidR="00516F5D">
        <w:rPr>
          <w:sz w:val="22"/>
          <w:szCs w:val="22"/>
        </w:rPr>
        <w:t>e</w:t>
      </w:r>
      <w:r w:rsidR="00235C01">
        <w:rPr>
          <w:sz w:val="22"/>
          <w:szCs w:val="22"/>
        </w:rPr>
        <w:t xml:space="preserve"> Thompson is signing the letter and the app today and faxing to me then I will PDF and send to you via email.  </w:t>
      </w:r>
      <w:r w:rsidR="00235C01" w:rsidRPr="00110FFC">
        <w:rPr>
          <w:sz w:val="22"/>
          <w:szCs w:val="22"/>
        </w:rPr>
        <w:t>Can we proceed in drafting the grant approval letter for her ASAP</w:t>
      </w:r>
      <w:r w:rsidR="001A3645" w:rsidRPr="00110FFC">
        <w:rPr>
          <w:sz w:val="22"/>
          <w:szCs w:val="22"/>
        </w:rPr>
        <w:t>?</w:t>
      </w:r>
      <w:r w:rsidR="00235C01">
        <w:rPr>
          <w:sz w:val="22"/>
          <w:szCs w:val="22"/>
        </w:rPr>
        <w:t>”</w:t>
      </w:r>
      <w:r w:rsidR="00235C01">
        <w:rPr>
          <w:rStyle w:val="FootnoteReference"/>
          <w:sz w:val="22"/>
          <w:szCs w:val="22"/>
        </w:rPr>
        <w:footnoteReference w:id="57"/>
      </w:r>
      <w:r w:rsidR="00235C01">
        <w:rPr>
          <w:sz w:val="22"/>
          <w:szCs w:val="22"/>
        </w:rPr>
        <w:t xml:space="preserve">  Subsequently, </w:t>
      </w:r>
      <w:r w:rsidR="006730A5" w:rsidRPr="00F02DF9">
        <w:rPr>
          <w:sz w:val="22"/>
          <w:szCs w:val="22"/>
        </w:rPr>
        <w:t>Ms. Marcelonis</w:t>
      </w:r>
      <w:r w:rsidR="00C0246D">
        <w:rPr>
          <w:sz w:val="22"/>
          <w:szCs w:val="22"/>
        </w:rPr>
        <w:t xml:space="preserve"> </w:t>
      </w:r>
      <w:r w:rsidR="006730A5" w:rsidRPr="00F02DF9">
        <w:rPr>
          <w:sz w:val="22"/>
          <w:szCs w:val="22"/>
        </w:rPr>
        <w:t>ask</w:t>
      </w:r>
      <w:r w:rsidR="00316907" w:rsidRPr="00F02DF9">
        <w:rPr>
          <w:sz w:val="22"/>
          <w:szCs w:val="22"/>
        </w:rPr>
        <w:t>s</w:t>
      </w:r>
      <w:r w:rsidR="006730A5" w:rsidRPr="00F02DF9">
        <w:rPr>
          <w:sz w:val="22"/>
          <w:szCs w:val="22"/>
        </w:rPr>
        <w:t xml:space="preserve"> Ms. Jackson what USDLA needed to do to finalize the grant</w:t>
      </w:r>
      <w:r w:rsidR="006344DE" w:rsidRPr="00F02DF9">
        <w:rPr>
          <w:sz w:val="22"/>
          <w:szCs w:val="22"/>
        </w:rPr>
        <w:t xml:space="preserve"> </w:t>
      </w:r>
      <w:r w:rsidR="006730A5" w:rsidRPr="00F02DF9">
        <w:rPr>
          <w:sz w:val="22"/>
          <w:szCs w:val="22"/>
        </w:rPr>
        <w:t>documentation for Brockton,</w:t>
      </w:r>
      <w:r w:rsidR="006344DE">
        <w:rPr>
          <w:rStyle w:val="FootnoteReference"/>
          <w:sz w:val="22"/>
          <w:szCs w:val="22"/>
        </w:rPr>
        <w:footnoteReference w:id="58"/>
      </w:r>
      <w:r w:rsidR="00316907" w:rsidRPr="00F02DF9">
        <w:rPr>
          <w:sz w:val="22"/>
          <w:szCs w:val="22"/>
        </w:rPr>
        <w:t xml:space="preserve"> to which Ms. Jackson responds</w:t>
      </w:r>
      <w:r w:rsidR="006730A5" w:rsidRPr="00F02DF9">
        <w:rPr>
          <w:sz w:val="22"/>
          <w:szCs w:val="22"/>
        </w:rPr>
        <w:t xml:space="preserve">: </w:t>
      </w:r>
      <w:r w:rsidR="006344DE" w:rsidRPr="00F02DF9">
        <w:rPr>
          <w:sz w:val="22"/>
          <w:szCs w:val="22"/>
        </w:rPr>
        <w:t xml:space="preserve"> </w:t>
      </w:r>
      <w:r w:rsidR="006730A5" w:rsidRPr="00F02DF9">
        <w:rPr>
          <w:sz w:val="22"/>
          <w:szCs w:val="22"/>
        </w:rPr>
        <w:t>“I have attached the revised lett</w:t>
      </w:r>
      <w:r w:rsidR="006344DE" w:rsidRPr="00F02DF9">
        <w:rPr>
          <w:sz w:val="22"/>
          <w:szCs w:val="22"/>
        </w:rPr>
        <w:t xml:space="preserve">er and exhibit for the [USDLA] </w:t>
      </w:r>
      <w:r w:rsidR="006730A5" w:rsidRPr="00F02DF9">
        <w:rPr>
          <w:sz w:val="22"/>
          <w:szCs w:val="22"/>
        </w:rPr>
        <w:t xml:space="preserve">grant approval for Brockton.  Please let me know if you have any questions.  I believe that it is ready to go to Anne and for John [Flores] to sign.  FYI - </w:t>
      </w:r>
      <w:r w:rsidR="006730A5" w:rsidRPr="00F02DF9">
        <w:rPr>
          <w:b/>
          <w:sz w:val="22"/>
          <w:szCs w:val="22"/>
        </w:rPr>
        <w:t xml:space="preserve">- </w:t>
      </w:r>
      <w:r w:rsidR="006730A5" w:rsidRPr="00F02DF9">
        <w:rPr>
          <w:i/>
          <w:sz w:val="22"/>
          <w:szCs w:val="22"/>
        </w:rPr>
        <w:t>I completed it completely so all you need to do is print it off!</w:t>
      </w:r>
      <w:r w:rsidR="006730A5" w:rsidRPr="00F02DF9">
        <w:rPr>
          <w:sz w:val="22"/>
          <w:szCs w:val="22"/>
        </w:rPr>
        <w:t>”</w:t>
      </w:r>
      <w:r w:rsidR="006730A5" w:rsidRPr="00B2274F">
        <w:rPr>
          <w:rStyle w:val="FootnoteReference"/>
          <w:sz w:val="22"/>
          <w:szCs w:val="22"/>
        </w:rPr>
        <w:footnoteReference w:id="59"/>
      </w:r>
      <w:r w:rsidR="00544E28">
        <w:rPr>
          <w:sz w:val="22"/>
          <w:szCs w:val="22"/>
        </w:rPr>
        <w:t xml:space="preserve"> </w:t>
      </w:r>
      <w:r w:rsidR="00E37331">
        <w:rPr>
          <w:sz w:val="22"/>
          <w:szCs w:val="22"/>
        </w:rPr>
        <w:t xml:space="preserve"> </w:t>
      </w:r>
    </w:p>
    <w:p w:rsidR="00182AA5" w:rsidRPr="005B5644" w:rsidRDefault="00182AA5" w:rsidP="005B5644">
      <w:pPr>
        <w:pStyle w:val="par1"/>
        <w:numPr>
          <w:ilvl w:val="0"/>
          <w:numId w:val="0"/>
        </w:numPr>
        <w:ind w:left="720"/>
        <w:rPr>
          <w:b/>
          <w:color w:val="000000"/>
          <w:sz w:val="22"/>
          <w:szCs w:val="22"/>
        </w:rPr>
      </w:pPr>
    </w:p>
    <w:p w:rsidR="00182AA5" w:rsidRPr="005B5644" w:rsidRDefault="00182AA5" w:rsidP="00F02DF9">
      <w:pPr>
        <w:pStyle w:val="par1"/>
        <w:tabs>
          <w:tab w:val="num" w:pos="1440"/>
        </w:tabs>
        <w:ind w:left="0"/>
        <w:rPr>
          <w:b/>
          <w:color w:val="000000"/>
          <w:sz w:val="22"/>
          <w:szCs w:val="22"/>
        </w:rPr>
      </w:pPr>
      <w:r w:rsidRPr="002732C8">
        <w:rPr>
          <w:sz w:val="22"/>
          <w:szCs w:val="22"/>
        </w:rPr>
        <w:t xml:space="preserve">Even the DDF grant approval letters </w:t>
      </w:r>
      <w:r w:rsidR="001776D8">
        <w:rPr>
          <w:sz w:val="22"/>
          <w:szCs w:val="22"/>
        </w:rPr>
        <w:t xml:space="preserve">and exhibits </w:t>
      </w:r>
      <w:r w:rsidRPr="002732C8">
        <w:rPr>
          <w:sz w:val="22"/>
          <w:szCs w:val="22"/>
        </w:rPr>
        <w:t xml:space="preserve">were not drafted </w:t>
      </w:r>
      <w:r w:rsidR="001776D8">
        <w:rPr>
          <w:sz w:val="22"/>
          <w:szCs w:val="22"/>
        </w:rPr>
        <w:t xml:space="preserve">and prepared </w:t>
      </w:r>
      <w:r w:rsidRPr="002732C8">
        <w:rPr>
          <w:sz w:val="22"/>
          <w:szCs w:val="22"/>
        </w:rPr>
        <w:t xml:space="preserve">by </w:t>
      </w:r>
      <w:r w:rsidR="00426DF0">
        <w:rPr>
          <w:sz w:val="22"/>
          <w:szCs w:val="22"/>
        </w:rPr>
        <w:t>USDLA</w:t>
      </w:r>
      <w:r w:rsidR="002732C8">
        <w:rPr>
          <w:sz w:val="22"/>
          <w:szCs w:val="22"/>
        </w:rPr>
        <w:t>, but instead by Achieve</w:t>
      </w:r>
      <w:r w:rsidR="002732C8" w:rsidRPr="002732C8">
        <w:rPr>
          <w:sz w:val="22"/>
          <w:szCs w:val="22"/>
        </w:rPr>
        <w:t>.</w:t>
      </w:r>
      <w:r w:rsidR="008A7D3B">
        <w:rPr>
          <w:rStyle w:val="FootnoteReference"/>
          <w:sz w:val="22"/>
          <w:szCs w:val="22"/>
        </w:rPr>
        <w:footnoteReference w:id="60"/>
      </w:r>
      <w:r w:rsidR="002732C8" w:rsidRPr="002732C8">
        <w:rPr>
          <w:sz w:val="22"/>
          <w:szCs w:val="22"/>
        </w:rPr>
        <w:t xml:space="preserve">  </w:t>
      </w:r>
      <w:r w:rsidR="00824D80" w:rsidRPr="005B5644">
        <w:rPr>
          <w:sz w:val="22"/>
          <w:szCs w:val="22"/>
        </w:rPr>
        <w:t>USDLA had a standard cover letter for its grant approvals, to which it attached exhibits containing the grant details</w:t>
      </w:r>
      <w:r w:rsidR="001776D8">
        <w:rPr>
          <w:sz w:val="22"/>
          <w:szCs w:val="22"/>
        </w:rPr>
        <w:t xml:space="preserve">, </w:t>
      </w:r>
      <w:r w:rsidR="00824D80" w:rsidRPr="005B5644">
        <w:rPr>
          <w:sz w:val="22"/>
          <w:szCs w:val="22"/>
        </w:rPr>
        <w:t>including the level of funding</w:t>
      </w:r>
      <w:r w:rsidR="002732C8">
        <w:rPr>
          <w:sz w:val="22"/>
          <w:szCs w:val="22"/>
        </w:rPr>
        <w:t>.</w:t>
      </w:r>
      <w:r w:rsidR="008A7D3B">
        <w:rPr>
          <w:rStyle w:val="FootnoteReference"/>
          <w:sz w:val="22"/>
          <w:szCs w:val="22"/>
        </w:rPr>
        <w:footnoteReference w:id="61"/>
      </w:r>
      <w:r w:rsidR="002732C8">
        <w:rPr>
          <w:sz w:val="22"/>
          <w:szCs w:val="22"/>
        </w:rPr>
        <w:t xml:space="preserve">  </w:t>
      </w:r>
      <w:r w:rsidR="00824D80" w:rsidRPr="005B5644">
        <w:rPr>
          <w:sz w:val="22"/>
          <w:szCs w:val="22"/>
        </w:rPr>
        <w:t xml:space="preserve">Once Achieve provided </w:t>
      </w:r>
      <w:r w:rsidR="00426DF0">
        <w:rPr>
          <w:sz w:val="22"/>
          <w:szCs w:val="22"/>
        </w:rPr>
        <w:t>USDLA</w:t>
      </w:r>
      <w:r w:rsidR="00824D80" w:rsidRPr="005B5644">
        <w:rPr>
          <w:sz w:val="22"/>
          <w:szCs w:val="22"/>
        </w:rPr>
        <w:t xml:space="preserve"> with the</w:t>
      </w:r>
      <w:r w:rsidR="00D47B67">
        <w:rPr>
          <w:sz w:val="22"/>
          <w:szCs w:val="22"/>
        </w:rPr>
        <w:t xml:space="preserve"> </w:t>
      </w:r>
      <w:r w:rsidR="00824D80" w:rsidRPr="005B5644">
        <w:rPr>
          <w:sz w:val="22"/>
          <w:szCs w:val="22"/>
        </w:rPr>
        <w:t xml:space="preserve">exhibits </w:t>
      </w:r>
      <w:r w:rsidR="00A82634">
        <w:rPr>
          <w:sz w:val="22"/>
          <w:szCs w:val="22"/>
        </w:rPr>
        <w:t xml:space="preserve">indicating </w:t>
      </w:r>
      <w:r w:rsidR="00824D80" w:rsidRPr="005B5644">
        <w:rPr>
          <w:sz w:val="22"/>
          <w:szCs w:val="22"/>
        </w:rPr>
        <w:t xml:space="preserve">the amount of the grants and other details </w:t>
      </w:r>
      <w:r w:rsidR="008E32D6" w:rsidRPr="005B5644">
        <w:rPr>
          <w:sz w:val="22"/>
          <w:szCs w:val="22"/>
        </w:rPr>
        <w:t xml:space="preserve">about the </w:t>
      </w:r>
      <w:r w:rsidR="002732C8">
        <w:rPr>
          <w:sz w:val="22"/>
          <w:szCs w:val="22"/>
        </w:rPr>
        <w:t>S</w:t>
      </w:r>
      <w:r w:rsidR="008E32D6" w:rsidRPr="005B5644">
        <w:rPr>
          <w:sz w:val="22"/>
          <w:szCs w:val="22"/>
        </w:rPr>
        <w:t xml:space="preserve">chool’s </w:t>
      </w:r>
      <w:r w:rsidR="00824D80" w:rsidRPr="005B5644">
        <w:rPr>
          <w:sz w:val="22"/>
          <w:szCs w:val="22"/>
        </w:rPr>
        <w:t>E-rate services</w:t>
      </w:r>
      <w:r w:rsidR="008E32D6" w:rsidRPr="005B5644">
        <w:rPr>
          <w:sz w:val="22"/>
          <w:szCs w:val="22"/>
        </w:rPr>
        <w:t xml:space="preserve">, </w:t>
      </w:r>
      <w:r w:rsidR="00824D80" w:rsidRPr="005B5644">
        <w:rPr>
          <w:sz w:val="22"/>
          <w:szCs w:val="22"/>
        </w:rPr>
        <w:t xml:space="preserve">Dr. Flores would sign and </w:t>
      </w:r>
      <w:r w:rsidR="00430365">
        <w:rPr>
          <w:sz w:val="22"/>
          <w:szCs w:val="22"/>
        </w:rPr>
        <w:t>send</w:t>
      </w:r>
      <w:r w:rsidR="00824D80" w:rsidRPr="005B5644">
        <w:rPr>
          <w:sz w:val="22"/>
          <w:szCs w:val="22"/>
        </w:rPr>
        <w:t xml:space="preserve"> the approval </w:t>
      </w:r>
      <w:r w:rsidR="00430365">
        <w:rPr>
          <w:sz w:val="22"/>
          <w:szCs w:val="22"/>
        </w:rPr>
        <w:t>letter</w:t>
      </w:r>
      <w:r w:rsidR="00824D80" w:rsidRPr="005B5644">
        <w:rPr>
          <w:sz w:val="22"/>
          <w:szCs w:val="22"/>
        </w:rPr>
        <w:t xml:space="preserve"> to Achieve</w:t>
      </w:r>
      <w:r w:rsidR="002732C8">
        <w:rPr>
          <w:sz w:val="22"/>
          <w:szCs w:val="22"/>
        </w:rPr>
        <w:t>’s</w:t>
      </w:r>
      <w:r w:rsidR="00824D80" w:rsidRPr="005B5644">
        <w:rPr>
          <w:sz w:val="22"/>
          <w:szCs w:val="22"/>
        </w:rPr>
        <w:t xml:space="preserve"> clients.</w:t>
      </w:r>
      <w:r w:rsidR="00055B4D" w:rsidRPr="002732C8">
        <w:rPr>
          <w:rStyle w:val="FootnoteReference"/>
          <w:sz w:val="22"/>
          <w:szCs w:val="22"/>
        </w:rPr>
        <w:footnoteReference w:id="62"/>
      </w:r>
      <w:r w:rsidR="00055B4D" w:rsidRPr="002732C8">
        <w:rPr>
          <w:sz w:val="22"/>
          <w:szCs w:val="22"/>
        </w:rPr>
        <w:t xml:space="preserve"> </w:t>
      </w:r>
      <w:r w:rsidR="00E37331" w:rsidRPr="002732C8">
        <w:rPr>
          <w:sz w:val="22"/>
          <w:szCs w:val="22"/>
        </w:rPr>
        <w:t xml:space="preserve"> </w:t>
      </w:r>
      <w:r w:rsidR="00430365">
        <w:rPr>
          <w:sz w:val="22"/>
          <w:szCs w:val="22"/>
        </w:rPr>
        <w:t>Although</w:t>
      </w:r>
      <w:r w:rsidR="001776D8">
        <w:rPr>
          <w:sz w:val="22"/>
          <w:szCs w:val="22"/>
        </w:rPr>
        <w:t xml:space="preserve"> </w:t>
      </w:r>
      <w:r w:rsidRPr="002732C8">
        <w:rPr>
          <w:sz w:val="22"/>
          <w:szCs w:val="22"/>
        </w:rPr>
        <w:t xml:space="preserve">Dr. Flores </w:t>
      </w:r>
      <w:r w:rsidR="00426DF0">
        <w:rPr>
          <w:sz w:val="22"/>
          <w:szCs w:val="22"/>
        </w:rPr>
        <w:t xml:space="preserve">signed </w:t>
      </w:r>
      <w:r w:rsidRPr="002732C8">
        <w:rPr>
          <w:sz w:val="22"/>
          <w:szCs w:val="22"/>
        </w:rPr>
        <w:t xml:space="preserve">the </w:t>
      </w:r>
      <w:r w:rsidR="00D47B67">
        <w:rPr>
          <w:sz w:val="22"/>
          <w:szCs w:val="22"/>
        </w:rPr>
        <w:t xml:space="preserve">approval </w:t>
      </w:r>
      <w:r w:rsidRPr="002732C8">
        <w:rPr>
          <w:sz w:val="22"/>
          <w:szCs w:val="22"/>
        </w:rPr>
        <w:t>letter</w:t>
      </w:r>
      <w:r w:rsidR="00D47B67">
        <w:rPr>
          <w:sz w:val="22"/>
          <w:szCs w:val="22"/>
        </w:rPr>
        <w:t>s</w:t>
      </w:r>
      <w:r w:rsidRPr="002732C8">
        <w:rPr>
          <w:sz w:val="22"/>
          <w:szCs w:val="22"/>
        </w:rPr>
        <w:t xml:space="preserve">, </w:t>
      </w:r>
      <w:r w:rsidR="001776D8">
        <w:rPr>
          <w:sz w:val="22"/>
          <w:szCs w:val="22"/>
        </w:rPr>
        <w:t xml:space="preserve">the record shows that </w:t>
      </w:r>
      <w:r w:rsidR="00426DF0">
        <w:rPr>
          <w:sz w:val="22"/>
          <w:szCs w:val="22"/>
        </w:rPr>
        <w:t>USDLA approved the DDF grants only after it r</w:t>
      </w:r>
      <w:r w:rsidR="00007C3D">
        <w:rPr>
          <w:sz w:val="22"/>
          <w:szCs w:val="22"/>
        </w:rPr>
        <w:t xml:space="preserve">eceived from </w:t>
      </w:r>
      <w:r w:rsidRPr="002732C8">
        <w:rPr>
          <w:sz w:val="22"/>
          <w:szCs w:val="22"/>
        </w:rPr>
        <w:t>Achieve</w:t>
      </w:r>
      <w:r w:rsidR="001776D8">
        <w:rPr>
          <w:sz w:val="22"/>
          <w:szCs w:val="22"/>
        </w:rPr>
        <w:t xml:space="preserve"> key exhibits for the grant application, </w:t>
      </w:r>
      <w:r w:rsidR="00426DF0">
        <w:rPr>
          <w:sz w:val="22"/>
          <w:szCs w:val="22"/>
        </w:rPr>
        <w:t>including the amount for each grant</w:t>
      </w:r>
      <w:r w:rsidR="001776D8">
        <w:rPr>
          <w:sz w:val="22"/>
          <w:szCs w:val="22"/>
        </w:rPr>
        <w:t xml:space="preserve"> and </w:t>
      </w:r>
      <w:r w:rsidR="00007C3D">
        <w:rPr>
          <w:sz w:val="22"/>
          <w:szCs w:val="22"/>
        </w:rPr>
        <w:t>Achieve’s</w:t>
      </w:r>
      <w:r w:rsidR="001776D8">
        <w:rPr>
          <w:sz w:val="22"/>
          <w:szCs w:val="22"/>
        </w:rPr>
        <w:t xml:space="preserve"> consent</w:t>
      </w:r>
      <w:r w:rsidR="00007C3D">
        <w:rPr>
          <w:sz w:val="22"/>
          <w:szCs w:val="22"/>
        </w:rPr>
        <w:t xml:space="preserve"> to the funding of the grant</w:t>
      </w:r>
      <w:r w:rsidR="001776D8">
        <w:rPr>
          <w:sz w:val="22"/>
          <w:szCs w:val="22"/>
        </w:rPr>
        <w:t>.</w:t>
      </w:r>
      <w:r w:rsidR="00430365">
        <w:rPr>
          <w:rStyle w:val="FootnoteReference"/>
          <w:sz w:val="22"/>
          <w:szCs w:val="22"/>
        </w:rPr>
        <w:footnoteReference w:id="63"/>
      </w:r>
      <w:r w:rsidR="001776D8">
        <w:rPr>
          <w:sz w:val="22"/>
          <w:szCs w:val="22"/>
        </w:rPr>
        <w:t xml:space="preserve"> </w:t>
      </w:r>
    </w:p>
    <w:p w:rsidR="00182AA5" w:rsidRPr="002732C8" w:rsidRDefault="00182AA5" w:rsidP="005B5644">
      <w:pPr>
        <w:pStyle w:val="ListParagraph"/>
        <w:rPr>
          <w:sz w:val="22"/>
          <w:szCs w:val="22"/>
        </w:rPr>
      </w:pPr>
    </w:p>
    <w:p w:rsidR="00BC43FD" w:rsidRPr="005B5644" w:rsidRDefault="00182AA5" w:rsidP="00F02DF9">
      <w:pPr>
        <w:pStyle w:val="par1"/>
        <w:tabs>
          <w:tab w:val="num" w:pos="1440"/>
        </w:tabs>
        <w:ind w:left="0"/>
        <w:rPr>
          <w:b/>
          <w:color w:val="000000"/>
          <w:sz w:val="22"/>
          <w:szCs w:val="22"/>
        </w:rPr>
      </w:pPr>
      <w:r w:rsidRPr="002732C8">
        <w:rPr>
          <w:sz w:val="22"/>
          <w:szCs w:val="22"/>
        </w:rPr>
        <w:t xml:space="preserve">Subpoenaed documents </w:t>
      </w:r>
      <w:r w:rsidR="00430365">
        <w:rPr>
          <w:sz w:val="22"/>
          <w:szCs w:val="22"/>
        </w:rPr>
        <w:t xml:space="preserve">also </w:t>
      </w:r>
      <w:r w:rsidRPr="002732C8">
        <w:rPr>
          <w:sz w:val="22"/>
          <w:szCs w:val="22"/>
        </w:rPr>
        <w:t>show that Achieve drafted the response by Dr. Flores to a USAC inquiry about USDLA’s relationship with Achieve.  After receiving the inquiry from US</w:t>
      </w:r>
      <w:r w:rsidRPr="00A82634">
        <w:rPr>
          <w:sz w:val="22"/>
          <w:szCs w:val="22"/>
        </w:rPr>
        <w:t xml:space="preserve">AC, Dr. Flores reached out to Achieve for advice on how to respond, expressly asking Ms. Jackson and </w:t>
      </w:r>
      <w:r w:rsidR="00A13460">
        <w:rPr>
          <w:sz w:val="22"/>
          <w:szCs w:val="22"/>
        </w:rPr>
        <w:t>Mr.</w:t>
      </w:r>
      <w:r w:rsidRPr="00A82634">
        <w:rPr>
          <w:sz w:val="22"/>
          <w:szCs w:val="22"/>
        </w:rPr>
        <w:t xml:space="preserve"> Gatto, another Achieve employee, for guidance.</w:t>
      </w:r>
      <w:r w:rsidR="003238D9" w:rsidRPr="002732C8">
        <w:rPr>
          <w:rStyle w:val="FootnoteReference"/>
          <w:sz w:val="22"/>
          <w:szCs w:val="22"/>
        </w:rPr>
        <w:footnoteReference w:id="64"/>
      </w:r>
      <w:r w:rsidR="00347DAC">
        <w:rPr>
          <w:sz w:val="22"/>
          <w:szCs w:val="22"/>
        </w:rPr>
        <w:t xml:space="preserve"> </w:t>
      </w:r>
      <w:r w:rsidR="003238D9" w:rsidRPr="002732C8">
        <w:rPr>
          <w:sz w:val="22"/>
          <w:szCs w:val="22"/>
        </w:rPr>
        <w:t xml:space="preserve"> Mr. Gatto </w:t>
      </w:r>
      <w:r w:rsidR="00A53516" w:rsidRPr="002732C8">
        <w:rPr>
          <w:sz w:val="22"/>
          <w:szCs w:val="22"/>
        </w:rPr>
        <w:t xml:space="preserve">then </w:t>
      </w:r>
      <w:r w:rsidR="003238D9" w:rsidRPr="002732C8">
        <w:rPr>
          <w:sz w:val="22"/>
          <w:szCs w:val="22"/>
        </w:rPr>
        <w:t>drafted Dr. Flores’s response to USAC and directed Dr. Flores to sign and return the letter to Mr. Gatto.</w:t>
      </w:r>
      <w:r w:rsidR="003238D9" w:rsidRPr="002732C8">
        <w:rPr>
          <w:rStyle w:val="FootnoteReference"/>
          <w:sz w:val="22"/>
          <w:szCs w:val="22"/>
        </w:rPr>
        <w:footnoteReference w:id="65"/>
      </w:r>
      <w:r w:rsidR="003238D9" w:rsidRPr="002732C8">
        <w:rPr>
          <w:sz w:val="22"/>
          <w:szCs w:val="22"/>
        </w:rPr>
        <w:t xml:space="preserve">  </w:t>
      </w:r>
      <w:r w:rsidR="00A13460">
        <w:rPr>
          <w:sz w:val="22"/>
          <w:szCs w:val="22"/>
        </w:rPr>
        <w:t>The letter, which Dr. Flores subsequently sent to USAC, essentially states</w:t>
      </w:r>
      <w:r w:rsidR="003238D9" w:rsidRPr="002732C8">
        <w:rPr>
          <w:sz w:val="22"/>
          <w:szCs w:val="22"/>
        </w:rPr>
        <w:t xml:space="preserve"> that Achieve has never been a member or partner of USDLA and that no schools were guaranteed USDLA funding.</w:t>
      </w:r>
      <w:r w:rsidR="003238D9" w:rsidRPr="002732C8">
        <w:rPr>
          <w:rStyle w:val="FootnoteReference"/>
          <w:sz w:val="22"/>
          <w:szCs w:val="22"/>
        </w:rPr>
        <w:footnoteReference w:id="66"/>
      </w:r>
      <w:r w:rsidR="003238D9" w:rsidRPr="002732C8">
        <w:rPr>
          <w:sz w:val="22"/>
          <w:szCs w:val="22"/>
        </w:rPr>
        <w:t xml:space="preserve"> </w:t>
      </w:r>
      <w:r w:rsidR="00347DAC">
        <w:rPr>
          <w:sz w:val="22"/>
          <w:szCs w:val="22"/>
        </w:rPr>
        <w:t xml:space="preserve"> </w:t>
      </w:r>
      <w:r w:rsidR="003238D9" w:rsidRPr="002732C8">
        <w:rPr>
          <w:sz w:val="22"/>
          <w:szCs w:val="22"/>
        </w:rPr>
        <w:t xml:space="preserve">Thereafter, </w:t>
      </w:r>
      <w:r w:rsidR="003238D9" w:rsidRPr="005B5644">
        <w:rPr>
          <w:sz w:val="22"/>
          <w:szCs w:val="22"/>
        </w:rPr>
        <w:t>Achieve</w:t>
      </w:r>
      <w:r w:rsidR="00A4087D" w:rsidRPr="002732C8">
        <w:rPr>
          <w:sz w:val="22"/>
          <w:szCs w:val="22"/>
        </w:rPr>
        <w:t xml:space="preserve"> submitted</w:t>
      </w:r>
      <w:r w:rsidR="003238D9" w:rsidRPr="005B5644">
        <w:rPr>
          <w:sz w:val="22"/>
          <w:szCs w:val="22"/>
        </w:rPr>
        <w:t xml:space="preserve"> this letter </w:t>
      </w:r>
      <w:r w:rsidR="00A4087D" w:rsidRPr="002732C8">
        <w:rPr>
          <w:sz w:val="22"/>
          <w:szCs w:val="22"/>
        </w:rPr>
        <w:t xml:space="preserve">with </w:t>
      </w:r>
      <w:r w:rsidR="003238D9" w:rsidRPr="005B5644">
        <w:rPr>
          <w:sz w:val="22"/>
          <w:szCs w:val="22"/>
        </w:rPr>
        <w:t>its Request for Review</w:t>
      </w:r>
      <w:r w:rsidR="00AA2801" w:rsidRPr="002732C8">
        <w:rPr>
          <w:sz w:val="22"/>
          <w:szCs w:val="22"/>
        </w:rPr>
        <w:t xml:space="preserve"> and </w:t>
      </w:r>
      <w:r w:rsidR="00A53516" w:rsidRPr="002732C8">
        <w:rPr>
          <w:sz w:val="22"/>
          <w:szCs w:val="22"/>
        </w:rPr>
        <w:t>its</w:t>
      </w:r>
      <w:r w:rsidR="003238D9" w:rsidRPr="002732C8">
        <w:rPr>
          <w:sz w:val="22"/>
          <w:szCs w:val="22"/>
        </w:rPr>
        <w:t xml:space="preserve"> November 2014 </w:t>
      </w:r>
      <w:r w:rsidR="00EE473A" w:rsidRPr="002732C8">
        <w:rPr>
          <w:sz w:val="22"/>
          <w:szCs w:val="22"/>
        </w:rPr>
        <w:t>r</w:t>
      </w:r>
      <w:r w:rsidR="003238D9" w:rsidRPr="002732C8">
        <w:rPr>
          <w:sz w:val="22"/>
          <w:szCs w:val="22"/>
        </w:rPr>
        <w:t>esponse as the primary support for its assertion that Achieve had no role in the approval of the DDF grants or USDLA decision making.</w:t>
      </w:r>
      <w:r w:rsidR="00A53516" w:rsidRPr="002732C8">
        <w:rPr>
          <w:rStyle w:val="FootnoteReference"/>
          <w:sz w:val="22"/>
          <w:szCs w:val="22"/>
        </w:rPr>
        <w:footnoteReference w:id="67"/>
      </w:r>
      <w:r w:rsidR="00AA2801" w:rsidRPr="002732C8">
        <w:rPr>
          <w:sz w:val="22"/>
          <w:szCs w:val="22"/>
        </w:rPr>
        <w:t xml:space="preserve">  The </w:t>
      </w:r>
      <w:r w:rsidR="00A53516" w:rsidRPr="002732C8">
        <w:rPr>
          <w:sz w:val="22"/>
          <w:szCs w:val="22"/>
        </w:rPr>
        <w:t>veracity of this</w:t>
      </w:r>
      <w:r w:rsidR="00AA2801" w:rsidRPr="002732C8">
        <w:rPr>
          <w:sz w:val="22"/>
          <w:szCs w:val="22"/>
        </w:rPr>
        <w:t xml:space="preserve"> letter</w:t>
      </w:r>
      <w:r w:rsidR="00942699">
        <w:rPr>
          <w:sz w:val="22"/>
          <w:szCs w:val="22"/>
        </w:rPr>
        <w:t xml:space="preserve"> </w:t>
      </w:r>
      <w:r w:rsidR="00AA2801" w:rsidRPr="002732C8">
        <w:rPr>
          <w:sz w:val="22"/>
          <w:szCs w:val="22"/>
        </w:rPr>
        <w:t>is</w:t>
      </w:r>
      <w:r w:rsidR="00A53516" w:rsidRPr="002732C8">
        <w:rPr>
          <w:sz w:val="22"/>
          <w:szCs w:val="22"/>
        </w:rPr>
        <w:t xml:space="preserve"> </w:t>
      </w:r>
      <w:r w:rsidR="009861A6">
        <w:rPr>
          <w:sz w:val="22"/>
          <w:szCs w:val="22"/>
        </w:rPr>
        <w:t xml:space="preserve">highly </w:t>
      </w:r>
      <w:r w:rsidR="00A53516" w:rsidRPr="002732C8">
        <w:rPr>
          <w:sz w:val="22"/>
          <w:szCs w:val="22"/>
        </w:rPr>
        <w:t xml:space="preserve">questionable </w:t>
      </w:r>
      <w:r w:rsidR="00AA2801" w:rsidRPr="002732C8">
        <w:rPr>
          <w:sz w:val="22"/>
          <w:szCs w:val="22"/>
        </w:rPr>
        <w:t>given the fact that it was prepared by Achieve.</w:t>
      </w:r>
    </w:p>
    <w:p w:rsidR="00F02DF9" w:rsidRDefault="00F02DF9" w:rsidP="00F02DF9">
      <w:pPr>
        <w:pStyle w:val="ListParagraph"/>
        <w:rPr>
          <w:sz w:val="22"/>
          <w:szCs w:val="22"/>
        </w:rPr>
      </w:pPr>
    </w:p>
    <w:p w:rsidR="00622D75" w:rsidRDefault="00EF4E74" w:rsidP="00622D75">
      <w:pPr>
        <w:pStyle w:val="par1"/>
        <w:tabs>
          <w:tab w:val="num" w:pos="1440"/>
        </w:tabs>
        <w:ind w:left="0"/>
        <w:rPr>
          <w:b/>
          <w:color w:val="000000"/>
          <w:sz w:val="22"/>
          <w:szCs w:val="22"/>
        </w:rPr>
      </w:pPr>
      <w:r>
        <w:rPr>
          <w:sz w:val="22"/>
          <w:szCs w:val="22"/>
        </w:rPr>
        <w:t>T</w:t>
      </w:r>
      <w:r w:rsidRPr="00F02DF9">
        <w:rPr>
          <w:sz w:val="22"/>
          <w:szCs w:val="22"/>
        </w:rPr>
        <w:t xml:space="preserve">he </w:t>
      </w:r>
      <w:r>
        <w:rPr>
          <w:sz w:val="22"/>
          <w:szCs w:val="22"/>
        </w:rPr>
        <w:t xml:space="preserve">subpoenaed documents </w:t>
      </w:r>
      <w:r w:rsidR="00430365">
        <w:rPr>
          <w:sz w:val="22"/>
          <w:szCs w:val="22"/>
        </w:rPr>
        <w:t>further</w:t>
      </w:r>
      <w:r w:rsidR="001D3C36">
        <w:rPr>
          <w:sz w:val="22"/>
          <w:szCs w:val="22"/>
        </w:rPr>
        <w:t xml:space="preserve"> </w:t>
      </w:r>
      <w:r w:rsidRPr="00F02DF9">
        <w:rPr>
          <w:sz w:val="22"/>
          <w:szCs w:val="22"/>
        </w:rPr>
        <w:t xml:space="preserve">show that USDLA and Achieve </w:t>
      </w:r>
      <w:r>
        <w:rPr>
          <w:sz w:val="22"/>
          <w:szCs w:val="22"/>
        </w:rPr>
        <w:t xml:space="preserve">had </w:t>
      </w:r>
      <w:r w:rsidRPr="00F02DF9">
        <w:rPr>
          <w:sz w:val="22"/>
          <w:szCs w:val="22"/>
        </w:rPr>
        <w:t>an agreement by which USDLA would retain a portion of the funds deposited into the DDF as a “service fee” for issuing grants to Achieve’s client schools.</w:t>
      </w:r>
      <w:r>
        <w:rPr>
          <w:rStyle w:val="FootnoteReference"/>
          <w:sz w:val="22"/>
          <w:szCs w:val="22"/>
        </w:rPr>
        <w:footnoteReference w:id="68"/>
      </w:r>
      <w:r w:rsidRPr="00F02DF9">
        <w:rPr>
          <w:sz w:val="22"/>
          <w:szCs w:val="22"/>
        </w:rPr>
        <w:t xml:space="preserve"> </w:t>
      </w:r>
      <w:r w:rsidR="00FE7C33">
        <w:rPr>
          <w:sz w:val="22"/>
          <w:szCs w:val="22"/>
        </w:rPr>
        <w:t xml:space="preserve"> </w:t>
      </w:r>
      <w:r w:rsidR="003C1428" w:rsidRPr="00F02DF9">
        <w:rPr>
          <w:sz w:val="22"/>
          <w:szCs w:val="22"/>
        </w:rPr>
        <w:t>Th</w:t>
      </w:r>
      <w:r w:rsidR="006E71B2">
        <w:rPr>
          <w:sz w:val="22"/>
          <w:szCs w:val="22"/>
        </w:rPr>
        <w:t>is</w:t>
      </w:r>
      <w:r w:rsidR="00EF2063">
        <w:rPr>
          <w:sz w:val="22"/>
          <w:szCs w:val="22"/>
        </w:rPr>
        <w:t xml:space="preserve"> </w:t>
      </w:r>
      <w:r w:rsidR="00EC3574">
        <w:rPr>
          <w:sz w:val="22"/>
          <w:szCs w:val="22"/>
        </w:rPr>
        <w:t xml:space="preserve">is in conflict with </w:t>
      </w:r>
      <w:r w:rsidR="00D266B1">
        <w:rPr>
          <w:sz w:val="22"/>
          <w:szCs w:val="22"/>
        </w:rPr>
        <w:t>Ms</w:t>
      </w:r>
      <w:r w:rsidR="00B01672">
        <w:rPr>
          <w:sz w:val="22"/>
          <w:szCs w:val="22"/>
        </w:rPr>
        <w:t xml:space="preserve">. Jackson’s </w:t>
      </w:r>
      <w:r w:rsidR="00D266B1">
        <w:rPr>
          <w:sz w:val="22"/>
          <w:szCs w:val="22"/>
        </w:rPr>
        <w:t>assertions that</w:t>
      </w:r>
      <w:r w:rsidR="00D80E96">
        <w:rPr>
          <w:sz w:val="22"/>
          <w:szCs w:val="22"/>
        </w:rPr>
        <w:t>:</w:t>
      </w:r>
      <w:r w:rsidR="003C1428" w:rsidRPr="00F02DF9">
        <w:rPr>
          <w:sz w:val="22"/>
          <w:szCs w:val="22"/>
        </w:rPr>
        <w:t xml:space="preserve"> </w:t>
      </w:r>
      <w:r w:rsidR="00D80E96">
        <w:rPr>
          <w:sz w:val="22"/>
          <w:szCs w:val="22"/>
        </w:rPr>
        <w:t xml:space="preserve"> </w:t>
      </w:r>
      <w:r w:rsidR="003C1428" w:rsidRPr="00F02DF9">
        <w:rPr>
          <w:sz w:val="22"/>
          <w:szCs w:val="22"/>
        </w:rPr>
        <w:t>“</w:t>
      </w:r>
      <w:r w:rsidR="00FE7C33">
        <w:rPr>
          <w:sz w:val="22"/>
          <w:szCs w:val="22"/>
        </w:rPr>
        <w:t>[Achieve’s]</w:t>
      </w:r>
      <w:r w:rsidR="003C1428" w:rsidRPr="00F02DF9">
        <w:rPr>
          <w:sz w:val="22"/>
          <w:szCs w:val="22"/>
        </w:rPr>
        <w:t xml:space="preserve"> efforts concerning [USDLA grants] are not pursuant to any partnership </w:t>
      </w:r>
      <w:r w:rsidR="002D1CC1">
        <w:rPr>
          <w:sz w:val="22"/>
          <w:szCs w:val="22"/>
        </w:rPr>
        <w:t>or</w:t>
      </w:r>
      <w:r w:rsidR="003C1428" w:rsidRPr="00F02DF9">
        <w:rPr>
          <w:sz w:val="22"/>
          <w:szCs w:val="22"/>
        </w:rPr>
        <w:t xml:space="preserve"> agreement between USDLA and Achieve.”</w:t>
      </w:r>
      <w:r w:rsidR="003C1428">
        <w:rPr>
          <w:rStyle w:val="FootnoteReference"/>
          <w:sz w:val="22"/>
          <w:szCs w:val="22"/>
        </w:rPr>
        <w:footnoteReference w:id="69"/>
      </w:r>
      <w:r w:rsidR="00CE7BF4" w:rsidRPr="00F02DF9">
        <w:rPr>
          <w:sz w:val="22"/>
          <w:szCs w:val="22"/>
        </w:rPr>
        <w:t xml:space="preserve">  </w:t>
      </w:r>
      <w:r w:rsidR="00FE7C33">
        <w:rPr>
          <w:sz w:val="22"/>
          <w:szCs w:val="22"/>
        </w:rPr>
        <w:t>The</w:t>
      </w:r>
      <w:r w:rsidR="00EC3574">
        <w:rPr>
          <w:sz w:val="22"/>
          <w:szCs w:val="22"/>
        </w:rPr>
        <w:t xml:space="preserve"> record shows that</w:t>
      </w:r>
      <w:r w:rsidR="00FE7C33">
        <w:rPr>
          <w:sz w:val="22"/>
          <w:szCs w:val="22"/>
        </w:rPr>
        <w:t xml:space="preserve"> </w:t>
      </w:r>
      <w:r w:rsidR="002B3C73">
        <w:rPr>
          <w:sz w:val="22"/>
          <w:szCs w:val="22"/>
        </w:rPr>
        <w:t xml:space="preserve">Achieve and </w:t>
      </w:r>
      <w:r w:rsidR="00426DF0">
        <w:rPr>
          <w:sz w:val="22"/>
          <w:szCs w:val="22"/>
        </w:rPr>
        <w:t>USDLA</w:t>
      </w:r>
      <w:r w:rsidR="002B3C73">
        <w:rPr>
          <w:sz w:val="22"/>
          <w:szCs w:val="22"/>
        </w:rPr>
        <w:t xml:space="preserve"> agreed to a </w:t>
      </w:r>
      <w:r w:rsidR="00283E97" w:rsidRPr="00F02DF9">
        <w:rPr>
          <w:sz w:val="22"/>
          <w:szCs w:val="22"/>
        </w:rPr>
        <w:t xml:space="preserve">standard “service fee” </w:t>
      </w:r>
      <w:r w:rsidR="002B3C73">
        <w:rPr>
          <w:sz w:val="22"/>
          <w:szCs w:val="22"/>
        </w:rPr>
        <w:t xml:space="preserve">of </w:t>
      </w:r>
      <w:r w:rsidR="00283E97" w:rsidRPr="00F02DF9">
        <w:rPr>
          <w:sz w:val="22"/>
          <w:szCs w:val="22"/>
        </w:rPr>
        <w:t>10</w:t>
      </w:r>
      <w:r w:rsidR="00EF2063">
        <w:rPr>
          <w:sz w:val="22"/>
          <w:szCs w:val="22"/>
        </w:rPr>
        <w:t xml:space="preserve"> percent f</w:t>
      </w:r>
      <w:r w:rsidR="00283E97" w:rsidRPr="00F02DF9">
        <w:rPr>
          <w:sz w:val="22"/>
          <w:szCs w:val="22"/>
        </w:rPr>
        <w:t>or DDF re</w:t>
      </w:r>
      <w:r w:rsidR="00CE7BF4" w:rsidRPr="00F02DF9">
        <w:rPr>
          <w:sz w:val="22"/>
          <w:szCs w:val="22"/>
        </w:rPr>
        <w:t>venues brought in by Achieve</w:t>
      </w:r>
      <w:r w:rsidR="00851FE4" w:rsidRPr="00F02DF9">
        <w:rPr>
          <w:sz w:val="22"/>
          <w:szCs w:val="22"/>
        </w:rPr>
        <w:t xml:space="preserve"> and</w:t>
      </w:r>
      <w:r w:rsidR="00283E97" w:rsidRPr="00F02DF9">
        <w:rPr>
          <w:sz w:val="22"/>
          <w:szCs w:val="22"/>
        </w:rPr>
        <w:t xml:space="preserve"> 20</w:t>
      </w:r>
      <w:r w:rsidR="00EF2063">
        <w:rPr>
          <w:sz w:val="22"/>
          <w:szCs w:val="22"/>
        </w:rPr>
        <w:t xml:space="preserve"> percent </w:t>
      </w:r>
      <w:r w:rsidR="00283E97" w:rsidRPr="00F02DF9">
        <w:rPr>
          <w:sz w:val="22"/>
          <w:szCs w:val="22"/>
        </w:rPr>
        <w:t xml:space="preserve">for any DDF contributions </w:t>
      </w:r>
      <w:r w:rsidR="00CE7BF4" w:rsidRPr="00F02DF9">
        <w:rPr>
          <w:sz w:val="22"/>
          <w:szCs w:val="22"/>
        </w:rPr>
        <w:t>brought in by</w:t>
      </w:r>
      <w:r w:rsidR="00283E97" w:rsidRPr="00F02DF9">
        <w:rPr>
          <w:sz w:val="22"/>
          <w:szCs w:val="22"/>
        </w:rPr>
        <w:t xml:space="preserve"> USDLA.</w:t>
      </w:r>
      <w:r w:rsidR="00283E97">
        <w:rPr>
          <w:rStyle w:val="FootnoteReference"/>
          <w:sz w:val="22"/>
          <w:szCs w:val="22"/>
        </w:rPr>
        <w:footnoteReference w:id="70"/>
      </w:r>
      <w:r w:rsidR="00851FE4" w:rsidRPr="00F02DF9">
        <w:rPr>
          <w:sz w:val="22"/>
          <w:szCs w:val="22"/>
        </w:rPr>
        <w:t xml:space="preserve">  </w:t>
      </w:r>
      <w:r w:rsidR="005947C2" w:rsidRPr="00F02DF9">
        <w:rPr>
          <w:sz w:val="22"/>
          <w:szCs w:val="22"/>
        </w:rPr>
        <w:t xml:space="preserve">USDLA’s President, </w:t>
      </w:r>
      <w:r w:rsidR="00965B15">
        <w:rPr>
          <w:sz w:val="22"/>
          <w:szCs w:val="22"/>
        </w:rPr>
        <w:t>D</w:t>
      </w:r>
      <w:r w:rsidR="00283E97" w:rsidRPr="00F02DF9">
        <w:rPr>
          <w:sz w:val="22"/>
          <w:szCs w:val="22"/>
        </w:rPr>
        <w:t xml:space="preserve">r. Flores, described this on-going arrangement </w:t>
      </w:r>
      <w:r w:rsidR="005947C2" w:rsidRPr="00F02DF9">
        <w:rPr>
          <w:sz w:val="22"/>
          <w:szCs w:val="22"/>
        </w:rPr>
        <w:t>in an e</w:t>
      </w:r>
      <w:r w:rsidR="00D61133" w:rsidRPr="00F02DF9">
        <w:rPr>
          <w:sz w:val="22"/>
          <w:szCs w:val="22"/>
        </w:rPr>
        <w:t xml:space="preserve">mail to Ms. </w:t>
      </w:r>
      <w:r w:rsidR="00283E97" w:rsidRPr="00F02DF9">
        <w:rPr>
          <w:sz w:val="22"/>
          <w:szCs w:val="22"/>
        </w:rPr>
        <w:t xml:space="preserve">Jackson and </w:t>
      </w:r>
      <w:r w:rsidR="00D61133" w:rsidRPr="00F02DF9">
        <w:rPr>
          <w:sz w:val="22"/>
          <w:szCs w:val="22"/>
        </w:rPr>
        <w:t xml:space="preserve">Mr. </w:t>
      </w:r>
      <w:r w:rsidR="00847C9B">
        <w:rPr>
          <w:sz w:val="22"/>
          <w:szCs w:val="22"/>
        </w:rPr>
        <w:t>Gatto</w:t>
      </w:r>
      <w:r w:rsidR="00283E97" w:rsidRPr="00F02DF9">
        <w:rPr>
          <w:sz w:val="22"/>
          <w:szCs w:val="22"/>
        </w:rPr>
        <w:t>, stating</w:t>
      </w:r>
      <w:r w:rsidR="00913998">
        <w:rPr>
          <w:sz w:val="22"/>
          <w:szCs w:val="22"/>
        </w:rPr>
        <w:t xml:space="preserve">:  </w:t>
      </w:r>
      <w:r w:rsidR="00283E97" w:rsidRPr="00F02DF9">
        <w:rPr>
          <w:sz w:val="22"/>
          <w:szCs w:val="22"/>
        </w:rPr>
        <w:t>“</w:t>
      </w:r>
      <w:r w:rsidR="00D61133" w:rsidRPr="00F02DF9">
        <w:rPr>
          <w:sz w:val="22"/>
          <w:szCs w:val="22"/>
        </w:rPr>
        <w:t>[w]</w:t>
      </w:r>
      <w:r w:rsidR="00283E97" w:rsidRPr="00F02DF9">
        <w:rPr>
          <w:sz w:val="22"/>
          <w:szCs w:val="22"/>
        </w:rPr>
        <w:t xml:space="preserve">hen Vic and I spoke last year </w:t>
      </w:r>
      <w:r w:rsidR="002B4FD0" w:rsidRPr="00F02DF9">
        <w:rPr>
          <w:sz w:val="22"/>
          <w:szCs w:val="22"/>
        </w:rPr>
        <w:t>[in 2007]</w:t>
      </w:r>
      <w:r w:rsidR="00283E97" w:rsidRPr="00F02DF9">
        <w:rPr>
          <w:sz w:val="22"/>
          <w:szCs w:val="22"/>
        </w:rPr>
        <w:t xml:space="preserve"> we agreed that 10% was a temporary issue.  …. In the future let’s agree that if USDLA brings in the revenue it will be the 20% [service fee] and if Achieve brings it in, it will be 10%.”</w:t>
      </w:r>
      <w:r w:rsidR="00D61133">
        <w:rPr>
          <w:rStyle w:val="FootnoteReference"/>
          <w:sz w:val="22"/>
          <w:szCs w:val="22"/>
        </w:rPr>
        <w:footnoteReference w:id="71"/>
      </w:r>
      <w:r w:rsidR="002B4FD0" w:rsidRPr="00F02DF9">
        <w:rPr>
          <w:sz w:val="22"/>
          <w:szCs w:val="22"/>
        </w:rPr>
        <w:t xml:space="preserve">  </w:t>
      </w:r>
      <w:r w:rsidR="005947C2" w:rsidRPr="00F02DF9">
        <w:rPr>
          <w:sz w:val="22"/>
          <w:szCs w:val="22"/>
        </w:rPr>
        <w:t xml:space="preserve">Ms. Jackson </w:t>
      </w:r>
      <w:r w:rsidR="00283E97" w:rsidRPr="00F02DF9">
        <w:rPr>
          <w:sz w:val="22"/>
          <w:szCs w:val="22"/>
        </w:rPr>
        <w:t>confirm</w:t>
      </w:r>
      <w:r w:rsidR="005947C2" w:rsidRPr="00F02DF9">
        <w:rPr>
          <w:sz w:val="22"/>
          <w:szCs w:val="22"/>
        </w:rPr>
        <w:t>ed</w:t>
      </w:r>
      <w:r w:rsidR="00283E97" w:rsidRPr="00F02DF9">
        <w:rPr>
          <w:sz w:val="22"/>
          <w:szCs w:val="22"/>
        </w:rPr>
        <w:t xml:space="preserve"> this fee structure</w:t>
      </w:r>
      <w:r w:rsidR="005947C2" w:rsidRPr="00F02DF9">
        <w:rPr>
          <w:sz w:val="22"/>
          <w:szCs w:val="22"/>
        </w:rPr>
        <w:t xml:space="preserve"> in an </w:t>
      </w:r>
      <w:r w:rsidR="00913998">
        <w:rPr>
          <w:sz w:val="22"/>
          <w:szCs w:val="22"/>
        </w:rPr>
        <w:t xml:space="preserve">email to </w:t>
      </w:r>
      <w:r w:rsidR="002E7347">
        <w:rPr>
          <w:sz w:val="22"/>
          <w:szCs w:val="22"/>
        </w:rPr>
        <w:t>Dr. Flores</w:t>
      </w:r>
      <w:r w:rsidR="00913998">
        <w:rPr>
          <w:sz w:val="22"/>
          <w:szCs w:val="22"/>
        </w:rPr>
        <w:t xml:space="preserve"> stating:</w:t>
      </w:r>
      <w:r w:rsidR="00D61133" w:rsidRPr="00F02DF9">
        <w:rPr>
          <w:sz w:val="22"/>
          <w:szCs w:val="22"/>
        </w:rPr>
        <w:t xml:space="preserve"> </w:t>
      </w:r>
      <w:r w:rsidR="00913998">
        <w:rPr>
          <w:sz w:val="22"/>
          <w:szCs w:val="22"/>
        </w:rPr>
        <w:t xml:space="preserve"> </w:t>
      </w:r>
      <w:r w:rsidR="00D61133" w:rsidRPr="00F02DF9">
        <w:rPr>
          <w:sz w:val="22"/>
          <w:szCs w:val="22"/>
        </w:rPr>
        <w:t>“</w:t>
      </w:r>
      <w:r w:rsidR="00283E97" w:rsidRPr="00F02DF9">
        <w:rPr>
          <w:sz w:val="22"/>
          <w:szCs w:val="22"/>
        </w:rPr>
        <w:t xml:space="preserve">I think that is a fair compromise. </w:t>
      </w:r>
      <w:r w:rsidR="00D61133" w:rsidRPr="00F02DF9">
        <w:rPr>
          <w:sz w:val="22"/>
          <w:szCs w:val="22"/>
        </w:rPr>
        <w:t xml:space="preserve"> </w:t>
      </w:r>
      <w:r w:rsidR="00283E97" w:rsidRPr="00F02DF9">
        <w:rPr>
          <w:sz w:val="22"/>
          <w:szCs w:val="22"/>
        </w:rPr>
        <w:t>So, will you be replacing the 10% from this last transaction back into the account?  We are expecting donations within the next 10-14 days from private funders but for now we need that extra 10% available for the schools.  I will keep you updated.”</w:t>
      </w:r>
      <w:r w:rsidR="00D61133">
        <w:rPr>
          <w:rStyle w:val="FootnoteReference"/>
          <w:sz w:val="22"/>
          <w:szCs w:val="22"/>
        </w:rPr>
        <w:footnoteReference w:id="72"/>
      </w:r>
      <w:r w:rsidR="00283E97" w:rsidRPr="00F02DF9">
        <w:rPr>
          <w:sz w:val="22"/>
          <w:szCs w:val="22"/>
        </w:rPr>
        <w:t xml:space="preserve"> </w:t>
      </w:r>
      <w:r w:rsidR="00D73D54" w:rsidRPr="00F02DF9">
        <w:rPr>
          <w:sz w:val="22"/>
          <w:szCs w:val="22"/>
        </w:rPr>
        <w:t xml:space="preserve"> </w:t>
      </w:r>
      <w:r w:rsidR="00622D75">
        <w:rPr>
          <w:sz w:val="22"/>
          <w:szCs w:val="22"/>
        </w:rPr>
        <w:t xml:space="preserve"> </w:t>
      </w:r>
    </w:p>
    <w:p w:rsidR="00622D75" w:rsidRDefault="00622D75" w:rsidP="00622D75">
      <w:pPr>
        <w:pStyle w:val="par1"/>
        <w:numPr>
          <w:ilvl w:val="0"/>
          <w:numId w:val="0"/>
        </w:numPr>
        <w:ind w:left="720"/>
        <w:rPr>
          <w:b/>
          <w:color w:val="000000"/>
          <w:sz w:val="22"/>
          <w:szCs w:val="22"/>
        </w:rPr>
      </w:pPr>
    </w:p>
    <w:p w:rsidR="00D964A3" w:rsidRPr="00D964A3" w:rsidRDefault="00375E0B" w:rsidP="00D964A3">
      <w:pPr>
        <w:pStyle w:val="par1"/>
        <w:tabs>
          <w:tab w:val="num" w:pos="1440"/>
        </w:tabs>
        <w:ind w:left="0"/>
        <w:rPr>
          <w:color w:val="000000"/>
          <w:sz w:val="22"/>
          <w:szCs w:val="22"/>
        </w:rPr>
      </w:pPr>
      <w:r w:rsidRPr="009D1BA7">
        <w:rPr>
          <w:color w:val="000000"/>
          <w:sz w:val="22"/>
          <w:szCs w:val="22"/>
        </w:rPr>
        <w:t xml:space="preserve">Finally, </w:t>
      </w:r>
      <w:r w:rsidR="00D964A3">
        <w:rPr>
          <w:color w:val="000000"/>
          <w:sz w:val="22"/>
          <w:szCs w:val="22"/>
        </w:rPr>
        <w:t xml:space="preserve">Achieve </w:t>
      </w:r>
      <w:r w:rsidR="008C23F3">
        <w:rPr>
          <w:color w:val="000000"/>
          <w:sz w:val="22"/>
          <w:szCs w:val="22"/>
        </w:rPr>
        <w:t>sen</w:t>
      </w:r>
      <w:r w:rsidR="004A3591">
        <w:rPr>
          <w:color w:val="000000"/>
          <w:sz w:val="22"/>
          <w:szCs w:val="22"/>
        </w:rPr>
        <w:t>t</w:t>
      </w:r>
      <w:r w:rsidR="008C23F3">
        <w:rPr>
          <w:color w:val="000000"/>
          <w:sz w:val="22"/>
          <w:szCs w:val="22"/>
        </w:rPr>
        <w:t xml:space="preserve"> a monthly </w:t>
      </w:r>
      <w:r w:rsidR="008C23F3" w:rsidRPr="00F02DF9">
        <w:rPr>
          <w:sz w:val="22"/>
          <w:szCs w:val="22"/>
        </w:rPr>
        <w:t>invoice to each of the Schools itemizing the charges for its services.</w:t>
      </w:r>
      <w:r w:rsidR="008C23F3" w:rsidRPr="001E29E8">
        <w:rPr>
          <w:rStyle w:val="FootnoteReference"/>
          <w:rFonts w:cs="Courier New"/>
          <w:sz w:val="22"/>
          <w:szCs w:val="22"/>
        </w:rPr>
        <w:footnoteReference w:id="73"/>
      </w:r>
      <w:r w:rsidR="008C23F3" w:rsidRPr="00F02DF9">
        <w:rPr>
          <w:sz w:val="22"/>
          <w:szCs w:val="22"/>
        </w:rPr>
        <w:t xml:space="preserve">  </w:t>
      </w:r>
      <w:r w:rsidR="00F075B9" w:rsidRPr="009D1BA7">
        <w:rPr>
          <w:color w:val="000000"/>
          <w:sz w:val="22"/>
          <w:szCs w:val="22"/>
        </w:rPr>
        <w:t xml:space="preserve">The record shows that each invoice </w:t>
      </w:r>
      <w:r w:rsidR="005963A0">
        <w:rPr>
          <w:color w:val="000000"/>
          <w:sz w:val="22"/>
          <w:szCs w:val="22"/>
        </w:rPr>
        <w:t>included</w:t>
      </w:r>
      <w:r w:rsidR="00F075B9" w:rsidRPr="009D1BA7">
        <w:rPr>
          <w:color w:val="000000"/>
          <w:sz w:val="22"/>
          <w:szCs w:val="22"/>
        </w:rPr>
        <w:t xml:space="preserve"> a line item charge reflecting the amount of the School’s non-discount share with a note indicating that the School should not pay its non-discount share because it would be covered by the DDF grant.</w:t>
      </w:r>
      <w:r w:rsidR="005963A0" w:rsidRPr="001E29E8">
        <w:rPr>
          <w:rStyle w:val="FootnoteReference"/>
          <w:rFonts w:cs="Courier New"/>
          <w:sz w:val="22"/>
          <w:szCs w:val="22"/>
        </w:rPr>
        <w:footnoteReference w:id="74"/>
      </w:r>
      <w:r w:rsidR="00F075B9" w:rsidRPr="009D1BA7">
        <w:rPr>
          <w:color w:val="000000"/>
          <w:sz w:val="22"/>
          <w:szCs w:val="22"/>
        </w:rPr>
        <w:t xml:space="preserve">  Achieve sent copies of these monthly invoices to USDLA, and upon receipt of th</w:t>
      </w:r>
      <w:r w:rsidR="00AC4AFE">
        <w:rPr>
          <w:color w:val="000000"/>
          <w:sz w:val="22"/>
          <w:szCs w:val="22"/>
        </w:rPr>
        <w:t xml:space="preserve">e invoices, USDLA issued checks </w:t>
      </w:r>
      <w:r w:rsidR="00F075B9" w:rsidRPr="009D1BA7">
        <w:rPr>
          <w:color w:val="000000"/>
          <w:sz w:val="22"/>
          <w:szCs w:val="22"/>
        </w:rPr>
        <w:t>to Achieve to cover the Schools’ non-discount share of the costs of Achieve’s services</w:t>
      </w:r>
      <w:r w:rsidR="00AC4AFE">
        <w:rPr>
          <w:color w:val="000000"/>
          <w:sz w:val="22"/>
          <w:szCs w:val="22"/>
        </w:rPr>
        <w:t>.</w:t>
      </w:r>
      <w:r w:rsidR="005963A0" w:rsidRPr="001E29E8">
        <w:rPr>
          <w:rStyle w:val="FootnoteReference"/>
          <w:sz w:val="22"/>
          <w:szCs w:val="22"/>
        </w:rPr>
        <w:footnoteReference w:id="75"/>
      </w:r>
      <w:r w:rsidR="00F075B9" w:rsidRPr="009D1BA7">
        <w:rPr>
          <w:color w:val="000000"/>
          <w:sz w:val="22"/>
          <w:szCs w:val="22"/>
        </w:rPr>
        <w:t xml:space="preserve">  </w:t>
      </w:r>
    </w:p>
    <w:p w:rsidR="00D964A3" w:rsidRPr="008B7CF7" w:rsidRDefault="00D964A3" w:rsidP="00D964A3">
      <w:pPr>
        <w:pStyle w:val="par1"/>
        <w:numPr>
          <w:ilvl w:val="0"/>
          <w:numId w:val="0"/>
        </w:numPr>
        <w:ind w:left="720"/>
        <w:rPr>
          <w:color w:val="000000"/>
          <w:sz w:val="22"/>
        </w:rPr>
      </w:pPr>
    </w:p>
    <w:p w:rsidR="00D964A3" w:rsidRPr="008B7CF7" w:rsidRDefault="00D964A3" w:rsidP="00D964A3">
      <w:pPr>
        <w:pStyle w:val="par1"/>
        <w:tabs>
          <w:tab w:val="num" w:pos="1440"/>
        </w:tabs>
        <w:ind w:left="0"/>
        <w:rPr>
          <w:color w:val="000000"/>
          <w:sz w:val="22"/>
        </w:rPr>
      </w:pPr>
      <w:r w:rsidRPr="00D964A3">
        <w:rPr>
          <w:rStyle w:val="StyleNumberedparagraphs11ptChar"/>
          <w:szCs w:val="22"/>
        </w:rPr>
        <w:t>USAC sought to rescind and recover E-rate funds committed and/or disbursed to Achieve on behalf of the Schools after determining that Achieve provided the Schools with “a rebate for the [School’s] portion of the cost [of eligible products and services].”</w:t>
      </w:r>
      <w:r>
        <w:rPr>
          <w:rStyle w:val="FootnoteReference"/>
          <w:sz w:val="22"/>
          <w:szCs w:val="22"/>
        </w:rPr>
        <w:footnoteReference w:id="76"/>
      </w:r>
      <w:r w:rsidRPr="00D964A3">
        <w:rPr>
          <w:rStyle w:val="StyleNumberedparagraphs11ptChar"/>
          <w:szCs w:val="22"/>
        </w:rPr>
        <w:t xml:space="preserve">  USAC </w:t>
      </w:r>
      <w:r w:rsidR="00592CA6">
        <w:rPr>
          <w:rStyle w:val="StyleNumberedparagraphs11ptChar"/>
          <w:szCs w:val="22"/>
        </w:rPr>
        <w:t>explained</w:t>
      </w:r>
      <w:r w:rsidRPr="00D964A3">
        <w:rPr>
          <w:rStyle w:val="StyleNumberedparagraphs11ptChar"/>
          <w:szCs w:val="22"/>
        </w:rPr>
        <w:t xml:space="preserve"> that because of this rebate, Achieve had an unfair competitive advantage and thus the Schools failed to conduct a fair and open competitive bidding process, as they were required to do under the Commission’s rules.</w:t>
      </w:r>
      <w:r>
        <w:rPr>
          <w:rStyle w:val="FootnoteReference"/>
          <w:sz w:val="22"/>
          <w:szCs w:val="22"/>
        </w:rPr>
        <w:footnoteReference w:id="77"/>
      </w:r>
      <w:r w:rsidRPr="00D964A3">
        <w:rPr>
          <w:rStyle w:val="StyleNumberedparagraphs11ptChar"/>
          <w:szCs w:val="22"/>
        </w:rPr>
        <w:t xml:space="preserve">  USAC determined that Achieve and the Schools were responsible for these violations and, accordingly, initiated recovery actions against them for funding disbursed under the FCC Forms 471 identified herein.</w:t>
      </w:r>
      <w:r>
        <w:rPr>
          <w:rStyle w:val="FootnoteReference"/>
          <w:sz w:val="22"/>
          <w:szCs w:val="22"/>
        </w:rPr>
        <w:footnoteReference w:id="78"/>
      </w:r>
    </w:p>
    <w:p w:rsidR="00D964A3" w:rsidRDefault="00D964A3" w:rsidP="00D964A3">
      <w:pPr>
        <w:pStyle w:val="ListParagraph"/>
        <w:rPr>
          <w:sz w:val="22"/>
          <w:szCs w:val="22"/>
        </w:rPr>
      </w:pPr>
    </w:p>
    <w:p w:rsidR="00D964A3" w:rsidRDefault="00D964A3" w:rsidP="00D964A3">
      <w:pPr>
        <w:pStyle w:val="par1"/>
        <w:tabs>
          <w:tab w:val="num" w:pos="1440"/>
        </w:tabs>
        <w:ind w:left="0"/>
        <w:rPr>
          <w:b/>
          <w:color w:val="000000"/>
          <w:sz w:val="22"/>
          <w:szCs w:val="22"/>
        </w:rPr>
      </w:pPr>
      <w:r w:rsidRPr="00575D46">
        <w:rPr>
          <w:rStyle w:val="StyleNumberedparagraphs11ptChar"/>
          <w:szCs w:val="22"/>
        </w:rPr>
        <w:t>Achieve and the Schools subsequently appealed USAC’s decisions to the Commission.</w:t>
      </w:r>
      <w:r w:rsidRPr="00575D46">
        <w:rPr>
          <w:rStyle w:val="FootnoteReference"/>
          <w:sz w:val="22"/>
          <w:szCs w:val="22"/>
        </w:rPr>
        <w:footnoteReference w:id="79"/>
      </w:r>
      <w:r w:rsidR="006F0CA9">
        <w:rPr>
          <w:rStyle w:val="StyleNumberedparagraphs11ptChar"/>
          <w:szCs w:val="22"/>
        </w:rPr>
        <w:t xml:space="preserve"> In Achieve’s </w:t>
      </w:r>
      <w:r w:rsidRPr="00575D46">
        <w:rPr>
          <w:rStyle w:val="StyleNumberedparagraphs11ptChar"/>
          <w:szCs w:val="22"/>
        </w:rPr>
        <w:t xml:space="preserve">appeal, </w:t>
      </w:r>
      <w:r>
        <w:rPr>
          <w:rStyle w:val="StyleNumberedparagraphs11ptChar"/>
          <w:szCs w:val="22"/>
        </w:rPr>
        <w:t>as</w:t>
      </w:r>
      <w:r w:rsidR="006F0CA9">
        <w:rPr>
          <w:rStyle w:val="StyleNumberedparagraphs11ptChar"/>
          <w:szCs w:val="22"/>
        </w:rPr>
        <w:t xml:space="preserve"> elaborated </w:t>
      </w:r>
      <w:r>
        <w:rPr>
          <w:rStyle w:val="StyleNumberedparagraphs11ptChar"/>
          <w:szCs w:val="22"/>
        </w:rPr>
        <w:t xml:space="preserve">above, </w:t>
      </w:r>
      <w:r w:rsidRPr="00575D46">
        <w:rPr>
          <w:rStyle w:val="StyleNumberedparagraphs11ptChar"/>
          <w:szCs w:val="22"/>
        </w:rPr>
        <w:t xml:space="preserve">Achieve argues that it did not have a partnership with USDLA; it did not market its service as a no-cost service to the Schools; and </w:t>
      </w:r>
      <w:r w:rsidR="00426DF0">
        <w:rPr>
          <w:rStyle w:val="StyleNumberedparagraphs11ptChar"/>
          <w:szCs w:val="22"/>
        </w:rPr>
        <w:t>USDLA</w:t>
      </w:r>
      <w:r w:rsidRPr="00575D46">
        <w:rPr>
          <w:rStyle w:val="StyleNumberedparagraphs11ptChar"/>
          <w:szCs w:val="22"/>
        </w:rPr>
        <w:t xml:space="preserve"> grants were not earmarked for Achieve funding requests.</w:t>
      </w:r>
      <w:r w:rsidRPr="00575D46">
        <w:rPr>
          <w:rStyle w:val="FootnoteReference"/>
          <w:sz w:val="22"/>
          <w:szCs w:val="22"/>
        </w:rPr>
        <w:footnoteReference w:id="80"/>
      </w:r>
      <w:r w:rsidRPr="00575D46">
        <w:rPr>
          <w:rStyle w:val="StyleNumberedparagraphs11ptChar"/>
          <w:szCs w:val="22"/>
        </w:rPr>
        <w:t xml:space="preserve">  </w:t>
      </w:r>
      <w:r w:rsidRPr="00575D46">
        <w:rPr>
          <w:color w:val="000000"/>
          <w:sz w:val="22"/>
          <w:szCs w:val="22"/>
        </w:rPr>
        <w:t>Achieve also claims that it did not provide funds, either directly or indirectly, to USDLA to cover the Schools’ non-discount share, and that it had no role in deciding whether a USDLA grant would or would not be offered.</w:t>
      </w:r>
      <w:r w:rsidRPr="00575D46">
        <w:rPr>
          <w:rStyle w:val="FootnoteReference"/>
          <w:color w:val="000000"/>
          <w:sz w:val="22"/>
          <w:szCs w:val="22"/>
        </w:rPr>
        <w:footnoteReference w:id="81"/>
      </w:r>
      <w:r w:rsidRPr="00575D46">
        <w:rPr>
          <w:color w:val="000000"/>
          <w:sz w:val="22"/>
          <w:szCs w:val="22"/>
        </w:rPr>
        <w:t xml:space="preserve">  In </w:t>
      </w:r>
      <w:r w:rsidR="003F03BD">
        <w:rPr>
          <w:color w:val="000000"/>
          <w:sz w:val="22"/>
          <w:szCs w:val="22"/>
        </w:rPr>
        <w:t>the Schools</w:t>
      </w:r>
      <w:r w:rsidR="001D47A1">
        <w:rPr>
          <w:color w:val="000000"/>
          <w:sz w:val="22"/>
          <w:szCs w:val="22"/>
        </w:rPr>
        <w:t>’</w:t>
      </w:r>
      <w:r w:rsidR="003F03BD">
        <w:rPr>
          <w:color w:val="000000"/>
          <w:sz w:val="22"/>
          <w:szCs w:val="22"/>
        </w:rPr>
        <w:t xml:space="preserve"> </w:t>
      </w:r>
      <w:r w:rsidRPr="00575D46">
        <w:rPr>
          <w:color w:val="000000"/>
          <w:sz w:val="22"/>
          <w:szCs w:val="22"/>
        </w:rPr>
        <w:t>appeals, the Schools generally argue that</w:t>
      </w:r>
      <w:r w:rsidRPr="00575D46">
        <w:rPr>
          <w:rStyle w:val="StyleNumberedparagraphs11ptChar"/>
          <w:szCs w:val="22"/>
        </w:rPr>
        <w:t xml:space="preserve"> they were not aware that a partnership or relationship existed between Achieve and USDLA or that the funds used to pay the non-discount share were provided by Achieve indirectly.</w:t>
      </w:r>
      <w:r w:rsidRPr="00575D46">
        <w:rPr>
          <w:rStyle w:val="FootnoteReference"/>
          <w:sz w:val="22"/>
          <w:szCs w:val="22"/>
        </w:rPr>
        <w:footnoteReference w:id="82"/>
      </w:r>
      <w:r w:rsidRPr="00575D46">
        <w:rPr>
          <w:rStyle w:val="StyleNumberedparagraphs11ptChar"/>
          <w:szCs w:val="22"/>
        </w:rPr>
        <w:t xml:space="preserve">  The Schools also argue that they did, in fact, conduct fair and open competitive bidding processes before selecting Achieve as their service provider.</w:t>
      </w:r>
      <w:r w:rsidRPr="00575D46">
        <w:rPr>
          <w:rStyle w:val="FootnoteReference"/>
          <w:sz w:val="22"/>
          <w:szCs w:val="22"/>
        </w:rPr>
        <w:footnoteReference w:id="83"/>
      </w:r>
      <w:r w:rsidRPr="00575D46">
        <w:rPr>
          <w:rStyle w:val="StyleNumberedparagraphs11ptChar"/>
          <w:szCs w:val="22"/>
        </w:rPr>
        <w:t xml:space="preserve"> </w:t>
      </w:r>
      <w:r w:rsidRPr="00575D46">
        <w:rPr>
          <w:rStyle w:val="StyleNumberedparagraphs11ptChar"/>
          <w:b/>
          <w:color w:val="000000"/>
          <w:szCs w:val="22"/>
        </w:rPr>
        <w:t xml:space="preserve"> </w:t>
      </w:r>
      <w:r w:rsidRPr="00575D46">
        <w:rPr>
          <w:color w:val="000000"/>
          <w:sz w:val="22"/>
          <w:szCs w:val="22"/>
        </w:rPr>
        <w:t>Achieve and the Schools now ask the Commission to reverse USAC’s decision to rescind funding commitments and/or recover funding already disbursed for the requested services.</w:t>
      </w:r>
      <w:r w:rsidRPr="00575D46">
        <w:rPr>
          <w:rStyle w:val="FootnoteReference"/>
          <w:color w:val="000000"/>
          <w:sz w:val="22"/>
          <w:szCs w:val="22"/>
        </w:rPr>
        <w:footnoteReference w:id="84"/>
      </w:r>
      <w:r w:rsidRPr="00575D46">
        <w:rPr>
          <w:color w:val="000000"/>
          <w:sz w:val="22"/>
          <w:szCs w:val="22"/>
        </w:rPr>
        <w:t xml:space="preserve"> </w:t>
      </w:r>
    </w:p>
    <w:p w:rsidR="00304365" w:rsidRDefault="00304365" w:rsidP="00225DF4">
      <w:pPr>
        <w:pStyle w:val="par1"/>
        <w:numPr>
          <w:ilvl w:val="0"/>
          <w:numId w:val="0"/>
        </w:numPr>
        <w:rPr>
          <w:b/>
          <w:color w:val="000000"/>
          <w:sz w:val="22"/>
        </w:rPr>
      </w:pPr>
    </w:p>
    <w:p w:rsidR="00304365" w:rsidRDefault="00304365" w:rsidP="00225DF4">
      <w:pPr>
        <w:pStyle w:val="par1"/>
        <w:numPr>
          <w:ilvl w:val="0"/>
          <w:numId w:val="0"/>
        </w:numPr>
        <w:rPr>
          <w:b/>
          <w:color w:val="000000"/>
          <w:sz w:val="22"/>
        </w:rPr>
      </w:pPr>
      <w:r>
        <w:rPr>
          <w:b/>
          <w:color w:val="000000"/>
          <w:sz w:val="22"/>
        </w:rPr>
        <w:t>III.</w:t>
      </w:r>
      <w:r>
        <w:rPr>
          <w:b/>
          <w:color w:val="000000"/>
          <w:sz w:val="22"/>
        </w:rPr>
        <w:tab/>
        <w:t>DISCUSSION</w:t>
      </w:r>
    </w:p>
    <w:p w:rsidR="00304365" w:rsidRPr="00304365" w:rsidRDefault="00304365" w:rsidP="00225DF4">
      <w:pPr>
        <w:pStyle w:val="par1"/>
        <w:numPr>
          <w:ilvl w:val="0"/>
          <w:numId w:val="0"/>
        </w:numPr>
        <w:rPr>
          <w:b/>
          <w:color w:val="000000"/>
          <w:sz w:val="22"/>
        </w:rPr>
      </w:pPr>
    </w:p>
    <w:p w:rsidR="004C2960" w:rsidRPr="00D964A3" w:rsidRDefault="004C2960" w:rsidP="00D964A3">
      <w:pPr>
        <w:pStyle w:val="par1"/>
        <w:tabs>
          <w:tab w:val="num" w:pos="1440"/>
        </w:tabs>
        <w:ind w:left="0"/>
        <w:rPr>
          <w:b/>
          <w:color w:val="000000"/>
          <w:sz w:val="22"/>
          <w:szCs w:val="22"/>
        </w:rPr>
      </w:pPr>
      <w:r w:rsidRPr="00D964A3">
        <w:rPr>
          <w:sz w:val="22"/>
          <w:szCs w:val="22"/>
        </w:rPr>
        <w:t>After reviewing the record, we find that Achieve devised a scheme to pass through, control, and direct the disbursement of funds from USDLA to cover the Schools’ non-discount share of the</w:t>
      </w:r>
      <w:r w:rsidR="00225DF4">
        <w:rPr>
          <w:sz w:val="22"/>
          <w:szCs w:val="22"/>
        </w:rPr>
        <w:t xml:space="preserve"> </w:t>
      </w:r>
      <w:r w:rsidRPr="00D964A3">
        <w:rPr>
          <w:sz w:val="22"/>
          <w:szCs w:val="22"/>
        </w:rPr>
        <w:t>costs of Achieve’s services, in violation of E-rate program rules.</w:t>
      </w:r>
      <w:r w:rsidRPr="00575D46">
        <w:rPr>
          <w:rStyle w:val="FootnoteReference"/>
          <w:sz w:val="22"/>
          <w:szCs w:val="22"/>
        </w:rPr>
        <w:footnoteReference w:id="85"/>
      </w:r>
      <w:r w:rsidRPr="00D964A3">
        <w:rPr>
          <w:sz w:val="22"/>
          <w:szCs w:val="22"/>
        </w:rPr>
        <w:t xml:space="preserve">  We find that, as a result of this scheme, Achieve essentially provided “free services”</w:t>
      </w:r>
      <w:r w:rsidRPr="00D964A3">
        <w:rPr>
          <w:rStyle w:val="FootnoteReference"/>
          <w:sz w:val="22"/>
          <w:szCs w:val="22"/>
        </w:rPr>
        <w:t xml:space="preserve"> </w:t>
      </w:r>
      <w:r w:rsidRPr="00D964A3">
        <w:rPr>
          <w:sz w:val="22"/>
          <w:szCs w:val="22"/>
        </w:rPr>
        <w:t xml:space="preserve">to the Schools and caused the Schools to violate their obligation to pay their non-discount share, as required under section 54.523 of the Commission’s rules. </w:t>
      </w:r>
      <w:r w:rsidR="00DB60B6">
        <w:rPr>
          <w:sz w:val="22"/>
          <w:szCs w:val="22"/>
        </w:rPr>
        <w:t xml:space="preserve"> </w:t>
      </w:r>
      <w:r w:rsidRPr="00D964A3">
        <w:rPr>
          <w:sz w:val="22"/>
          <w:szCs w:val="22"/>
        </w:rPr>
        <w:t xml:space="preserve">In so doing, Achieve also violated its independent responsibilities for ensuring compliance with </w:t>
      </w:r>
      <w:r w:rsidRPr="00D964A3">
        <w:rPr>
          <w:color w:val="000000"/>
          <w:sz w:val="22"/>
          <w:szCs w:val="22"/>
        </w:rPr>
        <w:t>the non-discount share requirement through billing and collection efforts that the Commission requires of service providers participating in the E-rate program.</w:t>
      </w:r>
      <w:r w:rsidRPr="00575D46">
        <w:rPr>
          <w:rStyle w:val="FootnoteReference"/>
          <w:color w:val="000000"/>
          <w:sz w:val="22"/>
          <w:szCs w:val="22"/>
        </w:rPr>
        <w:footnoteReference w:id="86"/>
      </w:r>
      <w:r w:rsidRPr="00D964A3">
        <w:rPr>
          <w:sz w:val="22"/>
          <w:szCs w:val="22"/>
        </w:rPr>
        <w:t xml:space="preserve">  Additionally, we find that this scheme undermined the competitive bidding process </w:t>
      </w:r>
      <w:r w:rsidR="00304365">
        <w:rPr>
          <w:sz w:val="22"/>
          <w:szCs w:val="22"/>
        </w:rPr>
        <w:t>t</w:t>
      </w:r>
      <w:r w:rsidRPr="00D964A3">
        <w:rPr>
          <w:sz w:val="22"/>
          <w:szCs w:val="22"/>
        </w:rPr>
        <w:t>h</w:t>
      </w:r>
      <w:r w:rsidR="00304365">
        <w:rPr>
          <w:sz w:val="22"/>
          <w:szCs w:val="22"/>
        </w:rPr>
        <w:t>at</w:t>
      </w:r>
      <w:r w:rsidRPr="00D964A3">
        <w:rPr>
          <w:sz w:val="22"/>
          <w:szCs w:val="22"/>
        </w:rPr>
        <w:t xml:space="preserve"> is essential to the integrity of the E-rate program.  We discuss each of these program violations in more detail below.  </w:t>
      </w:r>
    </w:p>
    <w:p w:rsidR="004C2960" w:rsidRDefault="004C2960" w:rsidP="004C2960">
      <w:pPr>
        <w:pStyle w:val="ListParagraph"/>
        <w:rPr>
          <w:sz w:val="22"/>
          <w:szCs w:val="22"/>
        </w:rPr>
      </w:pPr>
    </w:p>
    <w:p w:rsidR="005963A0" w:rsidRDefault="0037772B" w:rsidP="005963A0">
      <w:pPr>
        <w:pStyle w:val="par1"/>
        <w:tabs>
          <w:tab w:val="num" w:pos="1440"/>
        </w:tabs>
        <w:ind w:left="0"/>
        <w:rPr>
          <w:sz w:val="22"/>
          <w:szCs w:val="22"/>
        </w:rPr>
      </w:pPr>
      <w:r>
        <w:rPr>
          <w:color w:val="000000"/>
          <w:sz w:val="22"/>
          <w:szCs w:val="22"/>
        </w:rPr>
        <w:t>As an initial matter, we</w:t>
      </w:r>
      <w:r w:rsidR="005622AA" w:rsidRPr="00575D46">
        <w:rPr>
          <w:color w:val="000000"/>
          <w:sz w:val="22"/>
          <w:szCs w:val="22"/>
        </w:rPr>
        <w:t xml:space="preserve"> find that Achieve</w:t>
      </w:r>
      <w:r w:rsidR="00BC4897" w:rsidRPr="00575D46">
        <w:rPr>
          <w:sz w:val="22"/>
          <w:szCs w:val="22"/>
        </w:rPr>
        <w:t xml:space="preserve"> had </w:t>
      </w:r>
      <w:r w:rsidR="00BC4897" w:rsidRPr="00575D46">
        <w:rPr>
          <w:i/>
          <w:sz w:val="22"/>
          <w:szCs w:val="22"/>
        </w:rPr>
        <w:t>de facto</w:t>
      </w:r>
      <w:r w:rsidR="00BC4897" w:rsidRPr="00575D46">
        <w:rPr>
          <w:sz w:val="22"/>
          <w:szCs w:val="22"/>
        </w:rPr>
        <w:t xml:space="preserve"> control of </w:t>
      </w:r>
      <w:r w:rsidR="00525953" w:rsidRPr="00575D46">
        <w:rPr>
          <w:color w:val="000000"/>
          <w:sz w:val="22"/>
          <w:szCs w:val="22"/>
        </w:rPr>
        <w:t xml:space="preserve">USDLA’s </w:t>
      </w:r>
      <w:r w:rsidR="00F53781" w:rsidRPr="00575D46">
        <w:rPr>
          <w:color w:val="000000"/>
          <w:sz w:val="22"/>
          <w:szCs w:val="22"/>
        </w:rPr>
        <w:t>DDF</w:t>
      </w:r>
      <w:r w:rsidR="00964187" w:rsidRPr="00575D46">
        <w:rPr>
          <w:color w:val="000000"/>
          <w:sz w:val="22"/>
          <w:szCs w:val="22"/>
        </w:rPr>
        <w:t xml:space="preserve">, and through and with its </w:t>
      </w:r>
      <w:r w:rsidR="00614D22">
        <w:rPr>
          <w:color w:val="000000"/>
          <w:sz w:val="22"/>
          <w:szCs w:val="22"/>
        </w:rPr>
        <w:t>business associates</w:t>
      </w:r>
      <w:r w:rsidR="00964187" w:rsidRPr="00575D46">
        <w:rPr>
          <w:color w:val="000000"/>
          <w:sz w:val="22"/>
          <w:szCs w:val="22"/>
        </w:rPr>
        <w:t>, contributed substantial</w:t>
      </w:r>
      <w:r w:rsidR="00842586" w:rsidRPr="00575D46">
        <w:rPr>
          <w:color w:val="000000"/>
          <w:sz w:val="22"/>
          <w:szCs w:val="22"/>
        </w:rPr>
        <w:t xml:space="preserve"> funds</w:t>
      </w:r>
      <w:r w:rsidR="00964187" w:rsidRPr="00575D46">
        <w:rPr>
          <w:color w:val="000000"/>
          <w:sz w:val="22"/>
          <w:szCs w:val="22"/>
        </w:rPr>
        <w:t xml:space="preserve"> to the DDF</w:t>
      </w:r>
      <w:r w:rsidR="00842586" w:rsidRPr="00575D46">
        <w:rPr>
          <w:color w:val="000000"/>
          <w:sz w:val="22"/>
          <w:szCs w:val="22"/>
        </w:rPr>
        <w:t xml:space="preserve">.  </w:t>
      </w:r>
      <w:r w:rsidR="00842586" w:rsidRPr="008A629C">
        <w:rPr>
          <w:color w:val="000000"/>
          <w:sz w:val="22"/>
          <w:szCs w:val="22"/>
        </w:rPr>
        <w:t>As the evidence set forth above demonstrates,</w:t>
      </w:r>
      <w:r w:rsidR="007E6327" w:rsidRPr="008A629C">
        <w:rPr>
          <w:color w:val="000000"/>
          <w:sz w:val="22"/>
          <w:szCs w:val="22"/>
        </w:rPr>
        <w:t xml:space="preserve"> </w:t>
      </w:r>
      <w:r w:rsidR="00BC4897" w:rsidRPr="008A629C">
        <w:rPr>
          <w:sz w:val="22"/>
          <w:szCs w:val="22"/>
        </w:rPr>
        <w:t xml:space="preserve">Achieve provided funding for DDF grants through an entity </w:t>
      </w:r>
      <w:r w:rsidR="00614D22">
        <w:rPr>
          <w:sz w:val="22"/>
          <w:szCs w:val="22"/>
        </w:rPr>
        <w:t xml:space="preserve">(the Foundation) </w:t>
      </w:r>
      <w:r w:rsidR="00BC4897" w:rsidRPr="008A629C">
        <w:rPr>
          <w:sz w:val="22"/>
          <w:szCs w:val="22"/>
        </w:rPr>
        <w:t xml:space="preserve">that its principals controlled, and Achieve’s President, Ms. Jackson, was in continuous contact with </w:t>
      </w:r>
      <w:r w:rsidR="00426DF0">
        <w:rPr>
          <w:sz w:val="22"/>
          <w:szCs w:val="22"/>
        </w:rPr>
        <w:t>USDLA</w:t>
      </w:r>
      <w:r w:rsidR="00BC4897" w:rsidRPr="008A629C">
        <w:rPr>
          <w:sz w:val="22"/>
          <w:szCs w:val="22"/>
        </w:rPr>
        <w:t xml:space="preserve"> regarding the DDF’s administration.</w:t>
      </w:r>
      <w:r w:rsidR="00952CC2">
        <w:rPr>
          <w:rStyle w:val="FootnoteReference"/>
          <w:sz w:val="22"/>
          <w:szCs w:val="22"/>
        </w:rPr>
        <w:footnoteReference w:id="87"/>
      </w:r>
      <w:r w:rsidR="00BC4897" w:rsidRPr="008A629C">
        <w:rPr>
          <w:sz w:val="22"/>
          <w:szCs w:val="22"/>
        </w:rPr>
        <w:t xml:space="preserve">  </w:t>
      </w:r>
      <w:r w:rsidR="00D17933">
        <w:rPr>
          <w:sz w:val="22"/>
          <w:szCs w:val="22"/>
        </w:rPr>
        <w:t xml:space="preserve">As </w:t>
      </w:r>
      <w:r w:rsidR="00A4087D">
        <w:rPr>
          <w:sz w:val="22"/>
          <w:szCs w:val="22"/>
        </w:rPr>
        <w:t>previously</w:t>
      </w:r>
      <w:r w:rsidR="00D17933">
        <w:rPr>
          <w:sz w:val="22"/>
          <w:szCs w:val="22"/>
        </w:rPr>
        <w:t xml:space="preserve"> noted, in its November 2014 </w:t>
      </w:r>
      <w:r w:rsidR="003A051E">
        <w:rPr>
          <w:sz w:val="22"/>
          <w:szCs w:val="22"/>
        </w:rPr>
        <w:t>r</w:t>
      </w:r>
      <w:r w:rsidR="00D17933">
        <w:rPr>
          <w:sz w:val="22"/>
          <w:szCs w:val="22"/>
        </w:rPr>
        <w:t>esponse</w:t>
      </w:r>
      <w:r w:rsidR="00B633B8">
        <w:rPr>
          <w:sz w:val="22"/>
          <w:szCs w:val="22"/>
        </w:rPr>
        <w:t>,</w:t>
      </w:r>
      <w:r w:rsidR="00D17933">
        <w:rPr>
          <w:sz w:val="22"/>
          <w:szCs w:val="22"/>
        </w:rPr>
        <w:t xml:space="preserve"> Achieve now admit</w:t>
      </w:r>
      <w:r w:rsidR="00A4087D">
        <w:rPr>
          <w:sz w:val="22"/>
          <w:szCs w:val="22"/>
        </w:rPr>
        <w:t>s</w:t>
      </w:r>
      <w:r w:rsidR="00D17933">
        <w:rPr>
          <w:sz w:val="22"/>
          <w:szCs w:val="22"/>
        </w:rPr>
        <w:t xml:space="preserve"> that it funded the DDF through </w:t>
      </w:r>
      <w:r w:rsidR="003A051E">
        <w:rPr>
          <w:sz w:val="22"/>
          <w:szCs w:val="22"/>
        </w:rPr>
        <w:t>its</w:t>
      </w:r>
      <w:r w:rsidR="00D17933">
        <w:rPr>
          <w:sz w:val="22"/>
          <w:szCs w:val="22"/>
        </w:rPr>
        <w:t xml:space="preserve"> contributions to the Foundation, </w:t>
      </w:r>
      <w:r w:rsidR="00B633B8">
        <w:rPr>
          <w:sz w:val="22"/>
          <w:szCs w:val="22"/>
        </w:rPr>
        <w:t xml:space="preserve">knowing </w:t>
      </w:r>
      <w:r w:rsidR="00D17933">
        <w:rPr>
          <w:sz w:val="22"/>
          <w:szCs w:val="22"/>
        </w:rPr>
        <w:t xml:space="preserve">that these funds would provide grants to Achieve’s clients to </w:t>
      </w:r>
      <w:r w:rsidR="00EE473A">
        <w:rPr>
          <w:sz w:val="22"/>
          <w:szCs w:val="22"/>
        </w:rPr>
        <w:t>cover</w:t>
      </w:r>
      <w:r w:rsidR="00D17933">
        <w:rPr>
          <w:sz w:val="22"/>
          <w:szCs w:val="22"/>
        </w:rPr>
        <w:t xml:space="preserve"> their non-discount share.</w:t>
      </w:r>
      <w:r w:rsidR="00D17933">
        <w:rPr>
          <w:rStyle w:val="FootnoteReference"/>
          <w:sz w:val="22"/>
          <w:szCs w:val="22"/>
        </w:rPr>
        <w:footnoteReference w:id="88"/>
      </w:r>
      <w:r w:rsidR="00D17933">
        <w:rPr>
          <w:sz w:val="22"/>
          <w:szCs w:val="22"/>
        </w:rPr>
        <w:t xml:space="preserve">  T</w:t>
      </w:r>
      <w:r w:rsidR="00347DAC">
        <w:rPr>
          <w:sz w:val="22"/>
          <w:szCs w:val="22"/>
        </w:rPr>
        <w:t>hus, t</w:t>
      </w:r>
      <w:r w:rsidR="00BC4897" w:rsidRPr="008A629C">
        <w:rPr>
          <w:sz w:val="22"/>
          <w:szCs w:val="22"/>
        </w:rPr>
        <w:t xml:space="preserve">he record shows that:  </w:t>
      </w:r>
      <w:r w:rsidR="00614D22" w:rsidRPr="008A629C">
        <w:rPr>
          <w:sz w:val="22"/>
          <w:szCs w:val="22"/>
        </w:rPr>
        <w:t>(</w:t>
      </w:r>
      <w:r w:rsidR="00614D22">
        <w:rPr>
          <w:sz w:val="22"/>
          <w:szCs w:val="22"/>
        </w:rPr>
        <w:t>1</w:t>
      </w:r>
      <w:r w:rsidR="00614D22" w:rsidRPr="008A629C">
        <w:rPr>
          <w:sz w:val="22"/>
          <w:szCs w:val="22"/>
        </w:rPr>
        <w:t xml:space="preserve">) Achieve provided funds for the DDF, despite Ms. Jackson’s </w:t>
      </w:r>
      <w:r w:rsidR="00B8230C">
        <w:rPr>
          <w:sz w:val="22"/>
          <w:szCs w:val="22"/>
        </w:rPr>
        <w:t xml:space="preserve">earlier </w:t>
      </w:r>
      <w:r w:rsidR="00614D22" w:rsidRPr="008A629C">
        <w:rPr>
          <w:sz w:val="22"/>
          <w:szCs w:val="22"/>
        </w:rPr>
        <w:t>denials;</w:t>
      </w:r>
      <w:r w:rsidR="00614D22">
        <w:rPr>
          <w:rStyle w:val="FootnoteReference"/>
          <w:sz w:val="22"/>
          <w:szCs w:val="22"/>
        </w:rPr>
        <w:footnoteReference w:id="89"/>
      </w:r>
      <w:r w:rsidR="00614D22" w:rsidRPr="008A629C">
        <w:rPr>
          <w:sz w:val="22"/>
          <w:szCs w:val="22"/>
        </w:rPr>
        <w:t xml:space="preserve"> (</w:t>
      </w:r>
      <w:r w:rsidR="00614D22">
        <w:rPr>
          <w:sz w:val="22"/>
          <w:szCs w:val="22"/>
        </w:rPr>
        <w:t>2</w:t>
      </w:r>
      <w:r w:rsidR="00614D22" w:rsidRPr="008A629C">
        <w:rPr>
          <w:sz w:val="22"/>
          <w:szCs w:val="22"/>
        </w:rPr>
        <w:t>) Achieve and USDLA did, in fact, have an “agreement or understanding” as evidenced by the “service fee” arrangement expressly agreed upon by both parties</w:t>
      </w:r>
      <w:r w:rsidR="00614D22">
        <w:rPr>
          <w:sz w:val="22"/>
          <w:szCs w:val="22"/>
        </w:rPr>
        <w:t>;</w:t>
      </w:r>
      <w:r w:rsidR="00614D22">
        <w:rPr>
          <w:rStyle w:val="FootnoteReference"/>
          <w:sz w:val="22"/>
          <w:szCs w:val="22"/>
        </w:rPr>
        <w:footnoteReference w:id="90"/>
      </w:r>
      <w:r w:rsidR="00614D22" w:rsidRPr="008A629C">
        <w:rPr>
          <w:sz w:val="22"/>
          <w:szCs w:val="22"/>
        </w:rPr>
        <w:t xml:space="preserve"> </w:t>
      </w:r>
      <w:r w:rsidR="00BC4897" w:rsidRPr="008A629C">
        <w:rPr>
          <w:sz w:val="22"/>
          <w:szCs w:val="22"/>
        </w:rPr>
        <w:t>(</w:t>
      </w:r>
      <w:r w:rsidR="00614D22">
        <w:rPr>
          <w:sz w:val="22"/>
          <w:szCs w:val="22"/>
        </w:rPr>
        <w:t>3</w:t>
      </w:r>
      <w:r w:rsidR="00BC4897" w:rsidRPr="008A629C">
        <w:rPr>
          <w:sz w:val="22"/>
          <w:szCs w:val="22"/>
        </w:rPr>
        <w:t xml:space="preserve">) Achieve directed USDLA employees to award DDF monies to </w:t>
      </w:r>
      <w:r w:rsidR="00BC4897" w:rsidRPr="00D32A2C">
        <w:rPr>
          <w:sz w:val="22"/>
          <w:szCs w:val="22"/>
        </w:rPr>
        <w:t>only</w:t>
      </w:r>
      <w:r w:rsidR="00BC4897" w:rsidRPr="008A629C">
        <w:rPr>
          <w:sz w:val="22"/>
          <w:szCs w:val="22"/>
        </w:rPr>
        <w:t xml:space="preserve"> those schools </w:t>
      </w:r>
      <w:r w:rsidR="00B8230C">
        <w:rPr>
          <w:sz w:val="22"/>
          <w:szCs w:val="22"/>
        </w:rPr>
        <w:t xml:space="preserve">with </w:t>
      </w:r>
      <w:r w:rsidR="00BC4897" w:rsidRPr="008A629C">
        <w:rPr>
          <w:sz w:val="22"/>
          <w:szCs w:val="22"/>
        </w:rPr>
        <w:t xml:space="preserve">which Achieve </w:t>
      </w:r>
      <w:r w:rsidR="00B8230C">
        <w:rPr>
          <w:sz w:val="22"/>
          <w:szCs w:val="22"/>
        </w:rPr>
        <w:t xml:space="preserve">had an E-rate </w:t>
      </w:r>
      <w:r w:rsidR="00BC4897" w:rsidRPr="008A629C">
        <w:rPr>
          <w:sz w:val="22"/>
          <w:szCs w:val="22"/>
        </w:rPr>
        <w:t xml:space="preserve">service </w:t>
      </w:r>
      <w:r w:rsidR="00B8230C">
        <w:rPr>
          <w:sz w:val="22"/>
          <w:szCs w:val="22"/>
        </w:rPr>
        <w:t>contract</w:t>
      </w:r>
      <w:r w:rsidR="00BC4897" w:rsidRPr="008A629C">
        <w:rPr>
          <w:sz w:val="22"/>
          <w:szCs w:val="22"/>
        </w:rPr>
        <w:t>;</w:t>
      </w:r>
      <w:r w:rsidR="00BC4897">
        <w:rPr>
          <w:rStyle w:val="FootnoteReference"/>
          <w:sz w:val="22"/>
          <w:szCs w:val="22"/>
        </w:rPr>
        <w:footnoteReference w:id="91"/>
      </w:r>
      <w:r w:rsidR="00614D22">
        <w:rPr>
          <w:sz w:val="22"/>
          <w:szCs w:val="22"/>
        </w:rPr>
        <w:t xml:space="preserve"> and </w:t>
      </w:r>
      <w:r w:rsidR="00BC4897" w:rsidRPr="008A629C">
        <w:rPr>
          <w:sz w:val="22"/>
          <w:szCs w:val="22"/>
        </w:rPr>
        <w:t>(</w:t>
      </w:r>
      <w:r w:rsidR="00614D22">
        <w:rPr>
          <w:sz w:val="22"/>
          <w:szCs w:val="22"/>
        </w:rPr>
        <w:t>4</w:t>
      </w:r>
      <w:r w:rsidR="00BC4897" w:rsidRPr="008A629C">
        <w:rPr>
          <w:sz w:val="22"/>
          <w:szCs w:val="22"/>
        </w:rPr>
        <w:t xml:space="preserve">) Achieve instructed USDLA employees about what to do with the DDF funds and even wrote </w:t>
      </w:r>
      <w:r w:rsidR="00426DF0">
        <w:rPr>
          <w:sz w:val="22"/>
          <w:szCs w:val="22"/>
        </w:rPr>
        <w:t>USDLA</w:t>
      </w:r>
      <w:r w:rsidR="00BC4897" w:rsidRPr="008A629C">
        <w:rPr>
          <w:sz w:val="22"/>
          <w:szCs w:val="22"/>
        </w:rPr>
        <w:t xml:space="preserve"> approval let</w:t>
      </w:r>
      <w:r w:rsidR="00367C88">
        <w:rPr>
          <w:sz w:val="22"/>
          <w:szCs w:val="22"/>
        </w:rPr>
        <w:t>ters for some of the DDF grants.</w:t>
      </w:r>
      <w:r w:rsidR="00BC4897">
        <w:rPr>
          <w:rStyle w:val="FootnoteReference"/>
          <w:sz w:val="22"/>
          <w:szCs w:val="22"/>
        </w:rPr>
        <w:footnoteReference w:id="92"/>
      </w:r>
      <w:r w:rsidR="00BC4897" w:rsidRPr="008A629C">
        <w:rPr>
          <w:sz w:val="22"/>
          <w:szCs w:val="22"/>
        </w:rPr>
        <w:t xml:space="preserve"> </w:t>
      </w:r>
    </w:p>
    <w:p w:rsidR="005963A0" w:rsidRDefault="005963A0" w:rsidP="005963A0">
      <w:pPr>
        <w:pStyle w:val="ListParagraph"/>
        <w:rPr>
          <w:sz w:val="22"/>
          <w:szCs w:val="22"/>
        </w:rPr>
      </w:pPr>
    </w:p>
    <w:p w:rsidR="00F75F75" w:rsidRDefault="007618E4" w:rsidP="005963A0">
      <w:pPr>
        <w:pStyle w:val="par1"/>
        <w:tabs>
          <w:tab w:val="num" w:pos="1440"/>
        </w:tabs>
        <w:ind w:left="0"/>
        <w:rPr>
          <w:sz w:val="22"/>
          <w:szCs w:val="22"/>
        </w:rPr>
      </w:pPr>
      <w:r w:rsidRPr="005963A0">
        <w:rPr>
          <w:sz w:val="22"/>
          <w:szCs w:val="22"/>
        </w:rPr>
        <w:t xml:space="preserve">Further, </w:t>
      </w:r>
      <w:r w:rsidR="00F75F75" w:rsidRPr="005963A0">
        <w:rPr>
          <w:sz w:val="22"/>
          <w:szCs w:val="22"/>
        </w:rPr>
        <w:t xml:space="preserve">the record </w:t>
      </w:r>
      <w:r w:rsidR="00367C88">
        <w:rPr>
          <w:sz w:val="22"/>
          <w:szCs w:val="22"/>
        </w:rPr>
        <w:t>refutes</w:t>
      </w:r>
      <w:r w:rsidR="00DD587B">
        <w:rPr>
          <w:sz w:val="22"/>
          <w:szCs w:val="22"/>
        </w:rPr>
        <w:t xml:space="preserve"> </w:t>
      </w:r>
      <w:r w:rsidR="00F75F75" w:rsidRPr="005963A0">
        <w:rPr>
          <w:sz w:val="22"/>
          <w:szCs w:val="22"/>
        </w:rPr>
        <w:t xml:space="preserve">the numerous assertions made by Ms. Jackson “under penalty of perjury” </w:t>
      </w:r>
      <w:r w:rsidR="00F2560C">
        <w:rPr>
          <w:sz w:val="22"/>
          <w:szCs w:val="22"/>
        </w:rPr>
        <w:t xml:space="preserve">in the Jackson Response, </w:t>
      </w:r>
      <w:r w:rsidR="00F75F75" w:rsidRPr="005963A0">
        <w:rPr>
          <w:sz w:val="22"/>
          <w:szCs w:val="22"/>
        </w:rPr>
        <w:t>first to USAC in response to its inquiries, and subsequently to this Commission, when stating that</w:t>
      </w:r>
      <w:r w:rsidR="00E351EE">
        <w:rPr>
          <w:sz w:val="22"/>
          <w:szCs w:val="22"/>
        </w:rPr>
        <w:t xml:space="preserve">: </w:t>
      </w:r>
      <w:r w:rsidR="00F75F75" w:rsidRPr="005963A0">
        <w:rPr>
          <w:sz w:val="22"/>
          <w:szCs w:val="22"/>
        </w:rPr>
        <w:t xml:space="preserve"> (1) Achieve’s support for USDLA’s DDF is “not pursuant to any partnership or agreement or understanding between Achieve and USDLA or its officers relating to grant applications from applicants specifying Achieve’s services;” (2) there was “no </w:t>
      </w:r>
      <w:r w:rsidR="00F75F75" w:rsidRPr="005963A0">
        <w:rPr>
          <w:i/>
          <w:sz w:val="22"/>
          <w:szCs w:val="22"/>
        </w:rPr>
        <w:t>quid pro quo</w:t>
      </w:r>
      <w:r w:rsidR="00F75F75" w:rsidRPr="005963A0">
        <w:rPr>
          <w:sz w:val="22"/>
          <w:szCs w:val="22"/>
        </w:rPr>
        <w:t xml:space="preserve"> between Achieve and USDLA;” (3) there were no restrictions or understandings about how donations to USDLA should be used; </w:t>
      </w:r>
      <w:r w:rsidR="009024EC">
        <w:rPr>
          <w:sz w:val="22"/>
          <w:szCs w:val="22"/>
        </w:rPr>
        <w:t xml:space="preserve">(4) “Achieve had ZERO control over how USDLA grants were administered and funded;” </w:t>
      </w:r>
      <w:r w:rsidRPr="005963A0">
        <w:rPr>
          <w:sz w:val="22"/>
          <w:szCs w:val="22"/>
        </w:rPr>
        <w:t xml:space="preserve">and </w:t>
      </w:r>
      <w:r w:rsidR="00F75F75" w:rsidRPr="005963A0">
        <w:rPr>
          <w:sz w:val="22"/>
          <w:szCs w:val="22"/>
        </w:rPr>
        <w:t>(</w:t>
      </w:r>
      <w:r w:rsidR="009024EC">
        <w:rPr>
          <w:sz w:val="22"/>
          <w:szCs w:val="22"/>
        </w:rPr>
        <w:t>5</w:t>
      </w:r>
      <w:r w:rsidR="00F75F75" w:rsidRPr="005963A0">
        <w:rPr>
          <w:sz w:val="22"/>
          <w:szCs w:val="22"/>
        </w:rPr>
        <w:t xml:space="preserve">) “Achieve has no role in the process of considering or determining the eligibility of applications for any grants made by USDLA which process is </w:t>
      </w:r>
      <w:r w:rsidR="00F75F75" w:rsidRPr="005963A0">
        <w:rPr>
          <w:i/>
          <w:sz w:val="22"/>
          <w:szCs w:val="22"/>
        </w:rPr>
        <w:t>handled completely by USDLA personnel</w:t>
      </w:r>
      <w:r w:rsidRPr="00AA7C6D">
        <w:rPr>
          <w:sz w:val="22"/>
          <w:szCs w:val="22"/>
        </w:rPr>
        <w:t>”</w:t>
      </w:r>
      <w:r w:rsidRPr="005963A0">
        <w:rPr>
          <w:sz w:val="22"/>
          <w:szCs w:val="22"/>
        </w:rPr>
        <w:t xml:space="preserve"> (</w:t>
      </w:r>
      <w:r w:rsidR="002C7130">
        <w:rPr>
          <w:sz w:val="22"/>
          <w:szCs w:val="22"/>
        </w:rPr>
        <w:t>e</w:t>
      </w:r>
      <w:r w:rsidRPr="005963A0">
        <w:rPr>
          <w:sz w:val="22"/>
          <w:szCs w:val="22"/>
        </w:rPr>
        <w:t>mphasis added)</w:t>
      </w:r>
      <w:r w:rsidR="00F75F75" w:rsidRPr="005963A0">
        <w:rPr>
          <w:sz w:val="22"/>
          <w:szCs w:val="22"/>
        </w:rPr>
        <w:t>.</w:t>
      </w:r>
      <w:r w:rsidR="00F75F75" w:rsidRPr="00281BCF">
        <w:rPr>
          <w:rStyle w:val="FootnoteReference"/>
          <w:sz w:val="22"/>
          <w:szCs w:val="22"/>
        </w:rPr>
        <w:footnoteReference w:id="93"/>
      </w:r>
      <w:r w:rsidR="00F75F75" w:rsidRPr="005963A0">
        <w:rPr>
          <w:sz w:val="22"/>
          <w:szCs w:val="22"/>
        </w:rPr>
        <w:t xml:space="preserve"> </w:t>
      </w:r>
      <w:r w:rsidR="003B38FA" w:rsidRPr="005963A0">
        <w:rPr>
          <w:sz w:val="22"/>
          <w:szCs w:val="22"/>
        </w:rPr>
        <w:t xml:space="preserve"> The record discredits each of these assertions, and in turn discredits the credibility of Achieve’s principal, Ms. Jackson, who </w:t>
      </w:r>
      <w:r w:rsidR="00FA501C">
        <w:rPr>
          <w:sz w:val="22"/>
          <w:szCs w:val="22"/>
        </w:rPr>
        <w:t>made these claims under penalty of perjury</w:t>
      </w:r>
      <w:r w:rsidR="003B38FA" w:rsidRPr="005963A0">
        <w:rPr>
          <w:sz w:val="22"/>
          <w:szCs w:val="22"/>
        </w:rPr>
        <w:t>.</w:t>
      </w:r>
      <w:r w:rsidR="00E407F0">
        <w:rPr>
          <w:rStyle w:val="FootnoteReference"/>
          <w:sz w:val="22"/>
          <w:szCs w:val="22"/>
        </w:rPr>
        <w:footnoteReference w:id="94"/>
      </w:r>
      <w:r w:rsidR="003B38FA" w:rsidRPr="005963A0">
        <w:rPr>
          <w:sz w:val="22"/>
          <w:szCs w:val="22"/>
        </w:rPr>
        <w:t xml:space="preserve">  </w:t>
      </w:r>
      <w:r w:rsidR="00F75F75" w:rsidRPr="005963A0">
        <w:rPr>
          <w:sz w:val="22"/>
          <w:szCs w:val="22"/>
        </w:rPr>
        <w:t xml:space="preserve">Moreover, </w:t>
      </w:r>
      <w:r w:rsidR="004A3591">
        <w:rPr>
          <w:color w:val="000000"/>
          <w:sz w:val="22"/>
          <w:szCs w:val="22"/>
        </w:rPr>
        <w:t>t</w:t>
      </w:r>
      <w:r w:rsidR="004A3591" w:rsidRPr="002026A1">
        <w:rPr>
          <w:color w:val="000000"/>
          <w:sz w:val="22"/>
          <w:szCs w:val="22"/>
        </w:rPr>
        <w:t xml:space="preserve">he subpoenaed documents have revealed the full extent of the </w:t>
      </w:r>
      <w:r w:rsidR="004A3591">
        <w:rPr>
          <w:color w:val="000000"/>
          <w:sz w:val="22"/>
          <w:szCs w:val="22"/>
        </w:rPr>
        <w:t>concealed</w:t>
      </w:r>
      <w:r w:rsidR="004A3591" w:rsidRPr="002026A1">
        <w:rPr>
          <w:color w:val="000000"/>
          <w:sz w:val="22"/>
          <w:szCs w:val="22"/>
        </w:rPr>
        <w:t xml:space="preserve"> partnership between Achieve and </w:t>
      </w:r>
      <w:r w:rsidR="00426DF0">
        <w:rPr>
          <w:color w:val="000000"/>
          <w:sz w:val="22"/>
          <w:szCs w:val="22"/>
        </w:rPr>
        <w:t>USDLA</w:t>
      </w:r>
      <w:r w:rsidR="004A3591">
        <w:rPr>
          <w:color w:val="000000"/>
          <w:sz w:val="22"/>
          <w:szCs w:val="22"/>
        </w:rPr>
        <w:t xml:space="preserve">, </w:t>
      </w:r>
      <w:r w:rsidR="004A3591" w:rsidRPr="002026A1">
        <w:rPr>
          <w:color w:val="000000"/>
          <w:sz w:val="22"/>
          <w:szCs w:val="22"/>
        </w:rPr>
        <w:t>and the control that Ms. Jackson asserted over the DDF to benefit Achieve without regard to</w:t>
      </w:r>
      <w:r w:rsidR="004A3591">
        <w:rPr>
          <w:color w:val="000000"/>
          <w:sz w:val="22"/>
          <w:szCs w:val="22"/>
        </w:rPr>
        <w:t xml:space="preserve"> E-rate program</w:t>
      </w:r>
      <w:r w:rsidR="004A3591" w:rsidRPr="002026A1">
        <w:rPr>
          <w:color w:val="000000"/>
          <w:sz w:val="22"/>
          <w:szCs w:val="22"/>
        </w:rPr>
        <w:t xml:space="preserve"> rules</w:t>
      </w:r>
      <w:r w:rsidR="004A3591">
        <w:rPr>
          <w:color w:val="000000"/>
          <w:sz w:val="22"/>
          <w:szCs w:val="22"/>
        </w:rPr>
        <w:t>.  This</w:t>
      </w:r>
      <w:r w:rsidR="00F75F75" w:rsidRPr="005963A0">
        <w:rPr>
          <w:sz w:val="22"/>
          <w:szCs w:val="22"/>
        </w:rPr>
        <w:t xml:space="preserve"> evidence </w:t>
      </w:r>
      <w:r w:rsidR="004A3591">
        <w:rPr>
          <w:sz w:val="22"/>
          <w:szCs w:val="22"/>
        </w:rPr>
        <w:t>s</w:t>
      </w:r>
      <w:r w:rsidR="00F75F75" w:rsidRPr="005963A0">
        <w:rPr>
          <w:sz w:val="22"/>
          <w:szCs w:val="22"/>
        </w:rPr>
        <w:t xml:space="preserve">hows that Achieve had </w:t>
      </w:r>
      <w:r w:rsidR="00F75F75" w:rsidRPr="005963A0">
        <w:rPr>
          <w:i/>
          <w:sz w:val="22"/>
          <w:szCs w:val="22"/>
        </w:rPr>
        <w:t>de facto</w:t>
      </w:r>
      <w:r w:rsidR="00F75F75" w:rsidRPr="005963A0">
        <w:rPr>
          <w:sz w:val="22"/>
          <w:szCs w:val="22"/>
        </w:rPr>
        <w:t xml:space="preserve"> control over the DDF grants</w:t>
      </w:r>
      <w:r w:rsidR="00667A40">
        <w:rPr>
          <w:sz w:val="22"/>
          <w:szCs w:val="22"/>
        </w:rPr>
        <w:t xml:space="preserve"> and</w:t>
      </w:r>
      <w:r w:rsidR="00667A40" w:rsidRPr="005963A0">
        <w:rPr>
          <w:sz w:val="22"/>
          <w:szCs w:val="22"/>
        </w:rPr>
        <w:t xml:space="preserve"> </w:t>
      </w:r>
      <w:r w:rsidR="00F75F75" w:rsidRPr="005963A0">
        <w:rPr>
          <w:sz w:val="22"/>
          <w:szCs w:val="22"/>
        </w:rPr>
        <w:t xml:space="preserve">sought to circumvent </w:t>
      </w:r>
      <w:r w:rsidR="00304365">
        <w:rPr>
          <w:sz w:val="22"/>
          <w:szCs w:val="22"/>
        </w:rPr>
        <w:t xml:space="preserve">E-rate </w:t>
      </w:r>
      <w:r w:rsidR="00F75F75" w:rsidRPr="005963A0">
        <w:rPr>
          <w:sz w:val="22"/>
          <w:szCs w:val="22"/>
        </w:rPr>
        <w:t>program r</w:t>
      </w:r>
      <w:r w:rsidR="003B38FA" w:rsidRPr="005963A0">
        <w:rPr>
          <w:sz w:val="22"/>
          <w:szCs w:val="22"/>
        </w:rPr>
        <w:t>ules</w:t>
      </w:r>
      <w:r w:rsidR="00667A40">
        <w:rPr>
          <w:sz w:val="22"/>
          <w:szCs w:val="22"/>
        </w:rPr>
        <w:t xml:space="preserve"> </w:t>
      </w:r>
      <w:r w:rsidR="00304365">
        <w:rPr>
          <w:sz w:val="22"/>
          <w:szCs w:val="22"/>
        </w:rPr>
        <w:t xml:space="preserve">and requirements </w:t>
      </w:r>
      <w:r w:rsidR="00667A40">
        <w:rPr>
          <w:sz w:val="22"/>
          <w:szCs w:val="22"/>
        </w:rPr>
        <w:t xml:space="preserve">by </w:t>
      </w:r>
      <w:r w:rsidR="006744BC">
        <w:rPr>
          <w:sz w:val="22"/>
          <w:szCs w:val="22"/>
        </w:rPr>
        <w:t>devising and orchestrating a</w:t>
      </w:r>
      <w:r w:rsidR="00417D31">
        <w:rPr>
          <w:sz w:val="22"/>
          <w:szCs w:val="22"/>
        </w:rPr>
        <w:t>n</w:t>
      </w:r>
      <w:r w:rsidR="006744BC">
        <w:rPr>
          <w:sz w:val="22"/>
          <w:szCs w:val="22"/>
        </w:rPr>
        <w:t xml:space="preserve"> elaborate scheme</w:t>
      </w:r>
      <w:r w:rsidR="00DD587B">
        <w:rPr>
          <w:sz w:val="22"/>
          <w:szCs w:val="22"/>
        </w:rPr>
        <w:t xml:space="preserve"> by which Achieve funded the Schools’ non-discount share of their eligible E-rate services. </w:t>
      </w:r>
    </w:p>
    <w:p w:rsidR="00D17933" w:rsidRDefault="00D17933" w:rsidP="005B5644">
      <w:pPr>
        <w:pStyle w:val="par1"/>
        <w:numPr>
          <w:ilvl w:val="0"/>
          <w:numId w:val="0"/>
        </w:numPr>
        <w:ind w:left="720"/>
        <w:rPr>
          <w:sz w:val="22"/>
          <w:szCs w:val="22"/>
        </w:rPr>
      </w:pPr>
    </w:p>
    <w:p w:rsidR="00D17933" w:rsidRDefault="00D17933" w:rsidP="00D17933">
      <w:pPr>
        <w:pStyle w:val="par1"/>
        <w:tabs>
          <w:tab w:val="num" w:pos="1440"/>
        </w:tabs>
        <w:ind w:left="0"/>
        <w:rPr>
          <w:sz w:val="22"/>
          <w:szCs w:val="22"/>
        </w:rPr>
      </w:pPr>
      <w:r>
        <w:rPr>
          <w:sz w:val="22"/>
          <w:szCs w:val="22"/>
        </w:rPr>
        <w:t xml:space="preserve">Achieve’s reliance on </w:t>
      </w:r>
      <w:r w:rsidR="00EE473A">
        <w:rPr>
          <w:sz w:val="22"/>
          <w:szCs w:val="22"/>
        </w:rPr>
        <w:t>Dr.</w:t>
      </w:r>
      <w:r>
        <w:rPr>
          <w:sz w:val="22"/>
          <w:szCs w:val="22"/>
        </w:rPr>
        <w:t xml:space="preserve"> Flores</w:t>
      </w:r>
      <w:r w:rsidR="00EE473A">
        <w:rPr>
          <w:sz w:val="22"/>
          <w:szCs w:val="22"/>
        </w:rPr>
        <w:t>’</w:t>
      </w:r>
      <w:r>
        <w:rPr>
          <w:sz w:val="22"/>
          <w:szCs w:val="22"/>
        </w:rPr>
        <w:t xml:space="preserve"> </w:t>
      </w:r>
      <w:r w:rsidR="0051666E">
        <w:rPr>
          <w:sz w:val="22"/>
          <w:szCs w:val="22"/>
        </w:rPr>
        <w:t>response</w:t>
      </w:r>
      <w:r>
        <w:rPr>
          <w:sz w:val="22"/>
          <w:szCs w:val="22"/>
        </w:rPr>
        <w:t xml:space="preserve"> </w:t>
      </w:r>
      <w:r w:rsidR="0051666E">
        <w:rPr>
          <w:sz w:val="22"/>
          <w:szCs w:val="22"/>
        </w:rPr>
        <w:t xml:space="preserve">to USAC </w:t>
      </w:r>
      <w:r>
        <w:rPr>
          <w:sz w:val="22"/>
          <w:szCs w:val="22"/>
        </w:rPr>
        <w:t xml:space="preserve">to minimize </w:t>
      </w:r>
      <w:r w:rsidR="00EE473A">
        <w:rPr>
          <w:sz w:val="22"/>
          <w:szCs w:val="22"/>
        </w:rPr>
        <w:t>its</w:t>
      </w:r>
      <w:r>
        <w:rPr>
          <w:sz w:val="22"/>
          <w:szCs w:val="22"/>
        </w:rPr>
        <w:t xml:space="preserve"> role in the DDF grant process is unavailing.</w:t>
      </w:r>
      <w:r>
        <w:rPr>
          <w:rStyle w:val="FootnoteReference"/>
          <w:sz w:val="22"/>
          <w:szCs w:val="22"/>
        </w:rPr>
        <w:footnoteReference w:id="95"/>
      </w:r>
      <w:r>
        <w:rPr>
          <w:sz w:val="22"/>
          <w:szCs w:val="22"/>
        </w:rPr>
        <w:t xml:space="preserve">  First, the record shows that </w:t>
      </w:r>
      <w:r w:rsidR="00A4087D">
        <w:rPr>
          <w:sz w:val="22"/>
          <w:szCs w:val="22"/>
        </w:rPr>
        <w:t xml:space="preserve">the </w:t>
      </w:r>
      <w:r>
        <w:rPr>
          <w:sz w:val="22"/>
          <w:szCs w:val="22"/>
        </w:rPr>
        <w:t>grants were made only to Achieve’s clients</w:t>
      </w:r>
      <w:r w:rsidR="003D2BCE">
        <w:rPr>
          <w:sz w:val="22"/>
          <w:szCs w:val="22"/>
        </w:rPr>
        <w:t xml:space="preserve"> with Achieve’s principal overseeing the administration of the program.</w:t>
      </w:r>
      <w:r w:rsidR="003A051E">
        <w:rPr>
          <w:rStyle w:val="FootnoteReference"/>
          <w:sz w:val="22"/>
          <w:szCs w:val="22"/>
        </w:rPr>
        <w:footnoteReference w:id="96"/>
      </w:r>
      <w:r>
        <w:rPr>
          <w:sz w:val="22"/>
          <w:szCs w:val="22"/>
        </w:rPr>
        <w:t xml:space="preserve">  </w:t>
      </w:r>
      <w:r w:rsidR="00A4087D">
        <w:rPr>
          <w:sz w:val="22"/>
          <w:szCs w:val="22"/>
        </w:rPr>
        <w:t>Additionally,</w:t>
      </w:r>
      <w:r>
        <w:rPr>
          <w:sz w:val="22"/>
          <w:szCs w:val="22"/>
        </w:rPr>
        <w:t xml:space="preserve"> </w:t>
      </w:r>
      <w:r w:rsidR="0051666E">
        <w:rPr>
          <w:sz w:val="22"/>
          <w:szCs w:val="22"/>
        </w:rPr>
        <w:t xml:space="preserve">as discussed above, </w:t>
      </w:r>
      <w:r>
        <w:rPr>
          <w:sz w:val="22"/>
          <w:szCs w:val="22"/>
        </w:rPr>
        <w:t xml:space="preserve">the subpoenaed documents show that </w:t>
      </w:r>
      <w:r w:rsidR="00EE473A">
        <w:rPr>
          <w:sz w:val="22"/>
          <w:szCs w:val="22"/>
        </w:rPr>
        <w:t xml:space="preserve">Dr. </w:t>
      </w:r>
      <w:r>
        <w:rPr>
          <w:sz w:val="22"/>
          <w:szCs w:val="22"/>
        </w:rPr>
        <w:t xml:space="preserve">Flores’ </w:t>
      </w:r>
      <w:r w:rsidR="0051666E">
        <w:rPr>
          <w:sz w:val="22"/>
          <w:szCs w:val="22"/>
        </w:rPr>
        <w:t xml:space="preserve">response </w:t>
      </w:r>
      <w:r w:rsidR="00CA5B4C">
        <w:rPr>
          <w:sz w:val="22"/>
          <w:szCs w:val="22"/>
        </w:rPr>
        <w:t>to USAC</w:t>
      </w:r>
      <w:r w:rsidR="00AC4AFE">
        <w:rPr>
          <w:sz w:val="22"/>
          <w:szCs w:val="22"/>
        </w:rPr>
        <w:t>’s request for information</w:t>
      </w:r>
      <w:r w:rsidR="00CA5B4C">
        <w:rPr>
          <w:sz w:val="22"/>
          <w:szCs w:val="22"/>
        </w:rPr>
        <w:t xml:space="preserve"> </w:t>
      </w:r>
      <w:r w:rsidR="0051666E">
        <w:rPr>
          <w:sz w:val="22"/>
          <w:szCs w:val="22"/>
        </w:rPr>
        <w:t>w</w:t>
      </w:r>
      <w:r>
        <w:rPr>
          <w:sz w:val="22"/>
          <w:szCs w:val="22"/>
        </w:rPr>
        <w:t>as drafted by Achieve.</w:t>
      </w:r>
      <w:r>
        <w:rPr>
          <w:rStyle w:val="FootnoteReference"/>
          <w:sz w:val="22"/>
          <w:szCs w:val="22"/>
        </w:rPr>
        <w:footnoteReference w:id="97"/>
      </w:r>
      <w:r>
        <w:rPr>
          <w:sz w:val="22"/>
          <w:szCs w:val="22"/>
        </w:rPr>
        <w:t xml:space="preserve">  That alone undermines </w:t>
      </w:r>
      <w:r w:rsidR="0051666E">
        <w:rPr>
          <w:sz w:val="22"/>
          <w:szCs w:val="22"/>
        </w:rPr>
        <w:t xml:space="preserve">Dr. </w:t>
      </w:r>
      <w:r>
        <w:rPr>
          <w:sz w:val="22"/>
          <w:szCs w:val="22"/>
        </w:rPr>
        <w:t xml:space="preserve">Flores’ credibility and the evidentiary weight that should be accorded to the statement.  </w:t>
      </w:r>
      <w:r w:rsidR="0051666E">
        <w:rPr>
          <w:sz w:val="22"/>
          <w:szCs w:val="22"/>
        </w:rPr>
        <w:t>Although</w:t>
      </w:r>
      <w:r>
        <w:rPr>
          <w:sz w:val="22"/>
          <w:szCs w:val="22"/>
        </w:rPr>
        <w:t xml:space="preserve"> </w:t>
      </w:r>
      <w:r w:rsidR="0051666E">
        <w:rPr>
          <w:sz w:val="22"/>
          <w:szCs w:val="22"/>
        </w:rPr>
        <w:t xml:space="preserve">Dr. </w:t>
      </w:r>
      <w:r>
        <w:rPr>
          <w:sz w:val="22"/>
          <w:szCs w:val="22"/>
        </w:rPr>
        <w:t xml:space="preserve">Flores was the </w:t>
      </w:r>
      <w:r w:rsidR="00347DAC">
        <w:rPr>
          <w:sz w:val="22"/>
          <w:szCs w:val="22"/>
        </w:rPr>
        <w:t>President</w:t>
      </w:r>
      <w:r>
        <w:rPr>
          <w:sz w:val="22"/>
          <w:szCs w:val="22"/>
        </w:rPr>
        <w:t xml:space="preserve"> of USDLA, </w:t>
      </w:r>
      <w:r w:rsidR="00007C3D">
        <w:rPr>
          <w:sz w:val="22"/>
          <w:szCs w:val="22"/>
        </w:rPr>
        <w:t>and his</w:t>
      </w:r>
      <w:r>
        <w:rPr>
          <w:sz w:val="22"/>
          <w:szCs w:val="22"/>
        </w:rPr>
        <w:t xml:space="preserve"> approval was a prerequisite for the issuance of </w:t>
      </w:r>
      <w:r w:rsidR="0051666E">
        <w:rPr>
          <w:sz w:val="22"/>
          <w:szCs w:val="22"/>
        </w:rPr>
        <w:t xml:space="preserve">DDF </w:t>
      </w:r>
      <w:r>
        <w:rPr>
          <w:sz w:val="22"/>
          <w:szCs w:val="22"/>
        </w:rPr>
        <w:t>funds, the record shows that his approval was dependent on Achieve’s funding for the grants</w:t>
      </w:r>
      <w:r w:rsidR="003D2BCE">
        <w:rPr>
          <w:sz w:val="22"/>
          <w:szCs w:val="22"/>
        </w:rPr>
        <w:t xml:space="preserve"> and service fees</w:t>
      </w:r>
      <w:r>
        <w:rPr>
          <w:sz w:val="22"/>
          <w:szCs w:val="22"/>
        </w:rPr>
        <w:t xml:space="preserve">, </w:t>
      </w:r>
      <w:r w:rsidR="003D2BCE">
        <w:rPr>
          <w:sz w:val="22"/>
          <w:szCs w:val="22"/>
        </w:rPr>
        <w:t xml:space="preserve">its </w:t>
      </w:r>
      <w:r>
        <w:rPr>
          <w:sz w:val="22"/>
          <w:szCs w:val="22"/>
        </w:rPr>
        <w:t>administrative assistance in running the DDF program</w:t>
      </w:r>
      <w:r w:rsidR="003D2BCE">
        <w:rPr>
          <w:sz w:val="22"/>
          <w:szCs w:val="22"/>
        </w:rPr>
        <w:t>, and ultimately its concurrence in grant approvals for the Achieve clients</w:t>
      </w:r>
      <w:r>
        <w:rPr>
          <w:sz w:val="22"/>
          <w:szCs w:val="22"/>
        </w:rPr>
        <w:t>.</w:t>
      </w:r>
      <w:r w:rsidR="00007C3D">
        <w:rPr>
          <w:rStyle w:val="FootnoteReference"/>
          <w:sz w:val="22"/>
          <w:szCs w:val="22"/>
        </w:rPr>
        <w:footnoteReference w:id="98"/>
      </w:r>
    </w:p>
    <w:p w:rsidR="00A1312A" w:rsidRPr="005963A0" w:rsidRDefault="00A1312A" w:rsidP="00A1312A">
      <w:pPr>
        <w:pStyle w:val="par1"/>
        <w:numPr>
          <w:ilvl w:val="0"/>
          <w:numId w:val="0"/>
        </w:numPr>
        <w:rPr>
          <w:sz w:val="22"/>
          <w:szCs w:val="22"/>
        </w:rPr>
      </w:pPr>
    </w:p>
    <w:p w:rsidR="0061659B" w:rsidRPr="001E29E8" w:rsidRDefault="00273D63" w:rsidP="00900631">
      <w:pPr>
        <w:pStyle w:val="par1"/>
        <w:tabs>
          <w:tab w:val="num" w:pos="1440"/>
        </w:tabs>
        <w:ind w:left="0"/>
        <w:rPr>
          <w:sz w:val="22"/>
          <w:szCs w:val="22"/>
        </w:rPr>
      </w:pPr>
      <w:r>
        <w:rPr>
          <w:sz w:val="22"/>
          <w:szCs w:val="22"/>
          <w:u w:val="single"/>
        </w:rPr>
        <w:t xml:space="preserve">Violations of the </w:t>
      </w:r>
      <w:r w:rsidR="0097513D" w:rsidRPr="00225DF4">
        <w:rPr>
          <w:sz w:val="22"/>
          <w:szCs w:val="22"/>
          <w:u w:val="single"/>
        </w:rPr>
        <w:t>Non-Discount Share</w:t>
      </w:r>
      <w:r>
        <w:rPr>
          <w:sz w:val="22"/>
          <w:szCs w:val="22"/>
          <w:u w:val="single"/>
        </w:rPr>
        <w:t xml:space="preserve"> Rule</w:t>
      </w:r>
      <w:r w:rsidR="0097513D" w:rsidRPr="00225DF4">
        <w:rPr>
          <w:sz w:val="22"/>
          <w:szCs w:val="22"/>
          <w:u w:val="single"/>
        </w:rPr>
        <w:t>.</w:t>
      </w:r>
      <w:r w:rsidR="0097513D" w:rsidRPr="001E29E8">
        <w:rPr>
          <w:sz w:val="22"/>
          <w:szCs w:val="22"/>
        </w:rPr>
        <w:t xml:space="preserve">  </w:t>
      </w:r>
      <w:r w:rsidRPr="001E29E8">
        <w:rPr>
          <w:sz w:val="22"/>
          <w:szCs w:val="22"/>
        </w:rPr>
        <w:t xml:space="preserve">We find </w:t>
      </w:r>
      <w:r>
        <w:rPr>
          <w:sz w:val="22"/>
          <w:szCs w:val="22"/>
        </w:rPr>
        <w:t xml:space="preserve">that Achieve </w:t>
      </w:r>
      <w:r w:rsidR="00495408">
        <w:rPr>
          <w:sz w:val="22"/>
          <w:szCs w:val="22"/>
        </w:rPr>
        <w:t>covered the Schools’ non-discount share with funds that, unbeknownst to the Schools, were not independent of Achieve.  As a result, we find that both Achieve and the Schools violated Commission rules.</w:t>
      </w:r>
      <w:r w:rsidR="00495408">
        <w:rPr>
          <w:rStyle w:val="FootnoteReference"/>
          <w:sz w:val="22"/>
          <w:szCs w:val="22"/>
        </w:rPr>
        <w:footnoteReference w:id="99"/>
      </w:r>
      <w:r w:rsidR="00495408">
        <w:rPr>
          <w:sz w:val="22"/>
          <w:szCs w:val="22"/>
        </w:rPr>
        <w:t xml:space="preserve">  As previously discussed, the Commission’s rules require applicants to</w:t>
      </w:r>
      <w:r w:rsidR="001350F3">
        <w:rPr>
          <w:sz w:val="22"/>
          <w:szCs w:val="22"/>
        </w:rPr>
        <w:t xml:space="preserve"> pay their non-discount share of </w:t>
      </w:r>
      <w:r w:rsidR="00AC4AFE">
        <w:rPr>
          <w:sz w:val="22"/>
          <w:szCs w:val="22"/>
        </w:rPr>
        <w:t xml:space="preserve">the costs of </w:t>
      </w:r>
      <w:r w:rsidR="001350F3">
        <w:rPr>
          <w:sz w:val="22"/>
          <w:szCs w:val="22"/>
        </w:rPr>
        <w:t>eligible E-rate services</w:t>
      </w:r>
      <w:r w:rsidR="00A04792">
        <w:rPr>
          <w:sz w:val="22"/>
          <w:szCs w:val="22"/>
        </w:rPr>
        <w:t xml:space="preserve"> and</w:t>
      </w:r>
      <w:r w:rsidR="00495408">
        <w:rPr>
          <w:sz w:val="22"/>
          <w:szCs w:val="22"/>
        </w:rPr>
        <w:t xml:space="preserve"> further compel</w:t>
      </w:r>
      <w:r w:rsidR="00E24E5C">
        <w:rPr>
          <w:sz w:val="22"/>
          <w:szCs w:val="22"/>
        </w:rPr>
        <w:t xml:space="preserve"> </w:t>
      </w:r>
      <w:r w:rsidR="0097513D" w:rsidRPr="00266F51">
        <w:rPr>
          <w:sz w:val="22"/>
          <w:szCs w:val="22"/>
        </w:rPr>
        <w:t xml:space="preserve">service providers to facilitate compliance with </w:t>
      </w:r>
      <w:r w:rsidR="00D10B36" w:rsidRPr="00350E47">
        <w:rPr>
          <w:sz w:val="22"/>
          <w:szCs w:val="22"/>
        </w:rPr>
        <w:t xml:space="preserve">this requirement </w:t>
      </w:r>
      <w:r w:rsidR="0097513D" w:rsidRPr="00350E47">
        <w:rPr>
          <w:color w:val="000000"/>
          <w:sz w:val="22"/>
          <w:szCs w:val="22"/>
        </w:rPr>
        <w:t xml:space="preserve">through </w:t>
      </w:r>
      <w:r w:rsidR="0097513D" w:rsidRPr="00350E47">
        <w:rPr>
          <w:i/>
          <w:color w:val="000000"/>
          <w:sz w:val="22"/>
          <w:szCs w:val="22"/>
        </w:rPr>
        <w:t>bona fide</w:t>
      </w:r>
      <w:r w:rsidR="0097513D" w:rsidRPr="00841222">
        <w:rPr>
          <w:color w:val="000000"/>
          <w:sz w:val="22"/>
          <w:szCs w:val="22"/>
        </w:rPr>
        <w:t xml:space="preserve"> billing and collection efforts</w:t>
      </w:r>
      <w:r w:rsidR="0097513D" w:rsidRPr="00841222">
        <w:rPr>
          <w:sz w:val="22"/>
          <w:szCs w:val="22"/>
        </w:rPr>
        <w:t>.</w:t>
      </w:r>
      <w:r w:rsidR="0097513D" w:rsidRPr="00841222">
        <w:rPr>
          <w:rStyle w:val="FootnoteReference"/>
          <w:sz w:val="22"/>
          <w:szCs w:val="22"/>
        </w:rPr>
        <w:footnoteReference w:id="100"/>
      </w:r>
      <w:r w:rsidR="0097513D" w:rsidRPr="00047F62">
        <w:rPr>
          <w:sz w:val="22"/>
          <w:szCs w:val="22"/>
        </w:rPr>
        <w:t xml:space="preserve">  S</w:t>
      </w:r>
      <w:r w:rsidR="0097513D" w:rsidRPr="00047F62">
        <w:rPr>
          <w:rFonts w:cs="Courier New"/>
          <w:sz w:val="22"/>
          <w:szCs w:val="22"/>
        </w:rPr>
        <w:t xml:space="preserve">ervice providers are </w:t>
      </w:r>
      <w:r w:rsidR="00F3184B" w:rsidRPr="00047F62">
        <w:rPr>
          <w:rFonts w:cs="Courier New"/>
          <w:sz w:val="22"/>
          <w:szCs w:val="22"/>
        </w:rPr>
        <w:t xml:space="preserve">allowed to assist </w:t>
      </w:r>
      <w:r w:rsidR="0097513D" w:rsidRPr="00047F62">
        <w:rPr>
          <w:rFonts w:cs="Courier New"/>
          <w:sz w:val="22"/>
          <w:szCs w:val="22"/>
        </w:rPr>
        <w:t xml:space="preserve">applicants </w:t>
      </w:r>
      <w:r w:rsidR="00F3184B" w:rsidRPr="001E76FA">
        <w:rPr>
          <w:rFonts w:cs="Courier New"/>
          <w:sz w:val="22"/>
          <w:szCs w:val="22"/>
        </w:rPr>
        <w:t xml:space="preserve">in </w:t>
      </w:r>
      <w:r w:rsidR="0097513D" w:rsidRPr="001E76FA">
        <w:rPr>
          <w:rFonts w:cs="Courier New"/>
          <w:sz w:val="22"/>
          <w:szCs w:val="22"/>
        </w:rPr>
        <w:t>obtain</w:t>
      </w:r>
      <w:r w:rsidR="00F3184B" w:rsidRPr="001E76FA">
        <w:rPr>
          <w:rFonts w:cs="Courier New"/>
          <w:sz w:val="22"/>
          <w:szCs w:val="22"/>
        </w:rPr>
        <w:t>ing</w:t>
      </w:r>
      <w:r w:rsidR="0097513D" w:rsidRPr="001E76FA">
        <w:rPr>
          <w:rFonts w:cs="Courier New"/>
          <w:sz w:val="22"/>
          <w:szCs w:val="22"/>
        </w:rPr>
        <w:t xml:space="preserve"> grants to cover their non-discount share</w:t>
      </w:r>
      <w:r w:rsidR="00F3184B" w:rsidRPr="00973289">
        <w:rPr>
          <w:rFonts w:cs="Courier New"/>
          <w:sz w:val="22"/>
          <w:szCs w:val="22"/>
        </w:rPr>
        <w:t xml:space="preserve"> </w:t>
      </w:r>
      <w:r w:rsidR="0097513D" w:rsidRPr="00A5546D">
        <w:rPr>
          <w:rFonts w:cs="Courier New"/>
          <w:sz w:val="22"/>
          <w:szCs w:val="22"/>
        </w:rPr>
        <w:t>so long as the grants are independent of the service provider.</w:t>
      </w:r>
      <w:r w:rsidR="0097513D" w:rsidRPr="00973289">
        <w:rPr>
          <w:rStyle w:val="FootnoteReference"/>
          <w:rFonts w:cs="Courier New"/>
          <w:sz w:val="22"/>
          <w:szCs w:val="22"/>
        </w:rPr>
        <w:footnoteReference w:id="101"/>
      </w:r>
      <w:r w:rsidR="00D17933">
        <w:rPr>
          <w:rFonts w:cs="Courier New"/>
          <w:sz w:val="22"/>
          <w:szCs w:val="22"/>
        </w:rPr>
        <w:t xml:space="preserve">  </w:t>
      </w:r>
    </w:p>
    <w:p w:rsidR="0061659B" w:rsidRPr="003E6D6C" w:rsidRDefault="0061659B" w:rsidP="0061659B">
      <w:pPr>
        <w:pStyle w:val="ListParagraph"/>
        <w:rPr>
          <w:rFonts w:cs="Courier New"/>
          <w:sz w:val="22"/>
          <w:szCs w:val="22"/>
        </w:rPr>
      </w:pPr>
    </w:p>
    <w:p w:rsidR="005F191F" w:rsidRDefault="00873CFE" w:rsidP="005F191F">
      <w:pPr>
        <w:pStyle w:val="par1"/>
        <w:tabs>
          <w:tab w:val="num" w:pos="1440"/>
        </w:tabs>
        <w:ind w:left="0"/>
        <w:rPr>
          <w:rFonts w:cs="Courier New"/>
          <w:sz w:val="22"/>
          <w:szCs w:val="22"/>
        </w:rPr>
      </w:pPr>
      <w:r w:rsidRPr="00E97F97">
        <w:rPr>
          <w:rFonts w:cs="Courier New"/>
          <w:sz w:val="22"/>
          <w:szCs w:val="22"/>
        </w:rPr>
        <w:t>The</w:t>
      </w:r>
      <w:r w:rsidR="00464DD6" w:rsidRPr="00E97F97">
        <w:rPr>
          <w:rFonts w:cs="Courier New"/>
          <w:sz w:val="22"/>
          <w:szCs w:val="22"/>
        </w:rPr>
        <w:t xml:space="preserve"> </w:t>
      </w:r>
      <w:r w:rsidR="00464DD6" w:rsidRPr="00266F51">
        <w:rPr>
          <w:rFonts w:cs="Courier New"/>
          <w:sz w:val="22"/>
          <w:szCs w:val="22"/>
        </w:rPr>
        <w:t>evidence shows that Achieve funded the Schools’ non-discount share by providing funds to the Foundation, which in tur</w:t>
      </w:r>
      <w:r w:rsidR="0066488D" w:rsidRPr="00350E47">
        <w:rPr>
          <w:rFonts w:cs="Courier New"/>
          <w:sz w:val="22"/>
          <w:szCs w:val="22"/>
        </w:rPr>
        <w:t>n</w:t>
      </w:r>
      <w:r w:rsidR="00464DD6" w:rsidRPr="00350E47">
        <w:rPr>
          <w:rFonts w:cs="Courier New"/>
          <w:sz w:val="22"/>
          <w:szCs w:val="22"/>
        </w:rPr>
        <w:t xml:space="preserve"> </w:t>
      </w:r>
      <w:r w:rsidR="0061659B" w:rsidRPr="00350E47">
        <w:rPr>
          <w:rFonts w:cs="Courier New"/>
          <w:sz w:val="22"/>
          <w:szCs w:val="22"/>
        </w:rPr>
        <w:t>transferred tho</w:t>
      </w:r>
      <w:r w:rsidR="00464DD6" w:rsidRPr="00841222">
        <w:rPr>
          <w:rFonts w:cs="Courier New"/>
          <w:sz w:val="22"/>
          <w:szCs w:val="22"/>
        </w:rPr>
        <w:t xml:space="preserve">se funds to </w:t>
      </w:r>
      <w:r w:rsidR="00426DF0">
        <w:rPr>
          <w:rFonts w:cs="Courier New"/>
          <w:sz w:val="22"/>
          <w:szCs w:val="22"/>
        </w:rPr>
        <w:t>USDLA</w:t>
      </w:r>
      <w:r w:rsidR="0079751D">
        <w:rPr>
          <w:rFonts w:cs="Courier New"/>
          <w:sz w:val="22"/>
          <w:szCs w:val="22"/>
        </w:rPr>
        <w:t xml:space="preserve">; </w:t>
      </w:r>
      <w:r w:rsidR="00426DF0">
        <w:rPr>
          <w:rFonts w:cs="Courier New"/>
          <w:sz w:val="22"/>
          <w:szCs w:val="22"/>
        </w:rPr>
        <w:t>USDLA</w:t>
      </w:r>
      <w:r w:rsidR="0079751D">
        <w:rPr>
          <w:rFonts w:cs="Courier New"/>
          <w:sz w:val="22"/>
          <w:szCs w:val="22"/>
        </w:rPr>
        <w:t xml:space="preserve">, </w:t>
      </w:r>
      <w:r w:rsidR="00A8491D">
        <w:rPr>
          <w:rFonts w:cs="Courier New"/>
          <w:sz w:val="22"/>
          <w:szCs w:val="22"/>
        </w:rPr>
        <w:t>at</w:t>
      </w:r>
      <w:r w:rsidR="00464DD6" w:rsidRPr="00841222">
        <w:rPr>
          <w:rFonts w:cs="Courier New"/>
          <w:sz w:val="22"/>
          <w:szCs w:val="22"/>
        </w:rPr>
        <w:t xml:space="preserve"> </w:t>
      </w:r>
      <w:r w:rsidR="003D2BCE">
        <w:rPr>
          <w:rFonts w:cs="Courier New"/>
          <w:sz w:val="22"/>
          <w:szCs w:val="22"/>
        </w:rPr>
        <w:t>Achieve’s</w:t>
      </w:r>
      <w:r w:rsidR="00A8491D">
        <w:rPr>
          <w:rFonts w:cs="Courier New"/>
          <w:sz w:val="22"/>
          <w:szCs w:val="22"/>
        </w:rPr>
        <w:t xml:space="preserve"> direction</w:t>
      </w:r>
      <w:r w:rsidR="00464DD6" w:rsidRPr="00841222">
        <w:rPr>
          <w:rFonts w:cs="Courier New"/>
          <w:sz w:val="22"/>
          <w:szCs w:val="22"/>
        </w:rPr>
        <w:t>, then provided grants to the Schools through checks issued to Achieve to cover the Schools’ non-discount share.</w:t>
      </w:r>
      <w:r w:rsidR="00464DD6" w:rsidRPr="00841222">
        <w:rPr>
          <w:rStyle w:val="FootnoteReference"/>
          <w:rFonts w:cs="Courier New"/>
          <w:sz w:val="22"/>
          <w:szCs w:val="22"/>
        </w:rPr>
        <w:footnoteReference w:id="102"/>
      </w:r>
      <w:r w:rsidR="00464DD6" w:rsidRPr="00047F62">
        <w:rPr>
          <w:rFonts w:cs="Courier New"/>
          <w:sz w:val="22"/>
          <w:szCs w:val="22"/>
        </w:rPr>
        <w:t xml:space="preserve">  Thus, the Schools </w:t>
      </w:r>
      <w:r w:rsidR="00C148BD" w:rsidRPr="00912AB7">
        <w:rPr>
          <w:rFonts w:cs="Courier New"/>
          <w:sz w:val="22"/>
          <w:szCs w:val="22"/>
        </w:rPr>
        <w:t xml:space="preserve">violated </w:t>
      </w:r>
      <w:r w:rsidR="00044FA0">
        <w:rPr>
          <w:rFonts w:cs="Courier New"/>
          <w:sz w:val="22"/>
          <w:szCs w:val="22"/>
        </w:rPr>
        <w:t xml:space="preserve">E-rate </w:t>
      </w:r>
      <w:r w:rsidR="00C148BD" w:rsidRPr="00912AB7">
        <w:rPr>
          <w:rFonts w:cs="Courier New"/>
          <w:sz w:val="22"/>
          <w:szCs w:val="22"/>
        </w:rPr>
        <w:t>program rules because they</w:t>
      </w:r>
      <w:r w:rsidR="00C148BD">
        <w:rPr>
          <w:rFonts w:cs="Courier New"/>
          <w:sz w:val="22"/>
          <w:szCs w:val="22"/>
        </w:rPr>
        <w:t xml:space="preserve"> </w:t>
      </w:r>
      <w:r w:rsidR="00464DD6" w:rsidRPr="00047F62">
        <w:rPr>
          <w:rFonts w:cs="Courier New"/>
          <w:sz w:val="22"/>
          <w:szCs w:val="22"/>
        </w:rPr>
        <w:t xml:space="preserve">did not pay their non-discount share with </w:t>
      </w:r>
      <w:r w:rsidR="00044FA0">
        <w:rPr>
          <w:rFonts w:cs="Courier New"/>
          <w:sz w:val="22"/>
          <w:szCs w:val="22"/>
        </w:rPr>
        <w:t>funds independent of Achieve</w:t>
      </w:r>
      <w:r w:rsidR="00423C92">
        <w:rPr>
          <w:rFonts w:cs="Courier New"/>
          <w:sz w:val="22"/>
          <w:szCs w:val="22"/>
        </w:rPr>
        <w:t>.</w:t>
      </w:r>
      <w:r w:rsidR="000C3AA3">
        <w:rPr>
          <w:rStyle w:val="FootnoteReference"/>
          <w:rFonts w:cs="Courier New"/>
          <w:sz w:val="22"/>
          <w:szCs w:val="22"/>
        </w:rPr>
        <w:footnoteReference w:id="103"/>
      </w:r>
      <w:r w:rsidR="00423C92">
        <w:rPr>
          <w:rFonts w:cs="Courier New"/>
          <w:sz w:val="22"/>
          <w:szCs w:val="22"/>
        </w:rPr>
        <w:t xml:space="preserve">  Instead, the Schools</w:t>
      </w:r>
      <w:r w:rsidR="00464DD6" w:rsidRPr="00047F62">
        <w:rPr>
          <w:rFonts w:cs="Courier New"/>
          <w:sz w:val="22"/>
          <w:szCs w:val="22"/>
        </w:rPr>
        <w:t xml:space="preserve"> used DDF grants</w:t>
      </w:r>
      <w:r w:rsidR="008D522B">
        <w:rPr>
          <w:rFonts w:cs="Courier New"/>
          <w:sz w:val="22"/>
          <w:szCs w:val="22"/>
        </w:rPr>
        <w:t xml:space="preserve"> that were substantially funded by Achieve and its business associates and provided only to Achieve client schools. </w:t>
      </w:r>
      <w:r w:rsidR="0079751D">
        <w:rPr>
          <w:rFonts w:cs="Courier New"/>
          <w:sz w:val="22"/>
          <w:szCs w:val="22"/>
        </w:rPr>
        <w:t xml:space="preserve"> </w:t>
      </w:r>
      <w:r w:rsidR="00FA0F0E" w:rsidRPr="009D1BA7">
        <w:rPr>
          <w:color w:val="000000"/>
          <w:sz w:val="22"/>
          <w:szCs w:val="22"/>
        </w:rPr>
        <w:t xml:space="preserve">The </w:t>
      </w:r>
      <w:r w:rsidR="00FA0F0E">
        <w:rPr>
          <w:color w:val="000000"/>
          <w:sz w:val="22"/>
          <w:szCs w:val="22"/>
        </w:rPr>
        <w:t>record</w:t>
      </w:r>
      <w:r w:rsidR="00427D20">
        <w:rPr>
          <w:color w:val="000000"/>
          <w:sz w:val="22"/>
          <w:szCs w:val="22"/>
        </w:rPr>
        <w:t xml:space="preserve">, however, </w:t>
      </w:r>
      <w:r w:rsidR="00FA0F0E">
        <w:rPr>
          <w:color w:val="000000"/>
          <w:sz w:val="22"/>
          <w:szCs w:val="22"/>
        </w:rPr>
        <w:t xml:space="preserve">indicates that the </w:t>
      </w:r>
      <w:r w:rsidR="00FA0F0E" w:rsidRPr="009D1BA7">
        <w:rPr>
          <w:color w:val="000000"/>
          <w:sz w:val="22"/>
          <w:szCs w:val="22"/>
        </w:rPr>
        <w:t xml:space="preserve">Schools were unaware that </w:t>
      </w:r>
      <w:r w:rsidR="00426DF0">
        <w:rPr>
          <w:color w:val="000000"/>
          <w:sz w:val="22"/>
          <w:szCs w:val="22"/>
        </w:rPr>
        <w:t>USDLA</w:t>
      </w:r>
      <w:r w:rsidR="00FA0F0E" w:rsidRPr="009D1BA7">
        <w:rPr>
          <w:color w:val="000000"/>
          <w:sz w:val="22"/>
          <w:szCs w:val="22"/>
        </w:rPr>
        <w:t xml:space="preserve"> grants they received would be coming from Achieve through Achieve’s business a</w:t>
      </w:r>
      <w:r w:rsidR="00427D20">
        <w:rPr>
          <w:color w:val="000000"/>
          <w:sz w:val="22"/>
          <w:szCs w:val="22"/>
        </w:rPr>
        <w:t>ssociates</w:t>
      </w:r>
      <w:r w:rsidR="00FA0F0E" w:rsidRPr="009D1BA7">
        <w:rPr>
          <w:color w:val="000000"/>
          <w:sz w:val="22"/>
          <w:szCs w:val="22"/>
        </w:rPr>
        <w:t>.</w:t>
      </w:r>
      <w:r w:rsidR="00FA0F0E" w:rsidRPr="0066041F">
        <w:rPr>
          <w:rStyle w:val="FootnoteReference"/>
          <w:rFonts w:cs="Courier New"/>
          <w:sz w:val="22"/>
          <w:szCs w:val="22"/>
        </w:rPr>
        <w:footnoteReference w:id="104"/>
      </w:r>
      <w:r w:rsidR="00FA0F0E">
        <w:rPr>
          <w:color w:val="000000"/>
          <w:sz w:val="22"/>
          <w:szCs w:val="22"/>
        </w:rPr>
        <w:t xml:space="preserve">  </w:t>
      </w:r>
      <w:r w:rsidR="00427D20">
        <w:rPr>
          <w:color w:val="000000"/>
          <w:sz w:val="22"/>
          <w:szCs w:val="22"/>
        </w:rPr>
        <w:t>Thus, w</w:t>
      </w:r>
      <w:r w:rsidR="001F398F" w:rsidRPr="00047F62">
        <w:rPr>
          <w:rFonts w:cs="Courier New"/>
          <w:sz w:val="22"/>
          <w:szCs w:val="22"/>
        </w:rPr>
        <w:t>e find that</w:t>
      </w:r>
      <w:r w:rsidR="00464DD6" w:rsidRPr="00973289">
        <w:rPr>
          <w:rFonts w:cs="Courier New"/>
          <w:sz w:val="22"/>
          <w:szCs w:val="22"/>
        </w:rPr>
        <w:t xml:space="preserve"> this scheme essentially serve</w:t>
      </w:r>
      <w:r w:rsidR="00D21B66" w:rsidRPr="00A5546D">
        <w:rPr>
          <w:rFonts w:cs="Courier New"/>
          <w:sz w:val="22"/>
          <w:szCs w:val="22"/>
        </w:rPr>
        <w:t>d</w:t>
      </w:r>
      <w:r w:rsidR="00464DD6" w:rsidRPr="00A5546D">
        <w:rPr>
          <w:rFonts w:cs="Courier New"/>
          <w:sz w:val="22"/>
          <w:szCs w:val="22"/>
        </w:rPr>
        <w:t xml:space="preserve"> as a hidden rebate from Achieve to the Schools to enable the Schools to obtain Achieve’s services at no cost in violation of E-rate program rules.</w:t>
      </w:r>
      <w:r w:rsidR="00464DD6" w:rsidRPr="00973289">
        <w:rPr>
          <w:rStyle w:val="FootnoteReference"/>
          <w:rFonts w:cs="Courier New"/>
          <w:sz w:val="22"/>
          <w:szCs w:val="22"/>
        </w:rPr>
        <w:footnoteReference w:id="105"/>
      </w:r>
      <w:r w:rsidR="00AD6E44" w:rsidRPr="00973289">
        <w:rPr>
          <w:rFonts w:cs="Courier New"/>
          <w:sz w:val="22"/>
          <w:szCs w:val="22"/>
        </w:rPr>
        <w:t xml:space="preserve"> </w:t>
      </w:r>
      <w:r w:rsidR="00D50B13">
        <w:rPr>
          <w:rFonts w:cs="Courier New"/>
          <w:sz w:val="22"/>
          <w:szCs w:val="22"/>
        </w:rPr>
        <w:t xml:space="preserve"> </w:t>
      </w:r>
      <w:r w:rsidR="001B7EB3">
        <w:rPr>
          <w:rFonts w:cs="Courier New"/>
          <w:sz w:val="22"/>
          <w:szCs w:val="22"/>
        </w:rPr>
        <w:t xml:space="preserve"> </w:t>
      </w:r>
    </w:p>
    <w:p w:rsidR="005F191F" w:rsidRDefault="005F191F" w:rsidP="005F191F">
      <w:pPr>
        <w:pStyle w:val="par1"/>
        <w:numPr>
          <w:ilvl w:val="0"/>
          <w:numId w:val="0"/>
        </w:numPr>
        <w:ind w:left="720"/>
        <w:rPr>
          <w:rFonts w:cs="Courier New"/>
          <w:sz w:val="22"/>
          <w:szCs w:val="22"/>
        </w:rPr>
      </w:pPr>
    </w:p>
    <w:p w:rsidR="005F191F" w:rsidRPr="00276215" w:rsidRDefault="00B220FA" w:rsidP="005F191F">
      <w:pPr>
        <w:pStyle w:val="par1"/>
        <w:tabs>
          <w:tab w:val="num" w:pos="1440"/>
        </w:tabs>
        <w:ind w:left="0"/>
        <w:rPr>
          <w:rStyle w:val="StyleNumberedparagraphs11ptChar"/>
          <w:rFonts w:cs="Courier New"/>
          <w:szCs w:val="22"/>
        </w:rPr>
      </w:pPr>
      <w:r w:rsidRPr="005F191F">
        <w:rPr>
          <w:sz w:val="22"/>
          <w:szCs w:val="22"/>
        </w:rPr>
        <w:t>Additionally</w:t>
      </w:r>
      <w:r w:rsidR="001E29E8" w:rsidRPr="005F191F">
        <w:rPr>
          <w:sz w:val="22"/>
          <w:szCs w:val="22"/>
        </w:rPr>
        <w:t xml:space="preserve">, Achieve had an independent </w:t>
      </w:r>
      <w:r w:rsidR="00155DD9" w:rsidRPr="005F191F">
        <w:rPr>
          <w:sz w:val="22"/>
          <w:szCs w:val="22"/>
        </w:rPr>
        <w:t>billing and collection obligation</w:t>
      </w:r>
      <w:r w:rsidR="001E29E8" w:rsidRPr="005F191F">
        <w:rPr>
          <w:sz w:val="22"/>
          <w:szCs w:val="22"/>
        </w:rPr>
        <w:t xml:space="preserve"> to </w:t>
      </w:r>
      <w:r w:rsidR="001E76FA" w:rsidRPr="005F191F">
        <w:rPr>
          <w:sz w:val="22"/>
          <w:szCs w:val="22"/>
        </w:rPr>
        <w:t>make</w:t>
      </w:r>
      <w:r w:rsidR="001E29E8" w:rsidRPr="005F191F">
        <w:rPr>
          <w:sz w:val="22"/>
          <w:szCs w:val="22"/>
        </w:rPr>
        <w:t xml:space="preserve"> a </w:t>
      </w:r>
      <w:r w:rsidR="001E29E8" w:rsidRPr="005F191F">
        <w:rPr>
          <w:i/>
          <w:sz w:val="22"/>
          <w:szCs w:val="22"/>
        </w:rPr>
        <w:t>bona fide</w:t>
      </w:r>
      <w:r w:rsidR="001E29E8" w:rsidRPr="005F191F">
        <w:rPr>
          <w:sz w:val="22"/>
          <w:szCs w:val="22"/>
        </w:rPr>
        <w:t xml:space="preserve"> effort to collect the Schools’ non-discount share of the cost of </w:t>
      </w:r>
      <w:r w:rsidR="001E76FA" w:rsidRPr="005F191F">
        <w:rPr>
          <w:sz w:val="22"/>
          <w:szCs w:val="22"/>
        </w:rPr>
        <w:t xml:space="preserve">Achieve’s </w:t>
      </w:r>
      <w:r w:rsidR="001E29E8" w:rsidRPr="005F191F">
        <w:rPr>
          <w:sz w:val="22"/>
          <w:szCs w:val="22"/>
        </w:rPr>
        <w:t>services.</w:t>
      </w:r>
      <w:r w:rsidR="001E29E8" w:rsidRPr="001E29E8">
        <w:rPr>
          <w:rStyle w:val="FootnoteReference"/>
          <w:rFonts w:cs="Courier New"/>
          <w:sz w:val="22"/>
          <w:szCs w:val="22"/>
        </w:rPr>
        <w:footnoteReference w:id="106"/>
      </w:r>
      <w:r w:rsidR="00992754">
        <w:rPr>
          <w:sz w:val="22"/>
          <w:szCs w:val="22"/>
        </w:rPr>
        <w:t xml:space="preserve"> </w:t>
      </w:r>
      <w:r w:rsidR="00CD7D21">
        <w:rPr>
          <w:sz w:val="22"/>
          <w:szCs w:val="22"/>
        </w:rPr>
        <w:t xml:space="preserve"> </w:t>
      </w:r>
      <w:r w:rsidR="005E1339">
        <w:rPr>
          <w:sz w:val="22"/>
          <w:szCs w:val="22"/>
        </w:rPr>
        <w:t xml:space="preserve">Although </w:t>
      </w:r>
      <w:r w:rsidR="00992754">
        <w:rPr>
          <w:sz w:val="22"/>
          <w:szCs w:val="22"/>
        </w:rPr>
        <w:t xml:space="preserve">Achieve </w:t>
      </w:r>
      <w:r w:rsidR="00536B0D">
        <w:rPr>
          <w:sz w:val="22"/>
          <w:szCs w:val="22"/>
        </w:rPr>
        <w:t xml:space="preserve">sent invoices to </w:t>
      </w:r>
      <w:r w:rsidR="0037772B">
        <w:rPr>
          <w:sz w:val="22"/>
          <w:szCs w:val="22"/>
        </w:rPr>
        <w:t>the Schools</w:t>
      </w:r>
      <w:r w:rsidR="005E1339">
        <w:rPr>
          <w:sz w:val="22"/>
          <w:szCs w:val="22"/>
        </w:rPr>
        <w:t xml:space="preserve"> itemizing the charges for its services</w:t>
      </w:r>
      <w:r w:rsidR="00536B0D">
        <w:rPr>
          <w:sz w:val="22"/>
          <w:szCs w:val="22"/>
        </w:rPr>
        <w:t xml:space="preserve">, </w:t>
      </w:r>
      <w:r w:rsidR="005E1339">
        <w:rPr>
          <w:sz w:val="22"/>
          <w:szCs w:val="22"/>
        </w:rPr>
        <w:t xml:space="preserve">Achieve </w:t>
      </w:r>
      <w:r w:rsidR="0037772B">
        <w:rPr>
          <w:sz w:val="22"/>
          <w:szCs w:val="22"/>
        </w:rPr>
        <w:t>instruct</w:t>
      </w:r>
      <w:r w:rsidR="00536B0D">
        <w:rPr>
          <w:sz w:val="22"/>
          <w:szCs w:val="22"/>
        </w:rPr>
        <w:t>ed</w:t>
      </w:r>
      <w:r w:rsidR="0037772B">
        <w:rPr>
          <w:sz w:val="22"/>
          <w:szCs w:val="22"/>
        </w:rPr>
        <w:t xml:space="preserve"> </w:t>
      </w:r>
      <w:r w:rsidR="00276215">
        <w:rPr>
          <w:sz w:val="22"/>
          <w:szCs w:val="22"/>
        </w:rPr>
        <w:t>the</w:t>
      </w:r>
      <w:r w:rsidR="005E1339">
        <w:rPr>
          <w:sz w:val="22"/>
          <w:szCs w:val="22"/>
        </w:rPr>
        <w:t xml:space="preserve"> </w:t>
      </w:r>
      <w:r w:rsidR="00FA0F0E">
        <w:rPr>
          <w:sz w:val="22"/>
          <w:szCs w:val="22"/>
        </w:rPr>
        <w:t>S</w:t>
      </w:r>
      <w:r w:rsidR="005E1339">
        <w:rPr>
          <w:sz w:val="22"/>
          <w:szCs w:val="22"/>
        </w:rPr>
        <w:t>chools</w:t>
      </w:r>
      <w:r w:rsidR="00276215">
        <w:rPr>
          <w:sz w:val="22"/>
          <w:szCs w:val="22"/>
        </w:rPr>
        <w:t xml:space="preserve"> </w:t>
      </w:r>
      <w:r w:rsidR="0037772B">
        <w:rPr>
          <w:sz w:val="22"/>
          <w:szCs w:val="22"/>
        </w:rPr>
        <w:t>to “</w:t>
      </w:r>
      <w:r w:rsidR="00E351EE">
        <w:rPr>
          <w:sz w:val="22"/>
          <w:szCs w:val="22"/>
        </w:rPr>
        <w:t>not pay” because</w:t>
      </w:r>
      <w:r w:rsidR="005E1339">
        <w:rPr>
          <w:sz w:val="22"/>
          <w:szCs w:val="22"/>
        </w:rPr>
        <w:t xml:space="preserve"> it</w:t>
      </w:r>
      <w:r w:rsidR="00E351EE">
        <w:rPr>
          <w:sz w:val="22"/>
          <w:szCs w:val="22"/>
        </w:rPr>
        <w:t xml:space="preserve"> </w:t>
      </w:r>
      <w:r w:rsidR="0037772B">
        <w:rPr>
          <w:sz w:val="22"/>
          <w:szCs w:val="22"/>
        </w:rPr>
        <w:t>had already arranged for t</w:t>
      </w:r>
      <w:r w:rsidR="00E351EE">
        <w:rPr>
          <w:sz w:val="22"/>
          <w:szCs w:val="22"/>
        </w:rPr>
        <w:t>hose payments through the DDF.</w:t>
      </w:r>
      <w:r w:rsidR="00374E4E">
        <w:rPr>
          <w:rStyle w:val="FootnoteReference"/>
          <w:sz w:val="22"/>
          <w:szCs w:val="22"/>
        </w:rPr>
        <w:footnoteReference w:id="107"/>
      </w:r>
      <w:r w:rsidR="00E351EE">
        <w:rPr>
          <w:sz w:val="22"/>
          <w:szCs w:val="22"/>
        </w:rPr>
        <w:t xml:space="preserve">  </w:t>
      </w:r>
      <w:r w:rsidR="00C34040" w:rsidRPr="009D1BA7">
        <w:rPr>
          <w:color w:val="000000"/>
          <w:sz w:val="22"/>
          <w:szCs w:val="22"/>
        </w:rPr>
        <w:t>Thus, the invoices were not designed to collect the non-discount share from the Schools through legitimate means</w:t>
      </w:r>
      <w:r w:rsidR="00304365">
        <w:rPr>
          <w:color w:val="000000"/>
          <w:sz w:val="22"/>
          <w:szCs w:val="22"/>
        </w:rPr>
        <w:t>,</w:t>
      </w:r>
      <w:r w:rsidR="00C34040" w:rsidRPr="009D1BA7">
        <w:rPr>
          <w:color w:val="000000"/>
          <w:sz w:val="22"/>
          <w:szCs w:val="22"/>
        </w:rPr>
        <w:t xml:space="preserve"> but served only as a paper trail to make it appear that Achieve had </w:t>
      </w:r>
      <w:r w:rsidR="00C34040">
        <w:rPr>
          <w:color w:val="000000"/>
          <w:sz w:val="22"/>
          <w:szCs w:val="22"/>
        </w:rPr>
        <w:t xml:space="preserve">complied with </w:t>
      </w:r>
      <w:r w:rsidR="00C34040" w:rsidRPr="009D1BA7">
        <w:rPr>
          <w:color w:val="000000"/>
          <w:sz w:val="22"/>
          <w:szCs w:val="22"/>
        </w:rPr>
        <w:t>its obligation to bill and collect the Schools’ co-pay from sources independent of Achieve.</w:t>
      </w:r>
      <w:r w:rsidR="00C34040" w:rsidRPr="001E29E8">
        <w:rPr>
          <w:rStyle w:val="FootnoteReference"/>
          <w:sz w:val="22"/>
          <w:szCs w:val="22"/>
        </w:rPr>
        <w:footnoteReference w:id="108"/>
      </w:r>
      <w:r w:rsidR="00C34040">
        <w:rPr>
          <w:color w:val="000000"/>
          <w:sz w:val="22"/>
          <w:szCs w:val="22"/>
        </w:rPr>
        <w:t xml:space="preserve">  </w:t>
      </w:r>
      <w:r w:rsidR="00E351EE">
        <w:rPr>
          <w:sz w:val="22"/>
          <w:szCs w:val="22"/>
        </w:rPr>
        <w:t>G</w:t>
      </w:r>
      <w:r w:rsidR="00297114">
        <w:rPr>
          <w:sz w:val="22"/>
          <w:szCs w:val="22"/>
        </w:rPr>
        <w:t xml:space="preserve">iven </w:t>
      </w:r>
      <w:r w:rsidR="00276215">
        <w:rPr>
          <w:sz w:val="22"/>
          <w:szCs w:val="22"/>
        </w:rPr>
        <w:t>the</w:t>
      </w:r>
      <w:r w:rsidR="00C34040">
        <w:rPr>
          <w:sz w:val="22"/>
          <w:szCs w:val="22"/>
        </w:rPr>
        <w:t>se</w:t>
      </w:r>
      <w:r w:rsidR="00297114">
        <w:rPr>
          <w:sz w:val="22"/>
          <w:szCs w:val="22"/>
        </w:rPr>
        <w:t xml:space="preserve"> facts and </w:t>
      </w:r>
      <w:r w:rsidR="007618E4">
        <w:rPr>
          <w:sz w:val="22"/>
          <w:szCs w:val="22"/>
        </w:rPr>
        <w:t xml:space="preserve">circumstances, </w:t>
      </w:r>
      <w:r w:rsidR="00EE6EF8" w:rsidRPr="005F191F">
        <w:rPr>
          <w:sz w:val="22"/>
          <w:szCs w:val="22"/>
        </w:rPr>
        <w:t>we find that Achieve fail</w:t>
      </w:r>
      <w:r w:rsidR="007618E4">
        <w:rPr>
          <w:sz w:val="22"/>
          <w:szCs w:val="22"/>
        </w:rPr>
        <w:t>ed</w:t>
      </w:r>
      <w:r w:rsidR="00EE6EF8" w:rsidRPr="005F191F">
        <w:rPr>
          <w:sz w:val="22"/>
          <w:szCs w:val="22"/>
        </w:rPr>
        <w:t xml:space="preserve"> to make a </w:t>
      </w:r>
      <w:r w:rsidR="00EE6EF8" w:rsidRPr="005F191F">
        <w:rPr>
          <w:i/>
          <w:sz w:val="22"/>
          <w:szCs w:val="22"/>
        </w:rPr>
        <w:t xml:space="preserve">bona fide </w:t>
      </w:r>
      <w:r w:rsidR="00EE6EF8" w:rsidRPr="005F191F">
        <w:rPr>
          <w:sz w:val="22"/>
          <w:szCs w:val="22"/>
        </w:rPr>
        <w:t>effort to collect the Schools’ share of the cost of Achieve’s services</w:t>
      </w:r>
      <w:r w:rsidR="007618E4">
        <w:rPr>
          <w:sz w:val="22"/>
          <w:szCs w:val="22"/>
        </w:rPr>
        <w:t>.</w:t>
      </w:r>
      <w:r w:rsidR="00EE6EF8" w:rsidRPr="005F191F">
        <w:rPr>
          <w:sz w:val="22"/>
          <w:szCs w:val="22"/>
        </w:rPr>
        <w:t xml:space="preserve"> </w:t>
      </w:r>
      <w:r w:rsidR="007618E4">
        <w:rPr>
          <w:sz w:val="22"/>
          <w:szCs w:val="22"/>
        </w:rPr>
        <w:t xml:space="preserve"> </w:t>
      </w:r>
      <w:r w:rsidR="00EE6EF8" w:rsidRPr="005F191F">
        <w:rPr>
          <w:rFonts w:cs="Courier New"/>
          <w:sz w:val="22"/>
          <w:szCs w:val="22"/>
        </w:rPr>
        <w:t xml:space="preserve">Therefore, to the extent that Achieve and the Schools seek review of USAC’s decisions to rescind E-rate funds committed and/or disbursed to Achieve, we deny their Requests for Review.  </w:t>
      </w:r>
    </w:p>
    <w:p w:rsidR="00276215" w:rsidRDefault="00276215" w:rsidP="00276215">
      <w:pPr>
        <w:pStyle w:val="par1"/>
        <w:numPr>
          <w:ilvl w:val="0"/>
          <w:numId w:val="0"/>
        </w:numPr>
        <w:ind w:left="630"/>
        <w:rPr>
          <w:sz w:val="22"/>
          <w:szCs w:val="22"/>
        </w:rPr>
      </w:pPr>
    </w:p>
    <w:p w:rsidR="007A1885" w:rsidRPr="00F02DF9" w:rsidRDefault="00C34847" w:rsidP="00374E4E">
      <w:pPr>
        <w:pStyle w:val="par1"/>
        <w:tabs>
          <w:tab w:val="num" w:pos="1440"/>
        </w:tabs>
        <w:ind w:left="0"/>
        <w:rPr>
          <w:b/>
          <w:color w:val="000000"/>
          <w:sz w:val="22"/>
          <w:szCs w:val="22"/>
        </w:rPr>
      </w:pPr>
      <w:r w:rsidRPr="00225DF4">
        <w:rPr>
          <w:sz w:val="22"/>
          <w:szCs w:val="22"/>
          <w:u w:val="single"/>
        </w:rPr>
        <w:t xml:space="preserve">Violation of the </w:t>
      </w:r>
      <w:r w:rsidR="008B7CF7" w:rsidRPr="00225DF4">
        <w:rPr>
          <w:sz w:val="22"/>
          <w:szCs w:val="22"/>
          <w:u w:val="single"/>
        </w:rPr>
        <w:t xml:space="preserve">Commission’s </w:t>
      </w:r>
      <w:r w:rsidR="00276215" w:rsidRPr="00225DF4">
        <w:rPr>
          <w:sz w:val="22"/>
          <w:szCs w:val="22"/>
          <w:u w:val="single"/>
        </w:rPr>
        <w:t>Competitive Bidding</w:t>
      </w:r>
      <w:r w:rsidRPr="00225DF4">
        <w:rPr>
          <w:sz w:val="22"/>
          <w:szCs w:val="22"/>
          <w:u w:val="single"/>
        </w:rPr>
        <w:t xml:space="preserve"> Rules</w:t>
      </w:r>
      <w:r w:rsidR="00276215" w:rsidRPr="00225DF4">
        <w:rPr>
          <w:sz w:val="22"/>
          <w:szCs w:val="22"/>
          <w:u w:val="single"/>
        </w:rPr>
        <w:t>.</w:t>
      </w:r>
      <w:r w:rsidR="00276215">
        <w:rPr>
          <w:sz w:val="22"/>
          <w:szCs w:val="22"/>
        </w:rPr>
        <w:t xml:space="preserve">  </w:t>
      </w:r>
      <w:r w:rsidR="00276215" w:rsidRPr="005F191F">
        <w:rPr>
          <w:sz w:val="22"/>
          <w:szCs w:val="22"/>
        </w:rPr>
        <w:t>We</w:t>
      </w:r>
      <w:r w:rsidR="00276215">
        <w:rPr>
          <w:sz w:val="22"/>
          <w:szCs w:val="22"/>
        </w:rPr>
        <w:t xml:space="preserve"> affirm USAC’s determination and </w:t>
      </w:r>
      <w:r w:rsidR="00276215" w:rsidRPr="005F191F">
        <w:rPr>
          <w:sz w:val="22"/>
          <w:szCs w:val="22"/>
        </w:rPr>
        <w:t xml:space="preserve">find that Achieve’s scheme violated the competitive bidding process </w:t>
      </w:r>
      <w:r w:rsidR="00914D76">
        <w:rPr>
          <w:sz w:val="22"/>
          <w:szCs w:val="22"/>
        </w:rPr>
        <w:t>that</w:t>
      </w:r>
      <w:r w:rsidR="00914D76" w:rsidRPr="005F191F">
        <w:rPr>
          <w:sz w:val="22"/>
          <w:szCs w:val="22"/>
        </w:rPr>
        <w:t xml:space="preserve"> </w:t>
      </w:r>
      <w:r w:rsidR="00276215" w:rsidRPr="005F191F">
        <w:rPr>
          <w:sz w:val="22"/>
          <w:szCs w:val="22"/>
        </w:rPr>
        <w:t>is at the heart of the E-rate program.  Since the program’s inception, the Commission has consistently stated that the competitive bidding process must be fair and open and must not be compromised because of improper conduct by the applicant or service provider.</w:t>
      </w:r>
      <w:r w:rsidR="00276215" w:rsidRPr="00EE6EF8">
        <w:rPr>
          <w:rStyle w:val="FootnoteReference"/>
          <w:sz w:val="22"/>
          <w:szCs w:val="22"/>
        </w:rPr>
        <w:footnoteReference w:id="109"/>
      </w:r>
      <w:r w:rsidR="00276215" w:rsidRPr="005F191F">
        <w:rPr>
          <w:sz w:val="22"/>
          <w:szCs w:val="22"/>
        </w:rPr>
        <w:t xml:space="preserve">  The record here shows that Achieve had an unfair competitive advantage </w:t>
      </w:r>
      <w:r w:rsidR="00374E4E">
        <w:rPr>
          <w:sz w:val="22"/>
          <w:szCs w:val="22"/>
        </w:rPr>
        <w:t xml:space="preserve">by operating a scheme through which it </w:t>
      </w:r>
      <w:r w:rsidR="000C3AA3">
        <w:rPr>
          <w:sz w:val="22"/>
          <w:szCs w:val="22"/>
        </w:rPr>
        <w:t xml:space="preserve">oversaw and </w:t>
      </w:r>
      <w:r w:rsidR="00374E4E">
        <w:rPr>
          <w:sz w:val="22"/>
          <w:szCs w:val="22"/>
        </w:rPr>
        <w:t xml:space="preserve">controlled applicants’ access to </w:t>
      </w:r>
      <w:r w:rsidR="00276215" w:rsidRPr="005F191F">
        <w:rPr>
          <w:sz w:val="22"/>
          <w:szCs w:val="22"/>
        </w:rPr>
        <w:t>USDLA</w:t>
      </w:r>
      <w:r w:rsidR="000C3AA3">
        <w:rPr>
          <w:sz w:val="22"/>
          <w:szCs w:val="22"/>
        </w:rPr>
        <w:t xml:space="preserve">’s DDF </w:t>
      </w:r>
      <w:r w:rsidR="00276215" w:rsidRPr="005F191F">
        <w:rPr>
          <w:sz w:val="22"/>
          <w:szCs w:val="22"/>
        </w:rPr>
        <w:t xml:space="preserve">grants that </w:t>
      </w:r>
      <w:r w:rsidR="00374E4E">
        <w:rPr>
          <w:sz w:val="22"/>
          <w:szCs w:val="22"/>
        </w:rPr>
        <w:t xml:space="preserve">could be </w:t>
      </w:r>
      <w:r w:rsidR="00276215" w:rsidRPr="005F191F">
        <w:rPr>
          <w:sz w:val="22"/>
          <w:szCs w:val="22"/>
        </w:rPr>
        <w:t xml:space="preserve">used to cover the </w:t>
      </w:r>
      <w:r w:rsidR="00CD7D21">
        <w:rPr>
          <w:sz w:val="22"/>
          <w:szCs w:val="22"/>
        </w:rPr>
        <w:t>applicants</w:t>
      </w:r>
      <w:r w:rsidR="00276215" w:rsidRPr="005F191F">
        <w:rPr>
          <w:sz w:val="22"/>
          <w:szCs w:val="22"/>
        </w:rPr>
        <w:t>’ non-discount share.</w:t>
      </w:r>
      <w:r w:rsidR="00276215" w:rsidRPr="00EE6EF8">
        <w:rPr>
          <w:rStyle w:val="FootnoteReference"/>
          <w:sz w:val="22"/>
          <w:szCs w:val="22"/>
        </w:rPr>
        <w:footnoteReference w:id="110"/>
      </w:r>
      <w:r w:rsidR="00276215" w:rsidRPr="005F191F">
        <w:rPr>
          <w:sz w:val="22"/>
          <w:szCs w:val="22"/>
        </w:rPr>
        <w:t xml:space="preserve">  Achieve acknowledges that it advised the Schools of </w:t>
      </w:r>
      <w:r w:rsidR="00426DF0">
        <w:rPr>
          <w:sz w:val="22"/>
          <w:szCs w:val="22"/>
        </w:rPr>
        <w:t>USDLA</w:t>
      </w:r>
      <w:r w:rsidR="00276215" w:rsidRPr="005F191F">
        <w:rPr>
          <w:sz w:val="22"/>
          <w:szCs w:val="22"/>
        </w:rPr>
        <w:t xml:space="preserve"> grants and does not deny that it encouraged the Schools to apply for them.</w:t>
      </w:r>
      <w:r w:rsidR="00276215" w:rsidRPr="00EE6EF8">
        <w:rPr>
          <w:rStyle w:val="FootnoteReference"/>
          <w:sz w:val="22"/>
          <w:szCs w:val="22"/>
        </w:rPr>
        <w:footnoteReference w:id="111"/>
      </w:r>
      <w:r w:rsidR="00276215" w:rsidRPr="005F191F">
        <w:rPr>
          <w:sz w:val="22"/>
          <w:szCs w:val="22"/>
        </w:rPr>
        <w:t xml:space="preserve">  </w:t>
      </w:r>
      <w:r w:rsidR="007A1885" w:rsidRPr="00F02DF9">
        <w:rPr>
          <w:sz w:val="22"/>
          <w:szCs w:val="22"/>
        </w:rPr>
        <w:t xml:space="preserve">Achieve was the only service provider that knew the Schools </w:t>
      </w:r>
      <w:r w:rsidR="003D2BCE">
        <w:rPr>
          <w:sz w:val="22"/>
          <w:szCs w:val="22"/>
        </w:rPr>
        <w:t xml:space="preserve">likely </w:t>
      </w:r>
      <w:r w:rsidR="007A1885" w:rsidRPr="00F02DF9">
        <w:rPr>
          <w:sz w:val="22"/>
          <w:szCs w:val="22"/>
        </w:rPr>
        <w:t>could afford the</w:t>
      </w:r>
      <w:r w:rsidR="007A1885">
        <w:rPr>
          <w:sz w:val="22"/>
          <w:szCs w:val="22"/>
        </w:rPr>
        <w:t xml:space="preserve">ir </w:t>
      </w:r>
      <w:r w:rsidR="00A72AC9">
        <w:rPr>
          <w:sz w:val="22"/>
          <w:szCs w:val="22"/>
        </w:rPr>
        <w:t xml:space="preserve">non-discount share of the cost of the services </w:t>
      </w:r>
      <w:r w:rsidR="007A1885">
        <w:rPr>
          <w:sz w:val="22"/>
          <w:szCs w:val="22"/>
        </w:rPr>
        <w:t>regardless of the Schools’</w:t>
      </w:r>
      <w:r w:rsidR="007A1885" w:rsidRPr="00F02DF9">
        <w:rPr>
          <w:sz w:val="22"/>
          <w:szCs w:val="22"/>
        </w:rPr>
        <w:t xml:space="preserve"> financial circumstances.  Achieve alone knew that the time and expense for bid preparation would not be wasted because the </w:t>
      </w:r>
      <w:r w:rsidR="00A72AC9">
        <w:rPr>
          <w:sz w:val="22"/>
          <w:szCs w:val="22"/>
        </w:rPr>
        <w:t xml:space="preserve">non-discount share was </w:t>
      </w:r>
      <w:r w:rsidR="007A1885" w:rsidRPr="00F02DF9">
        <w:rPr>
          <w:sz w:val="22"/>
          <w:szCs w:val="22"/>
        </w:rPr>
        <w:t>secure</w:t>
      </w:r>
      <w:r w:rsidR="00A72AC9">
        <w:rPr>
          <w:sz w:val="22"/>
          <w:szCs w:val="22"/>
        </w:rPr>
        <w:t>d</w:t>
      </w:r>
      <w:r w:rsidR="007A1885" w:rsidRPr="00F02DF9">
        <w:rPr>
          <w:sz w:val="22"/>
          <w:szCs w:val="22"/>
        </w:rPr>
        <w:t xml:space="preserve"> through the DDF grants it controlled.  Thus, while the Schools’ capacity to pay the non-discount share may have deterred other potential bidders, this was not the case with Achieve.  Its funding scheme allowed it to incur the costs of preparing bids secure in the knowledge that the Schools could participate in the E-rate program without regard to financial resource limitations.  </w:t>
      </w:r>
    </w:p>
    <w:p w:rsidR="00276215" w:rsidRPr="000C0A20" w:rsidRDefault="00276215" w:rsidP="00276215">
      <w:pPr>
        <w:pStyle w:val="par1"/>
        <w:numPr>
          <w:ilvl w:val="0"/>
          <w:numId w:val="0"/>
        </w:numPr>
        <w:ind w:left="720"/>
        <w:rPr>
          <w:b/>
          <w:color w:val="000000"/>
          <w:sz w:val="22"/>
          <w:szCs w:val="22"/>
        </w:rPr>
      </w:pPr>
    </w:p>
    <w:p w:rsidR="00007C3D" w:rsidRPr="003251EA" w:rsidRDefault="005963A0" w:rsidP="00626C94">
      <w:pPr>
        <w:pStyle w:val="par1"/>
        <w:tabs>
          <w:tab w:val="clear" w:pos="1530"/>
          <w:tab w:val="num" w:pos="1350"/>
        </w:tabs>
        <w:ind w:left="-90"/>
        <w:rPr>
          <w:b/>
          <w:color w:val="000000"/>
          <w:sz w:val="22"/>
          <w:szCs w:val="22"/>
        </w:rPr>
      </w:pPr>
      <w:r w:rsidRPr="00CA5B4C">
        <w:rPr>
          <w:sz w:val="22"/>
          <w:szCs w:val="22"/>
        </w:rPr>
        <w:t>Moreo</w:t>
      </w:r>
      <w:r w:rsidR="007A1885" w:rsidRPr="004072C8">
        <w:rPr>
          <w:sz w:val="22"/>
          <w:szCs w:val="22"/>
        </w:rPr>
        <w:t xml:space="preserve">ver, </w:t>
      </w:r>
      <w:r w:rsidR="00FA0F0E" w:rsidRPr="00C30135">
        <w:rPr>
          <w:sz w:val="22"/>
          <w:szCs w:val="22"/>
        </w:rPr>
        <w:t>the Schools’ perception that grants for the non-discount share might well be available to them</w:t>
      </w:r>
      <w:r w:rsidR="000C3AA3">
        <w:rPr>
          <w:rStyle w:val="FootnoteReference"/>
          <w:sz w:val="22"/>
          <w:szCs w:val="22"/>
        </w:rPr>
        <w:footnoteReference w:id="112"/>
      </w:r>
      <w:r w:rsidR="00FA0F0E" w:rsidRPr="00C30135">
        <w:rPr>
          <w:sz w:val="22"/>
          <w:szCs w:val="22"/>
        </w:rPr>
        <w:t xml:space="preserve"> reasonably would have eroded their incentive to closely scrutinize the costs of Achieve’s bid or seek cost constraints through negotiations becau</w:t>
      </w:r>
      <w:r w:rsidR="00FA0F0E" w:rsidRPr="00C30135">
        <w:rPr>
          <w:rFonts w:cs="Courier New"/>
          <w:sz w:val="22"/>
          <w:szCs w:val="22"/>
        </w:rPr>
        <w:t>se of their hope that the funding of the Schools’ share would be provided from USDLA grants</w:t>
      </w:r>
      <w:r w:rsidR="00276215" w:rsidRPr="00430365">
        <w:rPr>
          <w:rFonts w:cs="Courier New"/>
          <w:sz w:val="22"/>
          <w:szCs w:val="22"/>
        </w:rPr>
        <w:t>.</w:t>
      </w:r>
      <w:r w:rsidR="00276215" w:rsidRPr="00CA5B4C">
        <w:rPr>
          <w:rStyle w:val="FootnoteReference"/>
          <w:rFonts w:cs="Courier New"/>
          <w:sz w:val="22"/>
          <w:szCs w:val="22"/>
        </w:rPr>
        <w:footnoteReference w:id="113"/>
      </w:r>
      <w:r w:rsidR="00276215" w:rsidRPr="00CA5B4C">
        <w:rPr>
          <w:rFonts w:cs="Courier New"/>
          <w:sz w:val="22"/>
          <w:szCs w:val="22"/>
        </w:rPr>
        <w:t xml:space="preserve">  </w:t>
      </w:r>
      <w:r w:rsidR="00626C94" w:rsidRPr="004072C8">
        <w:rPr>
          <w:rFonts w:cs="Courier New"/>
          <w:sz w:val="22"/>
          <w:szCs w:val="22"/>
        </w:rPr>
        <w:t>Achieve’s conduct, suggesting a cost-free approach for the Schools that Achieve knew woul</w:t>
      </w:r>
      <w:r w:rsidR="00626C94" w:rsidRPr="00C30135">
        <w:rPr>
          <w:rFonts w:cs="Courier New"/>
          <w:sz w:val="22"/>
          <w:szCs w:val="22"/>
        </w:rPr>
        <w:t xml:space="preserve">d become a reality, </w:t>
      </w:r>
      <w:r w:rsidR="00276215" w:rsidRPr="00C30135">
        <w:rPr>
          <w:rFonts w:cs="Courier New"/>
          <w:sz w:val="22"/>
          <w:szCs w:val="22"/>
        </w:rPr>
        <w:t xml:space="preserve">thus undermined the important cost control mechanisms that competitive bidding </w:t>
      </w:r>
      <w:r w:rsidR="00276215" w:rsidRPr="00C30135">
        <w:rPr>
          <w:sz w:val="22"/>
          <w:szCs w:val="22"/>
        </w:rPr>
        <w:t xml:space="preserve">promotes when parties are doing business on a level playing field.  We therefore find that Achieve had an unfair advantage in the Schools’ competitive bidding processes </w:t>
      </w:r>
      <w:r w:rsidR="00276215" w:rsidRPr="00430365">
        <w:rPr>
          <w:sz w:val="22"/>
          <w:szCs w:val="22"/>
        </w:rPr>
        <w:t xml:space="preserve">because (1) </w:t>
      </w:r>
      <w:r w:rsidR="00276215" w:rsidRPr="008A7D3B">
        <w:rPr>
          <w:sz w:val="22"/>
          <w:szCs w:val="22"/>
        </w:rPr>
        <w:t>Achieve</w:t>
      </w:r>
      <w:r w:rsidR="00273D63" w:rsidRPr="008A7D3B">
        <w:rPr>
          <w:sz w:val="22"/>
          <w:szCs w:val="22"/>
        </w:rPr>
        <w:t>, uniquely,</w:t>
      </w:r>
      <w:r w:rsidR="00276215" w:rsidRPr="008A7D3B">
        <w:rPr>
          <w:sz w:val="22"/>
          <w:szCs w:val="22"/>
        </w:rPr>
        <w:t xml:space="preserve"> knew that the Schools would be able to meet their obligations to provide the non-discount share even if the Schools did not otherwise have those funds available; and (2) </w:t>
      </w:r>
      <w:r w:rsidR="00273D63" w:rsidRPr="008A7D3B">
        <w:rPr>
          <w:sz w:val="22"/>
          <w:szCs w:val="22"/>
        </w:rPr>
        <w:t xml:space="preserve">Achieve knew that the </w:t>
      </w:r>
      <w:r w:rsidR="0051666E" w:rsidRPr="001512CE">
        <w:rPr>
          <w:sz w:val="22"/>
          <w:szCs w:val="22"/>
        </w:rPr>
        <w:t>S</w:t>
      </w:r>
      <w:r w:rsidR="00273D63" w:rsidRPr="00A62BED">
        <w:rPr>
          <w:sz w:val="22"/>
          <w:szCs w:val="22"/>
        </w:rPr>
        <w:t xml:space="preserve">chools also would have reduced incentives to scrutinize costs in light of the grants. </w:t>
      </w:r>
      <w:r w:rsidR="00273D63" w:rsidRPr="00093CDF">
        <w:rPr>
          <w:sz w:val="22"/>
          <w:szCs w:val="22"/>
        </w:rPr>
        <w:t xml:space="preserve"> Thus, Achieve was able to bid without </w:t>
      </w:r>
      <w:r w:rsidR="00276215" w:rsidRPr="001960BE">
        <w:rPr>
          <w:sz w:val="22"/>
          <w:szCs w:val="22"/>
        </w:rPr>
        <w:t>the constraints on costs that would exist in a fair and open competition</w:t>
      </w:r>
      <w:r w:rsidR="00273D63" w:rsidRPr="002204CB">
        <w:rPr>
          <w:sz w:val="22"/>
          <w:szCs w:val="22"/>
        </w:rPr>
        <w:t>.</w:t>
      </w:r>
      <w:r w:rsidR="00276215" w:rsidRPr="001A42C7">
        <w:rPr>
          <w:sz w:val="22"/>
          <w:szCs w:val="22"/>
        </w:rPr>
        <w:t xml:space="preserve">  </w:t>
      </w:r>
      <w:r w:rsidR="00777FF8" w:rsidRPr="004F1C67">
        <w:rPr>
          <w:sz w:val="22"/>
          <w:szCs w:val="22"/>
        </w:rPr>
        <w:t>We therefore reject Achieve’s</w:t>
      </w:r>
      <w:r w:rsidR="00907CA5" w:rsidRPr="00004099">
        <w:rPr>
          <w:sz w:val="22"/>
          <w:szCs w:val="22"/>
        </w:rPr>
        <w:t xml:space="preserve"> </w:t>
      </w:r>
      <w:r w:rsidR="00777FF8" w:rsidRPr="00004099">
        <w:rPr>
          <w:sz w:val="22"/>
          <w:szCs w:val="22"/>
        </w:rPr>
        <w:t xml:space="preserve">assertion in its November 2014 </w:t>
      </w:r>
      <w:r w:rsidR="00CA5B4C" w:rsidRPr="00004099">
        <w:rPr>
          <w:sz w:val="22"/>
          <w:szCs w:val="22"/>
        </w:rPr>
        <w:t>r</w:t>
      </w:r>
      <w:r w:rsidR="00777FF8" w:rsidRPr="006367B8">
        <w:rPr>
          <w:sz w:val="22"/>
          <w:szCs w:val="22"/>
        </w:rPr>
        <w:t>esponse that “[</w:t>
      </w:r>
      <w:r w:rsidR="0051666E" w:rsidRPr="00B0217D">
        <w:rPr>
          <w:sz w:val="22"/>
          <w:szCs w:val="22"/>
        </w:rPr>
        <w:t>t</w:t>
      </w:r>
      <w:r w:rsidR="00777FF8" w:rsidRPr="002923AD">
        <w:rPr>
          <w:sz w:val="22"/>
          <w:szCs w:val="22"/>
        </w:rPr>
        <w:t>]he pr</w:t>
      </w:r>
      <w:r w:rsidR="00907CA5" w:rsidRPr="00CA5B4C">
        <w:rPr>
          <w:sz w:val="22"/>
          <w:szCs w:val="22"/>
        </w:rPr>
        <w:t>i</w:t>
      </w:r>
      <w:r w:rsidR="00777FF8" w:rsidRPr="00CA5B4C">
        <w:rPr>
          <w:sz w:val="22"/>
          <w:szCs w:val="22"/>
        </w:rPr>
        <w:t>ce was competitively bid in accordance with E-rate procedures.”</w:t>
      </w:r>
      <w:r w:rsidR="00777FF8" w:rsidRPr="00CA5B4C">
        <w:rPr>
          <w:rStyle w:val="FootnoteReference"/>
          <w:sz w:val="22"/>
          <w:szCs w:val="22"/>
        </w:rPr>
        <w:footnoteReference w:id="114"/>
      </w:r>
      <w:r w:rsidR="00777FF8" w:rsidRPr="00CA5B4C">
        <w:rPr>
          <w:sz w:val="22"/>
          <w:szCs w:val="22"/>
        </w:rPr>
        <w:t xml:space="preserve">  </w:t>
      </w:r>
    </w:p>
    <w:p w:rsidR="00007C3D" w:rsidRPr="003251EA" w:rsidRDefault="00007C3D" w:rsidP="003251EA">
      <w:pPr>
        <w:pStyle w:val="par1"/>
        <w:numPr>
          <w:ilvl w:val="0"/>
          <w:numId w:val="0"/>
        </w:numPr>
        <w:ind w:left="630"/>
        <w:rPr>
          <w:b/>
          <w:color w:val="000000"/>
          <w:sz w:val="22"/>
          <w:szCs w:val="22"/>
        </w:rPr>
      </w:pPr>
    </w:p>
    <w:p w:rsidR="00626C94" w:rsidRPr="005B5644" w:rsidRDefault="00276215" w:rsidP="00626C94">
      <w:pPr>
        <w:pStyle w:val="par1"/>
        <w:tabs>
          <w:tab w:val="clear" w:pos="1530"/>
          <w:tab w:val="num" w:pos="1350"/>
        </w:tabs>
        <w:ind w:left="-90"/>
        <w:rPr>
          <w:b/>
          <w:color w:val="000000"/>
          <w:sz w:val="22"/>
          <w:szCs w:val="22"/>
        </w:rPr>
      </w:pPr>
      <w:r w:rsidRPr="004072C8">
        <w:rPr>
          <w:sz w:val="22"/>
          <w:szCs w:val="22"/>
        </w:rPr>
        <w:t>We are deeply concerned about practices such as these that undermine the framework of the competitive bidding process.  Service provider actions of the type addressed here suppres</w:t>
      </w:r>
      <w:r w:rsidRPr="00C30135">
        <w:rPr>
          <w:sz w:val="22"/>
          <w:szCs w:val="22"/>
        </w:rPr>
        <w:t xml:space="preserve">s fair and open competitive bidding and ultimately damage the integrity of the E-rate program.  </w:t>
      </w:r>
    </w:p>
    <w:p w:rsidR="00777FF8" w:rsidRPr="00FE516A" w:rsidRDefault="00777FF8" w:rsidP="005B5644">
      <w:pPr>
        <w:pStyle w:val="par1"/>
        <w:numPr>
          <w:ilvl w:val="0"/>
          <w:numId w:val="0"/>
        </w:numPr>
        <w:ind w:left="630"/>
        <w:rPr>
          <w:b/>
          <w:color w:val="000000"/>
          <w:sz w:val="22"/>
          <w:szCs w:val="22"/>
        </w:rPr>
      </w:pPr>
    </w:p>
    <w:p w:rsidR="004D2665" w:rsidRDefault="00626C94" w:rsidP="004D2665">
      <w:pPr>
        <w:pStyle w:val="par1"/>
        <w:tabs>
          <w:tab w:val="clear" w:pos="1530"/>
          <w:tab w:val="num" w:pos="1350"/>
        </w:tabs>
        <w:ind w:left="0"/>
        <w:rPr>
          <w:rStyle w:val="StyleNumberedparagraphs11ptChar"/>
          <w:szCs w:val="22"/>
        </w:rPr>
      </w:pPr>
      <w:r w:rsidRPr="004D2665">
        <w:rPr>
          <w:rStyle w:val="StyleNumberedparagraphs11ptChar"/>
          <w:szCs w:val="22"/>
          <w:u w:val="single"/>
        </w:rPr>
        <w:t>Recovery of Universal Service Funds</w:t>
      </w:r>
      <w:r w:rsidRPr="004D2665">
        <w:rPr>
          <w:rStyle w:val="StyleNumberedparagraphs11ptChar"/>
          <w:i/>
          <w:szCs w:val="22"/>
        </w:rPr>
        <w:t xml:space="preserve">.  </w:t>
      </w:r>
      <w:r w:rsidRPr="004D2665">
        <w:rPr>
          <w:rStyle w:val="StyleNumberedparagraphs11ptChar"/>
          <w:szCs w:val="22"/>
        </w:rPr>
        <w:t xml:space="preserve">As discussed above, the Commission has held that USAC should recover funds </w:t>
      </w:r>
      <w:r w:rsidR="008B753D" w:rsidRPr="004D2665">
        <w:rPr>
          <w:rStyle w:val="StyleNumberedparagraphs11ptChar"/>
          <w:szCs w:val="22"/>
        </w:rPr>
        <w:t xml:space="preserve">disbursed in violation of </w:t>
      </w:r>
      <w:r w:rsidRPr="004D2665">
        <w:rPr>
          <w:rStyle w:val="StyleNumberedparagraphs11ptChar"/>
          <w:szCs w:val="22"/>
        </w:rPr>
        <w:t>the Commission's rules.</w:t>
      </w:r>
      <w:r w:rsidRPr="00CD56BB">
        <w:rPr>
          <w:rStyle w:val="FootnoteReference"/>
          <w:sz w:val="22"/>
          <w:szCs w:val="22"/>
        </w:rPr>
        <w:footnoteReference w:id="115"/>
      </w:r>
      <w:r w:rsidRPr="004D2665">
        <w:rPr>
          <w:rStyle w:val="StyleNumberedparagraphs11ptChar"/>
          <w:szCs w:val="22"/>
        </w:rPr>
        <w:t xml:space="preserve"> </w:t>
      </w:r>
      <w:r w:rsidR="00AC096F">
        <w:rPr>
          <w:rStyle w:val="StyleNumberedparagraphs11ptChar"/>
          <w:szCs w:val="22"/>
        </w:rPr>
        <w:t xml:space="preserve"> In this case, we direct USAC to continue its recovery actions against Achieve, while discontinuing them against the Schools</w:t>
      </w:r>
      <w:r w:rsidR="00EA26CD">
        <w:rPr>
          <w:rStyle w:val="StyleNumberedparagraphs11ptChar"/>
          <w:szCs w:val="22"/>
        </w:rPr>
        <w:t>.</w:t>
      </w:r>
      <w:r w:rsidR="00AC096F">
        <w:rPr>
          <w:rStyle w:val="StyleNumberedparagraphs11ptChar"/>
          <w:szCs w:val="22"/>
        </w:rPr>
        <w:t xml:space="preserve"> </w:t>
      </w:r>
      <w:r w:rsidR="00280B30">
        <w:rPr>
          <w:rStyle w:val="StyleNumberedparagraphs11ptChar"/>
          <w:szCs w:val="22"/>
        </w:rPr>
        <w:t xml:space="preserve"> </w:t>
      </w:r>
      <w:r w:rsidR="00EA26CD">
        <w:rPr>
          <w:rStyle w:val="StyleNumberedparagraphs11ptChar"/>
          <w:szCs w:val="22"/>
        </w:rPr>
        <w:t xml:space="preserve">The evidence </w:t>
      </w:r>
      <w:r w:rsidR="00AC096F">
        <w:rPr>
          <w:rStyle w:val="StyleNumberedparagraphs11ptChar"/>
          <w:szCs w:val="22"/>
        </w:rPr>
        <w:t xml:space="preserve">convincingly demonstrates that Achieve </w:t>
      </w:r>
      <w:r w:rsidRPr="004D2665">
        <w:rPr>
          <w:rStyle w:val="StyleNumberedparagraphs11ptChar"/>
          <w:szCs w:val="22"/>
        </w:rPr>
        <w:t>was in a better position to prevent the statutory or rule violation.</w:t>
      </w:r>
      <w:r>
        <w:rPr>
          <w:rStyle w:val="FootnoteReference"/>
          <w:sz w:val="22"/>
          <w:szCs w:val="22"/>
        </w:rPr>
        <w:footnoteReference w:id="116"/>
      </w:r>
      <w:r w:rsidRPr="004D2665">
        <w:rPr>
          <w:rStyle w:val="StyleNumberedparagraphs11ptChar"/>
          <w:szCs w:val="22"/>
        </w:rPr>
        <w:t xml:space="preserve">  </w:t>
      </w:r>
    </w:p>
    <w:p w:rsidR="004D2665" w:rsidRDefault="004D2665" w:rsidP="004D2665">
      <w:pPr>
        <w:pStyle w:val="ListParagraph"/>
        <w:rPr>
          <w:rStyle w:val="StyleNumberedparagraphs11ptChar"/>
          <w:szCs w:val="22"/>
        </w:rPr>
      </w:pPr>
    </w:p>
    <w:p w:rsidR="002E4D1A" w:rsidRPr="004D2665" w:rsidRDefault="00626C94" w:rsidP="004D2665">
      <w:pPr>
        <w:pStyle w:val="par1"/>
        <w:tabs>
          <w:tab w:val="clear" w:pos="1530"/>
          <w:tab w:val="num" w:pos="1350"/>
        </w:tabs>
        <w:ind w:left="0"/>
        <w:rPr>
          <w:rStyle w:val="StyleNumberedparagraphs11ptChar"/>
          <w:szCs w:val="22"/>
        </w:rPr>
      </w:pPr>
      <w:r w:rsidRPr="004D2665">
        <w:rPr>
          <w:rStyle w:val="StyleNumberedparagraphs11ptChar"/>
          <w:szCs w:val="22"/>
        </w:rPr>
        <w:t xml:space="preserve">USAC </w:t>
      </w:r>
      <w:r w:rsidR="00EA26CD">
        <w:rPr>
          <w:rStyle w:val="StyleNumberedparagraphs11ptChar"/>
          <w:szCs w:val="22"/>
        </w:rPr>
        <w:t xml:space="preserve">initially </w:t>
      </w:r>
      <w:r w:rsidRPr="004D2665">
        <w:rPr>
          <w:rStyle w:val="StyleNumberedparagraphs11ptChar"/>
          <w:szCs w:val="22"/>
        </w:rPr>
        <w:t xml:space="preserve">initiated recovery actions against Achieve and the Schools after determining that all parties </w:t>
      </w:r>
      <w:r w:rsidR="008B753D" w:rsidRPr="004D2665">
        <w:rPr>
          <w:rStyle w:val="StyleNumberedparagraphs11ptChar"/>
          <w:szCs w:val="22"/>
        </w:rPr>
        <w:t xml:space="preserve">violated </w:t>
      </w:r>
      <w:r w:rsidRPr="004D2665">
        <w:rPr>
          <w:rStyle w:val="StyleNumberedparagraphs11ptChar"/>
          <w:szCs w:val="22"/>
        </w:rPr>
        <w:t>E-rate program rules.</w:t>
      </w:r>
      <w:r w:rsidRPr="004B211B">
        <w:rPr>
          <w:rStyle w:val="FootnoteReference"/>
          <w:sz w:val="22"/>
          <w:szCs w:val="22"/>
        </w:rPr>
        <w:footnoteReference w:id="117"/>
      </w:r>
      <w:r w:rsidRPr="004D2665">
        <w:rPr>
          <w:rStyle w:val="StyleNumberedparagraphs11ptChar"/>
          <w:szCs w:val="22"/>
        </w:rPr>
        <w:t xml:space="preserve">  </w:t>
      </w:r>
      <w:r w:rsidR="00EA582E" w:rsidRPr="004D2665">
        <w:rPr>
          <w:rStyle w:val="StyleNumberedparagraphs11ptChar"/>
          <w:szCs w:val="22"/>
        </w:rPr>
        <w:t xml:space="preserve">While we agree that all parties violated Commission rules, </w:t>
      </w:r>
      <w:r w:rsidR="00912AB7" w:rsidRPr="004D2665">
        <w:rPr>
          <w:rStyle w:val="StyleNumberedparagraphs11ptChar"/>
          <w:szCs w:val="22"/>
        </w:rPr>
        <w:t>we conclude</w:t>
      </w:r>
      <w:r w:rsidR="00EA582E" w:rsidRPr="004D2665">
        <w:rPr>
          <w:rStyle w:val="StyleNumberedparagraphs11ptChar"/>
          <w:szCs w:val="22"/>
        </w:rPr>
        <w:t xml:space="preserve"> that </w:t>
      </w:r>
      <w:r w:rsidRPr="004D2665">
        <w:rPr>
          <w:rStyle w:val="StyleNumberedparagraphs11ptChar"/>
          <w:szCs w:val="22"/>
        </w:rPr>
        <w:t xml:space="preserve">Achieve was in a better position to prevent these rule violations because it alone knew </w:t>
      </w:r>
      <w:r w:rsidR="00A15FD2" w:rsidRPr="004D2665">
        <w:rPr>
          <w:rStyle w:val="StyleNumberedparagraphs11ptChar"/>
          <w:szCs w:val="22"/>
        </w:rPr>
        <w:t xml:space="preserve">that it was providing funds to the DDF for transfer to </w:t>
      </w:r>
      <w:r w:rsidR="00426DF0">
        <w:rPr>
          <w:rStyle w:val="StyleNumberedparagraphs11ptChar"/>
          <w:szCs w:val="22"/>
        </w:rPr>
        <w:t>USDLA</w:t>
      </w:r>
      <w:r w:rsidR="00A15FD2" w:rsidRPr="004D2665">
        <w:rPr>
          <w:rStyle w:val="StyleNumberedparagraphs11ptChar"/>
          <w:szCs w:val="22"/>
        </w:rPr>
        <w:t xml:space="preserve">; and it alone knew </w:t>
      </w:r>
      <w:r w:rsidRPr="004D2665">
        <w:rPr>
          <w:rStyle w:val="StyleNumberedparagraphs11ptChar"/>
          <w:szCs w:val="22"/>
        </w:rPr>
        <w:t xml:space="preserve">the nature of its relationship with USDLA and the amount of </w:t>
      </w:r>
      <w:r w:rsidR="00A15FD2" w:rsidRPr="004D2665">
        <w:rPr>
          <w:rStyle w:val="StyleNumberedparagraphs11ptChar"/>
          <w:szCs w:val="22"/>
        </w:rPr>
        <w:t xml:space="preserve">its </w:t>
      </w:r>
      <w:r w:rsidRPr="004D2665">
        <w:rPr>
          <w:rStyle w:val="StyleNumberedparagraphs11ptChar"/>
          <w:szCs w:val="22"/>
        </w:rPr>
        <w:t xml:space="preserve">control </w:t>
      </w:r>
      <w:r w:rsidR="00A15FD2" w:rsidRPr="004D2665">
        <w:rPr>
          <w:rStyle w:val="StyleNumberedparagraphs11ptChar"/>
          <w:szCs w:val="22"/>
        </w:rPr>
        <w:t xml:space="preserve">over </w:t>
      </w:r>
      <w:r w:rsidRPr="004D2665">
        <w:rPr>
          <w:rStyle w:val="StyleNumberedparagraphs11ptChar"/>
          <w:szCs w:val="22"/>
        </w:rPr>
        <w:t>the DDF</w:t>
      </w:r>
      <w:r w:rsidR="00A15FD2" w:rsidRPr="004D2665">
        <w:rPr>
          <w:rStyle w:val="StyleNumberedparagraphs11ptChar"/>
          <w:szCs w:val="22"/>
        </w:rPr>
        <w:t xml:space="preserve"> grants</w:t>
      </w:r>
      <w:r w:rsidRPr="004D2665">
        <w:rPr>
          <w:rStyle w:val="StyleNumberedparagraphs11ptChar"/>
          <w:szCs w:val="22"/>
        </w:rPr>
        <w:t xml:space="preserve">.  </w:t>
      </w:r>
      <w:r w:rsidRPr="004D2665">
        <w:rPr>
          <w:rFonts w:cs="Courier New"/>
          <w:sz w:val="22"/>
          <w:szCs w:val="22"/>
        </w:rPr>
        <w:t>Although</w:t>
      </w:r>
      <w:r w:rsidR="00912AB7" w:rsidRPr="004D2665">
        <w:rPr>
          <w:rFonts w:cs="Courier New"/>
          <w:sz w:val="22"/>
          <w:szCs w:val="22"/>
        </w:rPr>
        <w:t xml:space="preserve"> </w:t>
      </w:r>
      <w:r w:rsidRPr="004D2665">
        <w:rPr>
          <w:rFonts w:cs="Courier New"/>
          <w:sz w:val="22"/>
          <w:szCs w:val="22"/>
        </w:rPr>
        <w:t xml:space="preserve">the Schools understood that their non-discount share would be funded by DDF grants, there is no evidence </w:t>
      </w:r>
      <w:r w:rsidR="00004412">
        <w:rPr>
          <w:rFonts w:cs="Courier New"/>
          <w:sz w:val="22"/>
          <w:szCs w:val="22"/>
        </w:rPr>
        <w:t xml:space="preserve">in the record </w:t>
      </w:r>
      <w:r w:rsidRPr="004D2665">
        <w:rPr>
          <w:rFonts w:cs="Courier New"/>
          <w:sz w:val="22"/>
          <w:szCs w:val="22"/>
        </w:rPr>
        <w:t xml:space="preserve">demonstrating that the Schools were aware of the relationship between USDLA and Achieve or that DDF funding would be coming from Achieve indirectly through its </w:t>
      </w:r>
      <w:r w:rsidR="00495408">
        <w:rPr>
          <w:rFonts w:cs="Courier New"/>
          <w:sz w:val="22"/>
          <w:szCs w:val="22"/>
        </w:rPr>
        <w:t>associates</w:t>
      </w:r>
      <w:r w:rsidRPr="004D2665">
        <w:rPr>
          <w:rFonts w:cs="Courier New"/>
          <w:sz w:val="22"/>
          <w:szCs w:val="22"/>
        </w:rPr>
        <w:t>.</w:t>
      </w:r>
      <w:r w:rsidRPr="004B211B">
        <w:rPr>
          <w:rStyle w:val="FootnoteReference"/>
          <w:rFonts w:cs="Courier New"/>
          <w:sz w:val="22"/>
          <w:szCs w:val="22"/>
        </w:rPr>
        <w:footnoteReference w:id="118"/>
      </w:r>
      <w:r w:rsidRPr="004D2665">
        <w:rPr>
          <w:rFonts w:cs="Courier New"/>
          <w:sz w:val="22"/>
          <w:szCs w:val="22"/>
        </w:rPr>
        <w:t xml:space="preserve">  We therefore </w:t>
      </w:r>
      <w:r w:rsidRPr="004D2665">
        <w:rPr>
          <w:rStyle w:val="StyleNumberedparagraphs11ptChar"/>
          <w:szCs w:val="22"/>
        </w:rPr>
        <w:t xml:space="preserve">direct USAC to discontinue its recovery actions against the Schools </w:t>
      </w:r>
      <w:r w:rsidR="00004412">
        <w:rPr>
          <w:rStyle w:val="StyleNumberedparagraphs11ptChar"/>
          <w:szCs w:val="22"/>
        </w:rPr>
        <w:t>and continue recover</w:t>
      </w:r>
      <w:r w:rsidRPr="004D2665">
        <w:rPr>
          <w:rStyle w:val="StyleNumberedparagraphs11ptChar"/>
          <w:szCs w:val="22"/>
        </w:rPr>
        <w:t xml:space="preserve">y actions against Achieve, the party </w:t>
      </w:r>
      <w:r w:rsidR="00EA582E" w:rsidRPr="004D2665">
        <w:rPr>
          <w:rStyle w:val="StyleNumberedparagraphs11ptChar"/>
          <w:szCs w:val="22"/>
        </w:rPr>
        <w:t>responsible for causing the violations</w:t>
      </w:r>
      <w:r w:rsidRPr="004D2665">
        <w:rPr>
          <w:rStyle w:val="StyleNumberedparagraphs11ptChar"/>
          <w:szCs w:val="22"/>
        </w:rPr>
        <w:t>.</w:t>
      </w:r>
      <w:r w:rsidRPr="004B211B">
        <w:rPr>
          <w:rStyle w:val="FootnoteReference"/>
          <w:sz w:val="22"/>
          <w:szCs w:val="22"/>
        </w:rPr>
        <w:footnoteReference w:id="119"/>
      </w:r>
      <w:r w:rsidRPr="004D2665">
        <w:rPr>
          <w:rStyle w:val="StyleNumberedparagraphs11ptChar"/>
          <w:szCs w:val="22"/>
        </w:rPr>
        <w:t xml:space="preserve">  </w:t>
      </w:r>
      <w:bookmarkStart w:id="1" w:name="SR;3755"/>
      <w:bookmarkEnd w:id="1"/>
      <w:r w:rsidR="004E3E2E">
        <w:rPr>
          <w:rStyle w:val="StyleNumberedparagraphs11ptChar"/>
          <w:szCs w:val="22"/>
        </w:rPr>
        <w:t xml:space="preserve">We encourage applicants to remain vigilant with respect to identifying unlawful schemes and </w:t>
      </w:r>
      <w:r w:rsidR="006C3FF5">
        <w:rPr>
          <w:rStyle w:val="StyleNumberedparagraphs11ptChar"/>
          <w:szCs w:val="22"/>
        </w:rPr>
        <w:t xml:space="preserve">to </w:t>
      </w:r>
      <w:r w:rsidR="004E3E2E">
        <w:rPr>
          <w:rStyle w:val="StyleNumberedparagraphs11ptChar"/>
          <w:szCs w:val="22"/>
        </w:rPr>
        <w:t>extricat</w:t>
      </w:r>
      <w:r w:rsidR="006C3FF5">
        <w:rPr>
          <w:rStyle w:val="StyleNumberedparagraphs11ptChar"/>
          <w:szCs w:val="22"/>
        </w:rPr>
        <w:t>e</w:t>
      </w:r>
      <w:r w:rsidR="004E3E2E">
        <w:rPr>
          <w:rStyle w:val="StyleNumberedparagraphs11ptChar"/>
          <w:szCs w:val="22"/>
        </w:rPr>
        <w:t xml:space="preserve"> themselves </w:t>
      </w:r>
      <w:r w:rsidR="006C3FF5">
        <w:rPr>
          <w:rStyle w:val="StyleNumberedparagraphs11ptChar"/>
          <w:szCs w:val="22"/>
        </w:rPr>
        <w:t xml:space="preserve">immediately in instances where they could be implicated in rule violations that result in the improper disbursement of funds. </w:t>
      </w:r>
    </w:p>
    <w:p w:rsidR="00BC5A9E" w:rsidRPr="00BC5A9E" w:rsidRDefault="00BC5A9E" w:rsidP="00BC5A9E">
      <w:pPr>
        <w:pStyle w:val="ListParagraph"/>
        <w:ind w:left="0"/>
        <w:rPr>
          <w:b/>
          <w:color w:val="000000"/>
          <w:sz w:val="22"/>
          <w:szCs w:val="22"/>
        </w:rPr>
      </w:pPr>
    </w:p>
    <w:p w:rsidR="00304365" w:rsidRDefault="00304365" w:rsidP="00225DF4">
      <w:pPr>
        <w:pStyle w:val="ListParagraph"/>
        <w:ind w:left="0"/>
        <w:rPr>
          <w:b/>
          <w:color w:val="000000"/>
          <w:sz w:val="22"/>
          <w:szCs w:val="22"/>
        </w:rPr>
      </w:pPr>
      <w:r>
        <w:rPr>
          <w:b/>
          <w:color w:val="000000"/>
          <w:sz w:val="22"/>
          <w:szCs w:val="22"/>
        </w:rPr>
        <w:t>IV.</w:t>
      </w:r>
      <w:r>
        <w:rPr>
          <w:b/>
          <w:color w:val="000000"/>
          <w:sz w:val="22"/>
          <w:szCs w:val="22"/>
        </w:rPr>
        <w:tab/>
        <w:t>CONCLUSION</w:t>
      </w:r>
    </w:p>
    <w:p w:rsidR="00304365" w:rsidRDefault="00304365" w:rsidP="00225DF4">
      <w:pPr>
        <w:pStyle w:val="ListParagraph"/>
        <w:ind w:left="0"/>
        <w:rPr>
          <w:b/>
          <w:color w:val="000000"/>
          <w:sz w:val="22"/>
          <w:szCs w:val="22"/>
        </w:rPr>
      </w:pPr>
    </w:p>
    <w:p w:rsidR="00304365" w:rsidRDefault="00225DF4" w:rsidP="004D2665">
      <w:pPr>
        <w:pStyle w:val="par1"/>
        <w:tabs>
          <w:tab w:val="clear" w:pos="1530"/>
          <w:tab w:val="num" w:pos="1350"/>
        </w:tabs>
        <w:ind w:left="0"/>
        <w:rPr>
          <w:color w:val="000000"/>
          <w:sz w:val="22"/>
          <w:szCs w:val="22"/>
        </w:rPr>
      </w:pPr>
      <w:r>
        <w:rPr>
          <w:color w:val="000000"/>
          <w:sz w:val="22"/>
          <w:szCs w:val="22"/>
        </w:rPr>
        <w:t xml:space="preserve">In summary, </w:t>
      </w:r>
      <w:r w:rsidR="005520B8">
        <w:rPr>
          <w:color w:val="000000"/>
          <w:sz w:val="22"/>
          <w:szCs w:val="22"/>
        </w:rPr>
        <w:t>as discussed above, we</w:t>
      </w:r>
      <w:r w:rsidR="005520B8">
        <w:rPr>
          <w:sz w:val="22"/>
          <w:szCs w:val="22"/>
        </w:rPr>
        <w:t xml:space="preserve"> find that Achieve unlawfully funded the Schools’ co-payment for E-rate </w:t>
      </w:r>
      <w:r w:rsidR="005520B8" w:rsidRPr="004D2665">
        <w:rPr>
          <w:rFonts w:cs="Courier New"/>
          <w:sz w:val="22"/>
          <w:szCs w:val="22"/>
        </w:rPr>
        <w:t>services</w:t>
      </w:r>
      <w:r w:rsidR="005520B8">
        <w:rPr>
          <w:sz w:val="22"/>
          <w:szCs w:val="22"/>
        </w:rPr>
        <w:t xml:space="preserve"> through its </w:t>
      </w:r>
      <w:r w:rsidR="005520B8" w:rsidRPr="00A8533E">
        <w:rPr>
          <w:i/>
          <w:sz w:val="22"/>
          <w:szCs w:val="22"/>
        </w:rPr>
        <w:t>de facto</w:t>
      </w:r>
      <w:r w:rsidR="005520B8">
        <w:rPr>
          <w:sz w:val="22"/>
          <w:szCs w:val="22"/>
        </w:rPr>
        <w:t xml:space="preserve"> control of grants to the </w:t>
      </w:r>
      <w:r w:rsidR="005520B8" w:rsidRPr="00801F9B">
        <w:rPr>
          <w:sz w:val="22"/>
          <w:szCs w:val="22"/>
        </w:rPr>
        <w:t xml:space="preserve">Schools and caused the </w:t>
      </w:r>
      <w:r w:rsidR="005520B8">
        <w:rPr>
          <w:sz w:val="22"/>
          <w:szCs w:val="22"/>
        </w:rPr>
        <w:t xml:space="preserve">Schools to violate </w:t>
      </w:r>
      <w:r w:rsidR="005520B8" w:rsidRPr="00801F9B">
        <w:rPr>
          <w:sz w:val="22"/>
          <w:szCs w:val="22"/>
        </w:rPr>
        <w:t>the requirement that applicant</w:t>
      </w:r>
      <w:r w:rsidR="005520B8">
        <w:rPr>
          <w:sz w:val="22"/>
          <w:szCs w:val="22"/>
        </w:rPr>
        <w:t>s</w:t>
      </w:r>
      <w:r w:rsidR="005520B8" w:rsidRPr="00801F9B">
        <w:rPr>
          <w:sz w:val="22"/>
          <w:szCs w:val="22"/>
        </w:rPr>
        <w:t xml:space="preserve"> </w:t>
      </w:r>
      <w:r w:rsidR="005520B8">
        <w:rPr>
          <w:sz w:val="22"/>
          <w:szCs w:val="22"/>
        </w:rPr>
        <w:t xml:space="preserve">not accept payment from vendors, directly or indirectly, for the applicants’ </w:t>
      </w:r>
      <w:r w:rsidR="005520B8" w:rsidRPr="00801F9B">
        <w:rPr>
          <w:sz w:val="22"/>
          <w:szCs w:val="22"/>
        </w:rPr>
        <w:t>non-discounted portion o</w:t>
      </w:r>
      <w:r w:rsidR="005520B8" w:rsidRPr="004B211B">
        <w:rPr>
          <w:sz w:val="22"/>
          <w:szCs w:val="22"/>
        </w:rPr>
        <w:t>f the cost of E-rate</w:t>
      </w:r>
      <w:r w:rsidR="005520B8">
        <w:rPr>
          <w:sz w:val="22"/>
          <w:szCs w:val="22"/>
        </w:rPr>
        <w:t xml:space="preserve"> supported</w:t>
      </w:r>
      <w:r w:rsidR="005520B8" w:rsidRPr="004B211B">
        <w:rPr>
          <w:sz w:val="22"/>
          <w:szCs w:val="22"/>
        </w:rPr>
        <w:t xml:space="preserve"> services</w:t>
      </w:r>
      <w:r w:rsidR="005520B8">
        <w:rPr>
          <w:sz w:val="22"/>
          <w:szCs w:val="22"/>
        </w:rPr>
        <w:t xml:space="preserve">. </w:t>
      </w:r>
      <w:r w:rsidR="00280B30">
        <w:rPr>
          <w:sz w:val="22"/>
          <w:szCs w:val="22"/>
        </w:rPr>
        <w:t xml:space="preserve"> </w:t>
      </w:r>
      <w:r w:rsidR="005520B8" w:rsidRPr="00986D50">
        <w:rPr>
          <w:sz w:val="22"/>
          <w:szCs w:val="22"/>
        </w:rPr>
        <w:t>We also find that Achieve violated its obligation to ensure compliance with the non-discount share requirement through its independent billing and collection responsibilities</w:t>
      </w:r>
      <w:r w:rsidR="005520B8">
        <w:rPr>
          <w:sz w:val="22"/>
          <w:szCs w:val="22"/>
        </w:rPr>
        <w:t xml:space="preserve">.  </w:t>
      </w:r>
      <w:r w:rsidR="005520B8" w:rsidRPr="00986D50">
        <w:rPr>
          <w:sz w:val="22"/>
          <w:szCs w:val="22"/>
        </w:rPr>
        <w:t xml:space="preserve">Additionally, we </w:t>
      </w:r>
      <w:r w:rsidR="005520B8">
        <w:rPr>
          <w:sz w:val="22"/>
          <w:szCs w:val="22"/>
        </w:rPr>
        <w:t>affirm</w:t>
      </w:r>
      <w:r w:rsidR="005520B8" w:rsidRPr="00986D50">
        <w:rPr>
          <w:sz w:val="22"/>
          <w:szCs w:val="22"/>
        </w:rPr>
        <w:t xml:space="preserve"> USAC’s </w:t>
      </w:r>
      <w:r w:rsidR="005520B8">
        <w:rPr>
          <w:sz w:val="22"/>
          <w:szCs w:val="22"/>
        </w:rPr>
        <w:t>finding</w:t>
      </w:r>
      <w:r w:rsidR="005520B8" w:rsidRPr="00986D50">
        <w:rPr>
          <w:sz w:val="22"/>
          <w:szCs w:val="22"/>
        </w:rPr>
        <w:t xml:space="preserve"> that these grants gave Achieve an unfair advantage during the Schools’ competitive bidding processes.  We therefore deny </w:t>
      </w:r>
      <w:r w:rsidR="005520B8">
        <w:rPr>
          <w:sz w:val="22"/>
          <w:szCs w:val="22"/>
        </w:rPr>
        <w:t xml:space="preserve">the Schools’ and </w:t>
      </w:r>
      <w:r w:rsidR="005520B8" w:rsidRPr="00986D50">
        <w:rPr>
          <w:sz w:val="22"/>
          <w:szCs w:val="22"/>
        </w:rPr>
        <w:t>Achieve’s Requests for Review</w:t>
      </w:r>
      <w:r w:rsidR="005520B8">
        <w:rPr>
          <w:sz w:val="22"/>
          <w:szCs w:val="22"/>
        </w:rPr>
        <w:t xml:space="preserve">.  Further, we </w:t>
      </w:r>
      <w:r w:rsidR="005520B8" w:rsidRPr="00986D50">
        <w:rPr>
          <w:rStyle w:val="StyleNumberedparagraphs11ptChar"/>
          <w:szCs w:val="22"/>
        </w:rPr>
        <w:t xml:space="preserve">direct USAC to discontinue its recovery actions against the Schools, but continue its recovery actions against Achieve, the party </w:t>
      </w:r>
      <w:r w:rsidR="00EA26CD">
        <w:rPr>
          <w:rStyle w:val="StyleNumberedparagraphs11ptChar"/>
          <w:szCs w:val="22"/>
        </w:rPr>
        <w:t xml:space="preserve">in the best position to prevent the violation of </w:t>
      </w:r>
      <w:r w:rsidR="005520B8" w:rsidRPr="00986D50">
        <w:rPr>
          <w:rStyle w:val="StyleNumberedparagraphs11ptChar"/>
          <w:szCs w:val="22"/>
        </w:rPr>
        <w:t>E-rate program rules</w:t>
      </w:r>
      <w:r w:rsidR="00EA26CD">
        <w:rPr>
          <w:rStyle w:val="StyleNumberedparagraphs11ptChar"/>
          <w:szCs w:val="22"/>
        </w:rPr>
        <w:t>, all of which were caused by its misconduct</w:t>
      </w:r>
      <w:r w:rsidR="005520B8">
        <w:rPr>
          <w:rStyle w:val="StyleNumberedparagraphs11ptChar"/>
          <w:szCs w:val="22"/>
        </w:rPr>
        <w:t>.  We also</w:t>
      </w:r>
      <w:r w:rsidR="005870DC">
        <w:rPr>
          <w:rStyle w:val="StyleNumberedparagraphs11ptChar"/>
          <w:szCs w:val="22"/>
        </w:rPr>
        <w:t xml:space="preserve"> direct USAC to apply</w:t>
      </w:r>
      <w:r w:rsidR="005870DC" w:rsidRPr="00986D50">
        <w:rPr>
          <w:rStyle w:val="StyleNumberedparagraphs11ptChar"/>
          <w:szCs w:val="22"/>
        </w:rPr>
        <w:t xml:space="preserve"> this ruling to all</w:t>
      </w:r>
      <w:r w:rsidR="005870DC">
        <w:rPr>
          <w:rStyle w:val="StyleNumberedparagraphs11ptChar"/>
          <w:szCs w:val="22"/>
        </w:rPr>
        <w:t xml:space="preserve"> other applications in which Achieve is the selected service provider</w:t>
      </w:r>
      <w:r w:rsidR="005870DC" w:rsidRPr="00277C44">
        <w:rPr>
          <w:rStyle w:val="StyleNumberedparagraphs11ptChar"/>
          <w:szCs w:val="22"/>
        </w:rPr>
        <w:t xml:space="preserve"> </w:t>
      </w:r>
      <w:r w:rsidR="005870DC">
        <w:rPr>
          <w:rStyle w:val="StyleNumberedparagraphs11ptChar"/>
          <w:szCs w:val="22"/>
        </w:rPr>
        <w:t>to the extent evidence shows that those applications were subject to the same or substantially similar misconduct on Achieve’s part as described herein.</w:t>
      </w:r>
      <w:r w:rsidR="005870DC" w:rsidRPr="00986D50">
        <w:rPr>
          <w:rStyle w:val="StyleNumberedparagraphs11ptChar"/>
          <w:szCs w:val="22"/>
        </w:rPr>
        <w:t xml:space="preserve"> </w:t>
      </w:r>
      <w:r w:rsidR="005870DC">
        <w:rPr>
          <w:sz w:val="22"/>
          <w:szCs w:val="22"/>
        </w:rPr>
        <w:t xml:space="preserve"> </w:t>
      </w:r>
    </w:p>
    <w:p w:rsidR="00304365" w:rsidRPr="00225DF4" w:rsidRDefault="00304365" w:rsidP="00225DF4">
      <w:pPr>
        <w:pStyle w:val="ListParagraph"/>
        <w:ind w:left="0"/>
        <w:rPr>
          <w:color w:val="000000"/>
          <w:sz w:val="22"/>
          <w:szCs w:val="22"/>
        </w:rPr>
      </w:pPr>
    </w:p>
    <w:p w:rsidR="00304365" w:rsidRDefault="00304365" w:rsidP="00225DF4">
      <w:pPr>
        <w:pStyle w:val="ListParagraph"/>
        <w:ind w:left="0"/>
        <w:rPr>
          <w:b/>
          <w:color w:val="000000"/>
          <w:sz w:val="22"/>
          <w:szCs w:val="22"/>
        </w:rPr>
      </w:pPr>
      <w:r>
        <w:rPr>
          <w:b/>
          <w:color w:val="000000"/>
          <w:sz w:val="22"/>
          <w:szCs w:val="22"/>
        </w:rPr>
        <w:t>V.</w:t>
      </w:r>
      <w:r>
        <w:rPr>
          <w:b/>
          <w:color w:val="000000"/>
          <w:sz w:val="22"/>
          <w:szCs w:val="22"/>
        </w:rPr>
        <w:tab/>
        <w:t>ORDERING CLAUSES</w:t>
      </w:r>
    </w:p>
    <w:p w:rsidR="00304365" w:rsidRDefault="00304365" w:rsidP="00225DF4">
      <w:pPr>
        <w:pStyle w:val="ListParagraph"/>
        <w:ind w:left="0"/>
        <w:rPr>
          <w:b/>
          <w:color w:val="000000"/>
          <w:sz w:val="22"/>
          <w:szCs w:val="22"/>
        </w:rPr>
      </w:pPr>
    </w:p>
    <w:p w:rsidR="007D33E1" w:rsidRPr="005F191F" w:rsidRDefault="000B79FA" w:rsidP="005F191F">
      <w:pPr>
        <w:pStyle w:val="par1"/>
        <w:tabs>
          <w:tab w:val="num" w:pos="1440"/>
        </w:tabs>
        <w:ind w:left="0"/>
        <w:rPr>
          <w:b/>
          <w:color w:val="000000"/>
          <w:sz w:val="22"/>
          <w:szCs w:val="22"/>
        </w:rPr>
      </w:pPr>
      <w:r w:rsidRPr="005F191F">
        <w:rPr>
          <w:sz w:val="22"/>
          <w:szCs w:val="22"/>
        </w:rPr>
        <w:t xml:space="preserve">ACCORDINGLY, IT IS ORDERED, pursuant to </w:t>
      </w:r>
      <w:r w:rsidR="00A43D5F" w:rsidRPr="005F191F">
        <w:rPr>
          <w:sz w:val="22"/>
          <w:szCs w:val="22"/>
        </w:rPr>
        <w:t xml:space="preserve">the </w:t>
      </w:r>
      <w:r w:rsidRPr="005F191F">
        <w:rPr>
          <w:sz w:val="22"/>
          <w:szCs w:val="22"/>
        </w:rPr>
        <w:t>authority contained in sections 1-4 and 254 of the Communications Act</w:t>
      </w:r>
      <w:r w:rsidR="00BA4860" w:rsidRPr="005F191F">
        <w:rPr>
          <w:sz w:val="22"/>
          <w:szCs w:val="22"/>
        </w:rPr>
        <w:t xml:space="preserve"> of 1934</w:t>
      </w:r>
      <w:r w:rsidRPr="005F191F">
        <w:rPr>
          <w:sz w:val="22"/>
          <w:szCs w:val="22"/>
        </w:rPr>
        <w:t xml:space="preserve">, as amended, 47 U.S.C. §§ 151-154 and 254, and sections 0.91, 0.291, 1.3 and 54.722(a) of the Commission’s rules, 47 C.F.R. §§ 0.91, 0.291, 1.3 and 54.722(a), that </w:t>
      </w:r>
      <w:r w:rsidR="00DE58D0" w:rsidRPr="005F191F">
        <w:rPr>
          <w:sz w:val="22"/>
          <w:szCs w:val="22"/>
        </w:rPr>
        <w:t>the</w:t>
      </w:r>
      <w:r w:rsidR="00101949" w:rsidRPr="005F191F">
        <w:rPr>
          <w:sz w:val="22"/>
          <w:szCs w:val="22"/>
        </w:rPr>
        <w:t xml:space="preserve"> Request</w:t>
      </w:r>
      <w:r w:rsidR="007D33E1" w:rsidRPr="005F191F">
        <w:rPr>
          <w:sz w:val="22"/>
          <w:szCs w:val="22"/>
        </w:rPr>
        <w:t>s</w:t>
      </w:r>
      <w:r w:rsidR="00101949" w:rsidRPr="005F191F">
        <w:rPr>
          <w:sz w:val="22"/>
          <w:szCs w:val="22"/>
        </w:rPr>
        <w:t xml:space="preserve"> for Review</w:t>
      </w:r>
      <w:r w:rsidR="00DE58D0" w:rsidRPr="005F191F">
        <w:rPr>
          <w:sz w:val="22"/>
          <w:szCs w:val="22"/>
        </w:rPr>
        <w:t xml:space="preserve"> filed by</w:t>
      </w:r>
      <w:r w:rsidR="00734DC0" w:rsidRPr="005F191F">
        <w:rPr>
          <w:sz w:val="22"/>
          <w:szCs w:val="22"/>
        </w:rPr>
        <w:t xml:space="preserve"> </w:t>
      </w:r>
      <w:r w:rsidR="00EF0AE8" w:rsidRPr="005F191F">
        <w:rPr>
          <w:sz w:val="22"/>
          <w:szCs w:val="22"/>
        </w:rPr>
        <w:t xml:space="preserve">Achieve Telecom Network of Massachusetts, LLC, </w:t>
      </w:r>
      <w:r w:rsidR="00406277" w:rsidRPr="005F191F">
        <w:rPr>
          <w:sz w:val="22"/>
          <w:szCs w:val="22"/>
        </w:rPr>
        <w:t>ARE</w:t>
      </w:r>
      <w:r w:rsidR="007D33E1" w:rsidRPr="005F191F">
        <w:rPr>
          <w:sz w:val="22"/>
          <w:szCs w:val="22"/>
        </w:rPr>
        <w:t xml:space="preserve"> DENIED.</w:t>
      </w:r>
    </w:p>
    <w:p w:rsidR="007D33E1" w:rsidRDefault="007D33E1" w:rsidP="007D33E1">
      <w:pPr>
        <w:pStyle w:val="ListParagraph"/>
        <w:rPr>
          <w:sz w:val="22"/>
          <w:szCs w:val="22"/>
        </w:rPr>
      </w:pPr>
    </w:p>
    <w:p w:rsidR="00EF0AE8" w:rsidRPr="000C49ED" w:rsidRDefault="007D33E1" w:rsidP="000A5724">
      <w:pPr>
        <w:pStyle w:val="par1"/>
        <w:tabs>
          <w:tab w:val="num" w:pos="1440"/>
        </w:tabs>
        <w:ind w:left="0"/>
        <w:rPr>
          <w:b/>
          <w:color w:val="000000"/>
          <w:sz w:val="22"/>
          <w:szCs w:val="22"/>
        </w:rPr>
      </w:pPr>
      <w:r w:rsidRPr="007361F9">
        <w:rPr>
          <w:sz w:val="22"/>
          <w:szCs w:val="22"/>
        </w:rPr>
        <w:t xml:space="preserve">IT IS </w:t>
      </w:r>
      <w:r>
        <w:rPr>
          <w:sz w:val="22"/>
          <w:szCs w:val="22"/>
        </w:rPr>
        <w:t xml:space="preserve">FURTHER </w:t>
      </w:r>
      <w:r w:rsidRPr="007361F9">
        <w:rPr>
          <w:sz w:val="22"/>
          <w:szCs w:val="22"/>
        </w:rPr>
        <w:t xml:space="preserve">ORDERED, pursuant to </w:t>
      </w:r>
      <w:r w:rsidR="00A43D5F">
        <w:rPr>
          <w:sz w:val="22"/>
          <w:szCs w:val="22"/>
        </w:rPr>
        <w:t xml:space="preserve">the </w:t>
      </w:r>
      <w:r w:rsidRPr="007361F9">
        <w:rPr>
          <w:sz w:val="22"/>
          <w:szCs w:val="22"/>
        </w:rPr>
        <w:t>authority contained in sections 1-4 and 254 of the Communications Act of 1934, as amended, 47 U.S.C. §§ 151-154 and 254, and sections 0.91, 0.291, 1.3</w:t>
      </w:r>
      <w:r w:rsidR="00406277">
        <w:rPr>
          <w:sz w:val="22"/>
          <w:szCs w:val="22"/>
        </w:rPr>
        <w:t>, 54.503, 54.523</w:t>
      </w:r>
      <w:r w:rsidRPr="007361F9">
        <w:rPr>
          <w:sz w:val="22"/>
          <w:szCs w:val="22"/>
        </w:rPr>
        <w:t xml:space="preserve"> and 54.722(a) of the Commission’s rules, 47 C.F.R. §§ 0.91, 0.291, 1.3</w:t>
      </w:r>
      <w:r w:rsidR="00406277">
        <w:rPr>
          <w:sz w:val="22"/>
          <w:szCs w:val="22"/>
        </w:rPr>
        <w:t>, 54.503, 54.523</w:t>
      </w:r>
      <w:r w:rsidRPr="007361F9">
        <w:rPr>
          <w:sz w:val="22"/>
          <w:szCs w:val="22"/>
        </w:rPr>
        <w:t xml:space="preserve"> and 54.722(a), that the</w:t>
      </w:r>
      <w:r>
        <w:rPr>
          <w:sz w:val="22"/>
          <w:szCs w:val="22"/>
        </w:rPr>
        <w:t xml:space="preserve"> R</w:t>
      </w:r>
      <w:r w:rsidR="00EC1937">
        <w:rPr>
          <w:sz w:val="22"/>
          <w:szCs w:val="22"/>
        </w:rPr>
        <w:t xml:space="preserve">equests for Review </w:t>
      </w:r>
      <w:r>
        <w:rPr>
          <w:sz w:val="22"/>
          <w:szCs w:val="22"/>
        </w:rPr>
        <w:t xml:space="preserve">filed by </w:t>
      </w:r>
      <w:r w:rsidR="00734DC0" w:rsidRPr="007361F9">
        <w:rPr>
          <w:sz w:val="22"/>
          <w:szCs w:val="22"/>
        </w:rPr>
        <w:t>Brockton Public School District, Chelsea School District, Somerville School Distr</w:t>
      </w:r>
      <w:r w:rsidR="00EF0AE8">
        <w:rPr>
          <w:sz w:val="22"/>
          <w:szCs w:val="22"/>
        </w:rPr>
        <w:t xml:space="preserve">ict, and Springfield Public Schools </w:t>
      </w:r>
      <w:r w:rsidR="00813949" w:rsidRPr="007361F9">
        <w:rPr>
          <w:sz w:val="22"/>
          <w:szCs w:val="22"/>
        </w:rPr>
        <w:t xml:space="preserve">ARE </w:t>
      </w:r>
      <w:r>
        <w:rPr>
          <w:sz w:val="22"/>
          <w:szCs w:val="22"/>
        </w:rPr>
        <w:t xml:space="preserve"> </w:t>
      </w:r>
      <w:r w:rsidR="00813949" w:rsidRPr="007361F9">
        <w:rPr>
          <w:sz w:val="22"/>
          <w:szCs w:val="22"/>
        </w:rPr>
        <w:t>DENIED</w:t>
      </w:r>
      <w:r w:rsidR="00EB1E3B" w:rsidRPr="007361F9">
        <w:rPr>
          <w:sz w:val="22"/>
          <w:szCs w:val="22"/>
        </w:rPr>
        <w:t>.</w:t>
      </w:r>
    </w:p>
    <w:p w:rsidR="000C49ED" w:rsidRDefault="000C49ED" w:rsidP="000C49ED">
      <w:pPr>
        <w:pStyle w:val="ListParagraph"/>
        <w:rPr>
          <w:b/>
          <w:color w:val="000000"/>
          <w:sz w:val="22"/>
          <w:szCs w:val="22"/>
        </w:rPr>
      </w:pPr>
    </w:p>
    <w:p w:rsidR="000C49ED" w:rsidRPr="00E956F3" w:rsidRDefault="000C49ED" w:rsidP="000A5724">
      <w:pPr>
        <w:pStyle w:val="par1"/>
        <w:tabs>
          <w:tab w:val="num" w:pos="1440"/>
        </w:tabs>
        <w:ind w:left="0"/>
        <w:rPr>
          <w:b/>
          <w:color w:val="000000"/>
          <w:sz w:val="22"/>
          <w:szCs w:val="22"/>
        </w:rPr>
      </w:pPr>
      <w:r>
        <w:rPr>
          <w:color w:val="000000"/>
          <w:sz w:val="22"/>
          <w:szCs w:val="22"/>
        </w:rPr>
        <w:t xml:space="preserve">IT IS </w:t>
      </w:r>
      <w:r>
        <w:rPr>
          <w:rStyle w:val="StyleNumberedparagraphs11ptChar"/>
          <w:szCs w:val="22"/>
        </w:rPr>
        <w:t xml:space="preserve">FURTHER </w:t>
      </w:r>
      <w:r w:rsidRPr="00D758A6">
        <w:rPr>
          <w:rStyle w:val="StyleNumberedparagraphs11ptChar"/>
          <w:szCs w:val="22"/>
        </w:rPr>
        <w:t xml:space="preserve">ORDERED, pursuant to the authority contained in sections 1-4 and 254 of the Communications Act of 1934, as amended, 47 U.S.C. §§ 151-154 and 254, </w:t>
      </w:r>
      <w:r w:rsidRPr="00D758A6">
        <w:rPr>
          <w:sz w:val="22"/>
          <w:szCs w:val="22"/>
        </w:rPr>
        <w:t xml:space="preserve">and sections 0.91 and 0.291 of the Commission’s rules, 47 C.F.R. §§ 0.91 and 0.291, </w:t>
      </w:r>
      <w:r w:rsidRPr="00D758A6">
        <w:rPr>
          <w:rStyle w:val="StyleNumberedparagraphs11ptChar"/>
          <w:szCs w:val="22"/>
        </w:rPr>
        <w:t>that</w:t>
      </w:r>
      <w:r w:rsidRPr="00D758A6">
        <w:rPr>
          <w:sz w:val="22"/>
          <w:szCs w:val="22"/>
        </w:rPr>
        <w:t xml:space="preserve"> USAC SHALL </w:t>
      </w:r>
      <w:r>
        <w:rPr>
          <w:sz w:val="22"/>
          <w:szCs w:val="22"/>
        </w:rPr>
        <w:t xml:space="preserve">RESCIND funding committed under </w:t>
      </w:r>
      <w:r w:rsidRPr="00D758A6">
        <w:rPr>
          <w:rStyle w:val="StyleNumberedparagraphs11ptChar"/>
          <w:szCs w:val="22"/>
        </w:rPr>
        <w:t>the FCC Form 471 applications and corresponding FRNs identified herein</w:t>
      </w:r>
      <w:r>
        <w:rPr>
          <w:rStyle w:val="StyleNumberedparagraphs11ptChar"/>
          <w:szCs w:val="22"/>
        </w:rPr>
        <w:t>.</w:t>
      </w:r>
      <w:r w:rsidRPr="00D758A6">
        <w:rPr>
          <w:rStyle w:val="StyleNumberedparagraphs11ptChar"/>
          <w:szCs w:val="22"/>
        </w:rPr>
        <w:t xml:space="preserve"> </w:t>
      </w:r>
    </w:p>
    <w:p w:rsidR="00E956F3" w:rsidRDefault="00E956F3" w:rsidP="00E956F3">
      <w:pPr>
        <w:pStyle w:val="ListParagraph"/>
        <w:rPr>
          <w:b/>
          <w:color w:val="000000"/>
          <w:sz w:val="22"/>
          <w:szCs w:val="22"/>
        </w:rPr>
      </w:pPr>
    </w:p>
    <w:p w:rsidR="00E956F3" w:rsidRPr="000B7682" w:rsidRDefault="00E956F3" w:rsidP="000A5724">
      <w:pPr>
        <w:pStyle w:val="par1"/>
        <w:tabs>
          <w:tab w:val="num" w:pos="1440"/>
        </w:tabs>
        <w:ind w:left="0"/>
        <w:rPr>
          <w:b/>
          <w:color w:val="000000"/>
          <w:sz w:val="22"/>
          <w:szCs w:val="22"/>
        </w:rPr>
      </w:pPr>
      <w:r>
        <w:rPr>
          <w:rStyle w:val="StyleNumberedparagraphs11ptChar"/>
          <w:szCs w:val="22"/>
        </w:rPr>
        <w:t xml:space="preserve">IT IS FURTHER </w:t>
      </w:r>
      <w:r w:rsidRPr="00D758A6">
        <w:rPr>
          <w:rStyle w:val="StyleNumberedparagraphs11ptChar"/>
          <w:szCs w:val="22"/>
        </w:rPr>
        <w:t xml:space="preserve">ORDERED, pursuant to the authority contained in sections 1-4 and 254 of the Communications Act of 1934, as amended, 47 U.S.C. §§ 151-154 and 254, </w:t>
      </w:r>
      <w:r w:rsidRPr="00D758A6">
        <w:rPr>
          <w:sz w:val="22"/>
          <w:szCs w:val="22"/>
        </w:rPr>
        <w:t xml:space="preserve">and sections 0.91 and 0.291 of the Commission’s rules, 47 C.F.R. §§ 0.91 and 0.291, </w:t>
      </w:r>
      <w:r w:rsidRPr="00D758A6">
        <w:rPr>
          <w:rStyle w:val="StyleNumberedparagraphs11ptChar"/>
          <w:szCs w:val="22"/>
        </w:rPr>
        <w:t>that</w:t>
      </w:r>
      <w:r w:rsidRPr="00D758A6">
        <w:rPr>
          <w:sz w:val="22"/>
          <w:szCs w:val="22"/>
        </w:rPr>
        <w:t xml:space="preserve"> USAC SHALL DISCONTINUE its recovery actions against Brockton Public School District, Chelsea School District, Somerville School District, and Springfield Public Schools, </w:t>
      </w:r>
      <w:r w:rsidRPr="00D758A6">
        <w:rPr>
          <w:rStyle w:val="StyleNumberedparagraphs11ptChar"/>
          <w:szCs w:val="22"/>
        </w:rPr>
        <w:t xml:space="preserve">and SHALL SEEK recovery for any monies disbursed </w:t>
      </w:r>
      <w:r>
        <w:rPr>
          <w:rStyle w:val="StyleNumberedparagraphs11ptChar"/>
          <w:szCs w:val="22"/>
        </w:rPr>
        <w:t>under</w:t>
      </w:r>
      <w:r w:rsidRPr="00D758A6">
        <w:rPr>
          <w:rStyle w:val="StyleNumberedparagraphs11ptChar"/>
          <w:szCs w:val="22"/>
        </w:rPr>
        <w:t xml:space="preserve"> the FCC Form 471 applications and corresponding FRNs identified herein against Achieve Telecom Network of Massachusetts, LLC, </w:t>
      </w:r>
      <w:r w:rsidRPr="00D758A6">
        <w:rPr>
          <w:sz w:val="22"/>
          <w:szCs w:val="22"/>
        </w:rPr>
        <w:t>no later than 60 calendar days from the release date of this Order.</w:t>
      </w:r>
    </w:p>
    <w:p w:rsidR="00055C3C" w:rsidRDefault="00055C3C" w:rsidP="000B7682">
      <w:pPr>
        <w:pStyle w:val="ListParagraph"/>
        <w:rPr>
          <w:b/>
          <w:color w:val="000000"/>
          <w:sz w:val="22"/>
          <w:szCs w:val="22"/>
        </w:rPr>
      </w:pPr>
    </w:p>
    <w:p w:rsidR="00055C3C" w:rsidRPr="00E956F3" w:rsidRDefault="00055C3C" w:rsidP="00055C3C">
      <w:pPr>
        <w:pStyle w:val="par1"/>
        <w:tabs>
          <w:tab w:val="num" w:pos="1440"/>
        </w:tabs>
        <w:ind w:left="0"/>
        <w:rPr>
          <w:b/>
          <w:color w:val="000000"/>
          <w:sz w:val="22"/>
          <w:szCs w:val="22"/>
        </w:rPr>
      </w:pPr>
      <w:r>
        <w:rPr>
          <w:color w:val="000000"/>
          <w:sz w:val="22"/>
          <w:szCs w:val="22"/>
        </w:rPr>
        <w:t xml:space="preserve">IT IS </w:t>
      </w:r>
      <w:r>
        <w:rPr>
          <w:rStyle w:val="StyleNumberedparagraphs11ptChar"/>
          <w:szCs w:val="22"/>
        </w:rPr>
        <w:t xml:space="preserve">FURTHER </w:t>
      </w:r>
      <w:r w:rsidRPr="00D758A6">
        <w:rPr>
          <w:rStyle w:val="StyleNumberedparagraphs11ptChar"/>
          <w:szCs w:val="22"/>
        </w:rPr>
        <w:t xml:space="preserve">ORDERED, pursuant to the authority contained in sections 1-4 and 254 of the Communications Act of 1934, as amended, 47 U.S.C. §§ 151-154 and 254, </w:t>
      </w:r>
      <w:r w:rsidRPr="00D758A6">
        <w:rPr>
          <w:sz w:val="22"/>
          <w:szCs w:val="22"/>
        </w:rPr>
        <w:t xml:space="preserve">and sections 0.91 and 0.291 of the Commission’s rules, 47 C.F.R. §§ 0.91 and 0.291, </w:t>
      </w:r>
      <w:r w:rsidRPr="00D758A6">
        <w:rPr>
          <w:rStyle w:val="StyleNumberedparagraphs11ptChar"/>
          <w:szCs w:val="22"/>
        </w:rPr>
        <w:t>that</w:t>
      </w:r>
      <w:r w:rsidRPr="00D758A6">
        <w:rPr>
          <w:sz w:val="22"/>
          <w:szCs w:val="22"/>
        </w:rPr>
        <w:t xml:space="preserve"> USAC SHALL </w:t>
      </w:r>
      <w:r>
        <w:rPr>
          <w:sz w:val="22"/>
          <w:szCs w:val="22"/>
        </w:rPr>
        <w:t xml:space="preserve">APPLY this ruling to all </w:t>
      </w:r>
      <w:r w:rsidR="00405B37">
        <w:rPr>
          <w:sz w:val="22"/>
          <w:szCs w:val="22"/>
        </w:rPr>
        <w:t xml:space="preserve">other </w:t>
      </w:r>
      <w:r>
        <w:rPr>
          <w:sz w:val="22"/>
          <w:szCs w:val="22"/>
        </w:rPr>
        <w:t xml:space="preserve">applications </w:t>
      </w:r>
      <w:r w:rsidR="00405B37">
        <w:rPr>
          <w:sz w:val="22"/>
          <w:szCs w:val="22"/>
        </w:rPr>
        <w:t>in which Achieve is the selected service provider</w:t>
      </w:r>
      <w:r>
        <w:rPr>
          <w:sz w:val="22"/>
          <w:szCs w:val="22"/>
        </w:rPr>
        <w:t xml:space="preserve">.  </w:t>
      </w:r>
    </w:p>
    <w:p w:rsidR="00EF0AE8" w:rsidRPr="00101949" w:rsidRDefault="00EF0AE8" w:rsidP="00EF0AE8">
      <w:pPr>
        <w:pStyle w:val="ListParagraph"/>
        <w:rPr>
          <w:b/>
          <w:color w:val="000000"/>
          <w:sz w:val="22"/>
          <w:szCs w:val="22"/>
        </w:rPr>
      </w:pPr>
    </w:p>
    <w:p w:rsidR="004809EB" w:rsidRPr="00101949" w:rsidRDefault="004809EB" w:rsidP="000A5724">
      <w:pPr>
        <w:pStyle w:val="par1"/>
        <w:tabs>
          <w:tab w:val="num" w:pos="1440"/>
        </w:tabs>
        <w:ind w:left="0"/>
        <w:rPr>
          <w:rStyle w:val="StyleNumberedparagraphs11ptChar"/>
          <w:b/>
          <w:color w:val="000000"/>
          <w:szCs w:val="22"/>
        </w:rPr>
      </w:pPr>
      <w:r w:rsidRPr="00101949">
        <w:rPr>
          <w:sz w:val="22"/>
          <w:szCs w:val="22"/>
        </w:rPr>
        <w:t>IT IS FURTHER ORDERED that, pursuant to section 1.102(b)(1) of the Commission’s rules, 47 C.F.R. § 1.102(b)(1), this order SHALL BE EFFECTIVE upon release.</w:t>
      </w:r>
    </w:p>
    <w:p w:rsidR="00D740F5" w:rsidRDefault="00D740F5" w:rsidP="004809EB">
      <w:pPr>
        <w:pStyle w:val="ListParagraph"/>
        <w:ind w:left="0"/>
        <w:rPr>
          <w:sz w:val="22"/>
          <w:szCs w:val="22"/>
        </w:rPr>
      </w:pPr>
    </w:p>
    <w:p w:rsidR="00663489" w:rsidRPr="00B546C5" w:rsidRDefault="00663489" w:rsidP="00663489">
      <w:pPr>
        <w:pStyle w:val="par1"/>
        <w:numPr>
          <w:ilvl w:val="0"/>
          <w:numId w:val="0"/>
        </w:numPr>
        <w:ind w:firstLine="630"/>
        <w:rPr>
          <w:sz w:val="22"/>
          <w:szCs w:val="22"/>
        </w:rPr>
      </w:pPr>
    </w:p>
    <w:p w:rsidR="00E11530" w:rsidRPr="00B546C5" w:rsidRDefault="00E11530" w:rsidP="00381F95">
      <w:pPr>
        <w:ind w:left="3600"/>
        <w:rPr>
          <w:sz w:val="22"/>
          <w:szCs w:val="22"/>
        </w:rPr>
      </w:pPr>
    </w:p>
    <w:p w:rsidR="00381F95" w:rsidRPr="00B546C5" w:rsidRDefault="00381F95" w:rsidP="00381F95">
      <w:pPr>
        <w:ind w:left="3600"/>
        <w:rPr>
          <w:sz w:val="22"/>
          <w:szCs w:val="22"/>
        </w:rPr>
      </w:pPr>
      <w:r w:rsidRPr="00B546C5">
        <w:rPr>
          <w:sz w:val="22"/>
          <w:szCs w:val="22"/>
        </w:rPr>
        <w:t>FEDERAL COMMUNICATIONS COMMISSION</w:t>
      </w:r>
    </w:p>
    <w:p w:rsidR="00747573" w:rsidRDefault="00747573" w:rsidP="00747573">
      <w:pPr>
        <w:keepNext/>
        <w:keepLines/>
        <w:ind w:left="3600"/>
        <w:outlineLvl w:val="0"/>
        <w:rPr>
          <w:sz w:val="22"/>
          <w:szCs w:val="22"/>
        </w:rPr>
      </w:pPr>
    </w:p>
    <w:p w:rsidR="0078590B" w:rsidRDefault="0078590B" w:rsidP="00747573">
      <w:pPr>
        <w:keepNext/>
        <w:keepLines/>
        <w:ind w:left="3600"/>
        <w:outlineLvl w:val="0"/>
        <w:rPr>
          <w:sz w:val="22"/>
          <w:szCs w:val="22"/>
        </w:rPr>
      </w:pPr>
    </w:p>
    <w:p w:rsidR="0078590B" w:rsidRDefault="0078590B" w:rsidP="00747573">
      <w:pPr>
        <w:keepNext/>
        <w:keepLines/>
        <w:ind w:left="3600"/>
        <w:outlineLvl w:val="0"/>
        <w:rPr>
          <w:sz w:val="22"/>
          <w:szCs w:val="22"/>
        </w:rPr>
      </w:pPr>
    </w:p>
    <w:p w:rsidR="0078590B" w:rsidRPr="00B546C5" w:rsidRDefault="0078590B" w:rsidP="00747573">
      <w:pPr>
        <w:keepNext/>
        <w:keepLines/>
        <w:ind w:left="3600"/>
        <w:outlineLvl w:val="0"/>
        <w:rPr>
          <w:sz w:val="22"/>
          <w:szCs w:val="22"/>
        </w:rPr>
      </w:pPr>
    </w:p>
    <w:p w:rsidR="00747573" w:rsidRPr="00B546C5" w:rsidRDefault="009B1A26" w:rsidP="00747573">
      <w:pPr>
        <w:keepNext/>
        <w:keepLines/>
        <w:ind w:left="3600"/>
        <w:outlineLvl w:val="0"/>
        <w:rPr>
          <w:sz w:val="22"/>
          <w:szCs w:val="22"/>
        </w:rPr>
      </w:pPr>
      <w:r>
        <w:rPr>
          <w:sz w:val="22"/>
          <w:szCs w:val="22"/>
        </w:rPr>
        <w:t xml:space="preserve">Ryan </w:t>
      </w:r>
      <w:r w:rsidR="00540A45">
        <w:rPr>
          <w:sz w:val="22"/>
          <w:szCs w:val="22"/>
        </w:rPr>
        <w:t>B</w:t>
      </w:r>
      <w:r>
        <w:rPr>
          <w:sz w:val="22"/>
          <w:szCs w:val="22"/>
        </w:rPr>
        <w:t xml:space="preserve">. Palmer </w:t>
      </w:r>
    </w:p>
    <w:p w:rsidR="00747573" w:rsidRPr="00B546C5" w:rsidRDefault="00747573" w:rsidP="00747573">
      <w:pPr>
        <w:keepNext/>
        <w:keepLines/>
        <w:ind w:left="2880" w:firstLine="720"/>
        <w:outlineLvl w:val="0"/>
        <w:rPr>
          <w:sz w:val="22"/>
          <w:szCs w:val="22"/>
        </w:rPr>
      </w:pPr>
      <w:r w:rsidRPr="00B546C5">
        <w:rPr>
          <w:sz w:val="22"/>
          <w:szCs w:val="22"/>
        </w:rPr>
        <w:t>Chief</w:t>
      </w:r>
    </w:p>
    <w:p w:rsidR="004538A7" w:rsidRPr="00B546C5" w:rsidRDefault="004538A7" w:rsidP="00747573">
      <w:pPr>
        <w:keepNext/>
        <w:keepLines/>
        <w:ind w:left="2880" w:firstLine="720"/>
        <w:outlineLvl w:val="0"/>
        <w:rPr>
          <w:sz w:val="22"/>
          <w:szCs w:val="22"/>
        </w:rPr>
      </w:pPr>
      <w:r w:rsidRPr="00B546C5">
        <w:rPr>
          <w:sz w:val="22"/>
          <w:szCs w:val="22"/>
        </w:rPr>
        <w:t>Telecommunications Access Policy Division</w:t>
      </w:r>
    </w:p>
    <w:p w:rsidR="00747573" w:rsidRPr="00B546C5" w:rsidRDefault="00747573" w:rsidP="00747573">
      <w:pPr>
        <w:keepNext/>
        <w:keepLines/>
        <w:ind w:left="2880" w:firstLine="720"/>
        <w:outlineLvl w:val="0"/>
        <w:rPr>
          <w:sz w:val="22"/>
          <w:szCs w:val="22"/>
        </w:rPr>
      </w:pPr>
      <w:r w:rsidRPr="00B546C5">
        <w:rPr>
          <w:sz w:val="22"/>
          <w:szCs w:val="22"/>
        </w:rPr>
        <w:t>Wireline Competition Bureau</w:t>
      </w:r>
    </w:p>
    <w:p w:rsidR="00FD6738" w:rsidRDefault="00FD6738" w:rsidP="00FD6738">
      <w:pPr>
        <w:ind w:right="-180"/>
        <w:jc w:val="center"/>
        <w:rPr>
          <w:sz w:val="22"/>
          <w:szCs w:val="22"/>
        </w:rPr>
      </w:pPr>
    </w:p>
    <w:p w:rsidR="0088206A" w:rsidRDefault="0088206A" w:rsidP="00FD6738">
      <w:pPr>
        <w:ind w:right="-180"/>
        <w:jc w:val="center"/>
        <w:rPr>
          <w:sz w:val="22"/>
          <w:szCs w:val="22"/>
        </w:rPr>
      </w:pPr>
    </w:p>
    <w:p w:rsidR="0088206A" w:rsidRDefault="0088206A" w:rsidP="00FD6738">
      <w:pPr>
        <w:ind w:right="-180"/>
        <w:jc w:val="center"/>
        <w:rPr>
          <w:sz w:val="22"/>
          <w:szCs w:val="22"/>
        </w:rPr>
      </w:pPr>
    </w:p>
    <w:p w:rsidR="0088206A" w:rsidRDefault="0088206A" w:rsidP="00FD6738">
      <w:pPr>
        <w:ind w:right="-180"/>
        <w:jc w:val="center"/>
        <w:rPr>
          <w:sz w:val="22"/>
          <w:szCs w:val="22"/>
        </w:rPr>
      </w:pPr>
    </w:p>
    <w:p w:rsidR="0088206A" w:rsidRDefault="0088206A" w:rsidP="00FD6738">
      <w:pPr>
        <w:ind w:right="-180"/>
        <w:jc w:val="center"/>
        <w:rPr>
          <w:sz w:val="22"/>
          <w:szCs w:val="22"/>
        </w:rPr>
      </w:pPr>
    </w:p>
    <w:p w:rsidR="0088206A" w:rsidRDefault="0088206A" w:rsidP="00FD6738">
      <w:pPr>
        <w:ind w:right="-180"/>
        <w:jc w:val="center"/>
        <w:rPr>
          <w:sz w:val="22"/>
          <w:szCs w:val="22"/>
        </w:rPr>
      </w:pPr>
    </w:p>
    <w:p w:rsidR="0088206A" w:rsidRDefault="0088206A" w:rsidP="00FD6738">
      <w:pPr>
        <w:ind w:right="-180"/>
        <w:jc w:val="center"/>
        <w:rPr>
          <w:sz w:val="22"/>
          <w:szCs w:val="22"/>
        </w:rPr>
      </w:pPr>
    </w:p>
    <w:p w:rsidR="0088206A" w:rsidRDefault="0088206A" w:rsidP="001B49F5">
      <w:pPr>
        <w:keepNext/>
        <w:keepLines/>
        <w:jc w:val="center"/>
        <w:outlineLvl w:val="0"/>
        <w:rPr>
          <w:b/>
          <w:sz w:val="22"/>
          <w:szCs w:val="22"/>
        </w:rPr>
      </w:pPr>
      <w:r w:rsidRPr="0088206A">
        <w:rPr>
          <w:b/>
          <w:sz w:val="22"/>
          <w:szCs w:val="22"/>
        </w:rPr>
        <w:t>APPENDIX A</w:t>
      </w:r>
    </w:p>
    <w:p w:rsidR="001B49F5" w:rsidRDefault="001B49F5" w:rsidP="001B49F5">
      <w:pPr>
        <w:keepNext/>
        <w:keepLines/>
        <w:jc w:val="center"/>
        <w:outlineLvl w:val="0"/>
        <w:rPr>
          <w:sz w:val="22"/>
          <w:szCs w:val="22"/>
        </w:rPr>
      </w:pPr>
    </w:p>
    <w:p w:rsidR="0088206A" w:rsidRPr="0088206A" w:rsidRDefault="0088206A" w:rsidP="0088206A">
      <w:pPr>
        <w:keepNext/>
        <w:keepLines/>
        <w:jc w:val="center"/>
        <w:outlineLvl w:val="0"/>
        <w:rPr>
          <w:sz w:val="22"/>
          <w:szCs w:val="22"/>
          <w:u w:val="single"/>
        </w:rPr>
      </w:pPr>
      <w:r w:rsidRPr="0088206A">
        <w:rPr>
          <w:sz w:val="22"/>
          <w:szCs w:val="22"/>
          <w:u w:val="single"/>
        </w:rPr>
        <w:t>Appeals Filed Related to Brockton Public Schools</w:t>
      </w:r>
    </w:p>
    <w:p w:rsidR="0088206A" w:rsidRPr="00512A60" w:rsidRDefault="0088206A" w:rsidP="00754426">
      <w:pPr>
        <w:keepNext/>
        <w:keepLines/>
        <w:ind w:left="2880" w:firstLine="720"/>
        <w:outlineLvl w:val="0"/>
        <w:rPr>
          <w:sz w:val="22"/>
          <w:szCs w:val="22"/>
        </w:rPr>
      </w:pPr>
    </w:p>
    <w:tbl>
      <w:tblPr>
        <w:tblW w:w="10318" w:type="dxa"/>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1137"/>
        <w:gridCol w:w="1629"/>
        <w:gridCol w:w="1454"/>
        <w:gridCol w:w="2848"/>
      </w:tblGrid>
      <w:tr w:rsidR="0088206A" w:rsidRPr="00AB1900" w:rsidTr="00E84B22">
        <w:trPr>
          <w:trHeight w:val="503"/>
          <w:jc w:val="center"/>
        </w:trPr>
        <w:tc>
          <w:tcPr>
            <w:tcW w:w="3250" w:type="dxa"/>
          </w:tcPr>
          <w:p w:rsidR="0088206A" w:rsidRPr="0088206A" w:rsidRDefault="0088206A" w:rsidP="007D2507">
            <w:pPr>
              <w:keepNext/>
              <w:keepLines/>
              <w:outlineLvl w:val="0"/>
              <w:rPr>
                <w:sz w:val="22"/>
                <w:szCs w:val="22"/>
              </w:rPr>
            </w:pPr>
            <w:r>
              <w:rPr>
                <w:b/>
                <w:sz w:val="22"/>
                <w:szCs w:val="22"/>
              </w:rPr>
              <w:t>Pe</w:t>
            </w:r>
            <w:r w:rsidRPr="00AB1900">
              <w:rPr>
                <w:b/>
                <w:sz w:val="22"/>
                <w:szCs w:val="22"/>
              </w:rPr>
              <w:t>titioner</w:t>
            </w:r>
          </w:p>
        </w:tc>
        <w:tc>
          <w:tcPr>
            <w:tcW w:w="1137" w:type="dxa"/>
          </w:tcPr>
          <w:p w:rsidR="0088206A" w:rsidRPr="00AB1900" w:rsidRDefault="0088206A" w:rsidP="007D2507">
            <w:pPr>
              <w:keepNext/>
              <w:keepLines/>
              <w:outlineLvl w:val="0"/>
              <w:rPr>
                <w:b/>
                <w:sz w:val="22"/>
                <w:szCs w:val="22"/>
              </w:rPr>
            </w:pPr>
            <w:r w:rsidRPr="00AB1900">
              <w:rPr>
                <w:b/>
                <w:sz w:val="22"/>
                <w:szCs w:val="22"/>
              </w:rPr>
              <w:t>Funding Years</w:t>
            </w:r>
          </w:p>
        </w:tc>
        <w:tc>
          <w:tcPr>
            <w:tcW w:w="1629" w:type="dxa"/>
          </w:tcPr>
          <w:p w:rsidR="0088206A" w:rsidRPr="00AB1900" w:rsidRDefault="0088206A" w:rsidP="007D2507">
            <w:pPr>
              <w:keepNext/>
              <w:keepLines/>
              <w:outlineLvl w:val="0"/>
              <w:rPr>
                <w:b/>
                <w:sz w:val="22"/>
                <w:szCs w:val="22"/>
              </w:rPr>
            </w:pPr>
            <w:r w:rsidRPr="00AB1900">
              <w:rPr>
                <w:b/>
                <w:sz w:val="22"/>
                <w:szCs w:val="22"/>
              </w:rPr>
              <w:t>Application Numbers</w:t>
            </w:r>
          </w:p>
        </w:tc>
        <w:tc>
          <w:tcPr>
            <w:tcW w:w="1454" w:type="dxa"/>
          </w:tcPr>
          <w:p w:rsidR="0088206A" w:rsidRPr="00AB1900" w:rsidRDefault="0088206A" w:rsidP="007D2507">
            <w:pPr>
              <w:keepNext/>
              <w:keepLines/>
              <w:outlineLvl w:val="0"/>
              <w:rPr>
                <w:b/>
                <w:sz w:val="22"/>
                <w:szCs w:val="22"/>
              </w:rPr>
            </w:pPr>
            <w:r w:rsidRPr="00AB1900">
              <w:rPr>
                <w:b/>
                <w:sz w:val="22"/>
                <w:szCs w:val="22"/>
              </w:rPr>
              <w:t>Funding Request Numbers</w:t>
            </w:r>
          </w:p>
        </w:tc>
        <w:tc>
          <w:tcPr>
            <w:tcW w:w="2848" w:type="dxa"/>
          </w:tcPr>
          <w:p w:rsidR="0088206A" w:rsidRPr="00AB1900" w:rsidRDefault="0088206A" w:rsidP="00280B32">
            <w:pPr>
              <w:keepNext/>
              <w:keepLines/>
              <w:ind w:right="792"/>
              <w:outlineLvl w:val="0"/>
              <w:rPr>
                <w:b/>
                <w:sz w:val="22"/>
                <w:szCs w:val="22"/>
              </w:rPr>
            </w:pPr>
            <w:r w:rsidRPr="00AB1900">
              <w:rPr>
                <w:b/>
                <w:sz w:val="22"/>
                <w:szCs w:val="22"/>
              </w:rPr>
              <w:t>Date of Appeal</w:t>
            </w:r>
          </w:p>
        </w:tc>
      </w:tr>
      <w:tr w:rsidR="0088206A" w:rsidRPr="00AB1900" w:rsidTr="00E84B22">
        <w:trPr>
          <w:trHeight w:val="739"/>
          <w:jc w:val="center"/>
        </w:trPr>
        <w:tc>
          <w:tcPr>
            <w:tcW w:w="3250" w:type="dxa"/>
          </w:tcPr>
          <w:p w:rsidR="0088206A" w:rsidRPr="00AB1900" w:rsidRDefault="0088206A" w:rsidP="007D2507">
            <w:pPr>
              <w:keepNext/>
              <w:keepLines/>
              <w:outlineLvl w:val="0"/>
              <w:rPr>
                <w:sz w:val="22"/>
                <w:szCs w:val="22"/>
              </w:rPr>
            </w:pPr>
            <w:r>
              <w:rPr>
                <w:sz w:val="22"/>
                <w:szCs w:val="22"/>
              </w:rPr>
              <w:t>Brockton Public School</w:t>
            </w:r>
            <w:r w:rsidR="00237BE7">
              <w:rPr>
                <w:sz w:val="22"/>
                <w:szCs w:val="22"/>
              </w:rPr>
              <w:t xml:space="preserve"> District</w:t>
            </w:r>
          </w:p>
          <w:p w:rsidR="0088206A" w:rsidRPr="00AB1900" w:rsidRDefault="00237BE7" w:rsidP="007D2507">
            <w:pPr>
              <w:keepNext/>
              <w:keepLines/>
              <w:outlineLvl w:val="0"/>
              <w:rPr>
                <w:sz w:val="22"/>
                <w:szCs w:val="22"/>
              </w:rPr>
            </w:pPr>
            <w:r>
              <w:rPr>
                <w:sz w:val="22"/>
                <w:szCs w:val="22"/>
              </w:rPr>
              <w:t>Brockton, MA</w:t>
            </w:r>
          </w:p>
        </w:tc>
        <w:tc>
          <w:tcPr>
            <w:tcW w:w="1137" w:type="dxa"/>
          </w:tcPr>
          <w:p w:rsidR="0088206A" w:rsidRPr="00AB1900" w:rsidRDefault="0088206A" w:rsidP="007D2507">
            <w:pPr>
              <w:keepNext/>
              <w:keepLines/>
              <w:outlineLvl w:val="0"/>
              <w:rPr>
                <w:sz w:val="22"/>
                <w:szCs w:val="22"/>
              </w:rPr>
            </w:pPr>
            <w:r w:rsidRPr="00AB1900">
              <w:rPr>
                <w:sz w:val="22"/>
                <w:szCs w:val="22"/>
              </w:rPr>
              <w:t>200</w:t>
            </w:r>
            <w:r>
              <w:rPr>
                <w:sz w:val="22"/>
                <w:szCs w:val="22"/>
              </w:rPr>
              <w:t>6</w:t>
            </w:r>
          </w:p>
          <w:p w:rsidR="0059751F" w:rsidRDefault="0088206A" w:rsidP="007D2507">
            <w:pPr>
              <w:keepNext/>
              <w:keepLines/>
              <w:outlineLvl w:val="0"/>
              <w:rPr>
                <w:sz w:val="22"/>
                <w:szCs w:val="22"/>
              </w:rPr>
            </w:pPr>
            <w:r w:rsidRPr="00AB1900">
              <w:rPr>
                <w:sz w:val="22"/>
                <w:szCs w:val="22"/>
              </w:rPr>
              <w:t>200</w:t>
            </w:r>
            <w:r>
              <w:rPr>
                <w:sz w:val="22"/>
                <w:szCs w:val="22"/>
              </w:rPr>
              <w:t>7</w:t>
            </w:r>
          </w:p>
          <w:p w:rsidR="0088206A" w:rsidRPr="00AB1900" w:rsidRDefault="0088206A" w:rsidP="007D2507">
            <w:pPr>
              <w:keepNext/>
              <w:keepLines/>
              <w:outlineLvl w:val="0"/>
              <w:rPr>
                <w:sz w:val="22"/>
                <w:szCs w:val="22"/>
              </w:rPr>
            </w:pPr>
            <w:r>
              <w:rPr>
                <w:sz w:val="22"/>
                <w:szCs w:val="22"/>
              </w:rPr>
              <w:t>2008</w:t>
            </w:r>
          </w:p>
        </w:tc>
        <w:tc>
          <w:tcPr>
            <w:tcW w:w="1629" w:type="dxa"/>
          </w:tcPr>
          <w:p w:rsidR="0088206A" w:rsidRPr="00AB1900" w:rsidRDefault="0088206A" w:rsidP="007D2507">
            <w:pPr>
              <w:keepNext/>
              <w:keepLines/>
              <w:outlineLvl w:val="0"/>
              <w:rPr>
                <w:sz w:val="22"/>
                <w:szCs w:val="22"/>
              </w:rPr>
            </w:pPr>
            <w:r>
              <w:rPr>
                <w:sz w:val="22"/>
                <w:szCs w:val="22"/>
              </w:rPr>
              <w:t>514834</w:t>
            </w:r>
          </w:p>
          <w:p w:rsidR="0059751F" w:rsidRDefault="0088206A" w:rsidP="007D2507">
            <w:pPr>
              <w:keepNext/>
              <w:keepLines/>
              <w:outlineLvl w:val="0"/>
              <w:rPr>
                <w:sz w:val="22"/>
                <w:szCs w:val="22"/>
              </w:rPr>
            </w:pPr>
            <w:r>
              <w:rPr>
                <w:sz w:val="22"/>
                <w:szCs w:val="22"/>
              </w:rPr>
              <w:t>575224</w:t>
            </w:r>
          </w:p>
          <w:p w:rsidR="0088206A" w:rsidRPr="00AB1900" w:rsidRDefault="0088206A" w:rsidP="007D2507">
            <w:pPr>
              <w:keepNext/>
              <w:keepLines/>
              <w:outlineLvl w:val="0"/>
              <w:rPr>
                <w:sz w:val="22"/>
                <w:szCs w:val="22"/>
              </w:rPr>
            </w:pPr>
            <w:r>
              <w:rPr>
                <w:sz w:val="22"/>
                <w:szCs w:val="22"/>
              </w:rPr>
              <w:t>614875</w:t>
            </w:r>
          </w:p>
        </w:tc>
        <w:tc>
          <w:tcPr>
            <w:tcW w:w="1454" w:type="dxa"/>
          </w:tcPr>
          <w:p w:rsidR="0088206A" w:rsidRDefault="0059751F" w:rsidP="007D2507">
            <w:pPr>
              <w:keepNext/>
              <w:keepLines/>
              <w:outlineLvl w:val="0"/>
              <w:rPr>
                <w:sz w:val="22"/>
                <w:szCs w:val="22"/>
              </w:rPr>
            </w:pPr>
            <w:r>
              <w:rPr>
                <w:sz w:val="22"/>
                <w:szCs w:val="22"/>
              </w:rPr>
              <w:t>1416498</w:t>
            </w:r>
          </w:p>
          <w:p w:rsidR="0059751F" w:rsidRDefault="0059751F" w:rsidP="00B7730F">
            <w:pPr>
              <w:keepNext/>
              <w:keepLines/>
              <w:outlineLvl w:val="0"/>
              <w:rPr>
                <w:sz w:val="22"/>
                <w:szCs w:val="22"/>
              </w:rPr>
            </w:pPr>
            <w:r>
              <w:rPr>
                <w:sz w:val="22"/>
                <w:szCs w:val="22"/>
              </w:rPr>
              <w:t>1590640</w:t>
            </w:r>
            <w:r w:rsidR="006A459D">
              <w:rPr>
                <w:sz w:val="22"/>
                <w:szCs w:val="22"/>
              </w:rPr>
              <w:t xml:space="preserve"> </w:t>
            </w:r>
          </w:p>
          <w:p w:rsidR="00AE5123" w:rsidRPr="00AB1900" w:rsidRDefault="00AE5123" w:rsidP="00B7730F">
            <w:pPr>
              <w:keepNext/>
              <w:keepLines/>
              <w:outlineLvl w:val="0"/>
              <w:rPr>
                <w:sz w:val="22"/>
                <w:szCs w:val="22"/>
              </w:rPr>
            </w:pPr>
            <w:r>
              <w:rPr>
                <w:sz w:val="22"/>
                <w:szCs w:val="22"/>
              </w:rPr>
              <w:t>1754095</w:t>
            </w:r>
          </w:p>
        </w:tc>
        <w:tc>
          <w:tcPr>
            <w:tcW w:w="2848" w:type="dxa"/>
          </w:tcPr>
          <w:p w:rsidR="0088206A" w:rsidRDefault="00237BE7" w:rsidP="007D2507">
            <w:pPr>
              <w:keepNext/>
              <w:keepLines/>
              <w:outlineLvl w:val="0"/>
              <w:rPr>
                <w:sz w:val="22"/>
                <w:szCs w:val="22"/>
              </w:rPr>
            </w:pPr>
            <w:r>
              <w:rPr>
                <w:sz w:val="22"/>
                <w:szCs w:val="22"/>
              </w:rPr>
              <w:t>July 14, 2009</w:t>
            </w:r>
          </w:p>
          <w:p w:rsidR="00F12EAA" w:rsidRDefault="00051972" w:rsidP="007D2507">
            <w:pPr>
              <w:keepNext/>
              <w:keepLines/>
              <w:outlineLvl w:val="0"/>
              <w:rPr>
                <w:sz w:val="22"/>
                <w:szCs w:val="22"/>
              </w:rPr>
            </w:pPr>
            <w:r>
              <w:rPr>
                <w:sz w:val="22"/>
                <w:szCs w:val="22"/>
              </w:rPr>
              <w:t>June 25, 2010</w:t>
            </w:r>
          </w:p>
          <w:p w:rsidR="005947FC" w:rsidRPr="00AB1900" w:rsidRDefault="0072422A" w:rsidP="0072422A">
            <w:pPr>
              <w:keepNext/>
              <w:keepLines/>
              <w:outlineLvl w:val="0"/>
              <w:rPr>
                <w:sz w:val="22"/>
                <w:szCs w:val="22"/>
              </w:rPr>
            </w:pPr>
            <w:r>
              <w:rPr>
                <w:sz w:val="22"/>
                <w:szCs w:val="22"/>
              </w:rPr>
              <w:t xml:space="preserve">Dec. 29, 2008, </w:t>
            </w:r>
            <w:r w:rsidR="005947FC">
              <w:rPr>
                <w:sz w:val="22"/>
                <w:szCs w:val="22"/>
              </w:rPr>
              <w:t>June 25, 2010</w:t>
            </w:r>
          </w:p>
        </w:tc>
      </w:tr>
      <w:tr w:rsidR="0088206A" w:rsidRPr="00AB1900" w:rsidTr="00E84B22">
        <w:trPr>
          <w:trHeight w:val="754"/>
          <w:jc w:val="center"/>
        </w:trPr>
        <w:tc>
          <w:tcPr>
            <w:tcW w:w="3250" w:type="dxa"/>
            <w:tcBorders>
              <w:top w:val="single" w:sz="4" w:space="0" w:color="auto"/>
              <w:left w:val="single" w:sz="4" w:space="0" w:color="auto"/>
              <w:bottom w:val="single" w:sz="4" w:space="0" w:color="auto"/>
              <w:right w:val="single" w:sz="4" w:space="0" w:color="auto"/>
            </w:tcBorders>
          </w:tcPr>
          <w:p w:rsidR="0088206A" w:rsidRDefault="0088206A" w:rsidP="007D2507">
            <w:pPr>
              <w:keepNext/>
              <w:keepLines/>
              <w:outlineLvl w:val="0"/>
              <w:rPr>
                <w:sz w:val="22"/>
                <w:szCs w:val="22"/>
              </w:rPr>
            </w:pPr>
            <w:r>
              <w:rPr>
                <w:sz w:val="22"/>
                <w:szCs w:val="22"/>
              </w:rPr>
              <w:t>Achieve Telecom Network of MA</w:t>
            </w:r>
          </w:p>
          <w:p w:rsidR="00D50AA4" w:rsidRPr="009B57B4" w:rsidRDefault="00DA4F7F" w:rsidP="00550223">
            <w:pPr>
              <w:keepNext/>
              <w:keepLines/>
              <w:outlineLvl w:val="0"/>
              <w:rPr>
                <w:b/>
                <w:sz w:val="22"/>
                <w:szCs w:val="22"/>
              </w:rPr>
            </w:pPr>
            <w:r>
              <w:rPr>
                <w:sz w:val="22"/>
                <w:szCs w:val="22"/>
              </w:rPr>
              <w:t>Canton, MA</w:t>
            </w:r>
          </w:p>
        </w:tc>
        <w:tc>
          <w:tcPr>
            <w:tcW w:w="1137" w:type="dxa"/>
            <w:tcBorders>
              <w:top w:val="single" w:sz="4" w:space="0" w:color="auto"/>
              <w:left w:val="single" w:sz="4" w:space="0" w:color="auto"/>
              <w:bottom w:val="single" w:sz="4" w:space="0" w:color="auto"/>
              <w:right w:val="single" w:sz="4" w:space="0" w:color="auto"/>
            </w:tcBorders>
          </w:tcPr>
          <w:p w:rsidR="0088206A" w:rsidRPr="00AB1900" w:rsidRDefault="0088206A" w:rsidP="007D2507">
            <w:pPr>
              <w:keepNext/>
              <w:keepLines/>
              <w:outlineLvl w:val="0"/>
              <w:rPr>
                <w:sz w:val="22"/>
                <w:szCs w:val="22"/>
              </w:rPr>
            </w:pPr>
            <w:r w:rsidRPr="00AB1900">
              <w:rPr>
                <w:sz w:val="22"/>
                <w:szCs w:val="22"/>
              </w:rPr>
              <w:t>200</w:t>
            </w:r>
            <w:r>
              <w:rPr>
                <w:sz w:val="22"/>
                <w:szCs w:val="22"/>
              </w:rPr>
              <w:t>6</w:t>
            </w:r>
          </w:p>
          <w:p w:rsidR="0088206A" w:rsidRPr="00AB1900" w:rsidRDefault="0088206A" w:rsidP="007D2507">
            <w:pPr>
              <w:keepNext/>
              <w:keepLines/>
              <w:outlineLvl w:val="0"/>
              <w:rPr>
                <w:sz w:val="22"/>
                <w:szCs w:val="22"/>
              </w:rPr>
            </w:pPr>
            <w:r w:rsidRPr="00AB1900">
              <w:rPr>
                <w:sz w:val="22"/>
                <w:szCs w:val="22"/>
              </w:rPr>
              <w:t>200</w:t>
            </w:r>
            <w:r>
              <w:rPr>
                <w:sz w:val="22"/>
                <w:szCs w:val="22"/>
              </w:rPr>
              <w:t>7</w:t>
            </w:r>
          </w:p>
          <w:p w:rsidR="0088206A" w:rsidRPr="00AB1900" w:rsidRDefault="0088206A" w:rsidP="007D2507">
            <w:pPr>
              <w:keepNext/>
              <w:keepLines/>
              <w:outlineLvl w:val="0"/>
              <w:rPr>
                <w:sz w:val="22"/>
                <w:szCs w:val="22"/>
              </w:rPr>
            </w:pPr>
            <w:r>
              <w:rPr>
                <w:sz w:val="22"/>
                <w:szCs w:val="22"/>
              </w:rPr>
              <w:t>2008</w:t>
            </w:r>
          </w:p>
        </w:tc>
        <w:tc>
          <w:tcPr>
            <w:tcW w:w="1629" w:type="dxa"/>
            <w:tcBorders>
              <w:top w:val="single" w:sz="4" w:space="0" w:color="auto"/>
              <w:left w:val="single" w:sz="4" w:space="0" w:color="auto"/>
              <w:bottom w:val="single" w:sz="4" w:space="0" w:color="auto"/>
              <w:right w:val="single" w:sz="4" w:space="0" w:color="auto"/>
            </w:tcBorders>
          </w:tcPr>
          <w:p w:rsidR="0088206A" w:rsidRPr="00AB1900" w:rsidRDefault="0088206A" w:rsidP="007D2507">
            <w:pPr>
              <w:keepNext/>
              <w:keepLines/>
              <w:outlineLvl w:val="0"/>
              <w:rPr>
                <w:sz w:val="22"/>
                <w:szCs w:val="22"/>
              </w:rPr>
            </w:pPr>
            <w:r>
              <w:rPr>
                <w:sz w:val="22"/>
                <w:szCs w:val="22"/>
              </w:rPr>
              <w:t>514834</w:t>
            </w:r>
          </w:p>
          <w:p w:rsidR="0088206A" w:rsidRPr="00AB1900" w:rsidRDefault="0088206A" w:rsidP="007D2507">
            <w:pPr>
              <w:keepNext/>
              <w:keepLines/>
              <w:outlineLvl w:val="0"/>
              <w:rPr>
                <w:sz w:val="22"/>
                <w:szCs w:val="22"/>
              </w:rPr>
            </w:pPr>
            <w:r>
              <w:rPr>
                <w:sz w:val="22"/>
                <w:szCs w:val="22"/>
              </w:rPr>
              <w:t>575224</w:t>
            </w:r>
          </w:p>
          <w:p w:rsidR="0088206A" w:rsidRPr="00AB1900" w:rsidRDefault="0088206A" w:rsidP="009B57B4">
            <w:pPr>
              <w:keepNext/>
              <w:keepLines/>
              <w:outlineLvl w:val="0"/>
              <w:rPr>
                <w:sz w:val="22"/>
                <w:szCs w:val="22"/>
              </w:rPr>
            </w:pPr>
            <w:r>
              <w:rPr>
                <w:sz w:val="22"/>
                <w:szCs w:val="22"/>
              </w:rPr>
              <w:t>614875</w:t>
            </w:r>
          </w:p>
        </w:tc>
        <w:tc>
          <w:tcPr>
            <w:tcW w:w="1454" w:type="dxa"/>
            <w:tcBorders>
              <w:top w:val="single" w:sz="4" w:space="0" w:color="auto"/>
              <w:left w:val="single" w:sz="4" w:space="0" w:color="auto"/>
              <w:bottom w:val="single" w:sz="4" w:space="0" w:color="auto"/>
              <w:right w:val="single" w:sz="4" w:space="0" w:color="auto"/>
            </w:tcBorders>
          </w:tcPr>
          <w:p w:rsidR="0088206A" w:rsidRDefault="00AE5123" w:rsidP="007D2507">
            <w:pPr>
              <w:keepNext/>
              <w:keepLines/>
              <w:outlineLvl w:val="0"/>
              <w:rPr>
                <w:sz w:val="22"/>
                <w:szCs w:val="22"/>
              </w:rPr>
            </w:pPr>
            <w:r>
              <w:rPr>
                <w:sz w:val="22"/>
                <w:szCs w:val="22"/>
              </w:rPr>
              <w:t>1416498</w:t>
            </w:r>
          </w:p>
          <w:p w:rsidR="00AE5123" w:rsidRDefault="00AE5123" w:rsidP="007D2507">
            <w:pPr>
              <w:keepNext/>
              <w:keepLines/>
              <w:outlineLvl w:val="0"/>
              <w:rPr>
                <w:sz w:val="22"/>
                <w:szCs w:val="22"/>
              </w:rPr>
            </w:pPr>
            <w:r>
              <w:rPr>
                <w:sz w:val="22"/>
                <w:szCs w:val="22"/>
              </w:rPr>
              <w:t>1590640</w:t>
            </w:r>
          </w:p>
          <w:p w:rsidR="00AE5123" w:rsidRPr="00AB1900" w:rsidRDefault="00AE5123" w:rsidP="007D2507">
            <w:pPr>
              <w:keepNext/>
              <w:keepLines/>
              <w:outlineLvl w:val="0"/>
              <w:rPr>
                <w:sz w:val="22"/>
                <w:szCs w:val="22"/>
              </w:rPr>
            </w:pPr>
            <w:r>
              <w:rPr>
                <w:sz w:val="22"/>
                <w:szCs w:val="22"/>
              </w:rPr>
              <w:t>1754095</w:t>
            </w:r>
          </w:p>
        </w:tc>
        <w:tc>
          <w:tcPr>
            <w:tcW w:w="2848" w:type="dxa"/>
            <w:tcBorders>
              <w:top w:val="single" w:sz="4" w:space="0" w:color="auto"/>
              <w:left w:val="single" w:sz="4" w:space="0" w:color="auto"/>
              <w:bottom w:val="single" w:sz="4" w:space="0" w:color="auto"/>
              <w:right w:val="single" w:sz="4" w:space="0" w:color="auto"/>
            </w:tcBorders>
          </w:tcPr>
          <w:p w:rsidR="0088206A" w:rsidRDefault="00DA4F7F" w:rsidP="007D2507">
            <w:pPr>
              <w:keepNext/>
              <w:keepLines/>
              <w:outlineLvl w:val="0"/>
              <w:rPr>
                <w:sz w:val="22"/>
                <w:szCs w:val="22"/>
              </w:rPr>
            </w:pPr>
            <w:r>
              <w:rPr>
                <w:sz w:val="22"/>
                <w:szCs w:val="22"/>
              </w:rPr>
              <w:t>June 28, 2010</w:t>
            </w:r>
          </w:p>
          <w:p w:rsidR="00AE5123" w:rsidRDefault="00DA4F7F" w:rsidP="007D2507">
            <w:pPr>
              <w:keepNext/>
              <w:keepLines/>
              <w:outlineLvl w:val="0"/>
              <w:rPr>
                <w:sz w:val="22"/>
                <w:szCs w:val="22"/>
              </w:rPr>
            </w:pPr>
            <w:r>
              <w:rPr>
                <w:sz w:val="22"/>
                <w:szCs w:val="22"/>
              </w:rPr>
              <w:t>June 28, 2010</w:t>
            </w:r>
          </w:p>
          <w:p w:rsidR="00AE5123" w:rsidRPr="00AB1900" w:rsidRDefault="00DA4F7F" w:rsidP="007D2507">
            <w:pPr>
              <w:keepNext/>
              <w:keepLines/>
              <w:outlineLvl w:val="0"/>
              <w:rPr>
                <w:sz w:val="22"/>
                <w:szCs w:val="22"/>
              </w:rPr>
            </w:pPr>
            <w:r>
              <w:rPr>
                <w:sz w:val="22"/>
                <w:szCs w:val="22"/>
              </w:rPr>
              <w:t>June 28, 2010</w:t>
            </w:r>
          </w:p>
        </w:tc>
      </w:tr>
    </w:tbl>
    <w:p w:rsidR="0088206A" w:rsidRDefault="0088206A" w:rsidP="00747573">
      <w:pPr>
        <w:keepNext/>
        <w:keepLines/>
        <w:ind w:left="2880" w:firstLine="720"/>
        <w:outlineLvl w:val="0"/>
        <w:rPr>
          <w:sz w:val="22"/>
          <w:szCs w:val="22"/>
        </w:rPr>
      </w:pPr>
    </w:p>
    <w:p w:rsidR="0088206A" w:rsidRDefault="0088206A" w:rsidP="00747573">
      <w:pPr>
        <w:keepNext/>
        <w:keepLines/>
        <w:ind w:left="2880" w:firstLine="720"/>
        <w:outlineLvl w:val="0"/>
        <w:rPr>
          <w:sz w:val="22"/>
          <w:szCs w:val="22"/>
        </w:rPr>
      </w:pPr>
    </w:p>
    <w:p w:rsidR="00261A88" w:rsidRDefault="00261A88" w:rsidP="00754426">
      <w:pPr>
        <w:keepNext/>
        <w:keepLines/>
        <w:jc w:val="center"/>
        <w:outlineLvl w:val="0"/>
        <w:rPr>
          <w:b/>
          <w:sz w:val="22"/>
          <w:szCs w:val="22"/>
        </w:rPr>
      </w:pPr>
      <w:r>
        <w:rPr>
          <w:b/>
          <w:sz w:val="22"/>
          <w:szCs w:val="22"/>
        </w:rPr>
        <w:t>APPENDIX</w:t>
      </w:r>
      <w:r w:rsidRPr="00261A88">
        <w:rPr>
          <w:b/>
          <w:sz w:val="22"/>
          <w:szCs w:val="22"/>
        </w:rPr>
        <w:t xml:space="preserve"> B</w:t>
      </w:r>
    </w:p>
    <w:p w:rsidR="00AE7B4D" w:rsidRDefault="00AE7B4D" w:rsidP="00747573">
      <w:pPr>
        <w:keepNext/>
        <w:keepLines/>
        <w:ind w:left="2880" w:firstLine="720"/>
        <w:outlineLvl w:val="0"/>
        <w:rPr>
          <w:b/>
          <w:sz w:val="22"/>
          <w:szCs w:val="22"/>
        </w:rPr>
      </w:pPr>
    </w:p>
    <w:p w:rsidR="00AE7B4D" w:rsidRPr="00AE7B4D" w:rsidRDefault="00AE7B4D" w:rsidP="00AE7B4D">
      <w:pPr>
        <w:keepNext/>
        <w:keepLines/>
        <w:jc w:val="center"/>
        <w:outlineLvl w:val="0"/>
        <w:rPr>
          <w:sz w:val="22"/>
          <w:szCs w:val="22"/>
          <w:u w:val="single"/>
        </w:rPr>
      </w:pPr>
      <w:r w:rsidRPr="00AE7B4D">
        <w:rPr>
          <w:sz w:val="22"/>
          <w:szCs w:val="22"/>
          <w:u w:val="single"/>
        </w:rPr>
        <w:t xml:space="preserve">Appeals Filed Related to </w:t>
      </w:r>
      <w:r w:rsidR="00FD6738">
        <w:rPr>
          <w:sz w:val="22"/>
          <w:szCs w:val="22"/>
          <w:u w:val="single"/>
        </w:rPr>
        <w:t>Chelsea School District</w:t>
      </w:r>
    </w:p>
    <w:p w:rsidR="00261A88" w:rsidRPr="00261A88" w:rsidRDefault="00261A88" w:rsidP="00747573">
      <w:pPr>
        <w:keepNext/>
        <w:keepLines/>
        <w:ind w:left="2880" w:firstLine="720"/>
        <w:outlineLvl w:val="0"/>
        <w:rPr>
          <w:b/>
          <w:sz w:val="22"/>
          <w:szCs w:val="22"/>
        </w:rPr>
      </w:pPr>
    </w:p>
    <w:tbl>
      <w:tblPr>
        <w:tblW w:w="10379" w:type="dxa"/>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1144"/>
        <w:gridCol w:w="1639"/>
        <w:gridCol w:w="1418"/>
        <w:gridCol w:w="2909"/>
      </w:tblGrid>
      <w:tr w:rsidR="00261A88" w:rsidRPr="00AB1900" w:rsidTr="00E84B22">
        <w:trPr>
          <w:trHeight w:val="481"/>
          <w:jc w:val="center"/>
        </w:trPr>
        <w:tc>
          <w:tcPr>
            <w:tcW w:w="3269" w:type="dxa"/>
          </w:tcPr>
          <w:p w:rsidR="00261A88" w:rsidRPr="00AB1900" w:rsidRDefault="00261A88" w:rsidP="002E4A4F">
            <w:pPr>
              <w:keepNext/>
              <w:keepLines/>
              <w:outlineLvl w:val="0"/>
              <w:rPr>
                <w:b/>
                <w:sz w:val="22"/>
                <w:szCs w:val="22"/>
              </w:rPr>
            </w:pPr>
            <w:r w:rsidRPr="00AB1900">
              <w:rPr>
                <w:b/>
                <w:sz w:val="22"/>
                <w:szCs w:val="22"/>
              </w:rPr>
              <w:t>Petitioner</w:t>
            </w:r>
          </w:p>
        </w:tc>
        <w:tc>
          <w:tcPr>
            <w:tcW w:w="1144" w:type="dxa"/>
          </w:tcPr>
          <w:p w:rsidR="00261A88" w:rsidRPr="00AB1900" w:rsidRDefault="00261A88" w:rsidP="002E4A4F">
            <w:pPr>
              <w:keepNext/>
              <w:keepLines/>
              <w:outlineLvl w:val="0"/>
              <w:rPr>
                <w:b/>
                <w:sz w:val="22"/>
                <w:szCs w:val="22"/>
              </w:rPr>
            </w:pPr>
            <w:r w:rsidRPr="00AB1900">
              <w:rPr>
                <w:b/>
                <w:sz w:val="22"/>
                <w:szCs w:val="22"/>
              </w:rPr>
              <w:t>Funding Years</w:t>
            </w:r>
          </w:p>
        </w:tc>
        <w:tc>
          <w:tcPr>
            <w:tcW w:w="1639" w:type="dxa"/>
          </w:tcPr>
          <w:p w:rsidR="00261A88" w:rsidRPr="00AB1900" w:rsidRDefault="00261A88" w:rsidP="002E4A4F">
            <w:pPr>
              <w:keepNext/>
              <w:keepLines/>
              <w:outlineLvl w:val="0"/>
              <w:rPr>
                <w:b/>
                <w:sz w:val="22"/>
                <w:szCs w:val="22"/>
              </w:rPr>
            </w:pPr>
            <w:r w:rsidRPr="00AB1900">
              <w:rPr>
                <w:b/>
                <w:sz w:val="22"/>
                <w:szCs w:val="22"/>
              </w:rPr>
              <w:t>Application Numbers</w:t>
            </w:r>
          </w:p>
        </w:tc>
        <w:tc>
          <w:tcPr>
            <w:tcW w:w="1418" w:type="dxa"/>
          </w:tcPr>
          <w:p w:rsidR="00261A88" w:rsidRPr="00AB1900" w:rsidRDefault="00261A88" w:rsidP="002E4A4F">
            <w:pPr>
              <w:keepNext/>
              <w:keepLines/>
              <w:outlineLvl w:val="0"/>
              <w:rPr>
                <w:b/>
                <w:sz w:val="22"/>
                <w:szCs w:val="22"/>
              </w:rPr>
            </w:pPr>
            <w:r w:rsidRPr="00AB1900">
              <w:rPr>
                <w:b/>
                <w:sz w:val="22"/>
                <w:szCs w:val="22"/>
              </w:rPr>
              <w:t>Funding Request Numbers</w:t>
            </w:r>
          </w:p>
        </w:tc>
        <w:tc>
          <w:tcPr>
            <w:tcW w:w="2909" w:type="dxa"/>
          </w:tcPr>
          <w:p w:rsidR="00261A88" w:rsidRPr="00AB1900" w:rsidRDefault="00261A88" w:rsidP="002E4A4F">
            <w:pPr>
              <w:keepNext/>
              <w:keepLines/>
              <w:outlineLvl w:val="0"/>
              <w:rPr>
                <w:b/>
                <w:sz w:val="22"/>
                <w:szCs w:val="22"/>
              </w:rPr>
            </w:pPr>
            <w:r w:rsidRPr="00AB1900">
              <w:rPr>
                <w:b/>
                <w:sz w:val="22"/>
                <w:szCs w:val="22"/>
              </w:rPr>
              <w:t>Date of Appeal</w:t>
            </w:r>
          </w:p>
        </w:tc>
      </w:tr>
      <w:tr w:rsidR="00261A88" w:rsidRPr="00AB1900" w:rsidTr="00E84B22">
        <w:trPr>
          <w:trHeight w:val="495"/>
          <w:jc w:val="center"/>
        </w:trPr>
        <w:tc>
          <w:tcPr>
            <w:tcW w:w="3269" w:type="dxa"/>
          </w:tcPr>
          <w:p w:rsidR="00261A88" w:rsidRDefault="00FD6738" w:rsidP="002E4A4F">
            <w:pPr>
              <w:keepNext/>
              <w:keepLines/>
              <w:outlineLvl w:val="0"/>
              <w:rPr>
                <w:sz w:val="22"/>
                <w:szCs w:val="22"/>
              </w:rPr>
            </w:pPr>
            <w:r>
              <w:rPr>
                <w:sz w:val="22"/>
                <w:szCs w:val="22"/>
              </w:rPr>
              <w:t>Chelsea School District</w:t>
            </w:r>
          </w:p>
          <w:p w:rsidR="00846299" w:rsidRPr="00846299" w:rsidRDefault="00DA4F7F" w:rsidP="002E4A4F">
            <w:pPr>
              <w:keepNext/>
              <w:keepLines/>
              <w:outlineLvl w:val="0"/>
              <w:rPr>
                <w:b/>
                <w:sz w:val="22"/>
                <w:szCs w:val="22"/>
              </w:rPr>
            </w:pPr>
            <w:r>
              <w:rPr>
                <w:sz w:val="22"/>
                <w:szCs w:val="22"/>
              </w:rPr>
              <w:t>Chelsea, MA</w:t>
            </w:r>
          </w:p>
        </w:tc>
        <w:tc>
          <w:tcPr>
            <w:tcW w:w="1144" w:type="dxa"/>
          </w:tcPr>
          <w:p w:rsidR="00FD6738" w:rsidRDefault="00FD6738" w:rsidP="002E4A4F">
            <w:pPr>
              <w:keepNext/>
              <w:keepLines/>
              <w:outlineLvl w:val="0"/>
              <w:rPr>
                <w:sz w:val="22"/>
                <w:szCs w:val="22"/>
              </w:rPr>
            </w:pPr>
            <w:r>
              <w:rPr>
                <w:sz w:val="22"/>
                <w:szCs w:val="22"/>
              </w:rPr>
              <w:t>2005</w:t>
            </w:r>
          </w:p>
          <w:p w:rsidR="00261A88" w:rsidRPr="00AB1900" w:rsidRDefault="00261A88" w:rsidP="002E4A4F">
            <w:pPr>
              <w:keepNext/>
              <w:keepLines/>
              <w:outlineLvl w:val="0"/>
              <w:rPr>
                <w:sz w:val="22"/>
                <w:szCs w:val="22"/>
              </w:rPr>
            </w:pPr>
            <w:r w:rsidRPr="00AB1900">
              <w:rPr>
                <w:sz w:val="22"/>
                <w:szCs w:val="22"/>
              </w:rPr>
              <w:t>2006</w:t>
            </w:r>
          </w:p>
        </w:tc>
        <w:tc>
          <w:tcPr>
            <w:tcW w:w="1639" w:type="dxa"/>
          </w:tcPr>
          <w:p w:rsidR="00261A88" w:rsidRPr="00AB1900" w:rsidRDefault="00FD6738" w:rsidP="002E4A4F">
            <w:pPr>
              <w:keepNext/>
              <w:keepLines/>
              <w:outlineLvl w:val="0"/>
              <w:rPr>
                <w:sz w:val="22"/>
                <w:szCs w:val="22"/>
              </w:rPr>
            </w:pPr>
            <w:r>
              <w:rPr>
                <w:sz w:val="22"/>
                <w:szCs w:val="22"/>
              </w:rPr>
              <w:t>447884</w:t>
            </w:r>
          </w:p>
          <w:p w:rsidR="00261A88" w:rsidRPr="00AB1900" w:rsidRDefault="00FD6738" w:rsidP="002E4A4F">
            <w:pPr>
              <w:keepNext/>
              <w:keepLines/>
              <w:outlineLvl w:val="0"/>
              <w:rPr>
                <w:sz w:val="22"/>
                <w:szCs w:val="22"/>
              </w:rPr>
            </w:pPr>
            <w:r>
              <w:rPr>
                <w:sz w:val="22"/>
                <w:szCs w:val="22"/>
              </w:rPr>
              <w:t>502263</w:t>
            </w:r>
          </w:p>
        </w:tc>
        <w:tc>
          <w:tcPr>
            <w:tcW w:w="1418" w:type="dxa"/>
          </w:tcPr>
          <w:p w:rsidR="00261A88" w:rsidRDefault="00DA4F7F" w:rsidP="00FD6738">
            <w:pPr>
              <w:keepNext/>
              <w:keepLines/>
              <w:outlineLvl w:val="0"/>
              <w:rPr>
                <w:sz w:val="22"/>
                <w:szCs w:val="22"/>
              </w:rPr>
            </w:pPr>
            <w:r>
              <w:rPr>
                <w:sz w:val="22"/>
                <w:szCs w:val="22"/>
              </w:rPr>
              <w:t>1232738</w:t>
            </w:r>
          </w:p>
          <w:p w:rsidR="00DA4F7F" w:rsidRPr="00AB1900" w:rsidRDefault="00DA4F7F" w:rsidP="00FD6738">
            <w:pPr>
              <w:keepNext/>
              <w:keepLines/>
              <w:outlineLvl w:val="0"/>
              <w:rPr>
                <w:sz w:val="22"/>
                <w:szCs w:val="22"/>
              </w:rPr>
            </w:pPr>
            <w:r>
              <w:rPr>
                <w:sz w:val="22"/>
                <w:szCs w:val="22"/>
              </w:rPr>
              <w:t>1381110</w:t>
            </w:r>
          </w:p>
        </w:tc>
        <w:tc>
          <w:tcPr>
            <w:tcW w:w="2909" w:type="dxa"/>
          </w:tcPr>
          <w:p w:rsidR="005214D4" w:rsidRDefault="009A3899" w:rsidP="00FD6738">
            <w:pPr>
              <w:keepNext/>
              <w:keepLines/>
              <w:outlineLvl w:val="0"/>
              <w:rPr>
                <w:sz w:val="22"/>
                <w:szCs w:val="22"/>
              </w:rPr>
            </w:pPr>
            <w:r>
              <w:rPr>
                <w:sz w:val="22"/>
                <w:szCs w:val="22"/>
              </w:rPr>
              <w:t>July 1, 2010</w:t>
            </w:r>
          </w:p>
          <w:p w:rsidR="009A3899" w:rsidRPr="00AB1900" w:rsidRDefault="009A3899" w:rsidP="00FD6738">
            <w:pPr>
              <w:keepNext/>
              <w:keepLines/>
              <w:outlineLvl w:val="0"/>
              <w:rPr>
                <w:sz w:val="22"/>
                <w:szCs w:val="22"/>
              </w:rPr>
            </w:pPr>
            <w:r>
              <w:rPr>
                <w:sz w:val="22"/>
                <w:szCs w:val="22"/>
              </w:rPr>
              <w:t>July 1, 2010</w:t>
            </w:r>
          </w:p>
        </w:tc>
      </w:tr>
      <w:tr w:rsidR="008F5262" w:rsidRPr="00AB1900" w:rsidTr="00E84B22">
        <w:trPr>
          <w:trHeight w:val="495"/>
          <w:jc w:val="center"/>
        </w:trPr>
        <w:tc>
          <w:tcPr>
            <w:tcW w:w="3269" w:type="dxa"/>
            <w:tcBorders>
              <w:top w:val="single" w:sz="4" w:space="0" w:color="auto"/>
              <w:left w:val="single" w:sz="4" w:space="0" w:color="auto"/>
              <w:bottom w:val="single" w:sz="4" w:space="0" w:color="auto"/>
              <w:right w:val="single" w:sz="4" w:space="0" w:color="auto"/>
            </w:tcBorders>
          </w:tcPr>
          <w:p w:rsidR="008F5262" w:rsidRDefault="00FD6738" w:rsidP="001B7B6D">
            <w:pPr>
              <w:keepNext/>
              <w:keepLines/>
              <w:outlineLvl w:val="0"/>
              <w:rPr>
                <w:sz w:val="22"/>
                <w:szCs w:val="22"/>
              </w:rPr>
            </w:pPr>
            <w:r>
              <w:rPr>
                <w:sz w:val="22"/>
                <w:szCs w:val="22"/>
              </w:rPr>
              <w:t>Achieve Telecom Network of MA</w:t>
            </w:r>
          </w:p>
          <w:p w:rsidR="00D50AA4" w:rsidRPr="008F5262" w:rsidRDefault="00DA4F7F" w:rsidP="00D50AA4">
            <w:pPr>
              <w:keepNext/>
              <w:keepLines/>
              <w:outlineLvl w:val="0"/>
              <w:rPr>
                <w:sz w:val="22"/>
                <w:szCs w:val="22"/>
              </w:rPr>
            </w:pPr>
            <w:r>
              <w:rPr>
                <w:sz w:val="22"/>
                <w:szCs w:val="22"/>
              </w:rPr>
              <w:t>Canton, MA</w:t>
            </w:r>
          </w:p>
        </w:tc>
        <w:tc>
          <w:tcPr>
            <w:tcW w:w="1144" w:type="dxa"/>
            <w:tcBorders>
              <w:top w:val="single" w:sz="4" w:space="0" w:color="auto"/>
              <w:left w:val="single" w:sz="4" w:space="0" w:color="auto"/>
              <w:bottom w:val="single" w:sz="4" w:space="0" w:color="auto"/>
              <w:right w:val="single" w:sz="4" w:space="0" w:color="auto"/>
            </w:tcBorders>
          </w:tcPr>
          <w:p w:rsidR="00FD6738" w:rsidRDefault="00FD6738" w:rsidP="001B7B6D">
            <w:pPr>
              <w:keepNext/>
              <w:keepLines/>
              <w:outlineLvl w:val="0"/>
              <w:rPr>
                <w:sz w:val="22"/>
                <w:szCs w:val="22"/>
              </w:rPr>
            </w:pPr>
            <w:r>
              <w:rPr>
                <w:sz w:val="22"/>
                <w:szCs w:val="22"/>
              </w:rPr>
              <w:t>2005</w:t>
            </w:r>
          </w:p>
          <w:p w:rsidR="008F5262" w:rsidRPr="00AB1900" w:rsidRDefault="008F5262" w:rsidP="001B7B6D">
            <w:pPr>
              <w:keepNext/>
              <w:keepLines/>
              <w:outlineLvl w:val="0"/>
              <w:rPr>
                <w:sz w:val="22"/>
                <w:szCs w:val="22"/>
              </w:rPr>
            </w:pPr>
            <w:r w:rsidRPr="00AB1900">
              <w:rPr>
                <w:sz w:val="22"/>
                <w:szCs w:val="22"/>
              </w:rPr>
              <w:t>2006</w:t>
            </w:r>
          </w:p>
        </w:tc>
        <w:tc>
          <w:tcPr>
            <w:tcW w:w="1639" w:type="dxa"/>
            <w:tcBorders>
              <w:top w:val="single" w:sz="4" w:space="0" w:color="auto"/>
              <w:left w:val="single" w:sz="4" w:space="0" w:color="auto"/>
              <w:bottom w:val="single" w:sz="4" w:space="0" w:color="auto"/>
              <w:right w:val="single" w:sz="4" w:space="0" w:color="auto"/>
            </w:tcBorders>
          </w:tcPr>
          <w:p w:rsidR="00FD6738" w:rsidRPr="00AB1900" w:rsidRDefault="00FD6738" w:rsidP="00FD6738">
            <w:pPr>
              <w:keepNext/>
              <w:keepLines/>
              <w:outlineLvl w:val="0"/>
              <w:rPr>
                <w:sz w:val="22"/>
                <w:szCs w:val="22"/>
              </w:rPr>
            </w:pPr>
            <w:r>
              <w:rPr>
                <w:sz w:val="22"/>
                <w:szCs w:val="22"/>
              </w:rPr>
              <w:t>447884</w:t>
            </w:r>
          </w:p>
          <w:p w:rsidR="008F5262" w:rsidRPr="00AB1900" w:rsidRDefault="00FD6738" w:rsidP="001B7B6D">
            <w:pPr>
              <w:keepNext/>
              <w:keepLines/>
              <w:outlineLvl w:val="0"/>
              <w:rPr>
                <w:sz w:val="22"/>
                <w:szCs w:val="22"/>
              </w:rPr>
            </w:pPr>
            <w:r>
              <w:rPr>
                <w:sz w:val="22"/>
                <w:szCs w:val="22"/>
              </w:rPr>
              <w:t>502263</w:t>
            </w:r>
          </w:p>
        </w:tc>
        <w:tc>
          <w:tcPr>
            <w:tcW w:w="1418" w:type="dxa"/>
            <w:tcBorders>
              <w:top w:val="single" w:sz="4" w:space="0" w:color="auto"/>
              <w:left w:val="single" w:sz="4" w:space="0" w:color="auto"/>
              <w:bottom w:val="single" w:sz="4" w:space="0" w:color="auto"/>
              <w:right w:val="single" w:sz="4" w:space="0" w:color="auto"/>
            </w:tcBorders>
          </w:tcPr>
          <w:p w:rsidR="008F5262" w:rsidRDefault="00DA4F7F" w:rsidP="001B7B6D">
            <w:pPr>
              <w:keepNext/>
              <w:keepLines/>
              <w:outlineLvl w:val="0"/>
              <w:rPr>
                <w:sz w:val="22"/>
                <w:szCs w:val="22"/>
              </w:rPr>
            </w:pPr>
            <w:r>
              <w:rPr>
                <w:sz w:val="22"/>
                <w:szCs w:val="22"/>
              </w:rPr>
              <w:t>1232738</w:t>
            </w:r>
          </w:p>
          <w:p w:rsidR="00DA4F7F" w:rsidRPr="00AB1900" w:rsidRDefault="00DA4F7F" w:rsidP="001B7B6D">
            <w:pPr>
              <w:keepNext/>
              <w:keepLines/>
              <w:outlineLvl w:val="0"/>
              <w:rPr>
                <w:sz w:val="22"/>
                <w:szCs w:val="22"/>
              </w:rPr>
            </w:pPr>
            <w:r>
              <w:rPr>
                <w:sz w:val="22"/>
                <w:szCs w:val="22"/>
              </w:rPr>
              <w:t>1381110</w:t>
            </w:r>
          </w:p>
        </w:tc>
        <w:tc>
          <w:tcPr>
            <w:tcW w:w="2909" w:type="dxa"/>
            <w:tcBorders>
              <w:top w:val="single" w:sz="4" w:space="0" w:color="auto"/>
              <w:left w:val="single" w:sz="4" w:space="0" w:color="auto"/>
              <w:bottom w:val="single" w:sz="4" w:space="0" w:color="auto"/>
              <w:right w:val="single" w:sz="4" w:space="0" w:color="auto"/>
            </w:tcBorders>
          </w:tcPr>
          <w:p w:rsidR="008F5262" w:rsidRDefault="00DA4F7F" w:rsidP="001B7B6D">
            <w:pPr>
              <w:keepNext/>
              <w:keepLines/>
              <w:outlineLvl w:val="0"/>
              <w:rPr>
                <w:sz w:val="22"/>
                <w:szCs w:val="22"/>
              </w:rPr>
            </w:pPr>
            <w:r>
              <w:rPr>
                <w:sz w:val="22"/>
                <w:szCs w:val="22"/>
              </w:rPr>
              <w:t>June 28, 2010</w:t>
            </w:r>
          </w:p>
          <w:p w:rsidR="00DA4F7F" w:rsidRPr="00AB1900" w:rsidRDefault="00DA4F7F" w:rsidP="001B7B6D">
            <w:pPr>
              <w:keepNext/>
              <w:keepLines/>
              <w:outlineLvl w:val="0"/>
              <w:rPr>
                <w:sz w:val="22"/>
                <w:szCs w:val="22"/>
              </w:rPr>
            </w:pPr>
            <w:r>
              <w:rPr>
                <w:sz w:val="22"/>
                <w:szCs w:val="22"/>
              </w:rPr>
              <w:t>June 28, 2010</w:t>
            </w:r>
          </w:p>
        </w:tc>
      </w:tr>
    </w:tbl>
    <w:p w:rsidR="00FD6738" w:rsidRDefault="00FD6738" w:rsidP="00754426">
      <w:pPr>
        <w:keepNext/>
        <w:keepLines/>
        <w:jc w:val="center"/>
        <w:outlineLvl w:val="0"/>
        <w:rPr>
          <w:b/>
          <w:sz w:val="22"/>
          <w:szCs w:val="22"/>
        </w:rPr>
      </w:pPr>
    </w:p>
    <w:p w:rsidR="00D629C8" w:rsidRDefault="00D629C8" w:rsidP="00754426">
      <w:pPr>
        <w:keepNext/>
        <w:keepLines/>
        <w:jc w:val="center"/>
        <w:outlineLvl w:val="0"/>
        <w:rPr>
          <w:b/>
          <w:sz w:val="22"/>
          <w:szCs w:val="22"/>
        </w:rPr>
      </w:pPr>
      <w:r>
        <w:rPr>
          <w:b/>
          <w:sz w:val="22"/>
          <w:szCs w:val="22"/>
        </w:rPr>
        <w:t>APPENDIX</w:t>
      </w:r>
      <w:r w:rsidRPr="00261A88">
        <w:rPr>
          <w:b/>
          <w:sz w:val="22"/>
          <w:szCs w:val="22"/>
        </w:rPr>
        <w:t xml:space="preserve"> </w:t>
      </w:r>
      <w:r>
        <w:rPr>
          <w:b/>
          <w:sz w:val="22"/>
          <w:szCs w:val="22"/>
        </w:rPr>
        <w:t>C</w:t>
      </w:r>
    </w:p>
    <w:p w:rsidR="00AE7B4D" w:rsidRDefault="00AE7B4D" w:rsidP="00D629C8">
      <w:pPr>
        <w:keepNext/>
        <w:keepLines/>
        <w:ind w:left="2880" w:firstLine="720"/>
        <w:outlineLvl w:val="0"/>
        <w:rPr>
          <w:b/>
          <w:sz w:val="22"/>
          <w:szCs w:val="22"/>
        </w:rPr>
      </w:pPr>
    </w:p>
    <w:p w:rsidR="00AE7B4D" w:rsidRPr="00AE7B4D" w:rsidRDefault="00AE7B4D" w:rsidP="00AE7B4D">
      <w:pPr>
        <w:keepNext/>
        <w:keepLines/>
        <w:jc w:val="center"/>
        <w:outlineLvl w:val="0"/>
        <w:rPr>
          <w:sz w:val="22"/>
          <w:szCs w:val="22"/>
          <w:u w:val="single"/>
        </w:rPr>
      </w:pPr>
      <w:r w:rsidRPr="00AE7B4D">
        <w:rPr>
          <w:sz w:val="22"/>
          <w:szCs w:val="22"/>
          <w:u w:val="single"/>
        </w:rPr>
        <w:t xml:space="preserve">Appeals Filed Related to </w:t>
      </w:r>
      <w:r w:rsidR="00FD6738">
        <w:rPr>
          <w:sz w:val="22"/>
          <w:szCs w:val="22"/>
          <w:u w:val="single"/>
        </w:rPr>
        <w:t>Somerville School District</w:t>
      </w:r>
    </w:p>
    <w:p w:rsidR="00D629C8" w:rsidRPr="00261A88" w:rsidRDefault="00D629C8" w:rsidP="00D629C8">
      <w:pPr>
        <w:keepNext/>
        <w:keepLines/>
        <w:ind w:left="2880" w:firstLine="720"/>
        <w:outlineLvl w:val="0"/>
        <w:rPr>
          <w:b/>
          <w:sz w:val="22"/>
          <w:szCs w:val="22"/>
        </w:rPr>
      </w:pPr>
    </w:p>
    <w:tbl>
      <w:tblPr>
        <w:tblW w:w="10394" w:type="dxa"/>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4"/>
        <w:gridCol w:w="1146"/>
        <w:gridCol w:w="1641"/>
        <w:gridCol w:w="1409"/>
        <w:gridCol w:w="2924"/>
      </w:tblGrid>
      <w:tr w:rsidR="00D629C8" w:rsidRPr="00AB1900" w:rsidTr="00E84B22">
        <w:trPr>
          <w:trHeight w:val="437"/>
          <w:jc w:val="center"/>
        </w:trPr>
        <w:tc>
          <w:tcPr>
            <w:tcW w:w="3274" w:type="dxa"/>
          </w:tcPr>
          <w:p w:rsidR="00D629C8" w:rsidRPr="00AB1900" w:rsidRDefault="00D629C8" w:rsidP="00C531A6">
            <w:pPr>
              <w:keepNext/>
              <w:keepLines/>
              <w:outlineLvl w:val="0"/>
              <w:rPr>
                <w:b/>
                <w:sz w:val="22"/>
                <w:szCs w:val="22"/>
              </w:rPr>
            </w:pPr>
            <w:r w:rsidRPr="00AB1900">
              <w:rPr>
                <w:b/>
                <w:sz w:val="22"/>
                <w:szCs w:val="22"/>
              </w:rPr>
              <w:t>Petitioner</w:t>
            </w:r>
          </w:p>
        </w:tc>
        <w:tc>
          <w:tcPr>
            <w:tcW w:w="1146" w:type="dxa"/>
          </w:tcPr>
          <w:p w:rsidR="00D629C8" w:rsidRPr="00AB1900" w:rsidRDefault="00D629C8" w:rsidP="00C531A6">
            <w:pPr>
              <w:keepNext/>
              <w:keepLines/>
              <w:outlineLvl w:val="0"/>
              <w:rPr>
                <w:b/>
                <w:sz w:val="22"/>
                <w:szCs w:val="22"/>
              </w:rPr>
            </w:pPr>
            <w:r w:rsidRPr="00AB1900">
              <w:rPr>
                <w:b/>
                <w:sz w:val="22"/>
                <w:szCs w:val="22"/>
              </w:rPr>
              <w:t>Funding Years</w:t>
            </w:r>
          </w:p>
        </w:tc>
        <w:tc>
          <w:tcPr>
            <w:tcW w:w="1641" w:type="dxa"/>
          </w:tcPr>
          <w:p w:rsidR="00D629C8" w:rsidRPr="00AB1900" w:rsidRDefault="00D629C8" w:rsidP="00C531A6">
            <w:pPr>
              <w:keepNext/>
              <w:keepLines/>
              <w:outlineLvl w:val="0"/>
              <w:rPr>
                <w:b/>
                <w:sz w:val="22"/>
                <w:szCs w:val="22"/>
              </w:rPr>
            </w:pPr>
            <w:r w:rsidRPr="00AB1900">
              <w:rPr>
                <w:b/>
                <w:sz w:val="22"/>
                <w:szCs w:val="22"/>
              </w:rPr>
              <w:t>Application Numbers</w:t>
            </w:r>
          </w:p>
        </w:tc>
        <w:tc>
          <w:tcPr>
            <w:tcW w:w="1409" w:type="dxa"/>
          </w:tcPr>
          <w:p w:rsidR="00D629C8" w:rsidRPr="00AB1900" w:rsidRDefault="00D629C8" w:rsidP="00C531A6">
            <w:pPr>
              <w:keepNext/>
              <w:keepLines/>
              <w:outlineLvl w:val="0"/>
              <w:rPr>
                <w:b/>
                <w:sz w:val="22"/>
                <w:szCs w:val="22"/>
              </w:rPr>
            </w:pPr>
            <w:r w:rsidRPr="00AB1900">
              <w:rPr>
                <w:b/>
                <w:sz w:val="22"/>
                <w:szCs w:val="22"/>
              </w:rPr>
              <w:t>Funding Request Numbers</w:t>
            </w:r>
          </w:p>
        </w:tc>
        <w:tc>
          <w:tcPr>
            <w:tcW w:w="2924" w:type="dxa"/>
          </w:tcPr>
          <w:p w:rsidR="00D629C8" w:rsidRPr="00AB1900" w:rsidRDefault="00D629C8" w:rsidP="00C531A6">
            <w:pPr>
              <w:keepNext/>
              <w:keepLines/>
              <w:outlineLvl w:val="0"/>
              <w:rPr>
                <w:b/>
                <w:sz w:val="22"/>
                <w:szCs w:val="22"/>
              </w:rPr>
            </w:pPr>
            <w:r w:rsidRPr="00AB1900">
              <w:rPr>
                <w:b/>
                <w:sz w:val="22"/>
                <w:szCs w:val="22"/>
              </w:rPr>
              <w:t>Date of Appeal</w:t>
            </w:r>
          </w:p>
        </w:tc>
      </w:tr>
      <w:tr w:rsidR="00D629C8" w:rsidRPr="00AB1900" w:rsidTr="00E84B22">
        <w:trPr>
          <w:trHeight w:val="662"/>
          <w:jc w:val="center"/>
        </w:trPr>
        <w:tc>
          <w:tcPr>
            <w:tcW w:w="3274" w:type="dxa"/>
          </w:tcPr>
          <w:p w:rsidR="00DE0F73" w:rsidRDefault="00FD6738" w:rsidP="00C531A6">
            <w:pPr>
              <w:keepNext/>
              <w:keepLines/>
              <w:outlineLvl w:val="0"/>
              <w:rPr>
                <w:sz w:val="22"/>
                <w:szCs w:val="22"/>
              </w:rPr>
            </w:pPr>
            <w:r>
              <w:rPr>
                <w:sz w:val="22"/>
                <w:szCs w:val="22"/>
              </w:rPr>
              <w:t>Somerville School District</w:t>
            </w:r>
          </w:p>
          <w:p w:rsidR="00FD6738" w:rsidRDefault="00DA4F7F" w:rsidP="00C531A6">
            <w:pPr>
              <w:keepNext/>
              <w:keepLines/>
              <w:outlineLvl w:val="0"/>
              <w:rPr>
                <w:sz w:val="22"/>
                <w:szCs w:val="22"/>
              </w:rPr>
            </w:pPr>
            <w:r>
              <w:rPr>
                <w:sz w:val="22"/>
                <w:szCs w:val="22"/>
              </w:rPr>
              <w:t>Somerville, MA</w:t>
            </w:r>
          </w:p>
          <w:p w:rsidR="00C315C7" w:rsidRPr="00C315C7" w:rsidRDefault="00C315C7" w:rsidP="00C531A6">
            <w:pPr>
              <w:keepNext/>
              <w:keepLines/>
              <w:outlineLvl w:val="0"/>
              <w:rPr>
                <w:b/>
                <w:sz w:val="22"/>
                <w:szCs w:val="22"/>
              </w:rPr>
            </w:pPr>
          </w:p>
        </w:tc>
        <w:tc>
          <w:tcPr>
            <w:tcW w:w="1146" w:type="dxa"/>
          </w:tcPr>
          <w:p w:rsidR="00FD6738" w:rsidRDefault="00FD6738" w:rsidP="00C531A6">
            <w:pPr>
              <w:keepNext/>
              <w:keepLines/>
              <w:outlineLvl w:val="0"/>
              <w:rPr>
                <w:sz w:val="22"/>
                <w:szCs w:val="22"/>
              </w:rPr>
            </w:pPr>
            <w:r>
              <w:rPr>
                <w:sz w:val="22"/>
                <w:szCs w:val="22"/>
              </w:rPr>
              <w:t>2004</w:t>
            </w:r>
          </w:p>
          <w:p w:rsidR="00FD6738" w:rsidRDefault="00FD6738" w:rsidP="00C531A6">
            <w:pPr>
              <w:keepNext/>
              <w:keepLines/>
              <w:outlineLvl w:val="0"/>
              <w:rPr>
                <w:sz w:val="22"/>
                <w:szCs w:val="22"/>
              </w:rPr>
            </w:pPr>
            <w:r>
              <w:rPr>
                <w:sz w:val="22"/>
                <w:szCs w:val="22"/>
              </w:rPr>
              <w:t>2005</w:t>
            </w:r>
          </w:p>
          <w:p w:rsidR="00792F95" w:rsidRPr="00AB1900" w:rsidRDefault="00FD6738" w:rsidP="00FD6738">
            <w:pPr>
              <w:keepNext/>
              <w:keepLines/>
              <w:outlineLvl w:val="0"/>
              <w:rPr>
                <w:sz w:val="22"/>
                <w:szCs w:val="22"/>
              </w:rPr>
            </w:pPr>
            <w:r>
              <w:rPr>
                <w:sz w:val="22"/>
                <w:szCs w:val="22"/>
              </w:rPr>
              <w:t>2006</w:t>
            </w:r>
          </w:p>
        </w:tc>
        <w:tc>
          <w:tcPr>
            <w:tcW w:w="1641" w:type="dxa"/>
          </w:tcPr>
          <w:p w:rsidR="00D629C8" w:rsidRDefault="00FD6738" w:rsidP="00C531A6">
            <w:pPr>
              <w:keepNext/>
              <w:keepLines/>
              <w:outlineLvl w:val="0"/>
              <w:rPr>
                <w:sz w:val="22"/>
                <w:szCs w:val="22"/>
              </w:rPr>
            </w:pPr>
            <w:r>
              <w:rPr>
                <w:sz w:val="22"/>
                <w:szCs w:val="22"/>
              </w:rPr>
              <w:t>425096</w:t>
            </w:r>
          </w:p>
          <w:p w:rsidR="00825EFF" w:rsidRDefault="00FD6738" w:rsidP="00C531A6">
            <w:pPr>
              <w:keepNext/>
              <w:keepLines/>
              <w:outlineLvl w:val="0"/>
              <w:rPr>
                <w:sz w:val="22"/>
                <w:szCs w:val="22"/>
              </w:rPr>
            </w:pPr>
            <w:r>
              <w:rPr>
                <w:sz w:val="22"/>
                <w:szCs w:val="22"/>
              </w:rPr>
              <w:t>455467</w:t>
            </w:r>
          </w:p>
          <w:p w:rsidR="00792F95" w:rsidRPr="00AB1900" w:rsidRDefault="00FD6738" w:rsidP="00FD6738">
            <w:pPr>
              <w:keepNext/>
              <w:keepLines/>
              <w:outlineLvl w:val="0"/>
              <w:rPr>
                <w:sz w:val="22"/>
                <w:szCs w:val="22"/>
              </w:rPr>
            </w:pPr>
            <w:r>
              <w:rPr>
                <w:sz w:val="22"/>
                <w:szCs w:val="22"/>
              </w:rPr>
              <w:t>516499</w:t>
            </w:r>
          </w:p>
        </w:tc>
        <w:tc>
          <w:tcPr>
            <w:tcW w:w="1409" w:type="dxa"/>
          </w:tcPr>
          <w:p w:rsidR="00825EFF" w:rsidRDefault="00C421E8" w:rsidP="00C531A6">
            <w:pPr>
              <w:keepNext/>
              <w:keepLines/>
              <w:outlineLvl w:val="0"/>
              <w:rPr>
                <w:sz w:val="22"/>
                <w:szCs w:val="22"/>
              </w:rPr>
            </w:pPr>
            <w:r>
              <w:rPr>
                <w:sz w:val="22"/>
                <w:szCs w:val="22"/>
              </w:rPr>
              <w:t>1175002</w:t>
            </w:r>
          </w:p>
          <w:p w:rsidR="00C421E8" w:rsidRDefault="00C421E8" w:rsidP="00C531A6">
            <w:pPr>
              <w:keepNext/>
              <w:keepLines/>
              <w:outlineLvl w:val="0"/>
              <w:rPr>
                <w:sz w:val="22"/>
                <w:szCs w:val="22"/>
              </w:rPr>
            </w:pPr>
            <w:r>
              <w:rPr>
                <w:sz w:val="22"/>
                <w:szCs w:val="22"/>
              </w:rPr>
              <w:t>1257549</w:t>
            </w:r>
          </w:p>
          <w:p w:rsidR="00792F95" w:rsidRPr="00AB1900" w:rsidRDefault="00C421E8" w:rsidP="00C531A6">
            <w:pPr>
              <w:keepNext/>
              <w:keepLines/>
              <w:outlineLvl w:val="0"/>
              <w:rPr>
                <w:sz w:val="22"/>
                <w:szCs w:val="22"/>
              </w:rPr>
            </w:pPr>
            <w:r>
              <w:rPr>
                <w:sz w:val="22"/>
                <w:szCs w:val="22"/>
              </w:rPr>
              <w:t>1421087</w:t>
            </w:r>
          </w:p>
        </w:tc>
        <w:tc>
          <w:tcPr>
            <w:tcW w:w="2924" w:type="dxa"/>
          </w:tcPr>
          <w:p w:rsidR="005214D4" w:rsidRDefault="00776425" w:rsidP="00825EFF">
            <w:pPr>
              <w:keepNext/>
              <w:keepLines/>
              <w:outlineLvl w:val="0"/>
              <w:rPr>
                <w:sz w:val="22"/>
                <w:szCs w:val="22"/>
              </w:rPr>
            </w:pPr>
            <w:r>
              <w:rPr>
                <w:sz w:val="22"/>
                <w:szCs w:val="22"/>
              </w:rPr>
              <w:t xml:space="preserve">Nov. 18, 2008, </w:t>
            </w:r>
            <w:r w:rsidR="001E6A69">
              <w:rPr>
                <w:sz w:val="22"/>
                <w:szCs w:val="22"/>
              </w:rPr>
              <w:t>June 25, 2010</w:t>
            </w:r>
          </w:p>
          <w:p w:rsidR="001E6A69" w:rsidRDefault="001E6A69" w:rsidP="00825EFF">
            <w:pPr>
              <w:keepNext/>
              <w:keepLines/>
              <w:outlineLvl w:val="0"/>
              <w:rPr>
                <w:sz w:val="22"/>
                <w:szCs w:val="22"/>
              </w:rPr>
            </w:pPr>
            <w:r>
              <w:rPr>
                <w:sz w:val="22"/>
                <w:szCs w:val="22"/>
              </w:rPr>
              <w:t>June 25, 2010</w:t>
            </w:r>
          </w:p>
          <w:p w:rsidR="001E6A69" w:rsidRPr="00AB1900" w:rsidRDefault="001E6A69" w:rsidP="00825EFF">
            <w:pPr>
              <w:keepNext/>
              <w:keepLines/>
              <w:outlineLvl w:val="0"/>
              <w:rPr>
                <w:sz w:val="22"/>
                <w:szCs w:val="22"/>
              </w:rPr>
            </w:pPr>
            <w:r>
              <w:rPr>
                <w:sz w:val="22"/>
                <w:szCs w:val="22"/>
              </w:rPr>
              <w:t>June 25, 2010</w:t>
            </w:r>
          </w:p>
        </w:tc>
      </w:tr>
      <w:tr w:rsidR="00DA4F7F" w:rsidRPr="00AB1900" w:rsidTr="00E84B22">
        <w:trPr>
          <w:trHeight w:val="900"/>
          <w:jc w:val="center"/>
        </w:trPr>
        <w:tc>
          <w:tcPr>
            <w:tcW w:w="3274" w:type="dxa"/>
            <w:tcBorders>
              <w:top w:val="single" w:sz="4" w:space="0" w:color="auto"/>
              <w:left w:val="single" w:sz="4" w:space="0" w:color="auto"/>
              <w:bottom w:val="single" w:sz="4" w:space="0" w:color="auto"/>
              <w:right w:val="single" w:sz="4" w:space="0" w:color="auto"/>
            </w:tcBorders>
          </w:tcPr>
          <w:p w:rsidR="00DA4F7F" w:rsidRDefault="00DA4F7F" w:rsidP="00775958">
            <w:pPr>
              <w:keepNext/>
              <w:keepLines/>
              <w:outlineLvl w:val="0"/>
              <w:rPr>
                <w:sz w:val="22"/>
                <w:szCs w:val="22"/>
              </w:rPr>
            </w:pPr>
            <w:r>
              <w:rPr>
                <w:sz w:val="22"/>
                <w:szCs w:val="22"/>
              </w:rPr>
              <w:t>Achieve Telecom Network of MA</w:t>
            </w:r>
          </w:p>
          <w:p w:rsidR="00DA4F7F" w:rsidRDefault="00DA4F7F" w:rsidP="00775958">
            <w:pPr>
              <w:keepNext/>
              <w:keepLines/>
              <w:outlineLvl w:val="0"/>
              <w:rPr>
                <w:sz w:val="22"/>
                <w:szCs w:val="22"/>
              </w:rPr>
            </w:pPr>
            <w:r>
              <w:rPr>
                <w:sz w:val="22"/>
                <w:szCs w:val="22"/>
              </w:rPr>
              <w:t>Canton, MA</w:t>
            </w:r>
          </w:p>
          <w:p w:rsidR="00FF0F29" w:rsidRDefault="00FF0F29" w:rsidP="00775958">
            <w:pPr>
              <w:keepNext/>
              <w:keepLines/>
              <w:outlineLvl w:val="0"/>
              <w:rPr>
                <w:sz w:val="22"/>
                <w:szCs w:val="22"/>
              </w:rPr>
            </w:pPr>
          </w:p>
          <w:p w:rsidR="00FF0F29" w:rsidRPr="008F5262" w:rsidRDefault="00FF0F29" w:rsidP="00550223">
            <w:pPr>
              <w:keepNext/>
              <w:keepLines/>
              <w:outlineLvl w:val="0"/>
              <w:rPr>
                <w:sz w:val="22"/>
                <w:szCs w:val="22"/>
              </w:rPr>
            </w:pPr>
            <w:r w:rsidRPr="00C315C7">
              <w:rPr>
                <w:b/>
                <w:sz w:val="22"/>
                <w:szCs w:val="22"/>
              </w:rPr>
              <w:t xml:space="preserve">* </w:t>
            </w:r>
            <w:r w:rsidR="00550223">
              <w:rPr>
                <w:b/>
                <w:sz w:val="22"/>
                <w:szCs w:val="22"/>
              </w:rPr>
              <w:t>FCDL denial</w:t>
            </w:r>
            <w:r w:rsidR="00D50AA4">
              <w:rPr>
                <w:b/>
                <w:sz w:val="22"/>
                <w:szCs w:val="22"/>
              </w:rPr>
              <w:t>.</w:t>
            </w:r>
          </w:p>
        </w:tc>
        <w:tc>
          <w:tcPr>
            <w:tcW w:w="1146" w:type="dxa"/>
            <w:tcBorders>
              <w:top w:val="single" w:sz="4" w:space="0" w:color="auto"/>
              <w:left w:val="single" w:sz="4" w:space="0" w:color="auto"/>
              <w:bottom w:val="single" w:sz="4" w:space="0" w:color="auto"/>
              <w:right w:val="single" w:sz="4" w:space="0" w:color="auto"/>
            </w:tcBorders>
          </w:tcPr>
          <w:p w:rsidR="00DA4F7F" w:rsidRDefault="00DA4F7F" w:rsidP="00775958">
            <w:pPr>
              <w:keepNext/>
              <w:keepLines/>
              <w:outlineLvl w:val="0"/>
              <w:rPr>
                <w:sz w:val="22"/>
                <w:szCs w:val="22"/>
              </w:rPr>
            </w:pPr>
            <w:r>
              <w:rPr>
                <w:sz w:val="22"/>
                <w:szCs w:val="22"/>
              </w:rPr>
              <w:t>2004</w:t>
            </w:r>
          </w:p>
          <w:p w:rsidR="00DA4F7F" w:rsidRDefault="00DA4F7F" w:rsidP="00775958">
            <w:pPr>
              <w:keepNext/>
              <w:keepLines/>
              <w:outlineLvl w:val="0"/>
              <w:rPr>
                <w:sz w:val="22"/>
                <w:szCs w:val="22"/>
              </w:rPr>
            </w:pPr>
            <w:r>
              <w:rPr>
                <w:sz w:val="22"/>
                <w:szCs w:val="22"/>
              </w:rPr>
              <w:t>2005</w:t>
            </w:r>
          </w:p>
          <w:p w:rsidR="00FF0F29" w:rsidRDefault="00DA4F7F" w:rsidP="00775958">
            <w:pPr>
              <w:keepNext/>
              <w:keepLines/>
              <w:outlineLvl w:val="0"/>
              <w:rPr>
                <w:sz w:val="22"/>
                <w:szCs w:val="22"/>
              </w:rPr>
            </w:pPr>
            <w:r w:rsidRPr="00AB1900">
              <w:rPr>
                <w:sz w:val="22"/>
                <w:szCs w:val="22"/>
              </w:rPr>
              <w:t>2006</w:t>
            </w:r>
          </w:p>
          <w:p w:rsidR="00DA4F7F" w:rsidRPr="00AB1900" w:rsidRDefault="00DA4F7F" w:rsidP="00775958">
            <w:pPr>
              <w:keepNext/>
              <w:keepLines/>
              <w:outlineLvl w:val="0"/>
              <w:rPr>
                <w:sz w:val="22"/>
                <w:szCs w:val="22"/>
              </w:rPr>
            </w:pPr>
            <w:r>
              <w:rPr>
                <w:sz w:val="22"/>
                <w:szCs w:val="22"/>
              </w:rPr>
              <w:t>2008</w:t>
            </w:r>
            <w:r w:rsidR="00FF0F29">
              <w:rPr>
                <w:sz w:val="22"/>
                <w:szCs w:val="22"/>
              </w:rPr>
              <w:t>*</w:t>
            </w:r>
          </w:p>
        </w:tc>
        <w:tc>
          <w:tcPr>
            <w:tcW w:w="1641" w:type="dxa"/>
            <w:tcBorders>
              <w:top w:val="single" w:sz="4" w:space="0" w:color="auto"/>
              <w:left w:val="single" w:sz="4" w:space="0" w:color="auto"/>
              <w:bottom w:val="single" w:sz="4" w:space="0" w:color="auto"/>
              <w:right w:val="single" w:sz="4" w:space="0" w:color="auto"/>
            </w:tcBorders>
          </w:tcPr>
          <w:p w:rsidR="00DA4F7F" w:rsidRDefault="00DA4F7F" w:rsidP="00DA4F7F">
            <w:pPr>
              <w:keepNext/>
              <w:keepLines/>
              <w:outlineLvl w:val="0"/>
              <w:rPr>
                <w:sz w:val="22"/>
                <w:szCs w:val="22"/>
              </w:rPr>
            </w:pPr>
            <w:r>
              <w:rPr>
                <w:sz w:val="22"/>
                <w:szCs w:val="22"/>
              </w:rPr>
              <w:t>425096</w:t>
            </w:r>
          </w:p>
          <w:p w:rsidR="00DA4F7F" w:rsidRDefault="00DA4F7F" w:rsidP="00DA4F7F">
            <w:pPr>
              <w:keepNext/>
              <w:keepLines/>
              <w:outlineLvl w:val="0"/>
              <w:rPr>
                <w:sz w:val="22"/>
                <w:szCs w:val="22"/>
              </w:rPr>
            </w:pPr>
            <w:r>
              <w:rPr>
                <w:sz w:val="22"/>
                <w:szCs w:val="22"/>
              </w:rPr>
              <w:t>455467</w:t>
            </w:r>
          </w:p>
          <w:p w:rsidR="00DA4F7F" w:rsidRDefault="00DA4F7F" w:rsidP="00DA4F7F">
            <w:pPr>
              <w:keepNext/>
              <w:keepLines/>
              <w:outlineLvl w:val="0"/>
              <w:rPr>
                <w:sz w:val="22"/>
                <w:szCs w:val="22"/>
              </w:rPr>
            </w:pPr>
            <w:r>
              <w:rPr>
                <w:sz w:val="22"/>
                <w:szCs w:val="22"/>
              </w:rPr>
              <w:t>516499</w:t>
            </w:r>
          </w:p>
          <w:p w:rsidR="00D50AA4" w:rsidRPr="00AB1900" w:rsidRDefault="00DA4F7F" w:rsidP="00DA4F7F">
            <w:pPr>
              <w:keepNext/>
              <w:keepLines/>
              <w:outlineLvl w:val="0"/>
              <w:rPr>
                <w:sz w:val="22"/>
                <w:szCs w:val="22"/>
              </w:rPr>
            </w:pPr>
            <w:r>
              <w:rPr>
                <w:sz w:val="22"/>
                <w:szCs w:val="22"/>
              </w:rPr>
              <w:t>613046</w:t>
            </w:r>
          </w:p>
        </w:tc>
        <w:tc>
          <w:tcPr>
            <w:tcW w:w="1409" w:type="dxa"/>
            <w:tcBorders>
              <w:top w:val="single" w:sz="4" w:space="0" w:color="auto"/>
              <w:left w:val="single" w:sz="4" w:space="0" w:color="auto"/>
              <w:bottom w:val="single" w:sz="4" w:space="0" w:color="auto"/>
              <w:right w:val="single" w:sz="4" w:space="0" w:color="auto"/>
            </w:tcBorders>
          </w:tcPr>
          <w:p w:rsidR="00C421E8" w:rsidRDefault="00C421E8" w:rsidP="00C421E8">
            <w:pPr>
              <w:keepNext/>
              <w:keepLines/>
              <w:outlineLvl w:val="0"/>
              <w:rPr>
                <w:sz w:val="22"/>
                <w:szCs w:val="22"/>
              </w:rPr>
            </w:pPr>
            <w:r>
              <w:rPr>
                <w:sz w:val="22"/>
                <w:szCs w:val="22"/>
              </w:rPr>
              <w:t>1175002</w:t>
            </w:r>
          </w:p>
          <w:p w:rsidR="00C421E8" w:rsidRDefault="00C421E8" w:rsidP="00C421E8">
            <w:pPr>
              <w:keepNext/>
              <w:keepLines/>
              <w:outlineLvl w:val="0"/>
              <w:rPr>
                <w:sz w:val="22"/>
                <w:szCs w:val="22"/>
              </w:rPr>
            </w:pPr>
            <w:r>
              <w:rPr>
                <w:sz w:val="22"/>
                <w:szCs w:val="22"/>
              </w:rPr>
              <w:t>1257549</w:t>
            </w:r>
          </w:p>
          <w:p w:rsidR="00776425" w:rsidRDefault="00C421E8" w:rsidP="00C421E8">
            <w:pPr>
              <w:keepNext/>
              <w:keepLines/>
              <w:outlineLvl w:val="0"/>
              <w:rPr>
                <w:sz w:val="22"/>
                <w:szCs w:val="22"/>
              </w:rPr>
            </w:pPr>
            <w:r>
              <w:rPr>
                <w:sz w:val="22"/>
                <w:szCs w:val="22"/>
              </w:rPr>
              <w:t>1421087</w:t>
            </w:r>
          </w:p>
          <w:p w:rsidR="00F67A0B" w:rsidRPr="00AB1900" w:rsidRDefault="00F67A0B" w:rsidP="00C421E8">
            <w:pPr>
              <w:keepNext/>
              <w:keepLines/>
              <w:outlineLvl w:val="0"/>
              <w:rPr>
                <w:sz w:val="22"/>
                <w:szCs w:val="22"/>
              </w:rPr>
            </w:pPr>
            <w:r>
              <w:rPr>
                <w:sz w:val="22"/>
                <w:szCs w:val="22"/>
              </w:rPr>
              <w:t>1688549</w:t>
            </w:r>
          </w:p>
        </w:tc>
        <w:tc>
          <w:tcPr>
            <w:tcW w:w="2924" w:type="dxa"/>
            <w:tcBorders>
              <w:top w:val="single" w:sz="4" w:space="0" w:color="auto"/>
              <w:left w:val="single" w:sz="4" w:space="0" w:color="auto"/>
              <w:bottom w:val="single" w:sz="4" w:space="0" w:color="auto"/>
              <w:right w:val="single" w:sz="4" w:space="0" w:color="auto"/>
            </w:tcBorders>
          </w:tcPr>
          <w:p w:rsidR="004E6B63" w:rsidRDefault="004E6B63" w:rsidP="00775958">
            <w:pPr>
              <w:keepNext/>
              <w:keepLines/>
              <w:outlineLvl w:val="0"/>
              <w:rPr>
                <w:sz w:val="22"/>
                <w:szCs w:val="22"/>
                <w:lang w:val="fr-FR"/>
              </w:rPr>
            </w:pPr>
            <w:r>
              <w:rPr>
                <w:sz w:val="22"/>
                <w:szCs w:val="22"/>
                <w:lang w:val="fr-FR"/>
              </w:rPr>
              <w:t>June 28, 2010</w:t>
            </w:r>
          </w:p>
          <w:p w:rsidR="00DA4F7F" w:rsidRPr="00E73362" w:rsidRDefault="00DA4F7F" w:rsidP="00775958">
            <w:pPr>
              <w:keepNext/>
              <w:keepLines/>
              <w:outlineLvl w:val="0"/>
              <w:rPr>
                <w:sz w:val="22"/>
                <w:szCs w:val="22"/>
                <w:lang w:val="fr-FR"/>
              </w:rPr>
            </w:pPr>
            <w:r w:rsidRPr="00E73362">
              <w:rPr>
                <w:sz w:val="22"/>
                <w:szCs w:val="22"/>
                <w:lang w:val="fr-FR"/>
              </w:rPr>
              <w:t>June 28, 2010</w:t>
            </w:r>
          </w:p>
          <w:p w:rsidR="00DA4F7F" w:rsidRPr="00E73362" w:rsidRDefault="00DA4F7F" w:rsidP="00775958">
            <w:pPr>
              <w:keepNext/>
              <w:keepLines/>
              <w:outlineLvl w:val="0"/>
              <w:rPr>
                <w:sz w:val="22"/>
                <w:szCs w:val="22"/>
                <w:lang w:val="fr-FR"/>
              </w:rPr>
            </w:pPr>
            <w:r w:rsidRPr="00E73362">
              <w:rPr>
                <w:sz w:val="22"/>
                <w:szCs w:val="22"/>
                <w:lang w:val="fr-FR"/>
              </w:rPr>
              <w:t>June 28, 2010</w:t>
            </w:r>
          </w:p>
          <w:p w:rsidR="00DA4F7F" w:rsidRPr="00AB1900" w:rsidRDefault="00CC0982" w:rsidP="00775958">
            <w:pPr>
              <w:keepNext/>
              <w:keepLines/>
              <w:outlineLvl w:val="0"/>
              <w:rPr>
                <w:sz w:val="22"/>
                <w:szCs w:val="22"/>
              </w:rPr>
            </w:pPr>
            <w:r>
              <w:rPr>
                <w:sz w:val="22"/>
                <w:szCs w:val="22"/>
              </w:rPr>
              <w:t>June 28, 2010</w:t>
            </w:r>
          </w:p>
        </w:tc>
      </w:tr>
    </w:tbl>
    <w:p w:rsidR="00940266" w:rsidRPr="00940266" w:rsidRDefault="00DA4F7F" w:rsidP="00747573">
      <w:pPr>
        <w:keepNext/>
        <w:keepLines/>
        <w:ind w:left="2880" w:firstLine="720"/>
        <w:outlineLvl w:val="0"/>
        <w:rPr>
          <w:b/>
          <w:sz w:val="22"/>
          <w:szCs w:val="22"/>
        </w:rPr>
      </w:pPr>
      <w:r>
        <w:rPr>
          <w:b/>
          <w:sz w:val="22"/>
          <w:szCs w:val="22"/>
        </w:rPr>
        <w:br w:type="page"/>
      </w:r>
      <w:r w:rsidR="00940266" w:rsidRPr="00940266">
        <w:rPr>
          <w:b/>
          <w:sz w:val="22"/>
          <w:szCs w:val="22"/>
        </w:rPr>
        <w:t>APPENDIX D</w:t>
      </w:r>
    </w:p>
    <w:p w:rsidR="00940266" w:rsidRDefault="00940266" w:rsidP="00747573">
      <w:pPr>
        <w:keepNext/>
        <w:keepLines/>
        <w:ind w:left="2880" w:firstLine="720"/>
        <w:outlineLvl w:val="0"/>
        <w:rPr>
          <w:sz w:val="22"/>
          <w:szCs w:val="22"/>
        </w:rPr>
      </w:pPr>
    </w:p>
    <w:p w:rsidR="00940266" w:rsidRPr="00AE7B4D" w:rsidRDefault="00940266" w:rsidP="00940266">
      <w:pPr>
        <w:keepNext/>
        <w:keepLines/>
        <w:jc w:val="center"/>
        <w:outlineLvl w:val="0"/>
        <w:rPr>
          <w:sz w:val="22"/>
          <w:szCs w:val="22"/>
          <w:u w:val="single"/>
        </w:rPr>
      </w:pPr>
      <w:r w:rsidRPr="00AE7B4D">
        <w:rPr>
          <w:sz w:val="22"/>
          <w:szCs w:val="22"/>
          <w:u w:val="single"/>
        </w:rPr>
        <w:t xml:space="preserve">Appeals Filed Related to </w:t>
      </w:r>
      <w:r>
        <w:rPr>
          <w:sz w:val="22"/>
          <w:szCs w:val="22"/>
          <w:u w:val="single"/>
        </w:rPr>
        <w:t>Springfield Public Schools</w:t>
      </w:r>
    </w:p>
    <w:p w:rsidR="00940266" w:rsidRDefault="00940266" w:rsidP="00747573">
      <w:pPr>
        <w:keepNext/>
        <w:keepLines/>
        <w:ind w:left="2880" w:firstLine="720"/>
        <w:outlineLvl w:val="0"/>
        <w:rPr>
          <w:sz w:val="22"/>
          <w:szCs w:val="22"/>
        </w:rPr>
      </w:pPr>
    </w:p>
    <w:tbl>
      <w:tblPr>
        <w:tblW w:w="10363" w:type="dxa"/>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1142"/>
        <w:gridCol w:w="1637"/>
        <w:gridCol w:w="1748"/>
        <w:gridCol w:w="2572"/>
      </w:tblGrid>
      <w:tr w:rsidR="00940266" w:rsidRPr="00AB1900" w:rsidTr="00E84B22">
        <w:trPr>
          <w:trHeight w:val="465"/>
          <w:jc w:val="center"/>
        </w:trPr>
        <w:tc>
          <w:tcPr>
            <w:tcW w:w="3264" w:type="dxa"/>
          </w:tcPr>
          <w:p w:rsidR="00940266" w:rsidRPr="00AB1900" w:rsidRDefault="00940266" w:rsidP="007D2507">
            <w:pPr>
              <w:keepNext/>
              <w:keepLines/>
              <w:outlineLvl w:val="0"/>
              <w:rPr>
                <w:b/>
                <w:sz w:val="22"/>
                <w:szCs w:val="22"/>
              </w:rPr>
            </w:pPr>
            <w:r w:rsidRPr="00AB1900">
              <w:rPr>
                <w:b/>
                <w:sz w:val="22"/>
                <w:szCs w:val="22"/>
              </w:rPr>
              <w:t>Petitioner</w:t>
            </w:r>
          </w:p>
        </w:tc>
        <w:tc>
          <w:tcPr>
            <w:tcW w:w="1142" w:type="dxa"/>
          </w:tcPr>
          <w:p w:rsidR="00940266" w:rsidRPr="00AB1900" w:rsidRDefault="00940266" w:rsidP="007D2507">
            <w:pPr>
              <w:keepNext/>
              <w:keepLines/>
              <w:outlineLvl w:val="0"/>
              <w:rPr>
                <w:b/>
                <w:sz w:val="22"/>
                <w:szCs w:val="22"/>
              </w:rPr>
            </w:pPr>
            <w:r w:rsidRPr="00AB1900">
              <w:rPr>
                <w:b/>
                <w:sz w:val="22"/>
                <w:szCs w:val="22"/>
              </w:rPr>
              <w:t>Funding Years</w:t>
            </w:r>
          </w:p>
        </w:tc>
        <w:tc>
          <w:tcPr>
            <w:tcW w:w="1637" w:type="dxa"/>
          </w:tcPr>
          <w:p w:rsidR="00940266" w:rsidRPr="00AB1900" w:rsidRDefault="00940266" w:rsidP="007D2507">
            <w:pPr>
              <w:keepNext/>
              <w:keepLines/>
              <w:outlineLvl w:val="0"/>
              <w:rPr>
                <w:b/>
                <w:sz w:val="22"/>
                <w:szCs w:val="22"/>
              </w:rPr>
            </w:pPr>
            <w:r w:rsidRPr="00AB1900">
              <w:rPr>
                <w:b/>
                <w:sz w:val="22"/>
                <w:szCs w:val="22"/>
              </w:rPr>
              <w:t>Application Numbers</w:t>
            </w:r>
          </w:p>
        </w:tc>
        <w:tc>
          <w:tcPr>
            <w:tcW w:w="1748" w:type="dxa"/>
          </w:tcPr>
          <w:p w:rsidR="00940266" w:rsidRPr="00AB1900" w:rsidRDefault="00940266" w:rsidP="007D2507">
            <w:pPr>
              <w:keepNext/>
              <w:keepLines/>
              <w:outlineLvl w:val="0"/>
              <w:rPr>
                <w:b/>
                <w:sz w:val="22"/>
                <w:szCs w:val="22"/>
              </w:rPr>
            </w:pPr>
            <w:r w:rsidRPr="00AB1900">
              <w:rPr>
                <w:b/>
                <w:sz w:val="22"/>
                <w:szCs w:val="22"/>
              </w:rPr>
              <w:t>Funding Request Numbers</w:t>
            </w:r>
          </w:p>
        </w:tc>
        <w:tc>
          <w:tcPr>
            <w:tcW w:w="2572" w:type="dxa"/>
          </w:tcPr>
          <w:p w:rsidR="00940266" w:rsidRPr="00AB1900" w:rsidRDefault="00940266" w:rsidP="007D2507">
            <w:pPr>
              <w:keepNext/>
              <w:keepLines/>
              <w:outlineLvl w:val="0"/>
              <w:rPr>
                <w:b/>
                <w:sz w:val="22"/>
                <w:szCs w:val="22"/>
              </w:rPr>
            </w:pPr>
            <w:r w:rsidRPr="00AB1900">
              <w:rPr>
                <w:b/>
                <w:sz w:val="22"/>
                <w:szCs w:val="22"/>
              </w:rPr>
              <w:t>Date of Appeal</w:t>
            </w:r>
          </w:p>
        </w:tc>
      </w:tr>
      <w:tr w:rsidR="00940266" w:rsidRPr="00AB1900" w:rsidTr="00E84B22">
        <w:trPr>
          <w:trHeight w:val="917"/>
          <w:jc w:val="center"/>
        </w:trPr>
        <w:tc>
          <w:tcPr>
            <w:tcW w:w="3264" w:type="dxa"/>
          </w:tcPr>
          <w:p w:rsidR="00940266" w:rsidRDefault="00940266" w:rsidP="007D2507">
            <w:pPr>
              <w:keepNext/>
              <w:keepLines/>
              <w:outlineLvl w:val="0"/>
              <w:rPr>
                <w:sz w:val="22"/>
                <w:szCs w:val="22"/>
              </w:rPr>
            </w:pPr>
            <w:r>
              <w:rPr>
                <w:sz w:val="22"/>
                <w:szCs w:val="22"/>
              </w:rPr>
              <w:t>Springfield Public Schools</w:t>
            </w:r>
          </w:p>
          <w:p w:rsidR="00DA4F7F" w:rsidRDefault="00DA4F7F" w:rsidP="007D2507">
            <w:pPr>
              <w:keepNext/>
              <w:keepLines/>
              <w:outlineLvl w:val="0"/>
              <w:rPr>
                <w:sz w:val="22"/>
                <w:szCs w:val="22"/>
              </w:rPr>
            </w:pPr>
            <w:r>
              <w:rPr>
                <w:sz w:val="22"/>
                <w:szCs w:val="22"/>
              </w:rPr>
              <w:t>Springfield, MA</w:t>
            </w:r>
          </w:p>
          <w:p w:rsidR="00940266" w:rsidRPr="00846299" w:rsidRDefault="00940266" w:rsidP="007D2507">
            <w:pPr>
              <w:keepNext/>
              <w:keepLines/>
              <w:outlineLvl w:val="0"/>
              <w:rPr>
                <w:b/>
                <w:sz w:val="22"/>
                <w:szCs w:val="22"/>
              </w:rPr>
            </w:pPr>
          </w:p>
        </w:tc>
        <w:tc>
          <w:tcPr>
            <w:tcW w:w="1142" w:type="dxa"/>
          </w:tcPr>
          <w:p w:rsidR="00940266" w:rsidRDefault="0088206A" w:rsidP="007D2507">
            <w:pPr>
              <w:keepNext/>
              <w:keepLines/>
              <w:outlineLvl w:val="0"/>
              <w:rPr>
                <w:sz w:val="22"/>
                <w:szCs w:val="22"/>
              </w:rPr>
            </w:pPr>
            <w:r>
              <w:rPr>
                <w:sz w:val="22"/>
                <w:szCs w:val="22"/>
              </w:rPr>
              <w:t>2004</w:t>
            </w:r>
          </w:p>
          <w:p w:rsidR="0088206A" w:rsidRDefault="0088206A" w:rsidP="007D2507">
            <w:pPr>
              <w:keepNext/>
              <w:keepLines/>
              <w:outlineLvl w:val="0"/>
              <w:rPr>
                <w:sz w:val="22"/>
                <w:szCs w:val="22"/>
              </w:rPr>
            </w:pPr>
            <w:r>
              <w:rPr>
                <w:sz w:val="22"/>
                <w:szCs w:val="22"/>
              </w:rPr>
              <w:t>2005</w:t>
            </w:r>
          </w:p>
          <w:p w:rsidR="0088206A" w:rsidRDefault="0088206A" w:rsidP="007D2507">
            <w:pPr>
              <w:keepNext/>
              <w:keepLines/>
              <w:outlineLvl w:val="0"/>
              <w:rPr>
                <w:sz w:val="22"/>
                <w:szCs w:val="22"/>
              </w:rPr>
            </w:pPr>
            <w:r>
              <w:rPr>
                <w:sz w:val="22"/>
                <w:szCs w:val="22"/>
              </w:rPr>
              <w:t>2006</w:t>
            </w:r>
          </w:p>
          <w:p w:rsidR="0088206A" w:rsidRPr="00AB1900" w:rsidRDefault="0088206A" w:rsidP="007D2507">
            <w:pPr>
              <w:keepNext/>
              <w:keepLines/>
              <w:outlineLvl w:val="0"/>
              <w:rPr>
                <w:sz w:val="22"/>
                <w:szCs w:val="22"/>
              </w:rPr>
            </w:pPr>
            <w:r>
              <w:rPr>
                <w:sz w:val="22"/>
                <w:szCs w:val="22"/>
              </w:rPr>
              <w:t>2007</w:t>
            </w:r>
          </w:p>
        </w:tc>
        <w:tc>
          <w:tcPr>
            <w:tcW w:w="1637" w:type="dxa"/>
          </w:tcPr>
          <w:p w:rsidR="00940266" w:rsidRDefault="0088206A" w:rsidP="007D2507">
            <w:pPr>
              <w:keepNext/>
              <w:keepLines/>
              <w:outlineLvl w:val="0"/>
              <w:rPr>
                <w:sz w:val="22"/>
                <w:szCs w:val="22"/>
              </w:rPr>
            </w:pPr>
            <w:r>
              <w:rPr>
                <w:sz w:val="22"/>
                <w:szCs w:val="22"/>
              </w:rPr>
              <w:t>433768</w:t>
            </w:r>
          </w:p>
          <w:p w:rsidR="0088206A" w:rsidRDefault="0088206A" w:rsidP="007D2507">
            <w:pPr>
              <w:keepNext/>
              <w:keepLines/>
              <w:outlineLvl w:val="0"/>
              <w:rPr>
                <w:sz w:val="22"/>
                <w:szCs w:val="22"/>
              </w:rPr>
            </w:pPr>
            <w:r>
              <w:rPr>
                <w:sz w:val="22"/>
                <w:szCs w:val="22"/>
              </w:rPr>
              <w:t>487623</w:t>
            </w:r>
          </w:p>
          <w:p w:rsidR="0088206A" w:rsidRDefault="0088206A" w:rsidP="007D2507">
            <w:pPr>
              <w:keepNext/>
              <w:keepLines/>
              <w:outlineLvl w:val="0"/>
              <w:rPr>
                <w:sz w:val="22"/>
                <w:szCs w:val="22"/>
              </w:rPr>
            </w:pPr>
            <w:r>
              <w:rPr>
                <w:sz w:val="22"/>
                <w:szCs w:val="22"/>
              </w:rPr>
              <w:t>538332</w:t>
            </w:r>
          </w:p>
          <w:p w:rsidR="0088206A" w:rsidRPr="00AB1900" w:rsidRDefault="0088206A" w:rsidP="007D2507">
            <w:pPr>
              <w:keepNext/>
              <w:keepLines/>
              <w:outlineLvl w:val="0"/>
              <w:rPr>
                <w:sz w:val="22"/>
                <w:szCs w:val="22"/>
              </w:rPr>
            </w:pPr>
            <w:r>
              <w:rPr>
                <w:sz w:val="22"/>
                <w:szCs w:val="22"/>
              </w:rPr>
              <w:t>577110</w:t>
            </w:r>
            <w:r w:rsidR="00D50AA4">
              <w:rPr>
                <w:sz w:val="22"/>
                <w:szCs w:val="22"/>
              </w:rPr>
              <w:t>*</w:t>
            </w:r>
          </w:p>
        </w:tc>
        <w:tc>
          <w:tcPr>
            <w:tcW w:w="1748" w:type="dxa"/>
          </w:tcPr>
          <w:p w:rsidR="00940266" w:rsidRDefault="00DA4F7F" w:rsidP="007D2507">
            <w:pPr>
              <w:keepNext/>
              <w:keepLines/>
              <w:outlineLvl w:val="0"/>
              <w:rPr>
                <w:sz w:val="22"/>
                <w:szCs w:val="22"/>
              </w:rPr>
            </w:pPr>
            <w:r>
              <w:rPr>
                <w:sz w:val="22"/>
                <w:szCs w:val="22"/>
              </w:rPr>
              <w:t>1207981</w:t>
            </w:r>
          </w:p>
          <w:p w:rsidR="00DA4F7F" w:rsidRDefault="00DA4F7F" w:rsidP="007D2507">
            <w:pPr>
              <w:keepNext/>
              <w:keepLines/>
              <w:outlineLvl w:val="0"/>
              <w:rPr>
                <w:sz w:val="22"/>
                <w:szCs w:val="22"/>
              </w:rPr>
            </w:pPr>
            <w:r>
              <w:rPr>
                <w:sz w:val="22"/>
                <w:szCs w:val="22"/>
              </w:rPr>
              <w:t>1352672</w:t>
            </w:r>
          </w:p>
          <w:p w:rsidR="00DA4F7F" w:rsidRDefault="00DA4F7F" w:rsidP="007D2507">
            <w:pPr>
              <w:keepNext/>
              <w:keepLines/>
              <w:outlineLvl w:val="0"/>
              <w:rPr>
                <w:sz w:val="22"/>
                <w:szCs w:val="22"/>
              </w:rPr>
            </w:pPr>
            <w:r>
              <w:rPr>
                <w:sz w:val="22"/>
                <w:szCs w:val="22"/>
              </w:rPr>
              <w:t>1490940</w:t>
            </w:r>
          </w:p>
          <w:p w:rsidR="00DA4F7F" w:rsidRPr="00AB1900" w:rsidRDefault="00DA4F7F" w:rsidP="007D2507">
            <w:pPr>
              <w:keepNext/>
              <w:keepLines/>
              <w:outlineLvl w:val="0"/>
              <w:rPr>
                <w:sz w:val="22"/>
                <w:szCs w:val="22"/>
              </w:rPr>
            </w:pPr>
            <w:r>
              <w:rPr>
                <w:sz w:val="22"/>
                <w:szCs w:val="22"/>
              </w:rPr>
              <w:t>1595241</w:t>
            </w:r>
          </w:p>
        </w:tc>
        <w:tc>
          <w:tcPr>
            <w:tcW w:w="2572" w:type="dxa"/>
          </w:tcPr>
          <w:p w:rsidR="00940266" w:rsidRDefault="001E6A69" w:rsidP="007D2507">
            <w:pPr>
              <w:keepNext/>
              <w:keepLines/>
              <w:outlineLvl w:val="0"/>
              <w:rPr>
                <w:sz w:val="22"/>
                <w:szCs w:val="22"/>
              </w:rPr>
            </w:pPr>
            <w:r>
              <w:rPr>
                <w:sz w:val="22"/>
                <w:szCs w:val="22"/>
              </w:rPr>
              <w:t>June 25, 2010</w:t>
            </w:r>
          </w:p>
          <w:p w:rsidR="001E6A69" w:rsidRDefault="001E6A69" w:rsidP="007D2507">
            <w:pPr>
              <w:keepNext/>
              <w:keepLines/>
              <w:outlineLvl w:val="0"/>
              <w:rPr>
                <w:sz w:val="22"/>
                <w:szCs w:val="22"/>
              </w:rPr>
            </w:pPr>
            <w:r>
              <w:rPr>
                <w:sz w:val="22"/>
                <w:szCs w:val="22"/>
              </w:rPr>
              <w:t>June 25, 2010</w:t>
            </w:r>
          </w:p>
          <w:p w:rsidR="001E6A69" w:rsidRDefault="001E6A69" w:rsidP="007D2507">
            <w:pPr>
              <w:keepNext/>
              <w:keepLines/>
              <w:outlineLvl w:val="0"/>
              <w:rPr>
                <w:sz w:val="22"/>
                <w:szCs w:val="22"/>
              </w:rPr>
            </w:pPr>
            <w:r>
              <w:rPr>
                <w:sz w:val="22"/>
                <w:szCs w:val="22"/>
              </w:rPr>
              <w:t>June 25, 2010</w:t>
            </w:r>
          </w:p>
          <w:p w:rsidR="001E6A69" w:rsidRPr="00AB1900" w:rsidRDefault="001E6A69" w:rsidP="007D2507">
            <w:pPr>
              <w:keepNext/>
              <w:keepLines/>
              <w:outlineLvl w:val="0"/>
              <w:rPr>
                <w:sz w:val="22"/>
                <w:szCs w:val="22"/>
              </w:rPr>
            </w:pPr>
            <w:r>
              <w:rPr>
                <w:sz w:val="22"/>
                <w:szCs w:val="22"/>
              </w:rPr>
              <w:t>June 25, 2010</w:t>
            </w:r>
          </w:p>
        </w:tc>
      </w:tr>
      <w:tr w:rsidR="00940266" w:rsidRPr="00AB1900" w:rsidTr="00E84B22">
        <w:trPr>
          <w:trHeight w:val="931"/>
          <w:jc w:val="center"/>
        </w:trPr>
        <w:tc>
          <w:tcPr>
            <w:tcW w:w="3264" w:type="dxa"/>
            <w:tcBorders>
              <w:top w:val="single" w:sz="4" w:space="0" w:color="auto"/>
              <w:left w:val="single" w:sz="4" w:space="0" w:color="auto"/>
              <w:bottom w:val="single" w:sz="4" w:space="0" w:color="auto"/>
              <w:right w:val="single" w:sz="4" w:space="0" w:color="auto"/>
            </w:tcBorders>
          </w:tcPr>
          <w:p w:rsidR="00940266" w:rsidRDefault="00940266" w:rsidP="007D2507">
            <w:pPr>
              <w:keepNext/>
              <w:keepLines/>
              <w:outlineLvl w:val="0"/>
              <w:rPr>
                <w:sz w:val="22"/>
                <w:szCs w:val="22"/>
              </w:rPr>
            </w:pPr>
            <w:r>
              <w:rPr>
                <w:sz w:val="22"/>
                <w:szCs w:val="22"/>
              </w:rPr>
              <w:t>Achieve Telecom Network of MA</w:t>
            </w:r>
          </w:p>
          <w:p w:rsidR="00940266" w:rsidRDefault="00DA4F7F" w:rsidP="007D2507">
            <w:pPr>
              <w:keepNext/>
              <w:keepLines/>
              <w:outlineLvl w:val="0"/>
              <w:rPr>
                <w:sz w:val="22"/>
                <w:szCs w:val="22"/>
              </w:rPr>
            </w:pPr>
            <w:r>
              <w:rPr>
                <w:sz w:val="22"/>
                <w:szCs w:val="22"/>
              </w:rPr>
              <w:t>Canton, MA</w:t>
            </w:r>
          </w:p>
          <w:p w:rsidR="00940266" w:rsidRDefault="00940266" w:rsidP="007D2507">
            <w:pPr>
              <w:keepNext/>
              <w:keepLines/>
              <w:outlineLvl w:val="0"/>
              <w:rPr>
                <w:sz w:val="22"/>
                <w:szCs w:val="22"/>
              </w:rPr>
            </w:pPr>
          </w:p>
          <w:p w:rsidR="00D50AA4" w:rsidRPr="004A4C0D" w:rsidRDefault="00550223" w:rsidP="00550223">
            <w:pPr>
              <w:keepNext/>
              <w:keepLines/>
              <w:outlineLvl w:val="0"/>
              <w:rPr>
                <w:b/>
                <w:sz w:val="22"/>
                <w:szCs w:val="22"/>
              </w:rPr>
            </w:pPr>
            <w:r>
              <w:rPr>
                <w:b/>
                <w:sz w:val="22"/>
                <w:szCs w:val="22"/>
              </w:rPr>
              <w:t>*</w:t>
            </w:r>
            <w:r w:rsidR="00D868EB" w:rsidRPr="004A4C0D">
              <w:rPr>
                <w:b/>
                <w:sz w:val="22"/>
                <w:szCs w:val="22"/>
              </w:rPr>
              <w:t xml:space="preserve">FCDL </w:t>
            </w:r>
            <w:r>
              <w:rPr>
                <w:b/>
                <w:sz w:val="22"/>
                <w:szCs w:val="22"/>
              </w:rPr>
              <w:t>denial</w:t>
            </w:r>
            <w:r w:rsidR="00D868EB" w:rsidRPr="004A4C0D">
              <w:rPr>
                <w:b/>
                <w:sz w:val="22"/>
                <w:szCs w:val="22"/>
              </w:rPr>
              <w:t>.</w:t>
            </w:r>
          </w:p>
        </w:tc>
        <w:tc>
          <w:tcPr>
            <w:tcW w:w="1142" w:type="dxa"/>
            <w:tcBorders>
              <w:top w:val="single" w:sz="4" w:space="0" w:color="auto"/>
              <w:left w:val="single" w:sz="4" w:space="0" w:color="auto"/>
              <w:bottom w:val="single" w:sz="4" w:space="0" w:color="auto"/>
              <w:right w:val="single" w:sz="4" w:space="0" w:color="auto"/>
            </w:tcBorders>
          </w:tcPr>
          <w:p w:rsidR="0088206A" w:rsidRDefault="0088206A" w:rsidP="0088206A">
            <w:pPr>
              <w:keepNext/>
              <w:keepLines/>
              <w:outlineLvl w:val="0"/>
              <w:rPr>
                <w:sz w:val="22"/>
                <w:szCs w:val="22"/>
              </w:rPr>
            </w:pPr>
            <w:r>
              <w:rPr>
                <w:sz w:val="22"/>
                <w:szCs w:val="22"/>
              </w:rPr>
              <w:t>2004</w:t>
            </w:r>
          </w:p>
          <w:p w:rsidR="0088206A" w:rsidRDefault="0088206A" w:rsidP="0088206A">
            <w:pPr>
              <w:keepNext/>
              <w:keepLines/>
              <w:outlineLvl w:val="0"/>
              <w:rPr>
                <w:sz w:val="22"/>
                <w:szCs w:val="22"/>
              </w:rPr>
            </w:pPr>
            <w:r>
              <w:rPr>
                <w:sz w:val="22"/>
                <w:szCs w:val="22"/>
              </w:rPr>
              <w:t>2005</w:t>
            </w:r>
          </w:p>
          <w:p w:rsidR="0088206A" w:rsidRDefault="0088206A" w:rsidP="0088206A">
            <w:pPr>
              <w:keepNext/>
              <w:keepLines/>
              <w:outlineLvl w:val="0"/>
              <w:rPr>
                <w:sz w:val="22"/>
                <w:szCs w:val="22"/>
              </w:rPr>
            </w:pPr>
            <w:r>
              <w:rPr>
                <w:sz w:val="22"/>
                <w:szCs w:val="22"/>
              </w:rPr>
              <w:t>2006</w:t>
            </w:r>
          </w:p>
          <w:p w:rsidR="00940266" w:rsidRPr="00AB1900" w:rsidRDefault="0088206A" w:rsidP="0088206A">
            <w:pPr>
              <w:keepNext/>
              <w:keepLines/>
              <w:outlineLvl w:val="0"/>
              <w:rPr>
                <w:sz w:val="22"/>
                <w:szCs w:val="22"/>
              </w:rPr>
            </w:pPr>
            <w:r>
              <w:rPr>
                <w:sz w:val="22"/>
                <w:szCs w:val="22"/>
              </w:rPr>
              <w:t>2007</w:t>
            </w:r>
          </w:p>
        </w:tc>
        <w:tc>
          <w:tcPr>
            <w:tcW w:w="1637" w:type="dxa"/>
            <w:tcBorders>
              <w:top w:val="single" w:sz="4" w:space="0" w:color="auto"/>
              <w:left w:val="single" w:sz="4" w:space="0" w:color="auto"/>
              <w:bottom w:val="single" w:sz="4" w:space="0" w:color="auto"/>
              <w:right w:val="single" w:sz="4" w:space="0" w:color="auto"/>
            </w:tcBorders>
          </w:tcPr>
          <w:p w:rsidR="0088206A" w:rsidRDefault="0088206A" w:rsidP="0088206A">
            <w:pPr>
              <w:keepNext/>
              <w:keepLines/>
              <w:outlineLvl w:val="0"/>
              <w:rPr>
                <w:sz w:val="22"/>
                <w:szCs w:val="22"/>
              </w:rPr>
            </w:pPr>
            <w:r>
              <w:rPr>
                <w:sz w:val="22"/>
                <w:szCs w:val="22"/>
              </w:rPr>
              <w:t>433768</w:t>
            </w:r>
          </w:p>
          <w:p w:rsidR="0088206A" w:rsidRDefault="0088206A" w:rsidP="0088206A">
            <w:pPr>
              <w:keepNext/>
              <w:keepLines/>
              <w:outlineLvl w:val="0"/>
              <w:rPr>
                <w:sz w:val="22"/>
                <w:szCs w:val="22"/>
              </w:rPr>
            </w:pPr>
            <w:r>
              <w:rPr>
                <w:sz w:val="22"/>
                <w:szCs w:val="22"/>
              </w:rPr>
              <w:t>487623</w:t>
            </w:r>
          </w:p>
          <w:p w:rsidR="0088206A" w:rsidRDefault="0088206A" w:rsidP="0088206A">
            <w:pPr>
              <w:keepNext/>
              <w:keepLines/>
              <w:outlineLvl w:val="0"/>
              <w:rPr>
                <w:sz w:val="22"/>
                <w:szCs w:val="22"/>
              </w:rPr>
            </w:pPr>
            <w:r>
              <w:rPr>
                <w:sz w:val="22"/>
                <w:szCs w:val="22"/>
              </w:rPr>
              <w:t>538332</w:t>
            </w:r>
          </w:p>
          <w:p w:rsidR="00940266" w:rsidRPr="00AB1900" w:rsidRDefault="0088206A" w:rsidP="0088206A">
            <w:pPr>
              <w:keepNext/>
              <w:keepLines/>
              <w:outlineLvl w:val="0"/>
              <w:rPr>
                <w:sz w:val="22"/>
                <w:szCs w:val="22"/>
              </w:rPr>
            </w:pPr>
            <w:r>
              <w:rPr>
                <w:sz w:val="22"/>
                <w:szCs w:val="22"/>
              </w:rPr>
              <w:t>577110</w:t>
            </w:r>
            <w:r w:rsidR="00D50AA4">
              <w:rPr>
                <w:sz w:val="22"/>
                <w:szCs w:val="22"/>
              </w:rPr>
              <w:t>*</w:t>
            </w:r>
          </w:p>
        </w:tc>
        <w:tc>
          <w:tcPr>
            <w:tcW w:w="1748" w:type="dxa"/>
            <w:tcBorders>
              <w:top w:val="single" w:sz="4" w:space="0" w:color="auto"/>
              <w:left w:val="single" w:sz="4" w:space="0" w:color="auto"/>
              <w:bottom w:val="single" w:sz="4" w:space="0" w:color="auto"/>
              <w:right w:val="single" w:sz="4" w:space="0" w:color="auto"/>
            </w:tcBorders>
          </w:tcPr>
          <w:p w:rsidR="00DA4F7F" w:rsidRDefault="00DA4F7F" w:rsidP="00DA4F7F">
            <w:pPr>
              <w:keepNext/>
              <w:keepLines/>
              <w:outlineLvl w:val="0"/>
              <w:rPr>
                <w:sz w:val="22"/>
                <w:szCs w:val="22"/>
              </w:rPr>
            </w:pPr>
            <w:r>
              <w:rPr>
                <w:sz w:val="22"/>
                <w:szCs w:val="22"/>
              </w:rPr>
              <w:t>1207981</w:t>
            </w:r>
          </w:p>
          <w:p w:rsidR="00DA4F7F" w:rsidRDefault="00DA4F7F" w:rsidP="00DA4F7F">
            <w:pPr>
              <w:keepNext/>
              <w:keepLines/>
              <w:outlineLvl w:val="0"/>
              <w:rPr>
                <w:sz w:val="22"/>
                <w:szCs w:val="22"/>
              </w:rPr>
            </w:pPr>
            <w:r>
              <w:rPr>
                <w:sz w:val="22"/>
                <w:szCs w:val="22"/>
              </w:rPr>
              <w:t>1352672</w:t>
            </w:r>
          </w:p>
          <w:p w:rsidR="00DA4F7F" w:rsidRDefault="00DA4F7F" w:rsidP="00DA4F7F">
            <w:pPr>
              <w:keepNext/>
              <w:keepLines/>
              <w:outlineLvl w:val="0"/>
              <w:rPr>
                <w:sz w:val="22"/>
                <w:szCs w:val="22"/>
              </w:rPr>
            </w:pPr>
            <w:r>
              <w:rPr>
                <w:sz w:val="22"/>
                <w:szCs w:val="22"/>
              </w:rPr>
              <w:t>1490940</w:t>
            </w:r>
          </w:p>
          <w:p w:rsidR="00940266" w:rsidRPr="00AB1900" w:rsidRDefault="00DA4F7F" w:rsidP="00DA4F7F">
            <w:pPr>
              <w:keepNext/>
              <w:keepLines/>
              <w:outlineLvl w:val="0"/>
              <w:rPr>
                <w:sz w:val="22"/>
                <w:szCs w:val="22"/>
              </w:rPr>
            </w:pPr>
            <w:r>
              <w:rPr>
                <w:sz w:val="22"/>
                <w:szCs w:val="22"/>
              </w:rPr>
              <w:t>1595241</w:t>
            </w:r>
          </w:p>
        </w:tc>
        <w:tc>
          <w:tcPr>
            <w:tcW w:w="2572" w:type="dxa"/>
            <w:tcBorders>
              <w:top w:val="single" w:sz="4" w:space="0" w:color="auto"/>
              <w:left w:val="single" w:sz="4" w:space="0" w:color="auto"/>
              <w:bottom w:val="single" w:sz="4" w:space="0" w:color="auto"/>
              <w:right w:val="single" w:sz="4" w:space="0" w:color="auto"/>
            </w:tcBorders>
          </w:tcPr>
          <w:p w:rsidR="00940266" w:rsidRDefault="00DA4F7F" w:rsidP="007D2507">
            <w:pPr>
              <w:keepNext/>
              <w:keepLines/>
              <w:outlineLvl w:val="0"/>
              <w:rPr>
                <w:sz w:val="22"/>
                <w:szCs w:val="22"/>
              </w:rPr>
            </w:pPr>
            <w:r>
              <w:rPr>
                <w:sz w:val="22"/>
                <w:szCs w:val="22"/>
              </w:rPr>
              <w:t>June 28, 2010</w:t>
            </w:r>
          </w:p>
          <w:p w:rsidR="00DA4F7F" w:rsidRDefault="00DA4F7F" w:rsidP="007D2507">
            <w:pPr>
              <w:keepNext/>
              <w:keepLines/>
              <w:outlineLvl w:val="0"/>
              <w:rPr>
                <w:sz w:val="22"/>
                <w:szCs w:val="22"/>
              </w:rPr>
            </w:pPr>
            <w:r>
              <w:rPr>
                <w:sz w:val="22"/>
                <w:szCs w:val="22"/>
              </w:rPr>
              <w:t>June 28, 2010</w:t>
            </w:r>
          </w:p>
          <w:p w:rsidR="00DA4F7F" w:rsidRDefault="00DA4F7F" w:rsidP="007D2507">
            <w:pPr>
              <w:keepNext/>
              <w:keepLines/>
              <w:outlineLvl w:val="0"/>
              <w:rPr>
                <w:sz w:val="22"/>
                <w:szCs w:val="22"/>
              </w:rPr>
            </w:pPr>
            <w:r>
              <w:rPr>
                <w:sz w:val="22"/>
                <w:szCs w:val="22"/>
              </w:rPr>
              <w:t>June 28, 2010</w:t>
            </w:r>
          </w:p>
          <w:p w:rsidR="00DA4F7F" w:rsidRPr="00AB1900" w:rsidRDefault="00DA4F7F" w:rsidP="007D2507">
            <w:pPr>
              <w:keepNext/>
              <w:keepLines/>
              <w:outlineLvl w:val="0"/>
              <w:rPr>
                <w:sz w:val="22"/>
                <w:szCs w:val="22"/>
              </w:rPr>
            </w:pPr>
            <w:r>
              <w:rPr>
                <w:sz w:val="22"/>
                <w:szCs w:val="22"/>
              </w:rPr>
              <w:t>June 28, 2010</w:t>
            </w:r>
          </w:p>
        </w:tc>
      </w:tr>
    </w:tbl>
    <w:p w:rsidR="00940266" w:rsidRDefault="00940266" w:rsidP="00940266">
      <w:pPr>
        <w:keepNext/>
        <w:keepLines/>
        <w:jc w:val="center"/>
        <w:outlineLvl w:val="0"/>
        <w:rPr>
          <w:b/>
          <w:sz w:val="22"/>
          <w:szCs w:val="22"/>
        </w:rPr>
      </w:pPr>
    </w:p>
    <w:p w:rsidR="00940266" w:rsidRPr="005B5644" w:rsidRDefault="003C602F" w:rsidP="00747573">
      <w:pPr>
        <w:keepNext/>
        <w:keepLines/>
        <w:ind w:left="2880" w:firstLine="720"/>
        <w:outlineLvl w:val="0"/>
        <w:rPr>
          <w:b/>
          <w:sz w:val="22"/>
          <w:szCs w:val="22"/>
        </w:rPr>
      </w:pPr>
      <w:r w:rsidRPr="005B5644">
        <w:rPr>
          <w:b/>
          <w:sz w:val="22"/>
          <w:szCs w:val="22"/>
        </w:rPr>
        <w:t>APPENDIX E</w:t>
      </w:r>
    </w:p>
    <w:p w:rsidR="003C602F" w:rsidRDefault="003C602F" w:rsidP="00747573">
      <w:pPr>
        <w:keepNext/>
        <w:keepLines/>
        <w:ind w:left="2880" w:firstLine="720"/>
        <w:outlineLvl w:val="0"/>
        <w:rPr>
          <w:sz w:val="22"/>
          <w:szCs w:val="22"/>
        </w:rPr>
      </w:pPr>
    </w:p>
    <w:p w:rsidR="003C602F" w:rsidRDefault="003C602F" w:rsidP="005B5644">
      <w:pPr>
        <w:keepNext/>
        <w:keepLines/>
        <w:jc w:val="center"/>
        <w:outlineLvl w:val="0"/>
        <w:rPr>
          <w:sz w:val="22"/>
          <w:szCs w:val="22"/>
          <w:u w:val="single"/>
        </w:rPr>
      </w:pPr>
      <w:r>
        <w:rPr>
          <w:sz w:val="22"/>
          <w:szCs w:val="22"/>
          <w:u w:val="single"/>
        </w:rPr>
        <w:t>Petitioners Filing Responses to Documentation Provided in August and November 2014</w:t>
      </w:r>
    </w:p>
    <w:p w:rsidR="003C602F" w:rsidRDefault="003C602F" w:rsidP="005B5644">
      <w:pPr>
        <w:keepNext/>
        <w:keepLines/>
        <w:jc w:val="center"/>
        <w:outlineLvl w:val="0"/>
        <w:rPr>
          <w:sz w:val="22"/>
          <w:szCs w:val="22"/>
          <w:u w:val="single"/>
        </w:rPr>
      </w:pPr>
    </w:p>
    <w:tbl>
      <w:tblPr>
        <w:tblW w:w="0" w:type="auto"/>
        <w:jc w:val="center"/>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4950"/>
      </w:tblGrid>
      <w:tr w:rsidR="003C602F" w:rsidRPr="001B1665" w:rsidTr="00E84B22">
        <w:trPr>
          <w:jc w:val="center"/>
        </w:trPr>
        <w:tc>
          <w:tcPr>
            <w:tcW w:w="5400" w:type="dxa"/>
            <w:shd w:val="clear" w:color="auto" w:fill="auto"/>
          </w:tcPr>
          <w:p w:rsidR="003C602F" w:rsidRPr="005A1245" w:rsidRDefault="003C602F" w:rsidP="001B1665">
            <w:pPr>
              <w:keepNext/>
              <w:keepLines/>
              <w:outlineLvl w:val="0"/>
              <w:rPr>
                <w:b/>
                <w:sz w:val="22"/>
                <w:szCs w:val="22"/>
                <w:u w:val="single"/>
              </w:rPr>
            </w:pPr>
            <w:r w:rsidRPr="005A1245">
              <w:rPr>
                <w:b/>
                <w:sz w:val="22"/>
                <w:szCs w:val="22"/>
                <w:u w:val="single"/>
              </w:rPr>
              <w:t>Petitioner</w:t>
            </w:r>
          </w:p>
        </w:tc>
        <w:tc>
          <w:tcPr>
            <w:tcW w:w="4950" w:type="dxa"/>
            <w:shd w:val="clear" w:color="auto" w:fill="auto"/>
          </w:tcPr>
          <w:p w:rsidR="003C602F" w:rsidRPr="002B4B50" w:rsidRDefault="003C602F" w:rsidP="001B1665">
            <w:pPr>
              <w:keepNext/>
              <w:keepLines/>
              <w:outlineLvl w:val="0"/>
              <w:rPr>
                <w:b/>
                <w:sz w:val="22"/>
                <w:szCs w:val="22"/>
                <w:u w:val="single"/>
              </w:rPr>
            </w:pPr>
            <w:r w:rsidRPr="002B4B50">
              <w:rPr>
                <w:b/>
                <w:sz w:val="22"/>
                <w:szCs w:val="22"/>
                <w:u w:val="single"/>
              </w:rPr>
              <w:t>Date of Response</w:t>
            </w:r>
          </w:p>
        </w:tc>
      </w:tr>
      <w:tr w:rsidR="00427388" w:rsidRPr="001B1665" w:rsidTr="00E84B22">
        <w:trPr>
          <w:jc w:val="center"/>
        </w:trPr>
        <w:tc>
          <w:tcPr>
            <w:tcW w:w="5400" w:type="dxa"/>
            <w:shd w:val="clear" w:color="auto" w:fill="auto"/>
          </w:tcPr>
          <w:p w:rsidR="00427388" w:rsidRDefault="00427388" w:rsidP="001B1665">
            <w:pPr>
              <w:keepNext/>
              <w:keepLines/>
              <w:outlineLvl w:val="0"/>
              <w:rPr>
                <w:sz w:val="22"/>
                <w:szCs w:val="22"/>
                <w:u w:val="single"/>
              </w:rPr>
            </w:pPr>
            <w:r>
              <w:rPr>
                <w:sz w:val="22"/>
                <w:szCs w:val="22"/>
                <w:u w:val="single"/>
              </w:rPr>
              <w:t>Achieve Telecom Network of MA</w:t>
            </w:r>
          </w:p>
          <w:p w:rsidR="00427388" w:rsidRPr="001B1665" w:rsidRDefault="00427388" w:rsidP="001B1665">
            <w:pPr>
              <w:keepNext/>
              <w:keepLines/>
              <w:outlineLvl w:val="0"/>
              <w:rPr>
                <w:sz w:val="22"/>
                <w:szCs w:val="22"/>
                <w:u w:val="single"/>
              </w:rPr>
            </w:pPr>
            <w:r>
              <w:rPr>
                <w:sz w:val="22"/>
                <w:szCs w:val="22"/>
                <w:u w:val="single"/>
              </w:rPr>
              <w:t>Canton, MA</w:t>
            </w:r>
          </w:p>
        </w:tc>
        <w:tc>
          <w:tcPr>
            <w:tcW w:w="4950" w:type="dxa"/>
            <w:shd w:val="clear" w:color="auto" w:fill="auto"/>
          </w:tcPr>
          <w:p w:rsidR="00427388" w:rsidRPr="001B1665" w:rsidRDefault="00777FF8" w:rsidP="001B1665">
            <w:pPr>
              <w:keepNext/>
              <w:keepLines/>
              <w:outlineLvl w:val="0"/>
              <w:rPr>
                <w:sz w:val="22"/>
                <w:szCs w:val="22"/>
                <w:u w:val="single"/>
              </w:rPr>
            </w:pPr>
            <w:r>
              <w:rPr>
                <w:sz w:val="22"/>
                <w:szCs w:val="22"/>
                <w:u w:val="single"/>
              </w:rPr>
              <w:t>November 30</w:t>
            </w:r>
            <w:r w:rsidR="00427388">
              <w:rPr>
                <w:sz w:val="22"/>
                <w:szCs w:val="22"/>
                <w:u w:val="single"/>
              </w:rPr>
              <w:t>, 2014</w:t>
            </w:r>
          </w:p>
        </w:tc>
      </w:tr>
      <w:tr w:rsidR="003C602F" w:rsidRPr="001B1665" w:rsidTr="00E84B22">
        <w:trPr>
          <w:jc w:val="center"/>
        </w:trPr>
        <w:tc>
          <w:tcPr>
            <w:tcW w:w="5400" w:type="dxa"/>
            <w:shd w:val="clear" w:color="auto" w:fill="auto"/>
          </w:tcPr>
          <w:p w:rsidR="003C602F" w:rsidRPr="001B1665" w:rsidRDefault="003C602F" w:rsidP="001B1665">
            <w:pPr>
              <w:keepNext/>
              <w:keepLines/>
              <w:outlineLvl w:val="0"/>
              <w:rPr>
                <w:sz w:val="22"/>
                <w:szCs w:val="22"/>
                <w:u w:val="single"/>
              </w:rPr>
            </w:pPr>
            <w:r w:rsidRPr="001B1665">
              <w:rPr>
                <w:sz w:val="22"/>
                <w:szCs w:val="22"/>
                <w:u w:val="single"/>
              </w:rPr>
              <w:t>Somerville School District</w:t>
            </w:r>
          </w:p>
          <w:p w:rsidR="003C602F" w:rsidRPr="001B1665" w:rsidRDefault="003C602F" w:rsidP="001B1665">
            <w:pPr>
              <w:keepNext/>
              <w:keepLines/>
              <w:outlineLvl w:val="0"/>
              <w:rPr>
                <w:sz w:val="22"/>
                <w:szCs w:val="22"/>
                <w:u w:val="single"/>
              </w:rPr>
            </w:pPr>
            <w:r w:rsidRPr="001B1665">
              <w:rPr>
                <w:sz w:val="22"/>
                <w:szCs w:val="22"/>
                <w:u w:val="single"/>
              </w:rPr>
              <w:t>Somerville, MA</w:t>
            </w:r>
          </w:p>
        </w:tc>
        <w:tc>
          <w:tcPr>
            <w:tcW w:w="4950" w:type="dxa"/>
            <w:shd w:val="clear" w:color="auto" w:fill="auto"/>
          </w:tcPr>
          <w:p w:rsidR="003C602F" w:rsidRPr="001B1665" w:rsidRDefault="003C602F" w:rsidP="001B1665">
            <w:pPr>
              <w:keepNext/>
              <w:keepLines/>
              <w:outlineLvl w:val="0"/>
              <w:rPr>
                <w:sz w:val="22"/>
                <w:szCs w:val="22"/>
                <w:u w:val="single"/>
              </w:rPr>
            </w:pPr>
            <w:r w:rsidRPr="001B1665">
              <w:rPr>
                <w:sz w:val="22"/>
                <w:szCs w:val="22"/>
                <w:u w:val="single"/>
              </w:rPr>
              <w:t>September 2, 2014</w:t>
            </w:r>
          </w:p>
          <w:p w:rsidR="003C602F" w:rsidRPr="001B1665" w:rsidRDefault="003C602F" w:rsidP="001B1665">
            <w:pPr>
              <w:keepNext/>
              <w:keepLines/>
              <w:outlineLvl w:val="0"/>
              <w:rPr>
                <w:sz w:val="22"/>
                <w:szCs w:val="22"/>
                <w:u w:val="single"/>
              </w:rPr>
            </w:pPr>
            <w:r w:rsidRPr="001B1665">
              <w:rPr>
                <w:sz w:val="22"/>
                <w:szCs w:val="22"/>
                <w:u w:val="single"/>
              </w:rPr>
              <w:t>November 17, 2014</w:t>
            </w:r>
          </w:p>
        </w:tc>
      </w:tr>
      <w:tr w:rsidR="003C602F" w:rsidRPr="001B1665" w:rsidTr="00E84B22">
        <w:trPr>
          <w:jc w:val="center"/>
        </w:trPr>
        <w:tc>
          <w:tcPr>
            <w:tcW w:w="5400" w:type="dxa"/>
            <w:shd w:val="clear" w:color="auto" w:fill="auto"/>
          </w:tcPr>
          <w:p w:rsidR="003C602F" w:rsidRPr="001B1665" w:rsidRDefault="003C602F" w:rsidP="001B1665">
            <w:pPr>
              <w:keepNext/>
              <w:keepLines/>
              <w:outlineLvl w:val="0"/>
              <w:rPr>
                <w:sz w:val="22"/>
                <w:szCs w:val="22"/>
                <w:u w:val="single"/>
              </w:rPr>
            </w:pPr>
            <w:r w:rsidRPr="001B1665">
              <w:rPr>
                <w:sz w:val="22"/>
                <w:szCs w:val="22"/>
                <w:u w:val="single"/>
              </w:rPr>
              <w:t>Springfield Public Schools</w:t>
            </w:r>
          </w:p>
          <w:p w:rsidR="003C602F" w:rsidRPr="001B1665" w:rsidRDefault="003C602F" w:rsidP="001B1665">
            <w:pPr>
              <w:keepNext/>
              <w:keepLines/>
              <w:outlineLvl w:val="0"/>
              <w:rPr>
                <w:sz w:val="22"/>
                <w:szCs w:val="22"/>
                <w:u w:val="single"/>
              </w:rPr>
            </w:pPr>
            <w:r w:rsidRPr="001B1665">
              <w:rPr>
                <w:sz w:val="22"/>
                <w:szCs w:val="22"/>
                <w:u w:val="single"/>
              </w:rPr>
              <w:t>Springfield, MA</w:t>
            </w:r>
          </w:p>
        </w:tc>
        <w:tc>
          <w:tcPr>
            <w:tcW w:w="4950" w:type="dxa"/>
            <w:shd w:val="clear" w:color="auto" w:fill="auto"/>
          </w:tcPr>
          <w:p w:rsidR="003C602F" w:rsidRPr="001B1665" w:rsidRDefault="003C602F" w:rsidP="001B1665">
            <w:pPr>
              <w:keepNext/>
              <w:keepLines/>
              <w:outlineLvl w:val="0"/>
              <w:rPr>
                <w:sz w:val="22"/>
                <w:szCs w:val="22"/>
                <w:u w:val="single"/>
              </w:rPr>
            </w:pPr>
            <w:r w:rsidRPr="001B1665">
              <w:rPr>
                <w:sz w:val="22"/>
                <w:szCs w:val="22"/>
                <w:u w:val="single"/>
              </w:rPr>
              <w:t>August 25, 2014</w:t>
            </w:r>
          </w:p>
        </w:tc>
      </w:tr>
    </w:tbl>
    <w:p w:rsidR="003C602F" w:rsidRPr="005B5644" w:rsidRDefault="003C602F" w:rsidP="005B5644">
      <w:pPr>
        <w:keepNext/>
        <w:keepLines/>
        <w:outlineLvl w:val="0"/>
        <w:rPr>
          <w:sz w:val="22"/>
          <w:szCs w:val="22"/>
          <w:u w:val="single"/>
        </w:rPr>
      </w:pPr>
    </w:p>
    <w:sectPr w:rsidR="003C602F" w:rsidRPr="005B5644" w:rsidSect="008756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CD8" w:rsidRDefault="00522CD8">
      <w:r>
        <w:separator/>
      </w:r>
    </w:p>
  </w:endnote>
  <w:endnote w:type="continuationSeparator" w:id="0">
    <w:p w:rsidR="00522CD8" w:rsidRDefault="00522CD8">
      <w:r>
        <w:continuationSeparator/>
      </w:r>
    </w:p>
  </w:endnote>
  <w:endnote w:type="continuationNotice" w:id="1">
    <w:p w:rsidR="00522CD8" w:rsidRDefault="00522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662" w:rsidRDefault="005816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81662" w:rsidRDefault="005816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662" w:rsidRPr="0096384B" w:rsidRDefault="00581662" w:rsidP="0096384B">
    <w:pPr>
      <w:pStyle w:val="Footer"/>
      <w:framePr w:wrap="around" w:vAnchor="text" w:hAnchor="page" w:x="6022" w:y="-83"/>
      <w:rPr>
        <w:rStyle w:val="PageNumber"/>
        <w:sz w:val="22"/>
        <w:szCs w:val="22"/>
      </w:rPr>
    </w:pPr>
    <w:r w:rsidRPr="0096384B">
      <w:rPr>
        <w:rStyle w:val="PageNumber"/>
        <w:sz w:val="22"/>
        <w:szCs w:val="22"/>
      </w:rPr>
      <w:fldChar w:fldCharType="begin"/>
    </w:r>
    <w:r w:rsidRPr="0096384B">
      <w:rPr>
        <w:rStyle w:val="PageNumber"/>
        <w:sz w:val="22"/>
        <w:szCs w:val="22"/>
      </w:rPr>
      <w:instrText xml:space="preserve">PAGE  </w:instrText>
    </w:r>
    <w:r w:rsidRPr="0096384B">
      <w:rPr>
        <w:rStyle w:val="PageNumber"/>
        <w:sz w:val="22"/>
        <w:szCs w:val="22"/>
      </w:rPr>
      <w:fldChar w:fldCharType="separate"/>
    </w:r>
    <w:r w:rsidR="000D3F50">
      <w:rPr>
        <w:rStyle w:val="PageNumber"/>
        <w:noProof/>
        <w:sz w:val="22"/>
        <w:szCs w:val="22"/>
      </w:rPr>
      <w:t>2</w:t>
    </w:r>
    <w:r w:rsidRPr="0096384B">
      <w:rPr>
        <w:rStyle w:val="PageNumber"/>
        <w:sz w:val="22"/>
        <w:szCs w:val="22"/>
      </w:rPr>
      <w:fldChar w:fldCharType="end"/>
    </w:r>
  </w:p>
  <w:p w:rsidR="00581662" w:rsidRDefault="00581662">
    <w:pPr>
      <w:pStyle w:val="Footer"/>
      <w:tabs>
        <w:tab w:val="clear" w:pos="4320"/>
        <w:tab w:val="clear" w:pos="864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FD" w:rsidRDefault="00DA4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CD8" w:rsidRDefault="00522CD8">
      <w:r>
        <w:separator/>
      </w:r>
    </w:p>
  </w:footnote>
  <w:footnote w:type="continuationSeparator" w:id="0">
    <w:p w:rsidR="00522CD8" w:rsidRPr="00901523" w:rsidRDefault="00522CD8">
      <w:pPr>
        <w:rPr>
          <w:sz w:val="20"/>
        </w:rPr>
      </w:pPr>
      <w:r w:rsidRPr="00901523">
        <w:rPr>
          <w:sz w:val="20"/>
        </w:rPr>
        <w:t xml:space="preserve">(Continued from previous page) </w:t>
      </w:r>
      <w:r w:rsidRPr="00901523">
        <w:rPr>
          <w:sz w:val="20"/>
        </w:rPr>
        <w:separator/>
      </w:r>
    </w:p>
  </w:footnote>
  <w:footnote w:type="continuationNotice" w:id="1">
    <w:p w:rsidR="00522CD8" w:rsidRPr="00901523" w:rsidRDefault="00522CD8" w:rsidP="00901523">
      <w:pPr>
        <w:jc w:val="right"/>
        <w:rPr>
          <w:sz w:val="20"/>
        </w:rPr>
      </w:pPr>
      <w:r w:rsidRPr="00901523">
        <w:rPr>
          <w:sz w:val="20"/>
        </w:rPr>
        <w:t>“(continued…)”</w:t>
      </w:r>
    </w:p>
  </w:footnote>
  <w:footnote w:id="2">
    <w:p w:rsidR="00581662" w:rsidRPr="00863601" w:rsidRDefault="00581662" w:rsidP="00B70E61">
      <w:pPr>
        <w:pStyle w:val="FootnoteText"/>
        <w:spacing w:after="120"/>
        <w:rPr>
          <w:lang w:val="en-US"/>
        </w:rPr>
      </w:pPr>
      <w:r w:rsidRPr="00F94B08">
        <w:rPr>
          <w:rStyle w:val="FootnoteReference"/>
        </w:rPr>
        <w:footnoteRef/>
      </w:r>
      <w:r>
        <w:rPr>
          <w:lang w:val="en-US"/>
        </w:rPr>
        <w:t xml:space="preserve"> </w:t>
      </w:r>
      <w:r w:rsidRPr="00842EFB">
        <w:rPr>
          <w:i/>
        </w:rPr>
        <w:t>See</w:t>
      </w:r>
      <w:r>
        <w:rPr>
          <w:lang w:val="en-US"/>
        </w:rPr>
        <w:t xml:space="preserve"> Letter from Joy Jackson, to Marlene H. Dortch, Secretary, Federal Communications Commission,</w:t>
      </w:r>
      <w:r w:rsidRPr="00E621B8">
        <w:t xml:space="preserve"> </w:t>
      </w:r>
      <w:r>
        <w:t>CC Docket No</w:t>
      </w:r>
      <w:r>
        <w:rPr>
          <w:lang w:val="en-US"/>
        </w:rPr>
        <w:t>s</w:t>
      </w:r>
      <w:r>
        <w:t>. 02-6</w:t>
      </w:r>
      <w:r>
        <w:rPr>
          <w:lang w:val="en-US"/>
        </w:rPr>
        <w:t xml:space="preserve">, 96-45 </w:t>
      </w:r>
      <w:r>
        <w:t xml:space="preserve">(filed </w:t>
      </w:r>
      <w:r>
        <w:rPr>
          <w:lang w:val="en-US"/>
        </w:rPr>
        <w:t>June 28, 2010</w:t>
      </w:r>
      <w:r>
        <w:t>) (</w:t>
      </w:r>
      <w:r>
        <w:rPr>
          <w:lang w:val="en-US"/>
        </w:rPr>
        <w:t xml:space="preserve">Achieve </w:t>
      </w:r>
      <w:r>
        <w:t>Request for Review</w:t>
      </w:r>
      <w:r>
        <w:rPr>
          <w:lang w:val="en-US"/>
        </w:rPr>
        <w:t xml:space="preserve">).  Achieve filed a consolidated appeal for the applications identified in Appendices A-D.  </w:t>
      </w:r>
      <w:r w:rsidRPr="00F94B08">
        <w:t>Section 54.719(c) of the Commission’s rules</w:t>
      </w:r>
      <w:r>
        <w:rPr>
          <w:lang w:val="en-US"/>
        </w:rPr>
        <w:t xml:space="preserve"> </w:t>
      </w:r>
      <w:r w:rsidRPr="00F94B08">
        <w:t>provides that any person aggrieved by an action taken by a division of USAC may seek review from the Commission.  47 C.F.R. § 54.719(c).</w:t>
      </w:r>
      <w:r>
        <w:rPr>
          <w:lang w:val="en-US"/>
        </w:rPr>
        <w:t xml:space="preserve">  </w:t>
      </w:r>
    </w:p>
  </w:footnote>
  <w:footnote w:id="3">
    <w:p w:rsidR="00581662" w:rsidRPr="00F94B08" w:rsidRDefault="00581662" w:rsidP="0093345D">
      <w:pPr>
        <w:pStyle w:val="FootnoteText"/>
        <w:spacing w:after="0"/>
        <w:rPr>
          <w:lang w:val="en-US"/>
        </w:rPr>
      </w:pPr>
      <w:r w:rsidRPr="00F94B08">
        <w:rPr>
          <w:rStyle w:val="FootnoteReference"/>
        </w:rPr>
        <w:footnoteRef/>
      </w:r>
      <w:r w:rsidRPr="00F94B08">
        <w:t xml:space="preserve"> </w:t>
      </w:r>
      <w:r w:rsidRPr="00215E45">
        <w:rPr>
          <w:lang w:val="en-US"/>
        </w:rPr>
        <w:t>The Schools’</w:t>
      </w:r>
      <w:r>
        <w:rPr>
          <w:i/>
          <w:lang w:val="en-US"/>
        </w:rPr>
        <w:t xml:space="preserve"> </w:t>
      </w:r>
      <w:r>
        <w:rPr>
          <w:lang w:val="en-US"/>
        </w:rPr>
        <w:t xml:space="preserve">Requests for Review are also listed in </w:t>
      </w:r>
      <w:r w:rsidRPr="00F94B08">
        <w:t>Appendices A-D</w:t>
      </w:r>
      <w:r w:rsidRPr="00F94B08">
        <w:rPr>
          <w:lang w:val="en-US"/>
        </w:rPr>
        <w:t xml:space="preserve">.  </w:t>
      </w:r>
    </w:p>
  </w:footnote>
  <w:footnote w:id="4">
    <w:p w:rsidR="00581662" w:rsidRPr="00F94B08" w:rsidRDefault="00581662" w:rsidP="00B70E61">
      <w:pPr>
        <w:pStyle w:val="FootnoteText"/>
        <w:spacing w:after="120"/>
        <w:rPr>
          <w:lang w:val="en-US"/>
        </w:rPr>
      </w:pPr>
      <w:r w:rsidRPr="00F94B08">
        <w:rPr>
          <w:rStyle w:val="FootnoteReference"/>
        </w:rPr>
        <w:footnoteRef/>
      </w:r>
      <w:r w:rsidRPr="00F94B08">
        <w:t xml:space="preserve"> </w:t>
      </w:r>
      <w:r w:rsidRPr="00F94B08">
        <w:rPr>
          <w:i/>
          <w:lang w:val="en-US"/>
        </w:rPr>
        <w:t>See</w:t>
      </w:r>
      <w:r w:rsidR="007D5A25">
        <w:rPr>
          <w:i/>
          <w:lang w:val="en-US"/>
        </w:rPr>
        <w:t xml:space="preserve"> infra </w:t>
      </w:r>
      <w:r w:rsidR="007D5A25">
        <w:rPr>
          <w:lang w:val="en-US"/>
        </w:rPr>
        <w:t>n.12</w:t>
      </w:r>
      <w:r w:rsidRPr="00F94B08">
        <w:rPr>
          <w:lang w:val="en-US"/>
        </w:rPr>
        <w:t xml:space="preserve">.  </w:t>
      </w:r>
    </w:p>
  </w:footnote>
  <w:footnote w:id="5">
    <w:p w:rsidR="00581662" w:rsidRPr="005E3D8D" w:rsidRDefault="00581662" w:rsidP="00B70E61">
      <w:pPr>
        <w:pStyle w:val="FootnoteText"/>
        <w:spacing w:after="120"/>
        <w:rPr>
          <w:lang w:val="en-US"/>
        </w:rPr>
      </w:pPr>
      <w:r w:rsidRPr="00F94B08">
        <w:rPr>
          <w:rStyle w:val="FootnoteReference"/>
        </w:rPr>
        <w:footnoteRef/>
      </w:r>
      <w:r w:rsidRPr="00F94B08">
        <w:t xml:space="preserve"> </w:t>
      </w:r>
      <w:r w:rsidRPr="00F94B08">
        <w:rPr>
          <w:i/>
          <w:lang w:val="en-US"/>
        </w:rPr>
        <w:t>See</w:t>
      </w:r>
      <w:r w:rsidRPr="00F94B08">
        <w:rPr>
          <w:lang w:val="en-US"/>
        </w:rPr>
        <w:t xml:space="preserve"> 47 </w:t>
      </w:r>
      <w:r w:rsidRPr="00F94B08">
        <w:rPr>
          <w:iCs/>
        </w:rPr>
        <w:t xml:space="preserve">C.F.R. § </w:t>
      </w:r>
      <w:r w:rsidRPr="00F94B08">
        <w:t>54.723 (requiring the Wireline</w:t>
      </w:r>
      <w:r w:rsidRPr="008B7CF7">
        <w:rPr>
          <w:lang w:val="en-US"/>
        </w:rPr>
        <w:t xml:space="preserve"> </w:t>
      </w:r>
      <w:r w:rsidRPr="00F94B08">
        <w:t xml:space="preserve">Competition Bureau to conduct a </w:t>
      </w:r>
      <w:r w:rsidRPr="00F94B08">
        <w:rPr>
          <w:i/>
        </w:rPr>
        <w:t>de novo</w:t>
      </w:r>
      <w:r w:rsidRPr="00F94B08">
        <w:t xml:space="preserve"> review of appeals of decisions made by USAC).</w:t>
      </w:r>
      <w:r>
        <w:rPr>
          <w:lang w:val="en-US"/>
        </w:rPr>
        <w:t xml:space="preserve">  On August 5, 2014 and October 20, 2014, the Bureau sent Petitioners documents that the FCC’s Office of Inspector General had obtained pursuant to subpoena.  </w:t>
      </w:r>
      <w:r w:rsidRPr="00B571D4">
        <w:rPr>
          <w:i/>
          <w:lang w:val="en-US"/>
        </w:rPr>
        <w:t>See</w:t>
      </w:r>
      <w:r>
        <w:rPr>
          <w:lang w:val="en-US"/>
        </w:rPr>
        <w:t xml:space="preserve"> Email from Regina Brown, Wireline Competition Bureau, Federal Communications Commission, to Joy Jackson, Achieve Telecom Network (dated August 5, 2014); Email from Regina Brown, Wireline Competition Bureau, Federal Communications Commission to Nichole O’Neal, Brockton Public Schools, Miguel Andreottola, Chelsea Public School District, James Halloran, Somerville School District, and Robert Hamel, Springfield School District (dated Aug. 5, 2014) (August 2014 Wireline Competition Bureau Email); Email from Regina Brown, Wireline Competition Bureau, Federal Communications Commission, to Robert Howell, Springfield School District and Bruce Desmond, Somerville School District (dated Aug. 7, 2014) (re-sent due to change in contact information); Letter from Ryan D. Palmer, Chief, Telecommunications Access Policy Division, Wireline Competition Bureau, to Joy Jackson, Achieve Telecom Network, Nichole O’Neal, Brockton Public Schools, Kathleen Breck, City of Springfield Law Department, Miguel Andreottola, Chelsea Public Schools, and Frank Wright, City Solicitor, City of Somerville (dated Oct. 20, 2014).  The subpoenaed documents, hereinafter identified with FCC Bates Stamp numbers (</w:t>
      </w:r>
      <w:r w:rsidRPr="00FD1BFF">
        <w:rPr>
          <w:i/>
          <w:lang w:val="en-US"/>
        </w:rPr>
        <w:t>e.g</w:t>
      </w:r>
      <w:r>
        <w:rPr>
          <w:lang w:val="en-US"/>
        </w:rPr>
        <w:t xml:space="preserve">., FCC Bates Number X), were </w:t>
      </w:r>
      <w:r w:rsidRPr="00622EC2">
        <w:rPr>
          <w:lang w:val="en-US"/>
        </w:rPr>
        <w:t>not available earlier in the appeals process.</w:t>
      </w:r>
      <w:r>
        <w:rPr>
          <w:lang w:val="en-US"/>
        </w:rPr>
        <w:t xml:space="preserve">  The Bureau therefore invited Petitioners to supplement their appeals after review of the subpoenaed documents.  Those Petitioners filing supplemental materials are listed in Appendix E.        </w:t>
      </w:r>
      <w:r>
        <w:rPr>
          <w:i/>
          <w:lang w:val="en-US"/>
        </w:rPr>
        <w:t xml:space="preserve"> </w:t>
      </w:r>
      <w:r>
        <w:rPr>
          <w:lang w:val="en-US"/>
        </w:rPr>
        <w:t xml:space="preserve"> </w:t>
      </w:r>
    </w:p>
  </w:footnote>
  <w:footnote w:id="6">
    <w:p w:rsidR="00581662" w:rsidRPr="00FE516A" w:rsidRDefault="00581662" w:rsidP="00A15FD2">
      <w:pPr>
        <w:pStyle w:val="FootnoteText"/>
        <w:spacing w:after="120"/>
        <w:rPr>
          <w:lang w:val="en-US"/>
        </w:rPr>
      </w:pPr>
      <w:r>
        <w:rPr>
          <w:rStyle w:val="FootnoteReference"/>
        </w:rPr>
        <w:footnoteRef/>
      </w:r>
      <w:r>
        <w:t xml:space="preserve"> </w:t>
      </w:r>
      <w:r w:rsidRPr="00801F9B">
        <w:rPr>
          <w:lang w:val="en-US"/>
        </w:rPr>
        <w:t>47 C.F.R.</w:t>
      </w:r>
      <w:r w:rsidRPr="004B211B">
        <w:rPr>
          <w:iCs/>
        </w:rPr>
        <w:t xml:space="preserve"> §</w:t>
      </w:r>
      <w:r w:rsidR="00DC033C">
        <w:rPr>
          <w:iCs/>
          <w:lang w:val="en-US"/>
        </w:rPr>
        <w:t>54.</w:t>
      </w:r>
      <w:r w:rsidRPr="004B211B">
        <w:rPr>
          <w:iCs/>
          <w:lang w:val="en-US"/>
        </w:rPr>
        <w:t>523</w:t>
      </w:r>
      <w:r w:rsidRPr="00FE516A">
        <w:rPr>
          <w:iCs/>
          <w:lang w:val="en-US"/>
        </w:rPr>
        <w:t xml:space="preserve">; </w:t>
      </w:r>
      <w:r w:rsidRPr="00FE516A">
        <w:rPr>
          <w:i/>
          <w:iCs/>
          <w:lang w:val="en-US"/>
        </w:rPr>
        <w:t>see a</w:t>
      </w:r>
      <w:r>
        <w:rPr>
          <w:i/>
          <w:iCs/>
          <w:lang w:val="en-US"/>
        </w:rPr>
        <w:t>lso infra</w:t>
      </w:r>
      <w:r w:rsidRPr="00FE516A">
        <w:rPr>
          <w:iCs/>
          <w:lang w:val="en-US"/>
        </w:rPr>
        <w:t xml:space="preserve"> para. 5.</w:t>
      </w:r>
      <w:r>
        <w:rPr>
          <w:lang w:val="en-US"/>
        </w:rPr>
        <w:t xml:space="preserve"> </w:t>
      </w:r>
    </w:p>
  </w:footnote>
  <w:footnote w:id="7">
    <w:p w:rsidR="00581662" w:rsidRPr="00F94B08" w:rsidRDefault="00581662" w:rsidP="00B70E61">
      <w:pPr>
        <w:pStyle w:val="FootnoteText"/>
        <w:spacing w:after="120"/>
        <w:rPr>
          <w:lang w:val="en-US"/>
        </w:rPr>
      </w:pPr>
      <w:r w:rsidRPr="00F94B08">
        <w:rPr>
          <w:rStyle w:val="FootnoteReference"/>
        </w:rPr>
        <w:footnoteRef/>
      </w:r>
      <w:r w:rsidRPr="00F94B08">
        <w:t xml:space="preserve"> </w:t>
      </w:r>
      <w:r w:rsidRPr="00A6553E">
        <w:rPr>
          <w:i/>
          <w:iCs/>
          <w:color w:val="000000"/>
        </w:rPr>
        <w:t>See</w:t>
      </w:r>
      <w:r w:rsidRPr="00A6553E">
        <w:rPr>
          <w:color w:val="000000"/>
        </w:rPr>
        <w:t xml:space="preserve"> </w:t>
      </w:r>
      <w:r>
        <w:rPr>
          <w:color w:val="000000"/>
        </w:rPr>
        <w:t>FCC Form 473,</w:t>
      </w:r>
      <w:r w:rsidRPr="00A6553E">
        <w:rPr>
          <w:color w:val="000000"/>
        </w:rPr>
        <w:t xml:space="preserve"> Service Provider Annual Certification Form, OMB 3060-0856, at Block 2 (April 2007); </w:t>
      </w:r>
      <w:r>
        <w:rPr>
          <w:color w:val="000000"/>
        </w:rPr>
        <w:t>FCC Form 473</w:t>
      </w:r>
      <w:r w:rsidRPr="00A6553E">
        <w:rPr>
          <w:color w:val="000000"/>
        </w:rPr>
        <w:t>, Service Provider Annual Certification Form, OMB 3060-0856, at Block 2 (</w:t>
      </w:r>
      <w:r>
        <w:rPr>
          <w:color w:val="000000"/>
        </w:rPr>
        <w:t>October</w:t>
      </w:r>
      <w:r w:rsidRPr="00A6553E">
        <w:rPr>
          <w:color w:val="000000"/>
        </w:rPr>
        <w:t xml:space="preserve"> 1998)</w:t>
      </w:r>
      <w:r>
        <w:rPr>
          <w:color w:val="000000"/>
        </w:rPr>
        <w:t xml:space="preserve"> (FCC Form 473) (directing the service provider to certify that its invoice forms are based on bills issued by the service provider to the service provider’s customers and exclude any charges previously invoiced to the Fund administrator for which the Fund administrator has not yet issued a reimbursement decision).  </w:t>
      </w:r>
      <w:r w:rsidRPr="00F94B08">
        <w:rPr>
          <w:i/>
        </w:rPr>
        <w:t>See</w:t>
      </w:r>
      <w:r>
        <w:rPr>
          <w:i/>
          <w:lang w:val="en-US"/>
        </w:rPr>
        <w:t xml:space="preserve"> also</w:t>
      </w:r>
      <w:r w:rsidRPr="00F94B08">
        <w:t xml:space="preserve"> </w:t>
      </w:r>
      <w:r w:rsidRPr="00F94B08">
        <w:rPr>
          <w:i/>
        </w:rPr>
        <w:t>Request for Review of a Decision of the Universal Service Administrator by Hispanic Information and Telecommunications Network</w:t>
      </w:r>
      <w:r w:rsidRPr="00F94B08">
        <w:rPr>
          <w:lang w:val="en-US"/>
        </w:rPr>
        <w:t xml:space="preserve">; </w:t>
      </w:r>
      <w:r w:rsidRPr="00F94B08">
        <w:rPr>
          <w:i/>
          <w:lang w:val="en-US"/>
        </w:rPr>
        <w:t>Schools and Libraries Universal Service Support Mechanism</w:t>
      </w:r>
      <w:r w:rsidRPr="00F94B08">
        <w:rPr>
          <w:lang w:val="en-US"/>
        </w:rPr>
        <w:t>, CC Docket No. 02-6, 23 FCC Rcd</w:t>
      </w:r>
      <w:r w:rsidRPr="00F94B08">
        <w:t xml:space="preserve"> 15432 (</w:t>
      </w:r>
      <w:r w:rsidRPr="00F94B08">
        <w:rPr>
          <w:lang w:val="en-US"/>
        </w:rPr>
        <w:t xml:space="preserve">Wireline Comp. Bur. </w:t>
      </w:r>
      <w:r w:rsidRPr="00F94B08">
        <w:t xml:space="preserve"> 2008)</w:t>
      </w:r>
      <w:r w:rsidRPr="00F94B08">
        <w:rPr>
          <w:lang w:val="en-US"/>
        </w:rPr>
        <w:t xml:space="preserve"> (</w:t>
      </w:r>
      <w:r w:rsidRPr="00F94B08">
        <w:rPr>
          <w:i/>
          <w:lang w:val="en-US"/>
        </w:rPr>
        <w:t>HITN Order</w:t>
      </w:r>
      <w:r w:rsidRPr="00F94B08">
        <w:rPr>
          <w:lang w:val="en-US"/>
        </w:rPr>
        <w:t xml:space="preserve">) </w:t>
      </w:r>
      <w:r w:rsidRPr="00F94B08">
        <w:t>(</w:t>
      </w:r>
      <w:r w:rsidRPr="00F94B08">
        <w:rPr>
          <w:lang w:val="en-US"/>
        </w:rPr>
        <w:t xml:space="preserve">upholding USAC’s determination that the service provider is liable for repayment if it fails to demonstrate a </w:t>
      </w:r>
      <w:r w:rsidRPr="00F94B08">
        <w:rPr>
          <w:i/>
          <w:lang w:val="en-US"/>
        </w:rPr>
        <w:t>bona fide</w:t>
      </w:r>
      <w:r w:rsidRPr="00F94B08">
        <w:rPr>
          <w:lang w:val="en-US"/>
        </w:rPr>
        <w:t xml:space="preserve"> effort to collect the school’s non-discount share and directing the service provider to explain to USAC on remand why it </w:t>
      </w:r>
      <w:r w:rsidRPr="00F94B08">
        <w:t xml:space="preserve">limited its efforts to secure payment </w:t>
      </w:r>
      <w:r w:rsidRPr="00F94B08">
        <w:rPr>
          <w:lang w:val="en-US"/>
        </w:rPr>
        <w:t>for the applicant’s non-discount share to only</w:t>
      </w:r>
      <w:r w:rsidRPr="00F94B08">
        <w:t xml:space="preserve"> three written requests over a 16-month period</w:t>
      </w:r>
      <w:r w:rsidRPr="00F94B08">
        <w:rPr>
          <w:lang w:val="en-US"/>
        </w:rPr>
        <w:t>.</w:t>
      </w:r>
      <w:r w:rsidRPr="00F94B08">
        <w:t>)</w:t>
      </w:r>
      <w:r>
        <w:rPr>
          <w:lang w:val="en-US"/>
        </w:rPr>
        <w:t>.</w:t>
      </w:r>
      <w:r w:rsidRPr="00F94B08">
        <w:rPr>
          <w:lang w:val="en-US"/>
        </w:rPr>
        <w:t xml:space="preserve">  </w:t>
      </w:r>
    </w:p>
  </w:footnote>
  <w:footnote w:id="8">
    <w:p w:rsidR="00581662" w:rsidRPr="00F94B08" w:rsidRDefault="00581662" w:rsidP="00B70E61">
      <w:pPr>
        <w:pStyle w:val="FootnoteText"/>
        <w:spacing w:after="120"/>
      </w:pPr>
      <w:r w:rsidRPr="00F94B08">
        <w:rPr>
          <w:rStyle w:val="FootnoteReference"/>
        </w:rPr>
        <w:footnoteRef/>
      </w:r>
      <w:r w:rsidRPr="00F94B08">
        <w:t xml:space="preserve"> </w:t>
      </w:r>
      <w:r w:rsidRPr="00F94B08">
        <w:rPr>
          <w:i/>
        </w:rPr>
        <w:t>See Federal-State Joint Board on Universal Service; Changes to the Board of Directors for the National Exchange Carrier Association, Inc.; Schools and Libraries Universal Service Support Mechanism</w:t>
      </w:r>
      <w:r w:rsidRPr="00F94B08">
        <w:t>, CC Docket Nos. 96-45, 97-21 and 02-6, Order on Reconsideration and Fourth Report and Order, 19 FCC Rcd 15252, 1525</w:t>
      </w:r>
      <w:r>
        <w:rPr>
          <w:lang w:val="en-US"/>
        </w:rPr>
        <w:t>7</w:t>
      </w:r>
      <w:r w:rsidRPr="00F94B08">
        <w:t>, paras. 15 (2004) (</w:t>
      </w:r>
      <w:r w:rsidRPr="00F94B08">
        <w:rPr>
          <w:i/>
        </w:rPr>
        <w:t>Schools and</w:t>
      </w:r>
      <w:r w:rsidRPr="00F94B08">
        <w:t xml:space="preserve"> </w:t>
      </w:r>
      <w:r w:rsidRPr="00F94B08">
        <w:rPr>
          <w:i/>
        </w:rPr>
        <w:t>Libraries Fourth Report and Order</w:t>
      </w:r>
      <w:r w:rsidRPr="00F94B08">
        <w:t xml:space="preserve">) (directing USAC to </w:t>
      </w:r>
      <w:r>
        <w:rPr>
          <w:lang w:val="en-US"/>
        </w:rPr>
        <w:t xml:space="preserve">consider </w:t>
      </w:r>
      <w:r w:rsidRPr="0093345D">
        <w:t xml:space="preserve">which party was in </w:t>
      </w:r>
      <w:r w:rsidRPr="0093345D">
        <w:rPr>
          <w:color w:val="252525"/>
        </w:rPr>
        <w:t>a better position to prevent the statutory or rule violation, and which party committed the act or omission that form</w:t>
      </w:r>
      <w:r w:rsidRPr="0093345D">
        <w:rPr>
          <w:color w:val="252525"/>
          <w:lang w:val="en-US"/>
        </w:rPr>
        <w:t>ed</w:t>
      </w:r>
      <w:r w:rsidRPr="0093345D">
        <w:rPr>
          <w:color w:val="252525"/>
        </w:rPr>
        <w:t xml:space="preserve"> the basis for the statutory or rule violation</w:t>
      </w:r>
      <w:r w:rsidRPr="00F94B08">
        <w:t>)</w:t>
      </w:r>
      <w:r>
        <w:rPr>
          <w:lang w:val="en-US"/>
        </w:rPr>
        <w:t>.   Although th</w:t>
      </w:r>
      <w:r w:rsidR="00C51D07">
        <w:rPr>
          <w:lang w:val="en-US"/>
        </w:rPr>
        <w:t>at</w:t>
      </w:r>
      <w:r>
        <w:rPr>
          <w:lang w:val="en-US"/>
        </w:rPr>
        <w:t xml:space="preserve"> Order identifies as a relevant factor which party committed the violation, in this particular case, that factor does not militate in favor of targeting the Schools because the evidence overwhelmingly demonstrates that any violation was caused by Achieve’s deception and misconduct.  Since there is no evidence that the Schools knew of this scheme, or that it was readily susceptible of discovery, we find that, under the framework set forth in the </w:t>
      </w:r>
      <w:r w:rsidRPr="00182447">
        <w:rPr>
          <w:i/>
          <w:lang w:val="en-US"/>
        </w:rPr>
        <w:t>Schools and Libraries</w:t>
      </w:r>
      <w:r>
        <w:rPr>
          <w:lang w:val="en-US"/>
        </w:rPr>
        <w:t xml:space="preserve"> </w:t>
      </w:r>
      <w:r w:rsidRPr="00953879">
        <w:rPr>
          <w:i/>
          <w:lang w:val="en-US"/>
        </w:rPr>
        <w:t>Fourth Report and Order</w:t>
      </w:r>
      <w:r>
        <w:rPr>
          <w:lang w:val="en-US"/>
        </w:rPr>
        <w:t xml:space="preserve">, it is appropriate for USAC to continue its recovery actions against Achieve and discontinue them with respect to the Schools.  </w:t>
      </w:r>
      <w:r w:rsidRPr="00953879">
        <w:rPr>
          <w:i/>
          <w:lang w:val="en-US"/>
        </w:rPr>
        <w:t>See also,</w:t>
      </w:r>
      <w:r>
        <w:rPr>
          <w:lang w:val="en-US"/>
        </w:rPr>
        <w:t xml:space="preserve"> </w:t>
      </w:r>
      <w:r w:rsidRPr="00FE516A">
        <w:rPr>
          <w:i/>
        </w:rPr>
        <w:t>Request for Review of the Decision by the Universal Service Administrator by Bell South Telecommunications, Inc. and Union Parish School Board; Schools and Libraries Universal Service Support Mechanism</w:t>
      </w:r>
      <w:r w:rsidRPr="00F94B08">
        <w:t xml:space="preserve">, CC Docket No. 02-6, Order, </w:t>
      </w:r>
      <w:r w:rsidRPr="00F94B08">
        <w:rPr>
          <w:lang w:val="en-US"/>
        </w:rPr>
        <w:t xml:space="preserve">27 FCC Rcd 11208 </w:t>
      </w:r>
      <w:r w:rsidRPr="00F94B08">
        <w:t>(Wireline Comp. Bur. 2012) (</w:t>
      </w:r>
      <w:r w:rsidRPr="00F94B08">
        <w:rPr>
          <w:i/>
        </w:rPr>
        <w:t>Bell South Order</w:t>
      </w:r>
      <w:r w:rsidRPr="00F94B08">
        <w:t>) (seeking recovery of funding from the party that violated the Commission’s rules)</w:t>
      </w:r>
      <w:r>
        <w:rPr>
          <w:lang w:val="en-US"/>
        </w:rPr>
        <w:t>; and</w:t>
      </w:r>
      <w:r w:rsidRPr="0033196E">
        <w:rPr>
          <w:i/>
          <w:lang w:val="en-US"/>
        </w:rPr>
        <w:t xml:space="preserve"> infra</w:t>
      </w:r>
      <w:r>
        <w:rPr>
          <w:lang w:val="en-US"/>
        </w:rPr>
        <w:t xml:space="preserve"> para. 30.</w:t>
      </w:r>
      <w:r w:rsidRPr="00F94B08">
        <w:t xml:space="preserve"> </w:t>
      </w:r>
      <w:r>
        <w:rPr>
          <w:lang w:val="en-US"/>
        </w:rPr>
        <w:t xml:space="preserve"> </w:t>
      </w:r>
    </w:p>
  </w:footnote>
  <w:footnote w:id="9">
    <w:p w:rsidR="00581662" w:rsidRPr="00F80756" w:rsidRDefault="00581662" w:rsidP="00B70E61">
      <w:pPr>
        <w:pStyle w:val="FootnoteText"/>
        <w:spacing w:after="120"/>
      </w:pPr>
      <w:r>
        <w:rPr>
          <w:rStyle w:val="FootnoteReference"/>
        </w:rPr>
        <w:footnoteRef/>
      </w:r>
      <w:r w:rsidRPr="00F80756">
        <w:t xml:space="preserve"> 47 C.F.R. §§ 54.501-54.502.</w:t>
      </w:r>
    </w:p>
  </w:footnote>
  <w:footnote w:id="10">
    <w:p w:rsidR="00581662" w:rsidRPr="00C2088B" w:rsidRDefault="00581662" w:rsidP="0036792C">
      <w:pPr>
        <w:pStyle w:val="FootnoteText"/>
        <w:spacing w:after="120"/>
      </w:pPr>
      <w:r w:rsidRPr="00C2088B">
        <w:rPr>
          <w:rStyle w:val="FootnoteReference"/>
        </w:rPr>
        <w:footnoteRef/>
      </w:r>
      <w:r w:rsidRPr="00C2088B">
        <w:t xml:space="preserve"> </w:t>
      </w:r>
      <w:r w:rsidRPr="006A6999">
        <w:rPr>
          <w:i/>
          <w:lang w:val="en-US"/>
        </w:rPr>
        <w:t>See</w:t>
      </w:r>
      <w:r>
        <w:rPr>
          <w:lang w:val="en-US"/>
        </w:rPr>
        <w:t xml:space="preserve"> </w:t>
      </w:r>
      <w:r w:rsidRPr="00C2088B">
        <w:t>47 C.F.R. §§ 54.505(a)-(b</w:t>
      </w:r>
      <w:r>
        <w:t>)</w:t>
      </w:r>
      <w:r w:rsidRPr="00C2088B">
        <w:t>.</w:t>
      </w:r>
    </w:p>
  </w:footnote>
  <w:footnote w:id="11">
    <w:p w:rsidR="00581662" w:rsidRPr="006A6999" w:rsidRDefault="00581662" w:rsidP="007E48AE">
      <w:pPr>
        <w:pStyle w:val="FootnoteText"/>
        <w:spacing w:after="120"/>
        <w:rPr>
          <w:lang w:val="en-US"/>
        </w:rPr>
      </w:pPr>
      <w:r>
        <w:rPr>
          <w:rStyle w:val="FootnoteReference"/>
        </w:rPr>
        <w:footnoteRef/>
      </w:r>
      <w:r>
        <w:t xml:space="preserve"> </w:t>
      </w:r>
      <w:r w:rsidRPr="0067370D">
        <w:rPr>
          <w:i/>
          <w:iCs/>
          <w:lang w:val="en-US"/>
        </w:rPr>
        <w:t>See</w:t>
      </w:r>
      <w:r w:rsidRPr="0067370D">
        <w:rPr>
          <w:lang w:val="en-US"/>
        </w:rPr>
        <w:t xml:space="preserve"> </w:t>
      </w:r>
      <w:r>
        <w:rPr>
          <w:lang w:val="en-US"/>
        </w:rPr>
        <w:t xml:space="preserve">47 C.F.R. </w:t>
      </w:r>
      <w:r>
        <w:rPr>
          <w:iCs/>
        </w:rPr>
        <w:t xml:space="preserve">§ </w:t>
      </w:r>
      <w:r>
        <w:t>54.</w:t>
      </w:r>
      <w:r>
        <w:rPr>
          <w:lang w:val="en-US"/>
        </w:rPr>
        <w:t>5</w:t>
      </w:r>
      <w:r>
        <w:t>23</w:t>
      </w:r>
      <w:r>
        <w:rPr>
          <w:lang w:val="en-US"/>
        </w:rPr>
        <w:t xml:space="preserve"> (2004) (requiring</w:t>
      </w:r>
      <w:r w:rsidRPr="006B069E">
        <w:t xml:space="preserve"> </w:t>
      </w:r>
      <w:r w:rsidRPr="006B069E">
        <w:rPr>
          <w:lang w:val="en-US"/>
        </w:rPr>
        <w:t>applicants to pay the non-discount price of any services purchased with E-rate funds</w:t>
      </w:r>
      <w:r>
        <w:rPr>
          <w:lang w:val="en-US"/>
        </w:rPr>
        <w:t xml:space="preserve">).  </w:t>
      </w:r>
      <w:r w:rsidRPr="00843BBE">
        <w:rPr>
          <w:i/>
          <w:lang w:val="en-US"/>
        </w:rPr>
        <w:t>See also</w:t>
      </w:r>
      <w:r>
        <w:rPr>
          <w:lang w:val="en-US"/>
        </w:rPr>
        <w:t xml:space="preserve"> 47 C.F.R. </w:t>
      </w:r>
      <w:r>
        <w:t>§§</w:t>
      </w:r>
      <w:r>
        <w:rPr>
          <w:lang w:val="en-US"/>
        </w:rPr>
        <w:t xml:space="preserve"> 54.504, 54.508 (2004); 47 C.F.R. </w:t>
      </w:r>
      <w:r w:rsidRPr="00F80756">
        <w:t xml:space="preserve">§§ </w:t>
      </w:r>
      <w:r>
        <w:rPr>
          <w:lang w:val="en-US"/>
        </w:rPr>
        <w:t>54.503, 54.523 (2011)</w:t>
      </w:r>
      <w:r w:rsidRPr="0067370D">
        <w:rPr>
          <w:lang w:val="en-US"/>
        </w:rPr>
        <w:t>.</w:t>
      </w:r>
      <w:r>
        <w:rPr>
          <w:lang w:val="en-US"/>
        </w:rPr>
        <w:t xml:space="preserve">  </w:t>
      </w:r>
      <w:r w:rsidRPr="004401D4">
        <w:rPr>
          <w:lang w:val="en-US"/>
        </w:rPr>
        <w:t>The E-rate program pays for the discounted portion of the price of eligible services.</w:t>
      </w:r>
      <w:r>
        <w:rPr>
          <w:lang w:val="en-US"/>
        </w:rPr>
        <w:t xml:space="preserve">  </w:t>
      </w:r>
      <w:r w:rsidRPr="004401D4">
        <w:rPr>
          <w:i/>
          <w:lang w:val="en-US"/>
        </w:rPr>
        <w:t xml:space="preserve">See </w:t>
      </w:r>
      <w:r>
        <w:rPr>
          <w:lang w:val="en-US"/>
        </w:rPr>
        <w:t xml:space="preserve">47 C.F.R. </w:t>
      </w:r>
      <w:r>
        <w:t>§</w:t>
      </w:r>
      <w:r w:rsidRPr="00F80756">
        <w:t>§</w:t>
      </w:r>
      <w:r>
        <w:rPr>
          <w:lang w:val="en-US"/>
        </w:rPr>
        <w:t xml:space="preserve"> 54.504, 54.523 (2004);</w:t>
      </w:r>
      <w:r w:rsidRPr="008A3278">
        <w:rPr>
          <w:lang w:val="en-US"/>
        </w:rPr>
        <w:t xml:space="preserve"> </w:t>
      </w:r>
      <w:r>
        <w:rPr>
          <w:lang w:val="en-US"/>
        </w:rPr>
        <w:t>47 C.F.R.</w:t>
      </w:r>
      <w:r w:rsidRPr="006B069E">
        <w:rPr>
          <w:iCs/>
        </w:rPr>
        <w:t xml:space="preserve"> </w:t>
      </w:r>
      <w:r>
        <w:rPr>
          <w:iCs/>
        </w:rPr>
        <w:t>§</w:t>
      </w:r>
      <w:r w:rsidRPr="00F80756">
        <w:t>§</w:t>
      </w:r>
      <w:r>
        <w:rPr>
          <w:lang w:val="en-US"/>
        </w:rPr>
        <w:t xml:space="preserve"> 54.503, 54.523 (2011).</w:t>
      </w:r>
      <w:r w:rsidRPr="004401D4">
        <w:rPr>
          <w:lang w:val="en-US"/>
        </w:rPr>
        <w:t xml:space="preserve">  </w:t>
      </w:r>
      <w:r>
        <w:t>In this O</w:t>
      </w:r>
      <w:r w:rsidRPr="008B5BCE">
        <w:t xml:space="preserve">rder, we describe the requirements of the E-rate program as they currently exist, but because the </w:t>
      </w:r>
      <w:r>
        <w:rPr>
          <w:lang w:val="en-US"/>
        </w:rPr>
        <w:t>O</w:t>
      </w:r>
      <w:r w:rsidRPr="008B5BCE">
        <w:t>rder involves</w:t>
      </w:r>
      <w:r>
        <w:t xml:space="preserve"> application</w:t>
      </w:r>
      <w:r>
        <w:rPr>
          <w:lang w:val="en-US"/>
        </w:rPr>
        <w:t>s</w:t>
      </w:r>
      <w:r>
        <w:t xml:space="preserve"> from </w:t>
      </w:r>
      <w:r>
        <w:rPr>
          <w:lang w:val="en-US"/>
        </w:rPr>
        <w:t>funding years</w:t>
      </w:r>
      <w:r>
        <w:t xml:space="preserve"> 200</w:t>
      </w:r>
      <w:r>
        <w:rPr>
          <w:lang w:val="en-US"/>
        </w:rPr>
        <w:t>4-2008</w:t>
      </w:r>
      <w:r w:rsidRPr="008B5BCE">
        <w:t>, and the Commission has re</w:t>
      </w:r>
      <w:r>
        <w:rPr>
          <w:lang w:val="en-US"/>
        </w:rPr>
        <w:t>-</w:t>
      </w:r>
      <w:r w:rsidRPr="008B5BCE">
        <w:t>organized the E-rate rules since then, where the Commission’s codification of the rules in the Code of Federal Regulations has changed, we also cite to the relevant rules as they existed during the relevant funding year.</w:t>
      </w:r>
    </w:p>
  </w:footnote>
  <w:footnote w:id="12">
    <w:p w:rsidR="00581662" w:rsidRPr="00C2088B" w:rsidRDefault="00581662" w:rsidP="007E48AE">
      <w:pPr>
        <w:pStyle w:val="FootnoteText"/>
        <w:spacing w:after="120"/>
      </w:pPr>
      <w:r w:rsidRPr="00C2088B">
        <w:rPr>
          <w:rStyle w:val="FootnoteReference"/>
        </w:rPr>
        <w:footnoteRef/>
      </w:r>
      <w:r w:rsidRPr="00C2088B">
        <w:t xml:space="preserve"> 47 C.F.R. § 54.505(b).</w:t>
      </w:r>
    </w:p>
  </w:footnote>
  <w:footnote w:id="13">
    <w:p w:rsidR="00581662" w:rsidRPr="00374E4E" w:rsidRDefault="00581662">
      <w:pPr>
        <w:pStyle w:val="FootnoteText"/>
        <w:spacing w:after="120"/>
        <w:rPr>
          <w:lang w:val="en-US"/>
        </w:rPr>
      </w:pPr>
      <w:r>
        <w:rPr>
          <w:rStyle w:val="FootnoteReference"/>
        </w:rPr>
        <w:footnoteRef/>
      </w:r>
      <w:r>
        <w:t xml:space="preserve"> </w:t>
      </w:r>
      <w:r>
        <w:rPr>
          <w:i/>
          <w:lang w:val="en-US"/>
        </w:rPr>
        <w:t xml:space="preserve">See </w:t>
      </w:r>
      <w:r>
        <w:t xml:space="preserve">Letter from USAC, Schools and Libraries Division, to </w:t>
      </w:r>
      <w:r>
        <w:rPr>
          <w:lang w:val="en-US"/>
        </w:rPr>
        <w:t xml:space="preserve">Nichole O’Neal, Brockton Public School District </w:t>
      </w:r>
      <w:r>
        <w:t xml:space="preserve">(dated </w:t>
      </w:r>
      <w:r>
        <w:rPr>
          <w:lang w:val="en-US"/>
        </w:rPr>
        <w:t>Sept. 8</w:t>
      </w:r>
      <w:r>
        <w:t>, 200</w:t>
      </w:r>
      <w:r>
        <w:rPr>
          <w:lang w:val="en-US"/>
        </w:rPr>
        <w:t>8</w:t>
      </w:r>
      <w:r>
        <w:t>) (regarding funding year 200</w:t>
      </w:r>
      <w:r>
        <w:rPr>
          <w:lang w:val="en-US"/>
        </w:rPr>
        <w:t>7</w:t>
      </w:r>
      <w:r>
        <w:t xml:space="preserve"> FCC Form 471 application number </w:t>
      </w:r>
      <w:r>
        <w:rPr>
          <w:lang w:val="en-US"/>
        </w:rPr>
        <w:t>575224</w:t>
      </w:r>
      <w:r>
        <w:t xml:space="preserve"> (</w:t>
      </w:r>
      <w:r>
        <w:rPr>
          <w:lang w:val="en-US"/>
        </w:rPr>
        <w:t>funding request number (</w:t>
      </w:r>
      <w:r>
        <w:t>FRN</w:t>
      </w:r>
      <w:r>
        <w:rPr>
          <w:lang w:val="en-US"/>
        </w:rPr>
        <w:t>) 1590640</w:t>
      </w:r>
      <w:r>
        <w:t>)</w:t>
      </w:r>
      <w:r>
        <w:rPr>
          <w:lang w:val="en-US"/>
        </w:rPr>
        <w:t>)</w:t>
      </w:r>
      <w:r>
        <w:t xml:space="preserve">; Letter from USAC, Schools and Libraries Division, to </w:t>
      </w:r>
      <w:r>
        <w:rPr>
          <w:lang w:val="en-US"/>
        </w:rPr>
        <w:t xml:space="preserve">Nichole O’Neal, Brockton Public School District </w:t>
      </w:r>
      <w:r>
        <w:t xml:space="preserve">(dated </w:t>
      </w:r>
      <w:r>
        <w:rPr>
          <w:lang w:val="en-US"/>
        </w:rPr>
        <w:t>Oct. 31</w:t>
      </w:r>
      <w:r>
        <w:t>, 200</w:t>
      </w:r>
      <w:r>
        <w:rPr>
          <w:lang w:val="en-US"/>
        </w:rPr>
        <w:t>8</w:t>
      </w:r>
      <w:r>
        <w:t xml:space="preserve">) (regarding funding year 2008 FCC Form 471 application number </w:t>
      </w:r>
      <w:r>
        <w:rPr>
          <w:lang w:val="en-US"/>
        </w:rPr>
        <w:t>614875</w:t>
      </w:r>
      <w:r>
        <w:t xml:space="preserve"> (FRN </w:t>
      </w:r>
      <w:r>
        <w:rPr>
          <w:lang w:val="en-US"/>
        </w:rPr>
        <w:t>1754095</w:t>
      </w:r>
      <w:r>
        <w:t>)</w:t>
      </w:r>
      <w:r>
        <w:rPr>
          <w:lang w:val="en-US"/>
        </w:rPr>
        <w:t>)</w:t>
      </w:r>
      <w:r>
        <w:t xml:space="preserve">; Letter from USAC, Schools and Libraries Division, to </w:t>
      </w:r>
      <w:r>
        <w:rPr>
          <w:lang w:val="en-US"/>
        </w:rPr>
        <w:t xml:space="preserve">Nichole O’Neal, Brockton Public School District </w:t>
      </w:r>
      <w:r>
        <w:t xml:space="preserve">(dated </w:t>
      </w:r>
      <w:r>
        <w:rPr>
          <w:lang w:val="en-US"/>
        </w:rPr>
        <w:t>Jan. 14, 2009</w:t>
      </w:r>
      <w:r>
        <w:t>) (regarding funding year 200</w:t>
      </w:r>
      <w:r>
        <w:rPr>
          <w:lang w:val="en-US"/>
        </w:rPr>
        <w:t>6</w:t>
      </w:r>
      <w:r>
        <w:t xml:space="preserve"> FCC Form 471 application number </w:t>
      </w:r>
      <w:r>
        <w:rPr>
          <w:lang w:val="en-US"/>
        </w:rPr>
        <w:t>514834</w:t>
      </w:r>
      <w:r>
        <w:t xml:space="preserve"> (</w:t>
      </w:r>
      <w:r>
        <w:rPr>
          <w:lang w:val="en-US"/>
        </w:rPr>
        <w:t>FRN 1416498</w:t>
      </w:r>
      <w:r>
        <w:t>)</w:t>
      </w:r>
      <w:r>
        <w:rPr>
          <w:lang w:val="en-US"/>
        </w:rPr>
        <w:t>)</w:t>
      </w:r>
      <w:r>
        <w:t>;</w:t>
      </w:r>
      <w:r>
        <w:rPr>
          <w:lang w:val="en-US"/>
        </w:rPr>
        <w:t xml:space="preserve"> </w:t>
      </w:r>
      <w:r>
        <w:t xml:space="preserve">Letter from USAC, Schools and Libraries Division, to </w:t>
      </w:r>
      <w:r>
        <w:rPr>
          <w:lang w:val="en-US"/>
        </w:rPr>
        <w:t xml:space="preserve">Miguel Andreottola, Chelsea School District </w:t>
      </w:r>
      <w:r>
        <w:t xml:space="preserve">(dated </w:t>
      </w:r>
      <w:r>
        <w:rPr>
          <w:lang w:val="en-US"/>
        </w:rPr>
        <w:t>Jan. 14</w:t>
      </w:r>
      <w:r>
        <w:t>, 200</w:t>
      </w:r>
      <w:r>
        <w:rPr>
          <w:lang w:val="en-US"/>
        </w:rPr>
        <w:t>9</w:t>
      </w:r>
      <w:r>
        <w:t>) (regarding funding year 200</w:t>
      </w:r>
      <w:r>
        <w:rPr>
          <w:lang w:val="en-US"/>
        </w:rPr>
        <w:t>6</w:t>
      </w:r>
      <w:r>
        <w:t xml:space="preserve"> FCC Form 471 application number </w:t>
      </w:r>
      <w:r>
        <w:rPr>
          <w:lang w:val="en-US"/>
        </w:rPr>
        <w:t>502263</w:t>
      </w:r>
      <w:r>
        <w:t xml:space="preserve"> (FRN </w:t>
      </w:r>
      <w:r>
        <w:rPr>
          <w:lang w:val="en-US"/>
        </w:rPr>
        <w:t>1381110</w:t>
      </w:r>
      <w:r>
        <w:t>)</w:t>
      </w:r>
      <w:r>
        <w:rPr>
          <w:lang w:val="en-US"/>
        </w:rPr>
        <w:t>)</w:t>
      </w:r>
      <w:r>
        <w:t xml:space="preserve">; Letter from USAC, Schools and Libraries Division, to </w:t>
      </w:r>
      <w:r>
        <w:rPr>
          <w:lang w:val="en-US"/>
        </w:rPr>
        <w:t xml:space="preserve">Miguel Andreottola, Chelsea School District </w:t>
      </w:r>
      <w:r>
        <w:t xml:space="preserve">(dated </w:t>
      </w:r>
      <w:r>
        <w:rPr>
          <w:lang w:val="en-US"/>
        </w:rPr>
        <w:t>Jan. 14</w:t>
      </w:r>
      <w:r>
        <w:t>, 200</w:t>
      </w:r>
      <w:r>
        <w:rPr>
          <w:lang w:val="en-US"/>
        </w:rPr>
        <w:t>9</w:t>
      </w:r>
      <w:r>
        <w:t>) (regarding funding year 200</w:t>
      </w:r>
      <w:r>
        <w:rPr>
          <w:lang w:val="en-US"/>
        </w:rPr>
        <w:t>5</w:t>
      </w:r>
      <w:r>
        <w:t xml:space="preserve"> FCC Form 471 application number </w:t>
      </w:r>
      <w:r>
        <w:rPr>
          <w:lang w:val="en-US"/>
        </w:rPr>
        <w:t>447884</w:t>
      </w:r>
      <w:r>
        <w:t xml:space="preserve"> (FRN </w:t>
      </w:r>
      <w:r>
        <w:rPr>
          <w:lang w:val="en-US"/>
        </w:rPr>
        <w:t>1232738</w:t>
      </w:r>
      <w:r>
        <w:t>)</w:t>
      </w:r>
      <w:r>
        <w:rPr>
          <w:lang w:val="en-US"/>
        </w:rPr>
        <w:t>)</w:t>
      </w:r>
      <w:r>
        <w:t xml:space="preserve">; Letter from USAC, Schools and Libraries Division, to </w:t>
      </w:r>
      <w:r>
        <w:rPr>
          <w:lang w:val="en-US"/>
        </w:rPr>
        <w:t xml:space="preserve">James Halloran, Somerville School District </w:t>
      </w:r>
      <w:r>
        <w:t xml:space="preserve">(dated </w:t>
      </w:r>
      <w:r>
        <w:rPr>
          <w:lang w:val="en-US"/>
        </w:rPr>
        <w:t>Sept. 8</w:t>
      </w:r>
      <w:r>
        <w:t>, 200</w:t>
      </w:r>
      <w:r>
        <w:rPr>
          <w:lang w:val="en-US"/>
        </w:rPr>
        <w:t>8</w:t>
      </w:r>
      <w:r>
        <w:t>) (regarding funding year 200</w:t>
      </w:r>
      <w:r>
        <w:rPr>
          <w:lang w:val="en-US"/>
        </w:rPr>
        <w:t>4</w:t>
      </w:r>
      <w:r>
        <w:t xml:space="preserve"> FCC Form 471 application number </w:t>
      </w:r>
      <w:r>
        <w:rPr>
          <w:lang w:val="en-US"/>
        </w:rPr>
        <w:t>425096</w:t>
      </w:r>
      <w:r>
        <w:t xml:space="preserve"> (FRN </w:t>
      </w:r>
      <w:r>
        <w:rPr>
          <w:lang w:val="en-US"/>
        </w:rPr>
        <w:t>1175002</w:t>
      </w:r>
      <w:r>
        <w:t>)</w:t>
      </w:r>
      <w:r>
        <w:rPr>
          <w:lang w:val="en-US"/>
        </w:rPr>
        <w:t>)</w:t>
      </w:r>
      <w:r>
        <w:t xml:space="preserve">; Letter from USAC, Schools and Libraries Division, to </w:t>
      </w:r>
      <w:r>
        <w:rPr>
          <w:lang w:val="en-US"/>
        </w:rPr>
        <w:t xml:space="preserve">Joy Jackson, Achieve Telecom Network of MA, LLC </w:t>
      </w:r>
      <w:r>
        <w:t xml:space="preserve">(dated </w:t>
      </w:r>
      <w:r>
        <w:rPr>
          <w:lang w:val="en-US"/>
        </w:rPr>
        <w:t>Dec. 10</w:t>
      </w:r>
      <w:r>
        <w:t>, 200</w:t>
      </w:r>
      <w:r>
        <w:rPr>
          <w:lang w:val="en-US"/>
        </w:rPr>
        <w:t>8</w:t>
      </w:r>
      <w:r>
        <w:t xml:space="preserve">) (regarding </w:t>
      </w:r>
      <w:r>
        <w:rPr>
          <w:lang w:val="en-US"/>
        </w:rPr>
        <w:t xml:space="preserve">Somerville School District </w:t>
      </w:r>
      <w:r>
        <w:t xml:space="preserve">funding year 2008 FCC Form 471 application number </w:t>
      </w:r>
      <w:r>
        <w:rPr>
          <w:lang w:val="en-US"/>
        </w:rPr>
        <w:t>613046</w:t>
      </w:r>
      <w:r>
        <w:t xml:space="preserve"> (FRN </w:t>
      </w:r>
      <w:r>
        <w:rPr>
          <w:lang w:val="en-US"/>
        </w:rPr>
        <w:t>1688549</w:t>
      </w:r>
      <w:r>
        <w:t>)</w:t>
      </w:r>
      <w:r>
        <w:rPr>
          <w:lang w:val="en-US"/>
        </w:rPr>
        <w:t>)</w:t>
      </w:r>
      <w:r>
        <w:t xml:space="preserve">; Letter from USAC, Schools and Libraries Division, to </w:t>
      </w:r>
      <w:r>
        <w:rPr>
          <w:lang w:val="en-US"/>
        </w:rPr>
        <w:t xml:space="preserve">James Halloran, Somerville School District </w:t>
      </w:r>
      <w:r>
        <w:t xml:space="preserve">(dated </w:t>
      </w:r>
      <w:r>
        <w:rPr>
          <w:lang w:val="en-US"/>
        </w:rPr>
        <w:t>Jan. 14</w:t>
      </w:r>
      <w:r>
        <w:t>, 200</w:t>
      </w:r>
      <w:r>
        <w:rPr>
          <w:lang w:val="en-US"/>
        </w:rPr>
        <w:t>9</w:t>
      </w:r>
      <w:r>
        <w:t>) (regarding funding year 200</w:t>
      </w:r>
      <w:r>
        <w:rPr>
          <w:lang w:val="en-US"/>
        </w:rPr>
        <w:t>5</w:t>
      </w:r>
      <w:r>
        <w:t xml:space="preserve"> FCC Form 471 application number </w:t>
      </w:r>
      <w:r>
        <w:rPr>
          <w:lang w:val="en-US"/>
        </w:rPr>
        <w:t>455467</w:t>
      </w:r>
      <w:r>
        <w:t xml:space="preserve"> (FRN </w:t>
      </w:r>
      <w:r>
        <w:rPr>
          <w:lang w:val="en-US"/>
        </w:rPr>
        <w:t>125749</w:t>
      </w:r>
      <w:r>
        <w:t>)</w:t>
      </w:r>
      <w:r>
        <w:rPr>
          <w:lang w:val="en-US"/>
        </w:rPr>
        <w:t xml:space="preserve">); </w:t>
      </w:r>
      <w:r>
        <w:t xml:space="preserve">Letter from USAC, Schools and Libraries Division, to </w:t>
      </w:r>
      <w:r>
        <w:rPr>
          <w:lang w:val="en-US"/>
        </w:rPr>
        <w:t xml:space="preserve">James Halloran, Somerville School District </w:t>
      </w:r>
      <w:r>
        <w:t xml:space="preserve">(dated </w:t>
      </w:r>
      <w:r>
        <w:rPr>
          <w:lang w:val="en-US"/>
        </w:rPr>
        <w:t>Jan. 14, 2009</w:t>
      </w:r>
      <w:r>
        <w:t>) (regarding funding year 200</w:t>
      </w:r>
      <w:r>
        <w:rPr>
          <w:lang w:val="en-US"/>
        </w:rPr>
        <w:t>6</w:t>
      </w:r>
      <w:r>
        <w:t xml:space="preserve"> FCC Form 471 application number </w:t>
      </w:r>
      <w:r>
        <w:rPr>
          <w:lang w:val="en-US"/>
        </w:rPr>
        <w:t>516499</w:t>
      </w:r>
      <w:r>
        <w:t xml:space="preserve"> (FRN </w:t>
      </w:r>
      <w:r>
        <w:rPr>
          <w:lang w:val="en-US"/>
        </w:rPr>
        <w:t>1421087</w:t>
      </w:r>
      <w:r>
        <w:t>)</w:t>
      </w:r>
      <w:r>
        <w:rPr>
          <w:lang w:val="en-US"/>
        </w:rPr>
        <w:t xml:space="preserve">) (Somerville Commitment Adjustment (COMAD)); </w:t>
      </w:r>
      <w:r>
        <w:t xml:space="preserve">Letter from USAC, Schools and Libraries Division, to </w:t>
      </w:r>
      <w:r>
        <w:rPr>
          <w:lang w:val="en-US"/>
        </w:rPr>
        <w:t xml:space="preserve">Joy Jackson, Achieve Telecom Network of MA, LLC </w:t>
      </w:r>
      <w:r>
        <w:t xml:space="preserve">(dated </w:t>
      </w:r>
      <w:r>
        <w:rPr>
          <w:lang w:val="en-US"/>
        </w:rPr>
        <w:t>Sept. 8</w:t>
      </w:r>
      <w:r>
        <w:t>, 200</w:t>
      </w:r>
      <w:r>
        <w:rPr>
          <w:lang w:val="en-US"/>
        </w:rPr>
        <w:t>8</w:t>
      </w:r>
      <w:r>
        <w:t xml:space="preserve">) (regarding </w:t>
      </w:r>
      <w:r>
        <w:rPr>
          <w:lang w:val="en-US"/>
        </w:rPr>
        <w:t xml:space="preserve">Springfield Public Schools funding year </w:t>
      </w:r>
      <w:r>
        <w:t>200</w:t>
      </w:r>
      <w:r>
        <w:rPr>
          <w:lang w:val="en-US"/>
        </w:rPr>
        <w:t>4</w:t>
      </w:r>
      <w:r>
        <w:t xml:space="preserve"> FCC Form 471 application number </w:t>
      </w:r>
      <w:r>
        <w:rPr>
          <w:lang w:val="en-US"/>
        </w:rPr>
        <w:t>433768</w:t>
      </w:r>
      <w:r>
        <w:t xml:space="preserve"> (FRN </w:t>
      </w:r>
      <w:r>
        <w:rPr>
          <w:lang w:val="en-US"/>
        </w:rPr>
        <w:t>1207981</w:t>
      </w:r>
      <w:r>
        <w:t>)</w:t>
      </w:r>
      <w:r>
        <w:rPr>
          <w:lang w:val="en-US"/>
        </w:rPr>
        <w:t xml:space="preserve">); </w:t>
      </w:r>
      <w:r>
        <w:t>Letter from USAC, Schools and Libraries Division, to</w:t>
      </w:r>
      <w:r>
        <w:rPr>
          <w:lang w:val="en-US"/>
        </w:rPr>
        <w:t xml:space="preserve"> Robert Hamel, Springfield Public Schools </w:t>
      </w:r>
      <w:r>
        <w:t xml:space="preserve">(dated </w:t>
      </w:r>
      <w:r>
        <w:rPr>
          <w:lang w:val="en-US"/>
        </w:rPr>
        <w:t>Sept. 8</w:t>
      </w:r>
      <w:r>
        <w:t>, 200</w:t>
      </w:r>
      <w:r>
        <w:rPr>
          <w:lang w:val="en-US"/>
        </w:rPr>
        <w:t>8</w:t>
      </w:r>
      <w:r>
        <w:t>) (regarding funding year 200</w:t>
      </w:r>
      <w:r>
        <w:rPr>
          <w:lang w:val="en-US"/>
        </w:rPr>
        <w:t>5</w:t>
      </w:r>
      <w:r>
        <w:t xml:space="preserve"> FCC Form 471 application number </w:t>
      </w:r>
      <w:r>
        <w:rPr>
          <w:lang w:val="en-US"/>
        </w:rPr>
        <w:t>487623</w:t>
      </w:r>
      <w:r>
        <w:t xml:space="preserve"> (FRN </w:t>
      </w:r>
      <w:r>
        <w:rPr>
          <w:lang w:val="en-US"/>
        </w:rPr>
        <w:t>1352672</w:t>
      </w:r>
      <w:r>
        <w:t>)</w:t>
      </w:r>
      <w:r>
        <w:rPr>
          <w:lang w:val="en-US"/>
        </w:rPr>
        <w:t xml:space="preserve">); </w:t>
      </w:r>
      <w:r>
        <w:t>Letter from USAC, Schools and Libraries Division, to</w:t>
      </w:r>
      <w:r>
        <w:rPr>
          <w:lang w:val="en-US"/>
        </w:rPr>
        <w:t xml:space="preserve"> Robert Hamel, Springfield Public Schools </w:t>
      </w:r>
      <w:r>
        <w:t xml:space="preserve">(dated </w:t>
      </w:r>
      <w:r>
        <w:rPr>
          <w:lang w:val="en-US"/>
        </w:rPr>
        <w:t>Sept. 8</w:t>
      </w:r>
      <w:r>
        <w:t>, 200</w:t>
      </w:r>
      <w:r>
        <w:rPr>
          <w:lang w:val="en-US"/>
        </w:rPr>
        <w:t>8</w:t>
      </w:r>
      <w:r>
        <w:t>) (regarding funding year 200</w:t>
      </w:r>
      <w:r>
        <w:rPr>
          <w:lang w:val="en-US"/>
        </w:rPr>
        <w:t>6</w:t>
      </w:r>
      <w:r>
        <w:t xml:space="preserve"> FCC Form 471 application number </w:t>
      </w:r>
      <w:r>
        <w:rPr>
          <w:lang w:val="en-US"/>
        </w:rPr>
        <w:t>538332</w:t>
      </w:r>
      <w:r>
        <w:t xml:space="preserve"> (FRN </w:t>
      </w:r>
      <w:r>
        <w:rPr>
          <w:lang w:val="en-US"/>
        </w:rPr>
        <w:t>1490940</w:t>
      </w:r>
      <w:r>
        <w:t>)</w:t>
      </w:r>
      <w:r>
        <w:rPr>
          <w:lang w:val="en-US"/>
        </w:rPr>
        <w:t xml:space="preserve">); </w:t>
      </w:r>
      <w:r>
        <w:t>Letter from USAC, Schools and Libraries Division, to</w:t>
      </w:r>
      <w:r>
        <w:rPr>
          <w:lang w:val="en-US"/>
        </w:rPr>
        <w:t xml:space="preserve"> Robert Hamel, Springfield Public Schools </w:t>
      </w:r>
      <w:r>
        <w:t xml:space="preserve">(dated </w:t>
      </w:r>
      <w:r>
        <w:rPr>
          <w:lang w:val="en-US"/>
        </w:rPr>
        <w:t>Sept. 8</w:t>
      </w:r>
      <w:r>
        <w:t>, 200</w:t>
      </w:r>
      <w:r>
        <w:rPr>
          <w:lang w:val="en-US"/>
        </w:rPr>
        <w:t>8</w:t>
      </w:r>
      <w:r>
        <w:t>) (regarding funding year 200</w:t>
      </w:r>
      <w:r>
        <w:rPr>
          <w:lang w:val="en-US"/>
        </w:rPr>
        <w:t>7</w:t>
      </w:r>
      <w:r>
        <w:t xml:space="preserve"> FCC Form 471 application number </w:t>
      </w:r>
      <w:r>
        <w:rPr>
          <w:lang w:val="en-US"/>
        </w:rPr>
        <w:t>577110</w:t>
      </w:r>
      <w:r>
        <w:t xml:space="preserve"> (FRN </w:t>
      </w:r>
      <w:r>
        <w:rPr>
          <w:lang w:val="en-US"/>
        </w:rPr>
        <w:t>1595241</w:t>
      </w:r>
      <w:r>
        <w:t>)</w:t>
      </w:r>
      <w:r>
        <w:rPr>
          <w:lang w:val="en-US"/>
        </w:rPr>
        <w:t xml:space="preserve">) (collectively, Notification of Commitment Adjustment Letters (COMADs)). </w:t>
      </w:r>
    </w:p>
  </w:footnote>
  <w:footnote w:id="14">
    <w:p w:rsidR="00581662" w:rsidRPr="00AC48FB" w:rsidRDefault="00581662" w:rsidP="00A15FD2">
      <w:pPr>
        <w:pStyle w:val="FootnoteText"/>
        <w:spacing w:after="120"/>
        <w:rPr>
          <w:lang w:val="en-US"/>
        </w:rPr>
      </w:pPr>
      <w:r>
        <w:rPr>
          <w:rStyle w:val="FootnoteReference"/>
        </w:rPr>
        <w:footnoteRef/>
      </w:r>
      <w:r>
        <w:t xml:space="preserve"> </w:t>
      </w:r>
      <w:r>
        <w:rPr>
          <w:i/>
          <w:lang w:val="en-US"/>
        </w:rPr>
        <w:t>See, e.g.</w:t>
      </w:r>
      <w:r>
        <w:rPr>
          <w:lang w:val="en-US"/>
        </w:rPr>
        <w:t>,</w:t>
      </w:r>
      <w:r>
        <w:rPr>
          <w:i/>
          <w:lang w:val="en-US"/>
        </w:rPr>
        <w:t xml:space="preserve"> </w:t>
      </w:r>
      <w:r>
        <w:rPr>
          <w:lang w:val="en-US"/>
        </w:rPr>
        <w:t xml:space="preserve">47 C.F.R. </w:t>
      </w:r>
      <w:r>
        <w:rPr>
          <w:iCs/>
        </w:rPr>
        <w:t>§</w:t>
      </w:r>
      <w:r>
        <w:rPr>
          <w:iCs/>
          <w:lang w:val="en-US"/>
        </w:rPr>
        <w:t xml:space="preserve"> 54.523; </w:t>
      </w:r>
      <w:r w:rsidRPr="009B25CE">
        <w:rPr>
          <w:i/>
          <w:lang w:val="en-US"/>
        </w:rPr>
        <w:t>Schools and Libraries Universal Service Support Mechanism</w:t>
      </w:r>
      <w:r>
        <w:rPr>
          <w:lang w:val="en-US"/>
        </w:rPr>
        <w:t>, CC Docket No. 02-6, Third Report and Order and Second Further Notice of Proposed Rulemaking, 18 FCC Rcd 26912, 26928, para. 41 (2003) (</w:t>
      </w:r>
      <w:r w:rsidRPr="009B25CE">
        <w:rPr>
          <w:i/>
          <w:lang w:val="en-US"/>
        </w:rPr>
        <w:t>School</w:t>
      </w:r>
      <w:r>
        <w:rPr>
          <w:i/>
          <w:lang w:val="en-US"/>
        </w:rPr>
        <w:t>s</w:t>
      </w:r>
      <w:r w:rsidRPr="009B25CE">
        <w:rPr>
          <w:i/>
          <w:lang w:val="en-US"/>
        </w:rPr>
        <w:t xml:space="preserve"> and Libraries Third Report and Order</w:t>
      </w:r>
      <w:r>
        <w:rPr>
          <w:lang w:val="en-US"/>
        </w:rPr>
        <w:t xml:space="preserve">) (adopting section 54.523 of the rules to clarify and amend the Commission’s codified rules to reflect the requirement “that an </w:t>
      </w:r>
      <w:r w:rsidRPr="00AC48FB">
        <w:rPr>
          <w:lang w:val="en-US"/>
        </w:rPr>
        <w:t>entity must pay the entire undiscounted portion of the cost of any services it receives through the schools and libraries program</w:t>
      </w:r>
      <w:r>
        <w:rPr>
          <w:lang w:val="en-US"/>
        </w:rPr>
        <w:t>,” which includes restrictions on providers’ conduct, including “</w:t>
      </w:r>
      <w:r w:rsidRPr="00AC48FB">
        <w:rPr>
          <w:lang w:val="en-US"/>
        </w:rPr>
        <w:t>a prohibition on the provision of free services to an eligible entity by a service provider that is also providing discounted services to the entity</w:t>
      </w:r>
      <w:r>
        <w:rPr>
          <w:lang w:val="en-US"/>
        </w:rPr>
        <w:t xml:space="preserve">”); </w:t>
      </w:r>
      <w:r>
        <w:rPr>
          <w:iCs/>
          <w:lang w:val="en-US"/>
        </w:rPr>
        <w:t>U</w:t>
      </w:r>
      <w:r w:rsidRPr="00842EFB">
        <w:t>SAC</w:t>
      </w:r>
      <w:r>
        <w:rPr>
          <w:lang w:val="en-US"/>
        </w:rPr>
        <w:t xml:space="preserve"> website</w:t>
      </w:r>
      <w:r w:rsidRPr="00842EFB">
        <w:t xml:space="preserve">, </w:t>
      </w:r>
      <w:r>
        <w:t xml:space="preserve">Schools and Libraries, </w:t>
      </w:r>
      <w:r>
        <w:rPr>
          <w:lang w:val="en-US"/>
        </w:rPr>
        <w:t>Free Services Advisory</w:t>
      </w:r>
      <w:r w:rsidRPr="00842EFB">
        <w:t>,</w:t>
      </w:r>
      <w:r>
        <w:t xml:space="preserve"> </w:t>
      </w:r>
      <w:hyperlink r:id="rId1" w:history="1">
        <w:r w:rsidRPr="00422147">
          <w:rPr>
            <w:rStyle w:val="Hyperlink"/>
            <w:iCs/>
            <w:lang w:val="en-US"/>
          </w:rPr>
          <w:t>http://sl.universalservice.org/reference/freeservices.asp</w:t>
        </w:r>
      </w:hyperlink>
      <w:r>
        <w:rPr>
          <w:iCs/>
          <w:lang w:val="en-US"/>
        </w:rPr>
        <w:t xml:space="preserve"> (content dated Jan. 4, 2002) (last visited Mar. 17, 2015) (Free Services Advisory) (“</w:t>
      </w:r>
      <w:r w:rsidRPr="007C0835">
        <w:rPr>
          <w:iCs/>
          <w:lang w:val="en-US"/>
        </w:rPr>
        <w:t>Applicants and service providers are prohibited from using the Schools and Libraries Support Mechanism to subsidize the procurement of ineligible or unrequested products and services, or from participating in arrangements that have the effect of providing a discount level to applicants greater than that to which applicants are entitled</w:t>
      </w:r>
      <w:r>
        <w:rPr>
          <w:iCs/>
          <w:lang w:val="en-US"/>
        </w:rPr>
        <w:t>.”)</w:t>
      </w:r>
      <w:r w:rsidRPr="00D10C51">
        <w:rPr>
          <w:i/>
          <w:iCs/>
          <w:lang w:val="en-US"/>
        </w:rPr>
        <w:t xml:space="preserve"> </w:t>
      </w:r>
      <w:r>
        <w:rPr>
          <w:i/>
          <w:iCs/>
          <w:lang w:val="en-US"/>
        </w:rPr>
        <w:t>cited in Schools and Libraries Third Report and Order</w:t>
      </w:r>
      <w:r>
        <w:rPr>
          <w:iCs/>
          <w:lang w:val="en-US"/>
        </w:rPr>
        <w:t xml:space="preserve">, 18 FCC Rcd </w:t>
      </w:r>
      <w:r>
        <w:rPr>
          <w:lang w:val="en-US"/>
        </w:rPr>
        <w:t>at 26928, para. 41, n.75</w:t>
      </w:r>
      <w:r>
        <w:rPr>
          <w:iCs/>
          <w:lang w:val="en-US"/>
        </w:rPr>
        <w:t>.</w:t>
      </w:r>
    </w:p>
  </w:footnote>
  <w:footnote w:id="15">
    <w:p w:rsidR="00581662" w:rsidRDefault="00581662" w:rsidP="00B70E61">
      <w:pPr>
        <w:pStyle w:val="FootnoteText"/>
        <w:spacing w:after="120"/>
      </w:pPr>
      <w:r>
        <w:rPr>
          <w:rStyle w:val="FootnoteReference"/>
        </w:rPr>
        <w:footnoteRef/>
      </w:r>
      <w:r w:rsidRPr="00AF537A">
        <w:rPr>
          <w:i/>
        </w:rPr>
        <w:t xml:space="preserve"> </w:t>
      </w:r>
      <w:r>
        <w:rPr>
          <w:i/>
          <w:lang w:val="en-US"/>
        </w:rPr>
        <w:t xml:space="preserve">See </w:t>
      </w:r>
      <w:r>
        <w:rPr>
          <w:lang w:val="en-US"/>
        </w:rPr>
        <w:t xml:space="preserve">47 C.F.R. </w:t>
      </w:r>
      <w:r>
        <w:rPr>
          <w:iCs/>
        </w:rPr>
        <w:t>§</w:t>
      </w:r>
      <w:r>
        <w:rPr>
          <w:iCs/>
          <w:lang w:val="en-US"/>
        </w:rPr>
        <w:t xml:space="preserve"> 54.523; </w:t>
      </w:r>
      <w:r w:rsidRPr="00842EFB">
        <w:t xml:space="preserve">USAC website, </w:t>
      </w:r>
      <w:r>
        <w:t xml:space="preserve">Schools and Libraries, </w:t>
      </w:r>
      <w:r>
        <w:rPr>
          <w:lang w:val="en-US"/>
        </w:rPr>
        <w:t>Free Service Advisory</w:t>
      </w:r>
      <w:r w:rsidRPr="00842EFB">
        <w:t>,</w:t>
      </w:r>
      <w:r>
        <w:t xml:space="preserve"> </w:t>
      </w:r>
      <w:r w:rsidRPr="008B7CF7">
        <w:t>available at</w:t>
      </w:r>
      <w:r>
        <w:t xml:space="preserve"> </w:t>
      </w:r>
      <w:hyperlink r:id="rId2" w:history="1">
        <w:r w:rsidRPr="00C8589D">
          <w:rPr>
            <w:rStyle w:val="Hyperlink"/>
          </w:rPr>
          <w:t>http://www.u</w:t>
        </w:r>
        <w:r w:rsidRPr="00C8589D">
          <w:rPr>
            <w:rStyle w:val="Hyperlink"/>
            <w:lang w:val="en-US"/>
          </w:rPr>
          <w:t>sac.org</w:t>
        </w:r>
        <w:r w:rsidRPr="00C8589D">
          <w:rPr>
            <w:rStyle w:val="Hyperlink"/>
          </w:rPr>
          <w:t>/sl/applicants/step0</w:t>
        </w:r>
        <w:r w:rsidRPr="00C8589D">
          <w:rPr>
            <w:rStyle w:val="Hyperlink"/>
            <w:lang w:val="en-US"/>
          </w:rPr>
          <w:t>7</w:t>
        </w:r>
        <w:r w:rsidRPr="00C8589D">
          <w:rPr>
            <w:rStyle w:val="Hyperlink"/>
          </w:rPr>
          <w:t>/</w:t>
        </w:r>
        <w:r w:rsidRPr="00C8589D">
          <w:rPr>
            <w:rStyle w:val="Hyperlink"/>
            <w:lang w:val="en-US"/>
          </w:rPr>
          <w:t>obligation-to-pay.</w:t>
        </w:r>
        <w:r w:rsidRPr="00C8589D">
          <w:rPr>
            <w:rStyle w:val="Hyperlink"/>
          </w:rPr>
          <w:t>aspx</w:t>
        </w:r>
      </w:hyperlink>
      <w:r>
        <w:rPr>
          <w:lang w:val="en-US"/>
        </w:rPr>
        <w:t xml:space="preserve"> (content dated Jan. 5, 2003) (last visited Mar. 17, 2015) (Free Service Advisory 2003) </w:t>
      </w:r>
      <w:r>
        <w:t>(</w:t>
      </w:r>
      <w:r>
        <w:rPr>
          <w:lang w:val="en-US"/>
        </w:rPr>
        <w:t>stating that funds from an outside source</w:t>
      </w:r>
      <w:r w:rsidRPr="00CA0BCA">
        <w:rPr>
          <w:lang w:val="en-US"/>
        </w:rPr>
        <w:t xml:space="preserve"> must </w:t>
      </w:r>
      <w:r>
        <w:rPr>
          <w:lang w:val="en-US"/>
        </w:rPr>
        <w:t>be independent of the applicant’s</w:t>
      </w:r>
      <w:r w:rsidRPr="00CA0BCA">
        <w:rPr>
          <w:lang w:val="en-US"/>
        </w:rPr>
        <w:t xml:space="preserve"> service provider(s)</w:t>
      </w:r>
      <w:r>
        <w:rPr>
          <w:lang w:val="en-US"/>
        </w:rPr>
        <w:t>)</w:t>
      </w:r>
      <w:r>
        <w:t>.</w:t>
      </w:r>
      <w:r>
        <w:rPr>
          <w:lang w:val="en-US"/>
        </w:rPr>
        <w:t xml:space="preserve">  This language has appeared on USAC’s website since 2003.  </w:t>
      </w:r>
      <w:r>
        <w:rPr>
          <w:i/>
          <w:lang w:val="en-US"/>
        </w:rPr>
        <w:t xml:space="preserve">See also </w:t>
      </w:r>
      <w:r w:rsidRPr="00842EFB">
        <w:t xml:space="preserve">USAC website, </w:t>
      </w:r>
      <w:r>
        <w:t xml:space="preserve">Schools and Libraries, </w:t>
      </w:r>
      <w:r>
        <w:rPr>
          <w:lang w:val="en-US"/>
        </w:rPr>
        <w:t>Train-the-Trainer Workshop 2004</w:t>
      </w:r>
      <w:r w:rsidRPr="00842EFB">
        <w:t>,</w:t>
      </w:r>
      <w:r>
        <w:t xml:space="preserve"> </w:t>
      </w:r>
      <w:r w:rsidRPr="008B7CF7">
        <w:t>available at</w:t>
      </w:r>
      <w:r w:rsidRPr="003453D9">
        <w:t xml:space="preserve"> </w:t>
      </w:r>
      <w:hyperlink r:id="rId3" w:history="1">
        <w:r w:rsidRPr="00F00EE0">
          <w:rPr>
            <w:rStyle w:val="Hyperlink"/>
            <w:lang w:val="en-US"/>
          </w:rPr>
          <w:t>http://www.usac.org/about/tools/TrainingArchive/Default.aspx?div=3</w:t>
        </w:r>
      </w:hyperlink>
      <w:r>
        <w:rPr>
          <w:lang w:val="en-US"/>
        </w:rPr>
        <w:t xml:space="preserve"> (last visited Mar. 17, 2015) (Train-the-Trainer Workshop 2004) (stating that the service provider cannot pay the applicant’s share either directly or indirectly).  </w:t>
      </w:r>
    </w:p>
  </w:footnote>
  <w:footnote w:id="16">
    <w:p w:rsidR="00581662" w:rsidRPr="00DA0968" w:rsidRDefault="00581662" w:rsidP="0036792C">
      <w:pPr>
        <w:pStyle w:val="FootnoteText"/>
        <w:spacing w:after="120"/>
        <w:rPr>
          <w:lang w:val="en-US"/>
        </w:rPr>
      </w:pPr>
      <w:r>
        <w:rPr>
          <w:rStyle w:val="FootnoteReference"/>
        </w:rPr>
        <w:footnoteRef/>
      </w:r>
      <w:r>
        <w:t xml:space="preserve"> </w:t>
      </w:r>
      <w:r w:rsidRPr="00842EFB">
        <w:rPr>
          <w:i/>
        </w:rPr>
        <w:t>See</w:t>
      </w:r>
      <w:r>
        <w:rPr>
          <w:lang w:val="en-US"/>
        </w:rPr>
        <w:t xml:space="preserve"> Free Services Advisory 2003; Train-the-Trainer Workshop 2004.  In its pleadings, Achieve acknowledges USAC’s guidance that a service provider may “help applicants obtain grants … [only] so long as the grants or organizations are independent of the service provider.”  </w:t>
      </w:r>
      <w:r w:rsidRPr="005B7D4B">
        <w:rPr>
          <w:i/>
          <w:lang w:val="en-US"/>
        </w:rPr>
        <w:t>See</w:t>
      </w:r>
      <w:r>
        <w:rPr>
          <w:lang w:val="en-US"/>
        </w:rPr>
        <w:t xml:space="preserve"> Achieve Request for Review at 4.  Achieve’s pleading also highlights Example 7 from that USAC guidance, which explains that when a service provider donates funds “to a grant organization, with a stipulation for how the funds are to be disbursed, that [conduct] violates program rules.”  </w:t>
      </w:r>
      <w:r w:rsidRPr="005B7D4B">
        <w:rPr>
          <w:i/>
          <w:lang w:val="en-US"/>
        </w:rPr>
        <w:t>Id</w:t>
      </w:r>
      <w:r>
        <w:rPr>
          <w:lang w:val="en-US"/>
        </w:rPr>
        <w:t xml:space="preserve">. at 5.  We note that, in 2010, the Commission codified the existing requirement that the E-rate competitive bidding process be fair and open.  </w:t>
      </w:r>
      <w:r w:rsidRPr="00F722FC">
        <w:rPr>
          <w:i/>
          <w:lang w:val="en-US"/>
        </w:rPr>
        <w:t>See</w:t>
      </w:r>
      <w:r>
        <w:rPr>
          <w:lang w:val="en-US"/>
        </w:rPr>
        <w:t xml:space="preserve"> </w:t>
      </w:r>
      <w:r w:rsidRPr="00070B6D">
        <w:rPr>
          <w:i/>
          <w:lang w:val="en-US"/>
        </w:rPr>
        <w:t>Schools and Libraries Universal Service Support Mechanism and A National Broadband Plan for Our Future; Sixth Report and Order</w:t>
      </w:r>
      <w:r>
        <w:rPr>
          <w:lang w:val="en-US"/>
        </w:rPr>
        <w:t>, CC Docket No. 02-6, 25 FCC Rcd 18762, 18798-800, paras. 85-86 (2010) (</w:t>
      </w:r>
      <w:r w:rsidRPr="009B25CE">
        <w:rPr>
          <w:i/>
          <w:lang w:val="en-US"/>
        </w:rPr>
        <w:t>Schools and Libraries Sixth Report and Order</w:t>
      </w:r>
      <w:r>
        <w:rPr>
          <w:lang w:val="en-US"/>
        </w:rPr>
        <w:t xml:space="preserve">).  In that Order, the Commission also codified the existing prohibition on improper gifts under the competitive bidding rules.  </w:t>
      </w:r>
      <w:r w:rsidRPr="003D6F3D">
        <w:rPr>
          <w:i/>
          <w:lang w:val="en-US"/>
        </w:rPr>
        <w:t>Id.</w:t>
      </w:r>
      <w:r>
        <w:rPr>
          <w:lang w:val="en-US"/>
        </w:rPr>
        <w:t xml:space="preserve"> at 18802, para. 90; </w:t>
      </w:r>
      <w:r w:rsidRPr="003A5292">
        <w:t>47 C.F.R. 54.503(d)</w:t>
      </w:r>
      <w:r>
        <w:rPr>
          <w:lang w:val="en-US"/>
        </w:rPr>
        <w:t xml:space="preserve"> (codifying the limitations on gifts and reiterating that service provider donations to applicants are not legitimate charitable contributions when</w:t>
      </w:r>
      <w:r>
        <w:rPr>
          <w:color w:val="1F497D"/>
          <w:lang w:val="en-US"/>
        </w:rPr>
        <w:t xml:space="preserve"> </w:t>
      </w:r>
      <w:r w:rsidRPr="003A5292">
        <w:t>“</w:t>
      </w:r>
      <w:r>
        <w:rPr>
          <w:lang w:val="en-US"/>
        </w:rPr>
        <w:t xml:space="preserve">directly or indirectly related to E-rate procurement activities . . . [or] </w:t>
      </w:r>
      <w:r w:rsidRPr="003A5292">
        <w:t xml:space="preserve">given to circumvent competitive bidding and other E-rate program rules . . . </w:t>
      </w:r>
      <w:r>
        <w:rPr>
          <w:lang w:val="en-US"/>
        </w:rPr>
        <w:t>including those [rules] requiring</w:t>
      </w:r>
      <w:r w:rsidRPr="003A5292">
        <w:t xml:space="preserve"> schools and libraries to pay their own non-discount share for the </w:t>
      </w:r>
      <w:r>
        <w:t>services they are purchasing.”</w:t>
      </w:r>
      <w:r>
        <w:rPr>
          <w:lang w:val="en-US"/>
        </w:rPr>
        <w:t>) (Gift Restrictions)</w:t>
      </w:r>
      <w:r w:rsidRPr="003A5292">
        <w:t>.</w:t>
      </w:r>
      <w:r>
        <w:rPr>
          <w:rFonts w:ascii="Calibri" w:hAnsi="Calibri"/>
        </w:rPr>
        <w:t> </w:t>
      </w:r>
    </w:p>
  </w:footnote>
  <w:footnote w:id="17">
    <w:p w:rsidR="00581662" w:rsidRPr="00720F9D" w:rsidRDefault="00581662" w:rsidP="007E48AE">
      <w:pPr>
        <w:pStyle w:val="FootnoteText"/>
        <w:spacing w:after="120"/>
        <w:rPr>
          <w:lang w:val="en-US"/>
        </w:rPr>
      </w:pPr>
      <w:r>
        <w:rPr>
          <w:rStyle w:val="FootnoteReference"/>
        </w:rPr>
        <w:footnoteRef/>
      </w:r>
      <w:r>
        <w:t xml:space="preserve"> </w:t>
      </w:r>
      <w:r w:rsidRPr="00A6553E">
        <w:rPr>
          <w:i/>
          <w:iCs/>
          <w:color w:val="000000"/>
        </w:rPr>
        <w:t>See</w:t>
      </w:r>
      <w:r w:rsidRPr="00A6553E">
        <w:rPr>
          <w:color w:val="000000"/>
        </w:rPr>
        <w:t xml:space="preserve"> </w:t>
      </w:r>
      <w:r>
        <w:rPr>
          <w:color w:val="000000"/>
        </w:rPr>
        <w:t>FCC Form 473</w:t>
      </w:r>
      <w:r>
        <w:rPr>
          <w:color w:val="000000"/>
          <w:lang w:val="en-US"/>
        </w:rPr>
        <w:t xml:space="preserve">; </w:t>
      </w:r>
      <w:r>
        <w:rPr>
          <w:i/>
          <w:lang w:val="en-US"/>
        </w:rPr>
        <w:t xml:space="preserve">HITN Order, </w:t>
      </w:r>
      <w:r>
        <w:rPr>
          <w:lang w:val="en-US"/>
        </w:rPr>
        <w:t>23 FCC Rcd</w:t>
      </w:r>
      <w:r>
        <w:t xml:space="preserve"> </w:t>
      </w:r>
      <w:r>
        <w:rPr>
          <w:iCs/>
          <w:color w:val="000000"/>
          <w:lang w:val="en-US"/>
        </w:rPr>
        <w:t>at 15436-37, paras. 9-11.</w:t>
      </w:r>
    </w:p>
  </w:footnote>
  <w:footnote w:id="18">
    <w:p w:rsidR="00581662" w:rsidRPr="001C449C" w:rsidRDefault="00581662" w:rsidP="007E48AE">
      <w:pPr>
        <w:pStyle w:val="FootnoteText"/>
        <w:spacing w:after="120"/>
      </w:pPr>
      <w:r>
        <w:rPr>
          <w:rStyle w:val="FootnoteReference"/>
        </w:rPr>
        <w:footnoteRef/>
      </w:r>
      <w:r>
        <w:t xml:space="preserve"> </w:t>
      </w:r>
      <w:r>
        <w:rPr>
          <w:i/>
          <w:iCs/>
          <w:color w:val="000000"/>
        </w:rPr>
        <w:t>S</w:t>
      </w:r>
      <w:r>
        <w:rPr>
          <w:i/>
          <w:iCs/>
          <w:color w:val="000000"/>
          <w:lang w:val="en-US"/>
        </w:rPr>
        <w:t>ee HITN Order</w:t>
      </w:r>
      <w:r>
        <w:rPr>
          <w:iCs/>
          <w:color w:val="000000"/>
          <w:lang w:val="en-US"/>
        </w:rPr>
        <w:t>, 23 FCC Rcd at 15436-37, paras. 9-11.</w:t>
      </w:r>
      <w:r>
        <w:rPr>
          <w:i/>
          <w:lang w:val="en-US"/>
        </w:rPr>
        <w:t xml:space="preserve"> </w:t>
      </w:r>
    </w:p>
  </w:footnote>
  <w:footnote w:id="19">
    <w:p w:rsidR="00581662" w:rsidRDefault="00581662">
      <w:pPr>
        <w:pStyle w:val="FootnoteText"/>
        <w:spacing w:after="120"/>
      </w:pPr>
      <w:r>
        <w:rPr>
          <w:rStyle w:val="FootnoteReference"/>
        </w:rPr>
        <w:footnoteRef/>
      </w:r>
      <w:r>
        <w:t xml:space="preserve"> 47 C.F.R. § 54.504</w:t>
      </w:r>
      <w:r>
        <w:rPr>
          <w:lang w:val="en-US"/>
        </w:rPr>
        <w:t xml:space="preserve"> (2004); </w:t>
      </w:r>
      <w:r w:rsidRPr="00F80756">
        <w:t>47 C.F.R. § 54.50</w:t>
      </w:r>
      <w:r>
        <w:rPr>
          <w:lang w:val="en-US"/>
        </w:rPr>
        <w:t>3 (2011).</w:t>
      </w:r>
      <w:r>
        <w:t xml:space="preserve">  </w:t>
      </w:r>
    </w:p>
  </w:footnote>
  <w:footnote w:id="20">
    <w:p w:rsidR="00581662" w:rsidRPr="00574EF8" w:rsidRDefault="00581662">
      <w:pPr>
        <w:pStyle w:val="FootnoteText"/>
        <w:spacing w:after="120"/>
        <w:rPr>
          <w:lang w:val="en-US"/>
        </w:rPr>
      </w:pPr>
      <w:r>
        <w:rPr>
          <w:rStyle w:val="FootnoteReference"/>
        </w:rPr>
        <w:footnoteRef/>
      </w:r>
      <w:r>
        <w:t xml:space="preserve"> </w:t>
      </w:r>
      <w:r w:rsidRPr="009B25CE">
        <w:rPr>
          <w:i/>
          <w:lang w:val="en-US"/>
        </w:rPr>
        <w:t>See, e.g.</w:t>
      </w:r>
      <w:r w:rsidRPr="00BC7A21">
        <w:rPr>
          <w:lang w:val="en-US"/>
        </w:rPr>
        <w:t>,</w:t>
      </w:r>
      <w:r w:rsidRPr="009B25CE">
        <w:rPr>
          <w:i/>
          <w:lang w:val="en-US"/>
        </w:rPr>
        <w:t xml:space="preserve"> School</w:t>
      </w:r>
      <w:r>
        <w:rPr>
          <w:i/>
          <w:lang w:val="en-US"/>
        </w:rPr>
        <w:t>s</w:t>
      </w:r>
      <w:r w:rsidRPr="009B25CE">
        <w:rPr>
          <w:i/>
          <w:lang w:val="en-US"/>
        </w:rPr>
        <w:t xml:space="preserve"> and Libraries Third Report and Order</w:t>
      </w:r>
      <w:r>
        <w:rPr>
          <w:lang w:val="en-US"/>
        </w:rPr>
        <w:t xml:space="preserve">, 18 FCC Rcd at 26939, para. 66 (stating that a fair and open competitive bidding process is critical to preventing waste, fraud, and abuse of program resources); </w:t>
      </w:r>
      <w:r w:rsidRPr="00223B88">
        <w:rPr>
          <w:i/>
        </w:rPr>
        <w:t>Universal Service</w:t>
      </w:r>
      <w:r>
        <w:rPr>
          <w:i/>
          <w:lang w:val="en-US"/>
        </w:rPr>
        <w:t xml:space="preserve"> First Report and Order</w:t>
      </w:r>
      <w:r w:rsidRPr="00042081">
        <w:t>,</w:t>
      </w:r>
      <w:r w:rsidRPr="00223B88">
        <w:rPr>
          <w:i/>
        </w:rPr>
        <w:t xml:space="preserve"> </w:t>
      </w:r>
      <w:r w:rsidRPr="00223B88">
        <w:t>12 FCC Rcd 8776, 90</w:t>
      </w:r>
      <w:r>
        <w:t>29, p</w:t>
      </w:r>
      <w:r w:rsidRPr="00223B88">
        <w:t>ara</w:t>
      </w:r>
      <w:r>
        <w:t>s</w:t>
      </w:r>
      <w:r w:rsidRPr="00223B88">
        <w:t xml:space="preserve">. </w:t>
      </w:r>
      <w:r>
        <w:t xml:space="preserve">480-81 </w:t>
      </w:r>
      <w:r w:rsidRPr="00A670D4">
        <w:t xml:space="preserve">(requiring applicants to conduct a fair and open competitive bidding process when seeking support for eligible products and services); </w:t>
      </w:r>
      <w:r w:rsidRPr="00A670D4">
        <w:rPr>
          <w:i/>
        </w:rPr>
        <w:t>Federal-State Joint Board on Universal Service</w:t>
      </w:r>
      <w:r>
        <w:rPr>
          <w:i/>
        </w:rPr>
        <w:t>;</w:t>
      </w:r>
      <w:r w:rsidRPr="00A670D4">
        <w:rPr>
          <w:i/>
        </w:rPr>
        <w:t xml:space="preserve"> Access Charge Reform</w:t>
      </w:r>
      <w:r>
        <w:rPr>
          <w:i/>
        </w:rPr>
        <w:t>;</w:t>
      </w:r>
      <w:r w:rsidRPr="00A670D4">
        <w:rPr>
          <w:i/>
        </w:rPr>
        <w:t xml:space="preserve"> Price Cap Performance Review for Local Exchange Carriers</w:t>
      </w:r>
      <w:r>
        <w:rPr>
          <w:i/>
        </w:rPr>
        <w:t>;</w:t>
      </w:r>
      <w:r w:rsidRPr="00A670D4">
        <w:rPr>
          <w:i/>
        </w:rPr>
        <w:t xml:space="preserve"> Transport Rate Structure and Pricing</w:t>
      </w:r>
      <w:r>
        <w:rPr>
          <w:i/>
        </w:rPr>
        <w:t>;</w:t>
      </w:r>
      <w:r w:rsidRPr="00A670D4">
        <w:rPr>
          <w:i/>
        </w:rPr>
        <w:t xml:space="preserve"> End User Common Line Charge</w:t>
      </w:r>
      <w:r w:rsidRPr="00A670D4">
        <w:t>, CC Docket Nos. 96-45, 96-262, 94-1, 91-213, and 95-72, Report and Order and Fourth Order on Reconsideration, 13 FCC Rcd 5318, 5425-26, para. 185 (1997) (stating that competitive bidding is a key component of the Commission’s effort to ensure that universal service funds support services that satisfy the precise needs of an institution, and that the services are provided</w:t>
      </w:r>
      <w:r>
        <w:t xml:space="preserve"> at the lowest possible rates)</w:t>
      </w:r>
      <w:r>
        <w:rPr>
          <w:lang w:val="en-US"/>
        </w:rPr>
        <w:t xml:space="preserve">; </w:t>
      </w:r>
      <w:r>
        <w:rPr>
          <w:i/>
          <w:lang w:val="en-US"/>
        </w:rPr>
        <w:t>Request for Review by MasterM</w:t>
      </w:r>
      <w:r w:rsidRPr="009B25CE">
        <w:rPr>
          <w:i/>
          <w:lang w:val="en-US"/>
        </w:rPr>
        <w:t>ind Internet Services, Inc.; Federal-State Joint Board on Universal Service; Changes to the Board of Directors of the National Exchange Carrier Association, Inc.</w:t>
      </w:r>
      <w:r>
        <w:rPr>
          <w:lang w:val="en-US"/>
        </w:rPr>
        <w:t>, CC Docket No. 96-45, Order, 16 FCC Rcd 4028 (2000) (</w:t>
      </w:r>
      <w:r>
        <w:rPr>
          <w:i/>
          <w:lang w:val="en-US"/>
        </w:rPr>
        <w:t>MasterM</w:t>
      </w:r>
      <w:r w:rsidRPr="009B25CE">
        <w:rPr>
          <w:i/>
          <w:lang w:val="en-US"/>
        </w:rPr>
        <w:t>ind Order</w:t>
      </w:r>
      <w:r>
        <w:rPr>
          <w:lang w:val="en-US"/>
        </w:rPr>
        <w:t xml:space="preserve">) (finding that the FCC Form 470 contact person influences an applicant’s competitive bidding process by controlling the dissemination of information regarding the services requested and, when an applicant delegates that power to an entity that also participates in the bidding process as a prospective service provider, the applicant impairs its ability to hold a fair competitive bidding process).  </w:t>
      </w:r>
      <w:r>
        <w:rPr>
          <w:i/>
          <w:lang w:val="en-US"/>
        </w:rPr>
        <w:t>S</w:t>
      </w:r>
      <w:r w:rsidRPr="009B25CE">
        <w:rPr>
          <w:i/>
          <w:lang w:val="en-US"/>
        </w:rPr>
        <w:t>ee also Request for Review by Dickenson County Public Schools; Federal-State Joint Board on Universal Service</w:t>
      </w:r>
      <w:r>
        <w:rPr>
          <w:lang w:val="en-US"/>
        </w:rPr>
        <w:t xml:space="preserve">, CC Docket No. 96-45, 17 FCC Rcd 15747, 15748, para. 3 (2002); </w:t>
      </w:r>
      <w:r w:rsidRPr="009B25CE">
        <w:rPr>
          <w:i/>
          <w:lang w:val="en-US"/>
        </w:rPr>
        <w:t>Request for Review by Approach Learning and Assessment Center; Federal-State Joint Board on Universal Service</w:t>
      </w:r>
      <w:r>
        <w:rPr>
          <w:lang w:val="en-US"/>
        </w:rPr>
        <w:t xml:space="preserve">, CC Docket No. 96-45, 22 FCC Rcd 5296, 5303, para. 19 (Wireline Comp. Bur. 2007) (finding that service provider participation may have suppressed fair and open competitive bidding); </w:t>
      </w:r>
      <w:r w:rsidRPr="00FF1437">
        <w:rPr>
          <w:i/>
          <w:lang w:val="en-US"/>
        </w:rPr>
        <w:t>Schools and Libraries Sixth Report and Order</w:t>
      </w:r>
      <w:r>
        <w:rPr>
          <w:lang w:val="en-US"/>
        </w:rPr>
        <w:t xml:space="preserve">, 25 FCC at 18798-800, paras. 85-86; 47 C.F.R </w:t>
      </w:r>
      <w:r>
        <w:t>§</w:t>
      </w:r>
      <w:r>
        <w:rPr>
          <w:lang w:val="en-US"/>
        </w:rPr>
        <w:t xml:space="preserve"> 54.504 (2004); 47 C.F.R </w:t>
      </w:r>
      <w:r>
        <w:t>§</w:t>
      </w:r>
      <w:r>
        <w:rPr>
          <w:lang w:val="en-US"/>
        </w:rPr>
        <w:t xml:space="preserve"> 54.503 (2011).</w:t>
      </w:r>
    </w:p>
  </w:footnote>
  <w:footnote w:id="21">
    <w:p w:rsidR="00581662" w:rsidRPr="00574EF8" w:rsidRDefault="00581662">
      <w:pPr>
        <w:pStyle w:val="FootnoteText"/>
        <w:spacing w:after="120"/>
        <w:rPr>
          <w:lang w:val="en-US"/>
        </w:rPr>
      </w:pPr>
      <w:r>
        <w:rPr>
          <w:rStyle w:val="FootnoteReference"/>
        </w:rPr>
        <w:footnoteRef/>
      </w:r>
      <w:r>
        <w:t xml:space="preserve"> </w:t>
      </w:r>
      <w:r w:rsidRPr="00574EF8">
        <w:rPr>
          <w:i/>
          <w:lang w:val="en-US"/>
        </w:rPr>
        <w:t>See</w:t>
      </w:r>
      <w:r>
        <w:rPr>
          <w:i/>
          <w:lang w:val="en-US"/>
        </w:rPr>
        <w:t>, e.g.</w:t>
      </w:r>
      <w:r w:rsidRPr="00BC7A21">
        <w:rPr>
          <w:lang w:val="en-US"/>
        </w:rPr>
        <w:t>,</w:t>
      </w:r>
      <w:r w:rsidRPr="00574EF8">
        <w:rPr>
          <w:i/>
          <w:lang w:val="en-US"/>
        </w:rPr>
        <w:t xml:space="preserve"> Mastermind Order</w:t>
      </w:r>
      <w:r>
        <w:rPr>
          <w:lang w:val="en-US"/>
        </w:rPr>
        <w:t>, 16 FCC Rcd 4033, para. 10.</w:t>
      </w:r>
    </w:p>
  </w:footnote>
  <w:footnote w:id="22">
    <w:p w:rsidR="00581662" w:rsidRPr="004D1B8C" w:rsidRDefault="00581662">
      <w:pPr>
        <w:pStyle w:val="FootnoteText"/>
        <w:spacing w:after="120"/>
        <w:rPr>
          <w:lang w:val="en-US"/>
        </w:rPr>
      </w:pPr>
      <w:r>
        <w:rPr>
          <w:rStyle w:val="FootnoteReference"/>
        </w:rPr>
        <w:footnoteRef/>
      </w:r>
      <w:r>
        <w:t xml:space="preserve"> FCC Form 471, </w:t>
      </w:r>
      <w:r>
        <w:rPr>
          <w:lang w:val="en-US"/>
        </w:rPr>
        <w:t>Brockton Public School District</w:t>
      </w:r>
      <w:r>
        <w:t xml:space="preserve"> (filed </w:t>
      </w:r>
      <w:r>
        <w:rPr>
          <w:lang w:val="en-US"/>
        </w:rPr>
        <w:t xml:space="preserve">Feb. 7, 2007) (for funding year 2007); </w:t>
      </w:r>
      <w:r>
        <w:t xml:space="preserve">FCC Form 471, </w:t>
      </w:r>
      <w:r>
        <w:rPr>
          <w:lang w:val="en-US"/>
        </w:rPr>
        <w:t>Brockton Public School District</w:t>
      </w:r>
      <w:r>
        <w:t xml:space="preserve"> (filed </w:t>
      </w:r>
      <w:r>
        <w:rPr>
          <w:lang w:val="en-US"/>
        </w:rPr>
        <w:t>Feb. 7, 2008) (for funding year 2008)</w:t>
      </w:r>
      <w:r>
        <w:t xml:space="preserve">; FCC Form 471, </w:t>
      </w:r>
      <w:r>
        <w:rPr>
          <w:lang w:val="en-US"/>
        </w:rPr>
        <w:t>Chelsea Schoo</w:t>
      </w:r>
      <w:r>
        <w:t>l District (filed Feb. 1</w:t>
      </w:r>
      <w:r>
        <w:rPr>
          <w:lang w:val="en-US"/>
        </w:rPr>
        <w:t>4</w:t>
      </w:r>
      <w:r>
        <w:t>, 2005)</w:t>
      </w:r>
      <w:r>
        <w:rPr>
          <w:lang w:val="en-US"/>
        </w:rPr>
        <w:t xml:space="preserve"> (for funding year 2005); FCC Form 471, Chelsea School District (filed Feb. 2, 2006) (for funding year 2006);</w:t>
      </w:r>
      <w:r>
        <w:t xml:space="preserve"> FCC Form 471, </w:t>
      </w:r>
      <w:r>
        <w:rPr>
          <w:lang w:val="en-US"/>
        </w:rPr>
        <w:t xml:space="preserve">Somerville </w:t>
      </w:r>
      <w:r>
        <w:t xml:space="preserve">School District (filed Feb. </w:t>
      </w:r>
      <w:r>
        <w:rPr>
          <w:lang w:val="en-US"/>
        </w:rPr>
        <w:t>3</w:t>
      </w:r>
      <w:r>
        <w:t>, 200</w:t>
      </w:r>
      <w:r>
        <w:rPr>
          <w:lang w:val="en-US"/>
        </w:rPr>
        <w:t>4</w:t>
      </w:r>
      <w:r>
        <w:t>)</w:t>
      </w:r>
      <w:r>
        <w:rPr>
          <w:lang w:val="en-US"/>
        </w:rPr>
        <w:t xml:space="preserve"> (for funding year 2004)</w:t>
      </w:r>
      <w:r>
        <w:t xml:space="preserve">; FCC Form 471, </w:t>
      </w:r>
      <w:r>
        <w:rPr>
          <w:lang w:val="en-US"/>
        </w:rPr>
        <w:t xml:space="preserve">Somerville </w:t>
      </w:r>
      <w:r>
        <w:t xml:space="preserve">School District (filed Feb. </w:t>
      </w:r>
      <w:r>
        <w:rPr>
          <w:lang w:val="en-US"/>
        </w:rPr>
        <w:t>10</w:t>
      </w:r>
      <w:r>
        <w:t>, 200</w:t>
      </w:r>
      <w:r>
        <w:rPr>
          <w:lang w:val="en-US"/>
        </w:rPr>
        <w:t>5</w:t>
      </w:r>
      <w:r>
        <w:t>)</w:t>
      </w:r>
      <w:r>
        <w:rPr>
          <w:lang w:val="en-US"/>
        </w:rPr>
        <w:t xml:space="preserve"> (for funding year 2005)</w:t>
      </w:r>
      <w:r>
        <w:t xml:space="preserve">; FCC Form 471, </w:t>
      </w:r>
      <w:r>
        <w:rPr>
          <w:lang w:val="en-US"/>
        </w:rPr>
        <w:t xml:space="preserve">Somerville </w:t>
      </w:r>
      <w:r>
        <w:t xml:space="preserve">School District (filed Feb. </w:t>
      </w:r>
      <w:r>
        <w:rPr>
          <w:lang w:val="en-US"/>
        </w:rPr>
        <w:t>9</w:t>
      </w:r>
      <w:r>
        <w:t>, 200</w:t>
      </w:r>
      <w:r>
        <w:rPr>
          <w:lang w:val="en-US"/>
        </w:rPr>
        <w:t>6</w:t>
      </w:r>
      <w:r>
        <w:t>)</w:t>
      </w:r>
      <w:r>
        <w:rPr>
          <w:lang w:val="en-US"/>
        </w:rPr>
        <w:t xml:space="preserve"> (for funding year 2006)</w:t>
      </w:r>
      <w:r>
        <w:t xml:space="preserve">; FCC Form 471, </w:t>
      </w:r>
      <w:r>
        <w:rPr>
          <w:lang w:val="en-US"/>
        </w:rPr>
        <w:t>Springfield</w:t>
      </w:r>
      <w:r>
        <w:t xml:space="preserve"> School District (filed Feb. </w:t>
      </w:r>
      <w:r>
        <w:rPr>
          <w:lang w:val="en-US"/>
        </w:rPr>
        <w:t>2</w:t>
      </w:r>
      <w:r>
        <w:t>, 2004)</w:t>
      </w:r>
      <w:r>
        <w:rPr>
          <w:lang w:val="en-US"/>
        </w:rPr>
        <w:t xml:space="preserve"> (for funding year 2004); </w:t>
      </w:r>
      <w:r>
        <w:t xml:space="preserve">FCC Form 471, </w:t>
      </w:r>
      <w:r>
        <w:rPr>
          <w:lang w:val="en-US"/>
        </w:rPr>
        <w:t>Springfield</w:t>
      </w:r>
      <w:r>
        <w:t xml:space="preserve"> School District (filed Feb. </w:t>
      </w:r>
      <w:r>
        <w:rPr>
          <w:lang w:val="en-US"/>
        </w:rPr>
        <w:t>14</w:t>
      </w:r>
      <w:r>
        <w:t>, 200</w:t>
      </w:r>
      <w:r>
        <w:rPr>
          <w:lang w:val="en-US"/>
        </w:rPr>
        <w:t>5</w:t>
      </w:r>
      <w:r>
        <w:t>)</w:t>
      </w:r>
      <w:r>
        <w:rPr>
          <w:lang w:val="en-US"/>
        </w:rPr>
        <w:t xml:space="preserve"> (for funding year 2005); </w:t>
      </w:r>
      <w:r>
        <w:t xml:space="preserve">FCC Form 471, </w:t>
      </w:r>
      <w:r>
        <w:rPr>
          <w:lang w:val="en-US"/>
        </w:rPr>
        <w:t>Springfield</w:t>
      </w:r>
      <w:r>
        <w:t xml:space="preserve"> School District (filed Feb. </w:t>
      </w:r>
      <w:r>
        <w:rPr>
          <w:lang w:val="en-US"/>
        </w:rPr>
        <w:t>14</w:t>
      </w:r>
      <w:r>
        <w:t>, 200</w:t>
      </w:r>
      <w:r>
        <w:rPr>
          <w:lang w:val="en-US"/>
        </w:rPr>
        <w:t>6</w:t>
      </w:r>
      <w:r>
        <w:t>)</w:t>
      </w:r>
      <w:r>
        <w:rPr>
          <w:lang w:val="en-US"/>
        </w:rPr>
        <w:t xml:space="preserve"> (for funding year 2006); </w:t>
      </w:r>
      <w:r>
        <w:t xml:space="preserve">FCC Form 471, </w:t>
      </w:r>
      <w:r>
        <w:rPr>
          <w:lang w:val="en-US"/>
        </w:rPr>
        <w:t>Springfield</w:t>
      </w:r>
      <w:r>
        <w:t xml:space="preserve"> School District (filed </w:t>
      </w:r>
      <w:r>
        <w:rPr>
          <w:lang w:val="en-US"/>
        </w:rPr>
        <w:t>Jan</w:t>
      </w:r>
      <w:r>
        <w:t xml:space="preserve">. </w:t>
      </w:r>
      <w:r>
        <w:rPr>
          <w:lang w:val="en-US"/>
        </w:rPr>
        <w:t>31</w:t>
      </w:r>
      <w:r>
        <w:t>, 200</w:t>
      </w:r>
      <w:r>
        <w:rPr>
          <w:lang w:val="en-US"/>
        </w:rPr>
        <w:t>7</w:t>
      </w:r>
      <w:r>
        <w:t>)</w:t>
      </w:r>
      <w:r>
        <w:rPr>
          <w:lang w:val="en-US"/>
        </w:rPr>
        <w:t xml:space="preserve"> (for funding year 2007).  </w:t>
      </w:r>
    </w:p>
  </w:footnote>
  <w:footnote w:id="23">
    <w:p w:rsidR="00581662" w:rsidRPr="00F94B08" w:rsidRDefault="00581662">
      <w:pPr>
        <w:pStyle w:val="FootnoteText"/>
        <w:spacing w:after="120"/>
        <w:rPr>
          <w:lang w:val="en-US"/>
        </w:rPr>
      </w:pPr>
      <w:r w:rsidRPr="00F94B08">
        <w:rPr>
          <w:rStyle w:val="FootnoteReference"/>
        </w:rPr>
        <w:footnoteRef/>
      </w:r>
      <w:r w:rsidRPr="00F94B08">
        <w:t xml:space="preserve"> </w:t>
      </w:r>
      <w:r w:rsidRPr="00F94B08">
        <w:rPr>
          <w:lang w:val="en-US"/>
        </w:rPr>
        <w:t xml:space="preserve">USDLA is a non-profit organization whose “mission is to serve the distance learning community by providing advocacy, information, networking and opportunity.”  </w:t>
      </w:r>
      <w:r w:rsidRPr="00F94B08">
        <w:rPr>
          <w:i/>
          <w:lang w:val="en-US"/>
        </w:rPr>
        <w:t>See</w:t>
      </w:r>
      <w:r w:rsidRPr="00F94B08">
        <w:rPr>
          <w:lang w:val="en-US"/>
        </w:rPr>
        <w:t xml:space="preserve"> USDLA website, at </w:t>
      </w:r>
      <w:hyperlink r:id="rId4" w:history="1">
        <w:r w:rsidRPr="00F94B08">
          <w:rPr>
            <w:rStyle w:val="Hyperlink"/>
            <w:lang w:val="en-US"/>
          </w:rPr>
          <w:t>http://www.usdla.org</w:t>
        </w:r>
      </w:hyperlink>
      <w:r w:rsidRPr="00F94B08">
        <w:rPr>
          <w:lang w:val="en-US"/>
        </w:rPr>
        <w:t xml:space="preserve"> (last visited </w:t>
      </w:r>
      <w:r>
        <w:rPr>
          <w:lang w:val="en-US"/>
        </w:rPr>
        <w:t>Mar. 17</w:t>
      </w:r>
      <w:r w:rsidRPr="00F94B08">
        <w:rPr>
          <w:lang w:val="en-US"/>
        </w:rPr>
        <w:t>, 201</w:t>
      </w:r>
      <w:r>
        <w:rPr>
          <w:lang w:val="en-US"/>
        </w:rPr>
        <w:t>5</w:t>
      </w:r>
      <w:r w:rsidRPr="00F94B08">
        <w:rPr>
          <w:lang w:val="en-US"/>
        </w:rPr>
        <w:t xml:space="preserve">). </w:t>
      </w:r>
      <w:r>
        <w:rPr>
          <w:lang w:val="en-US"/>
        </w:rPr>
        <w:t xml:space="preserve"> </w:t>
      </w:r>
    </w:p>
  </w:footnote>
  <w:footnote w:id="24">
    <w:p w:rsidR="00581662" w:rsidRPr="00A15FD2" w:rsidRDefault="00581662" w:rsidP="00FF1437">
      <w:pPr>
        <w:pStyle w:val="FootnoteText"/>
        <w:spacing w:after="120"/>
        <w:rPr>
          <w:lang w:val="en-US"/>
        </w:rPr>
      </w:pPr>
      <w:r>
        <w:rPr>
          <w:rStyle w:val="FootnoteReference"/>
        </w:rPr>
        <w:footnoteRef/>
      </w:r>
      <w:r>
        <w:t xml:space="preserve"> </w:t>
      </w:r>
      <w:r w:rsidRPr="0070671E">
        <w:rPr>
          <w:i/>
          <w:lang w:val="en-US"/>
        </w:rPr>
        <w:t>See infra</w:t>
      </w:r>
      <w:r>
        <w:rPr>
          <w:lang w:val="en-US"/>
        </w:rPr>
        <w:t xml:space="preserve"> paras. 11-14; </w:t>
      </w:r>
      <w:r w:rsidRPr="0070671E">
        <w:rPr>
          <w:i/>
          <w:lang w:val="en-US"/>
        </w:rPr>
        <w:t>see also infra</w:t>
      </w:r>
      <w:r>
        <w:rPr>
          <w:lang w:val="en-US"/>
        </w:rPr>
        <w:t xml:space="preserve"> n. 33 and 46 (only Achieve’s clients received DDF grants).</w:t>
      </w:r>
      <w:r w:rsidRPr="0070671E">
        <w:rPr>
          <w:lang w:val="en-US"/>
        </w:rPr>
        <w:t xml:space="preserve"> </w:t>
      </w:r>
      <w:r>
        <w:rPr>
          <w:lang w:val="en-US"/>
        </w:rPr>
        <w:t xml:space="preserve"> The FCC Inspector General Subpoena, in Part 2, question 3 (c), sought copies of all applications for funding from the DDF.  All of the applications produced by USDLA had been submitted by schools that were considering using Achieve as their service provider.  None of the subpoenaed documents suggests that any schools </w:t>
      </w:r>
      <w:r w:rsidRPr="00F613DD">
        <w:rPr>
          <w:lang w:val="en-US"/>
        </w:rPr>
        <w:t>other than Achieve clients</w:t>
      </w:r>
      <w:r>
        <w:rPr>
          <w:lang w:val="en-US"/>
        </w:rPr>
        <w:t xml:space="preserve"> were made aware of the availability of this funding. </w:t>
      </w:r>
      <w:r w:rsidRPr="00423C92">
        <w:rPr>
          <w:lang w:val="en-US"/>
        </w:rPr>
        <w:t xml:space="preserve"> </w:t>
      </w:r>
    </w:p>
  </w:footnote>
  <w:footnote w:id="25">
    <w:p w:rsidR="00581662" w:rsidRPr="00A15FD2" w:rsidRDefault="00581662" w:rsidP="00FF1437">
      <w:pPr>
        <w:pStyle w:val="FootnoteText"/>
        <w:spacing w:after="120"/>
        <w:rPr>
          <w:lang w:val="en-US"/>
        </w:rPr>
      </w:pPr>
      <w:r>
        <w:rPr>
          <w:rStyle w:val="FootnoteReference"/>
        </w:rPr>
        <w:footnoteRef/>
      </w:r>
      <w:r>
        <w:t xml:space="preserve"> </w:t>
      </w:r>
      <w:r w:rsidRPr="0070671E">
        <w:rPr>
          <w:i/>
          <w:lang w:val="en-US"/>
        </w:rPr>
        <w:t>See infra</w:t>
      </w:r>
      <w:r>
        <w:rPr>
          <w:lang w:val="en-US"/>
        </w:rPr>
        <w:t xml:space="preserve"> para. 15.  </w:t>
      </w:r>
    </w:p>
  </w:footnote>
  <w:footnote w:id="26">
    <w:p w:rsidR="00581662" w:rsidRPr="00C10DB1" w:rsidRDefault="00581662">
      <w:pPr>
        <w:pStyle w:val="FootnoteText"/>
        <w:spacing w:after="120"/>
        <w:rPr>
          <w:lang w:val="en-US"/>
        </w:rPr>
      </w:pPr>
      <w:r w:rsidRPr="004B211B">
        <w:rPr>
          <w:rStyle w:val="FootnoteReference"/>
        </w:rPr>
        <w:footnoteRef/>
      </w:r>
      <w:r w:rsidRPr="004B211B">
        <w:t xml:space="preserve"> </w:t>
      </w:r>
      <w:r w:rsidRPr="00756D79">
        <w:rPr>
          <w:lang w:val="en-US"/>
        </w:rPr>
        <w:t xml:space="preserve">Mr. </w:t>
      </w:r>
      <w:r w:rsidRPr="007929BE">
        <w:rPr>
          <w:lang w:val="en-US"/>
        </w:rPr>
        <w:t>Gatto</w:t>
      </w:r>
      <w:r w:rsidRPr="00756B29">
        <w:rPr>
          <w:lang w:val="en-US"/>
        </w:rPr>
        <w:t xml:space="preserve"> was named President of the Foundation</w:t>
      </w:r>
      <w:r>
        <w:rPr>
          <w:lang w:val="en-US"/>
        </w:rPr>
        <w:t xml:space="preserve"> and </w:t>
      </w:r>
      <w:r w:rsidR="00DC033C">
        <w:rPr>
          <w:lang w:val="en-US"/>
        </w:rPr>
        <w:t xml:space="preserve">was </w:t>
      </w:r>
      <w:r>
        <w:rPr>
          <w:lang w:val="en-US"/>
        </w:rPr>
        <w:t>married to Achieve’s president, Ms. Joy Jackson</w:t>
      </w:r>
      <w:r w:rsidRPr="00524CE1">
        <w:rPr>
          <w:lang w:val="en-US"/>
        </w:rPr>
        <w:t>.</w:t>
      </w:r>
      <w:r>
        <w:rPr>
          <w:lang w:val="en-US"/>
        </w:rPr>
        <w:t xml:space="preserve">  </w:t>
      </w:r>
      <w:r w:rsidRPr="00433AD8">
        <w:rPr>
          <w:i/>
          <w:lang w:val="en-US"/>
        </w:rPr>
        <w:t>See</w:t>
      </w:r>
      <w:r>
        <w:rPr>
          <w:lang w:val="en-US"/>
        </w:rPr>
        <w:t xml:space="preserve"> FCC Bates Numbers 000151-000162, IRS Form 1023, Application for Recognition of Exemption, filed by The Ralph G. Adams Foundation (dated Dec. 10, 2006).  The record shows that Ms. Jackson was privy to the Foundation’s financial transactions.  For example, in an email exchange on June 5, 2007, Ms. Jackson informs USDLA that it will be receiving a donation from the Foundation for $45,000.  </w:t>
      </w:r>
      <w:r w:rsidRPr="005B5644">
        <w:rPr>
          <w:i/>
          <w:lang w:val="en-US"/>
        </w:rPr>
        <w:t>See</w:t>
      </w:r>
      <w:r>
        <w:rPr>
          <w:lang w:val="en-US"/>
        </w:rPr>
        <w:t xml:space="preserve"> FCC Bates Number 00568, Email from Joy Jackson, Achieve Telecom Network, to Patricia Marcelonis, USDLA (dated June 5, 2007) (stating “You will be receiving a donation from the Adams Foundation for $45,000 on Thursday.  Please just let me know when you receive it- thanks.”).  In a subsequent email exchange on June 7-8, 2007, Ms. Jackson confirms all of the Ralph G. Adams Foundation donations for 2007.  </w:t>
      </w:r>
      <w:r w:rsidRPr="005B5644">
        <w:rPr>
          <w:i/>
          <w:lang w:val="en-US"/>
        </w:rPr>
        <w:t>See</w:t>
      </w:r>
      <w:r>
        <w:rPr>
          <w:lang w:val="en-US"/>
        </w:rPr>
        <w:t xml:space="preserve"> FCC Bates Number 00589, Email from Patricia Marcelonis, USDLA, to Joy Jackson, Achieve Telecom Network (dated June 7, 2007) (stating “If I may, can I go over the total donations from The Ralph G. Adams Foundation for this year to make sure I have all of them to include in the donation letter- 4-3-07, $37,000, Check #1001; 5-7-07, $37,500, Check #1002; and 6-6-07, $45,000, Check #1003.”)  Ms. Jackson replies, “Looks correct to me.”  </w:t>
      </w:r>
      <w:r w:rsidRPr="005B5644">
        <w:rPr>
          <w:i/>
          <w:lang w:val="en-US"/>
        </w:rPr>
        <w:t>See</w:t>
      </w:r>
      <w:r>
        <w:rPr>
          <w:lang w:val="en-US"/>
        </w:rPr>
        <w:t xml:space="preserve"> FCC Bates Number 00589, Email from Joy Jackson, Achieve Telecom Network, to Patricia Marcelonis, USDLA (dated June 8, 2007).  The Foundation closed its bank account on January 27, 2010.</w:t>
      </w:r>
    </w:p>
  </w:footnote>
  <w:footnote w:id="27">
    <w:p w:rsidR="00581662" w:rsidRPr="0024046D" w:rsidRDefault="00581662">
      <w:pPr>
        <w:pStyle w:val="FootnoteText"/>
        <w:spacing w:after="120"/>
        <w:rPr>
          <w:lang w:val="en-US"/>
        </w:rPr>
      </w:pPr>
      <w:r>
        <w:rPr>
          <w:rStyle w:val="FootnoteReference"/>
        </w:rPr>
        <w:footnoteRef/>
      </w:r>
      <w:r>
        <w:t xml:space="preserve"> </w:t>
      </w:r>
      <w:r>
        <w:rPr>
          <w:lang w:val="en-US"/>
        </w:rPr>
        <w:t xml:space="preserve">Achieve made the following donations by wire transfer or check to the Foundation totaling $280,000:  $175,000 (posted date 3-21-07), $60,000 (4-17-07), and $45,000 (6-4-07).  </w:t>
      </w:r>
      <w:r w:rsidRPr="00212CDD">
        <w:rPr>
          <w:i/>
          <w:lang w:val="en-US"/>
        </w:rPr>
        <w:t>See</w:t>
      </w:r>
      <w:r>
        <w:rPr>
          <w:lang w:val="en-US"/>
        </w:rPr>
        <w:t xml:space="preserve"> FCC Bates Number 000179, Statement from Bank of America, N.A., The Ralph G. Adams Foundation Business Economy Checking (statement period 3-21-07 through 3-31-07) (showing $175,000 deposit 3-22-07); FCC Bates Number 00289, Check from Achieve Telecom Network, LLC to the Adams Foundation, Bank of America, N.A. Check Number 2003 (dated 4-17-07, processed 4-17-07); FCC Bates Number 00291, Check from Achieve Telecom Network, LLC to the Adams Foundation, Bank of America, N.A. Check Number 2006 (dated 6-4-07, processed 6-4-07) (collectively, Achieve Donations). </w:t>
      </w:r>
    </w:p>
  </w:footnote>
  <w:footnote w:id="28">
    <w:p w:rsidR="00581662" w:rsidRPr="001A0694" w:rsidRDefault="00581662">
      <w:pPr>
        <w:pStyle w:val="FootnoteText"/>
        <w:spacing w:after="120"/>
        <w:rPr>
          <w:lang w:val="en-US"/>
        </w:rPr>
      </w:pPr>
      <w:r>
        <w:rPr>
          <w:rStyle w:val="FootnoteReference"/>
        </w:rPr>
        <w:footnoteRef/>
      </w:r>
      <w:r>
        <w:t xml:space="preserve"> </w:t>
      </w:r>
      <w:r>
        <w:rPr>
          <w:lang w:val="en-US"/>
        </w:rPr>
        <w:t xml:space="preserve">In its bid proposal to Brockton, Achieve disclosed a partnership with RCN.  </w:t>
      </w:r>
      <w:r w:rsidRPr="00E2095F">
        <w:rPr>
          <w:i/>
          <w:lang w:val="en-US"/>
        </w:rPr>
        <w:t>See</w:t>
      </w:r>
      <w:r>
        <w:rPr>
          <w:lang w:val="en-US"/>
        </w:rPr>
        <w:t xml:space="preserve"> Letter from Joy Jackson, Achieve Telecom Network, LLC to Ms. Nichole O’Neal, O’Neal Consulting, on behalf of Brockton Public Schools, Achieve Proposal, Proposer Qualifications at 4 (dated Jan. 9, 2007) (stating “[t]he Achieve Xpress satellite networks are provided in partnership with Roberts Communications Network, Inc., which specializes in providing satellite communications used to transmit the audio, video and data for educational programming, sporting events, and shopping channels.”).  RCN made the following donations to the Foundation by wire transfer totaling $187,500:  $37,500 (posted date 3-28-07), $37,500 (5-4-07), $37,500 (8-1-07), $37,500 (3-19-08), and $37,500 (3-19-08).  </w:t>
      </w:r>
      <w:r w:rsidRPr="00212CDD">
        <w:rPr>
          <w:i/>
          <w:lang w:val="en-US"/>
        </w:rPr>
        <w:t>See</w:t>
      </w:r>
      <w:r>
        <w:rPr>
          <w:lang w:val="en-US"/>
        </w:rPr>
        <w:t xml:space="preserve"> FCC Bates Number 000179, Statement from Bank of America, N.A., The Ralph G. Adams Foundation Business Economy Checking (statement period 3-21-07 through 3-31-07) (showing $37,500 wire transfer entitled “Achieve Donation” 3-28-07);</w:t>
      </w:r>
      <w:r w:rsidRPr="009C0291">
        <w:rPr>
          <w:i/>
          <w:lang w:val="en-US"/>
        </w:rPr>
        <w:t xml:space="preserve"> </w:t>
      </w:r>
      <w:r>
        <w:rPr>
          <w:lang w:val="en-US"/>
        </w:rPr>
        <w:t>FCC Bates Number 000185, Statement from Bank of America, N.A., The Ralph G. Adams Foundation Business Economy Checking (statement period 5-1-07 through 5-31-07) (showing $37,500 wire transfer entitled “Achieve Quarterly Donation” 5-04-07);</w:t>
      </w:r>
      <w:r w:rsidRPr="00F60F3D">
        <w:rPr>
          <w:i/>
          <w:lang w:val="en-US"/>
        </w:rPr>
        <w:t xml:space="preserve"> </w:t>
      </w:r>
      <w:r>
        <w:rPr>
          <w:lang w:val="en-US"/>
        </w:rPr>
        <w:t>FCC Bates Number 000194, Statement from Bank of America, N.A., The Ralph G. Adams Foundation Business Economy Checking (statement period 8-1-07 through 8-31-07) (showing $37,500 wire transfer entitled “Achieve Quarterly Donation” 8-1-07);</w:t>
      </w:r>
      <w:r w:rsidRPr="00F60F3D">
        <w:rPr>
          <w:i/>
          <w:lang w:val="en-US"/>
        </w:rPr>
        <w:t xml:space="preserve"> </w:t>
      </w:r>
      <w:r>
        <w:rPr>
          <w:lang w:val="en-US"/>
        </w:rPr>
        <w:t xml:space="preserve">FCC Bates Number 00215, Statement from Bank of America, N.A., The Ralph G. Adams Foundation Business Economy Checking (statement period 3-1-08 through 3-31-08) (showing two wire transfers entitled “Achieve Quarterly Donation” in the amount of $37,500 on 3-19-07) (collectively, RCN Donations).  </w:t>
      </w:r>
    </w:p>
  </w:footnote>
  <w:footnote w:id="29">
    <w:p w:rsidR="00581662" w:rsidRPr="0024046D" w:rsidRDefault="00581662">
      <w:pPr>
        <w:pStyle w:val="FootnoteText"/>
        <w:spacing w:after="120"/>
      </w:pPr>
      <w:r>
        <w:rPr>
          <w:rStyle w:val="FootnoteReference"/>
        </w:rPr>
        <w:footnoteRef/>
      </w:r>
      <w:r>
        <w:t xml:space="preserve"> </w:t>
      </w:r>
      <w:r>
        <w:rPr>
          <w:lang w:val="en-US"/>
        </w:rPr>
        <w:t xml:space="preserve">The Foundation deposited or transferred funds into USDLA’s DDF, either by wire or check, on five separate occasions totaling $409,500:  $175,000 (transfer date 3-22-07), $37,000 (4-4-07), $37,500 (5-8-07), $45,000 (6-6-07), and $115,000 (4-8-08).  </w:t>
      </w:r>
      <w:r w:rsidRPr="00E90D48">
        <w:rPr>
          <w:i/>
          <w:lang w:val="en-US"/>
        </w:rPr>
        <w:t>See</w:t>
      </w:r>
      <w:r>
        <w:rPr>
          <w:lang w:val="en-US"/>
        </w:rPr>
        <w:t xml:space="preserve"> FCC Bates Number 000179, Statement from Bank of America, N.A., The Ralph G. Adams Foundation Business Economy Checking (statement period 3-21-07 through 3-31-07) (showing $175,000 wire transfer 3-22-07); FCC Bates Number 00292, Check from The Ralph G. Adams Foundation to USDLA Digital Divide Fund, Bank of America, N.A. Check Number 1001 (dated 4-3-07, processed 4-4-07); FCC Bates Number 00293, Check from The Ralph G. Adams Foundation to USDLA Digital Divide Fund, Bank of America, N.A. Check Number 1002 (dated 5-7-07, processed 5-8-07); FCC Bates Number 00294, Check from The Ralph G. Adams Foundation to USDLA Digital Divide Fund, Bank of America, N.A. Check Number 1003 (dated 6-6-07, processed 6-7-07); FCC Bates Number 00295, Check from The Ralph G. Adams Foundation to USDLA Digital Divide Fund, Bank of America, N.A. Check Number 1004 (dated 4-17-08, processed 4-18-08) (collectively, Foundation Donations).  According to </w:t>
      </w:r>
      <w:r>
        <w:t>Achieve</w:t>
      </w:r>
      <w:r>
        <w:rPr>
          <w:lang w:val="en-US"/>
        </w:rPr>
        <w:t xml:space="preserve">, it </w:t>
      </w:r>
      <w:r>
        <w:t xml:space="preserve">informed the Schools about the existence of </w:t>
      </w:r>
      <w:r>
        <w:rPr>
          <w:lang w:val="en-US"/>
        </w:rPr>
        <w:t xml:space="preserve">USDLA’s Digital Divide Fund (DDF) </w:t>
      </w:r>
      <w:r>
        <w:t xml:space="preserve">but did not </w:t>
      </w:r>
      <w:r w:rsidRPr="0070671E">
        <w:t xml:space="preserve">reveal </w:t>
      </w:r>
      <w:r w:rsidRPr="0070671E">
        <w:rPr>
          <w:lang w:val="en-US"/>
        </w:rPr>
        <w:t xml:space="preserve">to the Schools Achieve’s </w:t>
      </w:r>
      <w:r w:rsidRPr="0070671E">
        <w:t>connections with</w:t>
      </w:r>
      <w:r>
        <w:t xml:space="preserve"> </w:t>
      </w:r>
      <w:r>
        <w:rPr>
          <w:lang w:val="en-US"/>
        </w:rPr>
        <w:t xml:space="preserve">the </w:t>
      </w:r>
      <w:r>
        <w:t>DDF</w:t>
      </w:r>
      <w:r>
        <w:rPr>
          <w:lang w:val="en-US"/>
        </w:rPr>
        <w:t xml:space="preserve">.  </w:t>
      </w:r>
      <w:r w:rsidRPr="0001453C">
        <w:rPr>
          <w:i/>
          <w:lang w:val="en-US"/>
        </w:rPr>
        <w:t>See</w:t>
      </w:r>
      <w:r w:rsidRPr="0001453C">
        <w:rPr>
          <w:lang w:val="en-US"/>
        </w:rPr>
        <w:t xml:space="preserve"> </w:t>
      </w:r>
      <w:r>
        <w:rPr>
          <w:lang w:val="en-US"/>
        </w:rPr>
        <w:t xml:space="preserve">Letter from Joy Jackson, Achieve Telecom Network, to Jennifer Cerciello, Schools and Libraries Division, USAC, at 2 (dated July 17, 2008) (Jackson Response).  </w:t>
      </w:r>
    </w:p>
  </w:footnote>
  <w:footnote w:id="30">
    <w:p w:rsidR="00581662" w:rsidRPr="00346C06" w:rsidRDefault="00581662">
      <w:pPr>
        <w:pStyle w:val="FootnoteText"/>
        <w:spacing w:after="120"/>
        <w:rPr>
          <w:lang w:val="en-US"/>
        </w:rPr>
      </w:pPr>
      <w:r>
        <w:rPr>
          <w:rStyle w:val="FootnoteReference"/>
        </w:rPr>
        <w:footnoteRef/>
      </w:r>
      <w:r>
        <w:t xml:space="preserve"> </w:t>
      </w:r>
      <w:r>
        <w:rPr>
          <w:lang w:val="en-US"/>
        </w:rPr>
        <w:t xml:space="preserve">Vincent Barletta, through a variety of entities, transferred funds into USDLA’s DDF by wire and check on three separate occasions totaling $415,000:  $35,000 (11-20-06), $50,000 (2-6-07 from VFB Dynasty Trust), and $330,000 (5-20-08 from Barletta Cos).  </w:t>
      </w:r>
      <w:r w:rsidRPr="00A02E33">
        <w:rPr>
          <w:i/>
          <w:lang w:val="en-US"/>
        </w:rPr>
        <w:t>See</w:t>
      </w:r>
      <w:r>
        <w:rPr>
          <w:lang w:val="en-US"/>
        </w:rPr>
        <w:t xml:space="preserve"> FCC Bates Number 00733, Statement from Bank of America, N.A., United States Distance Learning Business Economy Checking (statement period 2-1-07 through 2-28-07) (showing $50,000 wire transfer from VFB Dynasty Trust 2-6-07); FCC Bates Number 00766, Statement from Bank of America, N.A., United States Distance Learning Business Economy Checking (statement period 5-1-08 through 5-31-08) (showing $330,000 wire transfer from Barletta Company, Inc. 5-20-08) (collectively, Barletta Donations).  </w:t>
      </w:r>
      <w:r w:rsidRPr="0076181C">
        <w:rPr>
          <w:i/>
          <w:lang w:val="en-US"/>
        </w:rPr>
        <w:t>See</w:t>
      </w:r>
      <w:r>
        <w:rPr>
          <w:lang w:val="en-US"/>
        </w:rPr>
        <w:t xml:space="preserve"> Email from Debra M. Kriete, Esq., on behalf of USDLA, to Sonja Rifken, Office of the Inspector General, Federal Communications Commission (dated Feb. 10, 2013) (confirming the $35,000 Barletta donation on November 20, 2006).    </w:t>
      </w:r>
    </w:p>
  </w:footnote>
  <w:footnote w:id="31">
    <w:p w:rsidR="00581662" w:rsidRPr="00F075B9" w:rsidRDefault="00581662">
      <w:pPr>
        <w:pStyle w:val="FootnoteText"/>
        <w:spacing w:after="120"/>
        <w:rPr>
          <w:lang w:val="en-US"/>
        </w:rPr>
      </w:pPr>
      <w:r>
        <w:rPr>
          <w:rStyle w:val="FootnoteReference"/>
        </w:rPr>
        <w:footnoteRef/>
      </w:r>
      <w:r>
        <w:t xml:space="preserve"> </w:t>
      </w:r>
      <w:r>
        <w:rPr>
          <w:lang w:val="en-US"/>
        </w:rPr>
        <w:t>T</w:t>
      </w:r>
      <w:r>
        <w:t>he</w:t>
      </w:r>
      <w:r w:rsidRPr="008B7CF7">
        <w:rPr>
          <w:lang w:val="en-US"/>
        </w:rPr>
        <w:t xml:space="preserve"> </w:t>
      </w:r>
      <w:r>
        <w:t xml:space="preserve">record </w:t>
      </w:r>
      <w:r w:rsidRPr="005A6336">
        <w:t>shows a close connection between Achieve</w:t>
      </w:r>
      <w:r>
        <w:rPr>
          <w:lang w:val="en-US"/>
        </w:rPr>
        <w:t xml:space="preserve"> (through Ms. Jackson) </w:t>
      </w:r>
      <w:r w:rsidRPr="005A6336">
        <w:t xml:space="preserve">and </w:t>
      </w:r>
      <w:r>
        <w:rPr>
          <w:lang w:val="en-US"/>
        </w:rPr>
        <w:t xml:space="preserve">Barletta. </w:t>
      </w:r>
      <w:r w:rsidRPr="005A6336">
        <w:t xml:space="preserve"> </w:t>
      </w:r>
      <w:r>
        <w:rPr>
          <w:lang w:val="en-US"/>
        </w:rPr>
        <w:t xml:space="preserve">For example, it appears that a $50,000 contribution from Barletta to the DDF was funded or reimbursed </w:t>
      </w:r>
      <w:r w:rsidRPr="003D5E45">
        <w:rPr>
          <w:i/>
          <w:lang w:val="en-US"/>
        </w:rPr>
        <w:t>by Achieve</w:t>
      </w:r>
      <w:r>
        <w:rPr>
          <w:lang w:val="en-US"/>
        </w:rPr>
        <w:t xml:space="preserve"> through the Foundation. </w:t>
      </w:r>
      <w:r w:rsidRPr="0066488D">
        <w:rPr>
          <w:i/>
          <w:lang w:val="en-US"/>
        </w:rPr>
        <w:t xml:space="preserve"> </w:t>
      </w:r>
      <w:r w:rsidRPr="00F075B9">
        <w:rPr>
          <w:i/>
          <w:lang w:val="en-US"/>
        </w:rPr>
        <w:t>See</w:t>
      </w:r>
      <w:r>
        <w:rPr>
          <w:lang w:val="en-US"/>
        </w:rPr>
        <w:t xml:space="preserve"> </w:t>
      </w:r>
      <w:r w:rsidRPr="005B5644">
        <w:rPr>
          <w:i/>
          <w:lang w:val="en-US"/>
        </w:rPr>
        <w:t>infra</w:t>
      </w:r>
      <w:r>
        <w:rPr>
          <w:lang w:val="en-US"/>
        </w:rPr>
        <w:t xml:space="preserve"> </w:t>
      </w:r>
      <w:r w:rsidR="004B60D0">
        <w:rPr>
          <w:lang w:val="en-US"/>
        </w:rPr>
        <w:t>n.</w:t>
      </w:r>
      <w:r w:rsidR="00DC033C">
        <w:rPr>
          <w:lang w:val="en-US"/>
        </w:rPr>
        <w:t xml:space="preserve">31; </w:t>
      </w:r>
      <w:r w:rsidRPr="00F075B9">
        <w:rPr>
          <w:lang w:val="en-US"/>
        </w:rPr>
        <w:t>Foundation-Barletta Transaction</w:t>
      </w:r>
      <w:r>
        <w:rPr>
          <w:lang w:val="en-US"/>
        </w:rPr>
        <w:t>; FCC Bates Number 00444, E-mail from Joy Jackson, Achieve Telecom Network, to Patricia Marcelonis, USDLA (dated Feb. 6, 2007) (stating “You should receive $50,000 this week as confirmed today.  Vin Barletta from Barletta Engineering is donating the funds for the grant.”).  The investigatory subpoena produced no direct correspondence between</w:t>
      </w:r>
      <w:r w:rsidRPr="003C6786">
        <w:rPr>
          <w:lang w:val="en-US"/>
        </w:rPr>
        <w:t xml:space="preserve"> </w:t>
      </w:r>
      <w:r>
        <w:rPr>
          <w:lang w:val="en-US"/>
        </w:rPr>
        <w:t xml:space="preserve">Vincent Barletta/Barletta Engineering and USDLA, only Ms. Jackson’s communications.  Ms. Jackson coordinated the deposits of Barletta donations into the DDF and also instructed USDLA’s staff how to handle them.  </w:t>
      </w:r>
      <w:r w:rsidRPr="00F075B9">
        <w:rPr>
          <w:i/>
          <w:lang w:val="en-US"/>
        </w:rPr>
        <w:t>See</w:t>
      </w:r>
      <w:r>
        <w:rPr>
          <w:lang w:val="en-US"/>
        </w:rPr>
        <w:t xml:space="preserve">, </w:t>
      </w:r>
      <w:r w:rsidRPr="00E81931">
        <w:rPr>
          <w:i/>
          <w:lang w:val="en-US"/>
        </w:rPr>
        <w:t>e.g</w:t>
      </w:r>
      <w:r>
        <w:rPr>
          <w:lang w:val="en-US"/>
        </w:rPr>
        <w:t xml:space="preserve">., FCC Bates Number 00446, Email from Joy Jackson, Achieve Telecom Network, LLC, to Patricia Marcelonis, USDLA (dated Nov. 20, 2006) (stating “John has a $35,000 check from Barletta for a donation to the fund that I gave him Friday- just wanted to let you now so that you can get from him and deposit it before the holidays.”).  She also was the only intermediary between USDLA and Barletta for a fundraiser conducted by Barletta on DDF’s behalf.  </w:t>
      </w:r>
      <w:r w:rsidRPr="00CC7AA6">
        <w:rPr>
          <w:i/>
          <w:lang w:val="en-US"/>
        </w:rPr>
        <w:t>See</w:t>
      </w:r>
      <w:r>
        <w:rPr>
          <w:lang w:val="en-US"/>
        </w:rPr>
        <w:t xml:space="preserve"> FCC Bates Numbers 00531-00532, Email from Joy Jackson, Achieve Telecom Network, LLC, to John Flores, USDLA (dated May 16, 2007) (stating “I have attached a copy of a fundraising letter that Barletta Engineering is sending out … I would appreciate your help in keeping a running total of donors so that we can insure they receive a thank you note along with the tax donation letter.”).  Finally, the record shows that Achieve and Vincent Barletta’s engineering firm, Barletta Engineering Corporation, share the same mailing address:  40 Shawmut Road, Canton, Massachusetts, 02021.  </w:t>
      </w:r>
      <w:r w:rsidRPr="00FF1E4E">
        <w:rPr>
          <w:i/>
          <w:lang w:val="en-US"/>
        </w:rPr>
        <w:t>See</w:t>
      </w:r>
      <w:r>
        <w:rPr>
          <w:i/>
          <w:lang w:val="en-US"/>
        </w:rPr>
        <w:t xml:space="preserve"> </w:t>
      </w:r>
      <w:hyperlink r:id="rId5" w:history="1">
        <w:r w:rsidRPr="00097774">
          <w:rPr>
            <w:rStyle w:val="Hyperlink"/>
            <w:lang w:val="en-US"/>
          </w:rPr>
          <w:t>http://www.barlettaco.com/</w:t>
        </w:r>
      </w:hyperlink>
      <w:r>
        <w:rPr>
          <w:lang w:val="en-US"/>
        </w:rPr>
        <w:t xml:space="preserve">; </w:t>
      </w:r>
      <w:hyperlink r:id="rId6" w:history="1">
        <w:r w:rsidRPr="009D06D4">
          <w:rPr>
            <w:rStyle w:val="Hyperlink"/>
            <w:lang w:val="en-US"/>
          </w:rPr>
          <w:t>http://www.entitysource.com/details/entity/ma_861522/achieve-tel</w:t>
        </w:r>
        <w:r w:rsidRPr="00225B98">
          <w:rPr>
            <w:rStyle w:val="Hyperlink"/>
            <w:lang w:val="en-US"/>
          </w:rPr>
          <w:t>ecom-network-of-ma-llc</w:t>
        </w:r>
      </w:hyperlink>
      <w:r>
        <w:rPr>
          <w:lang w:val="en-US"/>
        </w:rPr>
        <w:t xml:space="preserve"> (last visited Mar. 17, 2015).  Achieve also received a Funding Commitment Decision Letter from USAC on a Barletta Engineering fax number.  </w:t>
      </w:r>
      <w:r w:rsidRPr="00A36F5B">
        <w:rPr>
          <w:i/>
          <w:lang w:val="en-US"/>
        </w:rPr>
        <w:t>See</w:t>
      </w:r>
      <w:r>
        <w:rPr>
          <w:i/>
          <w:lang w:val="en-US"/>
        </w:rPr>
        <w:t>, e.g.</w:t>
      </w:r>
      <w:r w:rsidRPr="00BC7A21">
        <w:rPr>
          <w:lang w:val="en-US"/>
        </w:rPr>
        <w:t>,</w:t>
      </w:r>
      <w:r>
        <w:rPr>
          <w:lang w:val="en-US"/>
        </w:rPr>
        <w:t xml:space="preserve"> </w:t>
      </w:r>
      <w:r>
        <w:t xml:space="preserve">Letter from USAC, Schools and Libraries Division, to </w:t>
      </w:r>
      <w:r>
        <w:rPr>
          <w:lang w:val="en-US"/>
        </w:rPr>
        <w:t>Joy Jackson, Achieve Telecom</w:t>
      </w:r>
      <w:r w:rsidRPr="00644AB6">
        <w:rPr>
          <w:lang w:val="en-US"/>
        </w:rPr>
        <w:t xml:space="preserve"> </w:t>
      </w:r>
      <w:r>
        <w:rPr>
          <w:lang w:val="en-US"/>
        </w:rPr>
        <w:t xml:space="preserve">Network of MA, LLC </w:t>
      </w:r>
      <w:r>
        <w:t xml:space="preserve">(dated </w:t>
      </w:r>
      <w:r>
        <w:rPr>
          <w:lang w:val="en-US"/>
        </w:rPr>
        <w:t xml:space="preserve">Sept. 1, 2005).  </w:t>
      </w:r>
    </w:p>
  </w:footnote>
  <w:footnote w:id="32">
    <w:p w:rsidR="00581662" w:rsidRPr="001110D6" w:rsidRDefault="00581662">
      <w:pPr>
        <w:pStyle w:val="FootnoteText"/>
        <w:spacing w:after="120"/>
        <w:rPr>
          <w:lang w:val="en-US"/>
        </w:rPr>
      </w:pPr>
      <w:r>
        <w:rPr>
          <w:rStyle w:val="FootnoteReference"/>
        </w:rPr>
        <w:footnoteRef/>
      </w:r>
      <w:r>
        <w:t xml:space="preserve"> </w:t>
      </w:r>
      <w:r w:rsidRPr="0066488D">
        <w:rPr>
          <w:i/>
          <w:lang w:val="en-US"/>
        </w:rPr>
        <w:t xml:space="preserve">See </w:t>
      </w:r>
      <w:r>
        <w:rPr>
          <w:lang w:val="en-US"/>
        </w:rPr>
        <w:t xml:space="preserve">Foundation Donations.  Bank records show that the Foundation disbursed funds only to the DDF, with the exception of one transfer to the Vincent Barletta Trust on May 3, 2007.  </w:t>
      </w:r>
      <w:r w:rsidRPr="00EE1DDF">
        <w:rPr>
          <w:i/>
          <w:lang w:val="en-US"/>
        </w:rPr>
        <w:t>See</w:t>
      </w:r>
      <w:r w:rsidRPr="00EE1DDF">
        <w:rPr>
          <w:lang w:val="en-US"/>
        </w:rPr>
        <w:t xml:space="preserve"> </w:t>
      </w:r>
      <w:r>
        <w:rPr>
          <w:lang w:val="en-US"/>
        </w:rPr>
        <w:t>FCC Bates Number 000185, Statement from Bank of America, N.A., The Ralph G. Adams Foundation Business</w:t>
      </w:r>
      <w:r w:rsidRPr="001A0694">
        <w:rPr>
          <w:lang w:val="en-US"/>
        </w:rPr>
        <w:t xml:space="preserve"> </w:t>
      </w:r>
      <w:r>
        <w:rPr>
          <w:lang w:val="en-US"/>
        </w:rPr>
        <w:t xml:space="preserve">Economy Checking (statement period 5-1-07 through 5-31-07) (Foundation-Barletta Transaction) (showing wire transfer to Vincent Barletta Trust in the amount of $54,621 on 5-3-07).     </w:t>
      </w:r>
    </w:p>
  </w:footnote>
  <w:footnote w:id="33">
    <w:p w:rsidR="00581662" w:rsidRPr="008B0248" w:rsidRDefault="00581662">
      <w:pPr>
        <w:pStyle w:val="FootnoteText"/>
        <w:spacing w:after="120"/>
      </w:pPr>
      <w:r>
        <w:rPr>
          <w:rStyle w:val="FootnoteReference"/>
        </w:rPr>
        <w:footnoteRef/>
      </w:r>
      <w:r>
        <w:t xml:space="preserve"> </w:t>
      </w:r>
      <w:r w:rsidRPr="00A0429B">
        <w:rPr>
          <w:i/>
          <w:lang w:val="en-US"/>
        </w:rPr>
        <w:t>See, e.g.,</w:t>
      </w:r>
      <w:r>
        <w:rPr>
          <w:lang w:val="en-US"/>
        </w:rPr>
        <w:t xml:space="preserve"> FCC Bates Number 01564, Check from United States Distance Learning Association, Digital Divide Fund, to Achieve Telecom Network, Check Number 1014 in the amount of $7,717.50 (dated Feb. 15, 2006) (noting “SOM-0206” for Somerville); FCC Bates Number 01604, Check from United States Distance Learning Association, Digital Divide Fund, to Achieve Telecom Network, Check Number 1056 in the amount of $16,650 (dated June 12, 2007) (noting “SPR-0706” for Springfield);</w:t>
      </w:r>
      <w:r w:rsidRPr="00A0429B">
        <w:rPr>
          <w:lang w:val="en-US"/>
        </w:rPr>
        <w:t xml:space="preserve"> </w:t>
      </w:r>
      <w:r>
        <w:rPr>
          <w:lang w:val="en-US"/>
        </w:rPr>
        <w:t>FCC Bates Number 01584, Check from United States Distance Learning Association, Digital Divide Fund, to Achieve Telecom Network, Check Number 1034 in the amount of $8,100 (dated Jan. 10, 2007) (noting “SOM-0107, CHE-0107” for Somerville and Chelsea);</w:t>
      </w:r>
      <w:r w:rsidRPr="00A0429B">
        <w:rPr>
          <w:lang w:val="en-US"/>
        </w:rPr>
        <w:t xml:space="preserve"> </w:t>
      </w:r>
      <w:r>
        <w:rPr>
          <w:lang w:val="en-US"/>
        </w:rPr>
        <w:t xml:space="preserve">FCC Bates Number 01586, Check from United States Distance Learning Association, Digital Divide Fund, to Achieve Telecom Network, Check Number 1037 in the amount of $22,275 (dated Mar. 6, 2007) (noting “SOM-0703, CHE-0703, BRO-0703” for Somerville, Chelsea, and Brockton) (collectively, USDLA Checks to Schools).  </w:t>
      </w:r>
    </w:p>
  </w:footnote>
  <w:footnote w:id="34">
    <w:p w:rsidR="00581662" w:rsidRPr="00491610" w:rsidRDefault="00581662">
      <w:pPr>
        <w:pStyle w:val="FootnoteText"/>
        <w:spacing w:after="120"/>
        <w:rPr>
          <w:lang w:val="en-US"/>
        </w:rPr>
      </w:pPr>
      <w:r>
        <w:rPr>
          <w:rStyle w:val="FootnoteReference"/>
        </w:rPr>
        <w:footnoteRef/>
      </w:r>
      <w:r>
        <w:t xml:space="preserve"> </w:t>
      </w:r>
      <w:r w:rsidRPr="001055B2">
        <w:rPr>
          <w:i/>
          <w:lang w:val="en-US"/>
        </w:rPr>
        <w:t>See</w:t>
      </w:r>
      <w:r w:rsidRPr="001055B2">
        <w:rPr>
          <w:lang w:val="en-US"/>
        </w:rPr>
        <w:t xml:space="preserve"> </w:t>
      </w:r>
      <w:r>
        <w:rPr>
          <w:lang w:val="en-US"/>
        </w:rPr>
        <w:t xml:space="preserve">FCC Bates Numbers 01673-01675, </w:t>
      </w:r>
      <w:r w:rsidRPr="001055B2">
        <w:rPr>
          <w:lang w:val="en-US"/>
        </w:rPr>
        <w:t xml:space="preserve">USDLA </w:t>
      </w:r>
      <w:r>
        <w:rPr>
          <w:lang w:val="en-US"/>
        </w:rPr>
        <w:t>Digital Divide Account Information dated Oct. 25, 2005 through Oct. 13, 2008 (identifying deposits into the DDF and checks issued from the DDF account) (U</w:t>
      </w:r>
      <w:r w:rsidR="00C51D07">
        <w:rPr>
          <w:lang w:val="en-US"/>
        </w:rPr>
        <w:t xml:space="preserve">SDLA DDF Account Information). </w:t>
      </w:r>
      <w:r>
        <w:rPr>
          <w:lang w:val="en-US"/>
        </w:rPr>
        <w:t xml:space="preserve">   </w:t>
      </w:r>
    </w:p>
  </w:footnote>
  <w:footnote w:id="35">
    <w:p w:rsidR="00581662" w:rsidRPr="001D3C36" w:rsidRDefault="00581662" w:rsidP="00D16DCF">
      <w:pPr>
        <w:pStyle w:val="FootnoteText"/>
        <w:spacing w:after="120"/>
        <w:rPr>
          <w:lang w:val="en-US"/>
        </w:rPr>
      </w:pPr>
      <w:r>
        <w:rPr>
          <w:rStyle w:val="FootnoteReference"/>
        </w:rPr>
        <w:footnoteRef/>
      </w:r>
      <w:r>
        <w:t xml:space="preserve"> </w:t>
      </w:r>
      <w:r w:rsidRPr="001D3C36">
        <w:rPr>
          <w:i/>
          <w:lang w:val="en-US"/>
        </w:rPr>
        <w:t>See, e.g.</w:t>
      </w:r>
      <w:r w:rsidRPr="00462056">
        <w:rPr>
          <w:lang w:val="en-US"/>
        </w:rPr>
        <w:t xml:space="preserve">, </w:t>
      </w:r>
      <w:r>
        <w:rPr>
          <w:lang w:val="en-US"/>
        </w:rPr>
        <w:t xml:space="preserve">FCC Bates Number 00446, Email from Joy Jackson, Achieve Telecom Network, LLC, to Patricia Marcelonis, USDLA (dated Nov. 20, 2006) (stating “John has a $35,000 check from Barletta for a donation to the fund that I gave him Friday- just wanted to let you now so that you can get from him and deposit it before the holidays.”); FCC Bates Number 00447, Email from Joy Jackson, to Patricia Marcelonis, USDLA (dated Feb. 6, 2007) (stating “You should receive $50,000 this week as confirmed today.  Vin Barletta from Barletta Engineering is donating the funds for the grant.  He is also sending out over 1,000 letters in the next two weeks asking all of his vendors and friends across the state to support the grant fund.”).  Ms. Jackson also repeatedly inquired about the status of contributions to the DDF and the DDF account balance.  </w:t>
      </w:r>
      <w:r w:rsidRPr="005B5644">
        <w:rPr>
          <w:i/>
          <w:lang w:val="en-US"/>
        </w:rPr>
        <w:t>See</w:t>
      </w:r>
      <w:r>
        <w:rPr>
          <w:lang w:val="en-US"/>
        </w:rPr>
        <w:t xml:space="preserve">, </w:t>
      </w:r>
      <w:r w:rsidRPr="005B5644">
        <w:rPr>
          <w:i/>
          <w:lang w:val="en-US"/>
        </w:rPr>
        <w:t>e.g</w:t>
      </w:r>
      <w:r>
        <w:rPr>
          <w:lang w:val="en-US"/>
        </w:rPr>
        <w:t>., FCC Bates Number 00457, Email from Joy Jackson, Achieve Telecom Network, LLC, to Kim Airasian, USDLA (dated Feb. 7, 2007) (stating “did you receive the 50k yet?”); FCC Bates Number 00898, Email from Joy Jackson, Achieve Telecom Network, to Patricia Marcelonis, USDLA (dated Aug. 15, 2006) (</w:t>
      </w:r>
      <w:r w:rsidR="002C7130">
        <w:rPr>
          <w:lang w:val="en-US"/>
        </w:rPr>
        <w:t>“</w:t>
      </w:r>
      <w:r>
        <w:rPr>
          <w:lang w:val="en-US"/>
        </w:rPr>
        <w:t>Trish, Can you tell me the account balance in the Digital Divide Fund?”).</w:t>
      </w:r>
    </w:p>
  </w:footnote>
  <w:footnote w:id="36">
    <w:p w:rsidR="00581662" w:rsidRPr="003C1428" w:rsidRDefault="00581662" w:rsidP="00D16DCF">
      <w:pPr>
        <w:pStyle w:val="FootnoteText"/>
        <w:spacing w:after="120"/>
      </w:pPr>
      <w:r>
        <w:rPr>
          <w:rStyle w:val="FootnoteReference"/>
        </w:rPr>
        <w:footnoteRef/>
      </w:r>
      <w:r>
        <w:t xml:space="preserve"> </w:t>
      </w:r>
      <w:r>
        <w:rPr>
          <w:i/>
          <w:lang w:val="en-US"/>
        </w:rPr>
        <w:t xml:space="preserve">See </w:t>
      </w:r>
      <w:r>
        <w:rPr>
          <w:lang w:val="en-US"/>
        </w:rPr>
        <w:t>Achieve Request for Review; Foundation Donations; Barletta Donations; RCN Donations; and Achieve Donations.</w:t>
      </w:r>
    </w:p>
  </w:footnote>
  <w:footnote w:id="37">
    <w:p w:rsidR="00581662" w:rsidRPr="00A73D38" w:rsidRDefault="00581662" w:rsidP="00D16DCF">
      <w:pPr>
        <w:pStyle w:val="FootnoteText"/>
        <w:spacing w:after="120"/>
        <w:rPr>
          <w:lang w:val="en-US"/>
        </w:rPr>
      </w:pPr>
      <w:r>
        <w:rPr>
          <w:rStyle w:val="FootnoteReference"/>
        </w:rPr>
        <w:footnoteRef/>
      </w:r>
      <w:r>
        <w:t xml:space="preserve"> </w:t>
      </w:r>
      <w:r>
        <w:rPr>
          <w:i/>
          <w:lang w:val="en-US"/>
        </w:rPr>
        <w:t>S</w:t>
      </w:r>
      <w:r w:rsidRPr="002476B7">
        <w:rPr>
          <w:i/>
          <w:lang w:val="en-US"/>
        </w:rPr>
        <w:t>ee</w:t>
      </w:r>
      <w:r>
        <w:rPr>
          <w:lang w:val="en-US"/>
        </w:rPr>
        <w:t xml:space="preserve"> FCC Bates Number 00496, Email from Joy Jackson, Achieve Telecom Network, LLC, to Patricia Marcelonis, USDLA (dated Mar. 1, 2007) (stating “… You will be getting a donation next week for around $175k- and, you will not need to do a letter for this particular donation- it will be anonymous.”).  USDLA bank records show that the Foundation made the “anonymous” $175,000 donation.  </w:t>
      </w:r>
      <w:r>
        <w:rPr>
          <w:i/>
          <w:lang w:val="en-US"/>
        </w:rPr>
        <w:t xml:space="preserve">See </w:t>
      </w:r>
      <w:r>
        <w:rPr>
          <w:lang w:val="en-US"/>
        </w:rPr>
        <w:t xml:space="preserve">FCC Bates Numbers 00288-00291, Statement from Bank of America, N.A., The Ralph G. Adams Foundation Business Economy Checking (statement period 3-21-07 through 3-31-07) (showing $175,000 wire transfer 3-22-07).  </w:t>
      </w:r>
      <w:r w:rsidRPr="004861B1">
        <w:rPr>
          <w:i/>
          <w:lang w:val="en-US"/>
        </w:rPr>
        <w:t>See also</w:t>
      </w:r>
      <w:r>
        <w:rPr>
          <w:lang w:val="en-US"/>
        </w:rPr>
        <w:t xml:space="preserve"> Foundation Donations; Barletta Donations; Achieve Donations; RCN Donations; and Foundation-Barletta Transactions (tracing the transfer of funds from Achieve and its related entities to the Foundation and then to the DDF).</w:t>
      </w:r>
    </w:p>
  </w:footnote>
  <w:footnote w:id="38">
    <w:p w:rsidR="00581662" w:rsidRPr="00A73D38" w:rsidRDefault="00581662" w:rsidP="00D16DCF">
      <w:pPr>
        <w:pStyle w:val="FootnoteText"/>
        <w:spacing w:after="120"/>
        <w:rPr>
          <w:lang w:val="en-US"/>
        </w:rPr>
      </w:pPr>
      <w:r>
        <w:rPr>
          <w:rStyle w:val="FootnoteReference"/>
        </w:rPr>
        <w:footnoteRef/>
      </w:r>
      <w:r>
        <w:t xml:space="preserve"> </w:t>
      </w:r>
      <w:r>
        <w:rPr>
          <w:i/>
          <w:lang w:val="en-US"/>
        </w:rPr>
        <w:t xml:space="preserve">See </w:t>
      </w:r>
      <w:r>
        <w:rPr>
          <w:lang w:val="en-US"/>
        </w:rPr>
        <w:t>Foundation Donations.</w:t>
      </w:r>
    </w:p>
  </w:footnote>
  <w:footnote w:id="39">
    <w:p w:rsidR="00581662" w:rsidRPr="00BC7A21" w:rsidRDefault="00581662">
      <w:pPr>
        <w:pStyle w:val="FootnoteText"/>
        <w:spacing w:after="120"/>
        <w:rPr>
          <w:lang w:val="en-US"/>
        </w:rPr>
      </w:pPr>
      <w:r>
        <w:rPr>
          <w:rStyle w:val="FootnoteReference"/>
        </w:rPr>
        <w:footnoteRef/>
      </w:r>
      <w:r>
        <w:t xml:space="preserve"> </w:t>
      </w:r>
      <w:r w:rsidRPr="0001453C">
        <w:rPr>
          <w:i/>
          <w:lang w:val="en-US"/>
        </w:rPr>
        <w:t>See</w:t>
      </w:r>
      <w:r w:rsidRPr="0001453C">
        <w:rPr>
          <w:lang w:val="en-US"/>
        </w:rPr>
        <w:t xml:space="preserve"> </w:t>
      </w:r>
      <w:r>
        <w:rPr>
          <w:lang w:val="en-US"/>
        </w:rPr>
        <w:t xml:space="preserve">Jackson Response at 2.  The Jackson Response was also appended to the Achieve Request for Review as Exhibit 3.  </w:t>
      </w:r>
    </w:p>
  </w:footnote>
  <w:footnote w:id="40">
    <w:p w:rsidR="00581662" w:rsidRPr="00905049" w:rsidRDefault="00581662" w:rsidP="00B70E61">
      <w:pPr>
        <w:pStyle w:val="FootnoteText"/>
        <w:spacing w:after="120"/>
        <w:rPr>
          <w:lang w:val="en-US"/>
        </w:rPr>
      </w:pPr>
      <w:r>
        <w:rPr>
          <w:rStyle w:val="FootnoteReference"/>
        </w:rPr>
        <w:footnoteRef/>
      </w:r>
      <w:r>
        <w:rPr>
          <w:i/>
          <w:lang w:val="en-US"/>
        </w:rPr>
        <w:t xml:space="preserve"> </w:t>
      </w:r>
      <w:r w:rsidRPr="00842EFB">
        <w:rPr>
          <w:i/>
        </w:rPr>
        <w:t>See</w:t>
      </w:r>
      <w:r>
        <w:rPr>
          <w:lang w:val="en-US"/>
        </w:rPr>
        <w:t xml:space="preserve"> Achieve Request for Review at 4.  </w:t>
      </w:r>
    </w:p>
  </w:footnote>
  <w:footnote w:id="41">
    <w:p w:rsidR="00581662" w:rsidRPr="00A50B71" w:rsidRDefault="00581662" w:rsidP="0036792C">
      <w:pPr>
        <w:pStyle w:val="FootnoteText"/>
        <w:spacing w:after="120"/>
        <w:rPr>
          <w:lang w:val="en-US"/>
        </w:rPr>
      </w:pPr>
      <w:r>
        <w:rPr>
          <w:rStyle w:val="FootnoteReference"/>
        </w:rPr>
        <w:footnoteRef/>
      </w:r>
      <w:r>
        <w:t xml:space="preserve"> </w:t>
      </w:r>
      <w:r w:rsidRPr="00A50B71">
        <w:rPr>
          <w:i/>
          <w:lang w:val="en-US"/>
        </w:rPr>
        <w:t>See</w:t>
      </w:r>
      <w:r>
        <w:rPr>
          <w:lang w:val="en-US"/>
        </w:rPr>
        <w:t xml:space="preserve"> Achieve </w:t>
      </w:r>
      <w:r>
        <w:t>Request for Review</w:t>
      </w:r>
      <w:r>
        <w:rPr>
          <w:lang w:val="en-US"/>
        </w:rPr>
        <w:t xml:space="preserve"> at 11-13.    </w:t>
      </w:r>
    </w:p>
  </w:footnote>
  <w:footnote w:id="42">
    <w:p w:rsidR="00581662" w:rsidRPr="00A90C51" w:rsidRDefault="00581662" w:rsidP="007E48AE">
      <w:pPr>
        <w:pStyle w:val="FootnoteText"/>
        <w:spacing w:after="120"/>
        <w:rPr>
          <w:lang w:val="en-US"/>
        </w:rPr>
      </w:pPr>
      <w:r>
        <w:rPr>
          <w:rStyle w:val="FootnoteReference"/>
        </w:rPr>
        <w:footnoteRef/>
      </w:r>
      <w:r>
        <w:t xml:space="preserve"> </w:t>
      </w:r>
      <w:r w:rsidRPr="00220754">
        <w:rPr>
          <w:i/>
          <w:lang w:val="en-US"/>
        </w:rPr>
        <w:t>See</w:t>
      </w:r>
      <w:r>
        <w:rPr>
          <w:lang w:val="en-US"/>
        </w:rPr>
        <w:t xml:space="preserve"> Jackson Response at 1 (stating that  “Achieve’s efforts [in raising funds for the DDF] are not pursuant to any partnership or agreement or understanding between Achieve and USDLA or its officers relating to grant applications from applicants specifying Achieve’s services;” and “Achieve is not directly or indirectly funding the non-discount portion of an applicant.”).  </w:t>
      </w:r>
      <w:r w:rsidRPr="00A90C51">
        <w:rPr>
          <w:i/>
          <w:lang w:val="en-US"/>
        </w:rPr>
        <w:t>See also</w:t>
      </w:r>
      <w:r>
        <w:rPr>
          <w:lang w:val="en-US"/>
        </w:rPr>
        <w:t xml:space="preserve"> Achieve Request for Review at 10</w:t>
      </w:r>
      <w:r>
        <w:t xml:space="preserve"> (</w:t>
      </w:r>
      <w:r>
        <w:rPr>
          <w:lang w:val="en-US"/>
        </w:rPr>
        <w:t>claiming that “Achieve made no donations to the Digital Divide Fund; nor did any Achieve officer, manager, employee or owner.  Achieve had ZERO control over how USDLA grants were administered and funded.  USDLA independently made those decisions as a national trade association.”).   Contrary to Achieve’s assertion that USDLA works independently of Achieve, the record is replete with evidence demonstrating the contrary</w:t>
      </w:r>
      <w:r w:rsidRPr="004D2665">
        <w:rPr>
          <w:lang w:val="en-US"/>
        </w:rPr>
        <w:t>, as discussed</w:t>
      </w:r>
      <w:r>
        <w:rPr>
          <w:lang w:val="en-US"/>
        </w:rPr>
        <w:t xml:space="preserve"> herein</w:t>
      </w:r>
      <w:r w:rsidRPr="004D2665">
        <w:rPr>
          <w:lang w:val="en-US"/>
        </w:rPr>
        <w:t>.</w:t>
      </w:r>
      <w:r>
        <w:rPr>
          <w:lang w:val="en-US"/>
        </w:rPr>
        <w:t xml:space="preserve">  </w:t>
      </w:r>
    </w:p>
  </w:footnote>
  <w:footnote w:id="43">
    <w:p w:rsidR="00581662" w:rsidRPr="00072D32" w:rsidRDefault="00581662" w:rsidP="007E48AE">
      <w:pPr>
        <w:pStyle w:val="FootnoteText"/>
        <w:spacing w:after="120"/>
      </w:pPr>
      <w:r>
        <w:rPr>
          <w:rStyle w:val="FootnoteReference"/>
        </w:rPr>
        <w:footnoteRef/>
      </w:r>
      <w:r>
        <w:t xml:space="preserve"> </w:t>
      </w:r>
      <w:r w:rsidRPr="00220754">
        <w:rPr>
          <w:i/>
          <w:lang w:val="en-US"/>
        </w:rPr>
        <w:t>See</w:t>
      </w:r>
      <w:r>
        <w:rPr>
          <w:lang w:val="en-US"/>
        </w:rPr>
        <w:t xml:space="preserve"> Achieve Request for Review at 5, 7, 10-14, 18</w:t>
      </w:r>
      <w:r>
        <w:t xml:space="preserve"> (</w:t>
      </w:r>
      <w:r>
        <w:rPr>
          <w:lang w:val="en-US"/>
        </w:rPr>
        <w:t xml:space="preserve">stating “Achieve does not market its service as a “no-cost” service because it has no control over whether a grant will or will not be made.”).  </w:t>
      </w:r>
      <w:r w:rsidRPr="00720F9D">
        <w:rPr>
          <w:i/>
          <w:lang w:val="en-US"/>
        </w:rPr>
        <w:t>See also</w:t>
      </w:r>
      <w:r>
        <w:rPr>
          <w:lang w:val="en-US"/>
        </w:rPr>
        <w:t xml:space="preserve"> Jackson Response.</w:t>
      </w:r>
    </w:p>
  </w:footnote>
  <w:footnote w:id="44">
    <w:p w:rsidR="00581662" w:rsidRPr="005B5644" w:rsidRDefault="00581662" w:rsidP="00A15FD2">
      <w:pPr>
        <w:pStyle w:val="FootnoteText"/>
        <w:spacing w:after="120"/>
        <w:rPr>
          <w:lang w:val="en-US"/>
        </w:rPr>
      </w:pPr>
      <w:r>
        <w:rPr>
          <w:rStyle w:val="FootnoteReference"/>
        </w:rPr>
        <w:footnoteRef/>
      </w:r>
      <w:r>
        <w:t xml:space="preserve"> </w:t>
      </w:r>
      <w:r w:rsidRPr="00FD1BFF">
        <w:rPr>
          <w:i/>
          <w:lang w:val="en-US"/>
        </w:rPr>
        <w:t xml:space="preserve">See </w:t>
      </w:r>
      <w:r>
        <w:rPr>
          <w:lang w:val="en-US"/>
        </w:rPr>
        <w:t>Letter from Joy Jackson, Achieve Telecom Network, to Office of the Secretary, Federal Communications Commission (dated Nov. 30, 2014) (Achieve 2014 Response).</w:t>
      </w:r>
    </w:p>
  </w:footnote>
  <w:footnote w:id="45">
    <w:p w:rsidR="00581662" w:rsidRPr="00D314EC" w:rsidRDefault="00581662" w:rsidP="00B70E61">
      <w:pPr>
        <w:pStyle w:val="FootnoteText"/>
        <w:spacing w:after="120"/>
        <w:rPr>
          <w:lang w:val="en-US"/>
        </w:rPr>
      </w:pPr>
      <w:r>
        <w:rPr>
          <w:rStyle w:val="FootnoteReference"/>
        </w:rPr>
        <w:footnoteRef/>
      </w:r>
      <w:r>
        <w:t xml:space="preserve"> </w:t>
      </w:r>
      <w:r w:rsidRPr="00454266">
        <w:rPr>
          <w:i/>
          <w:lang w:val="en-US"/>
        </w:rPr>
        <w:t>See</w:t>
      </w:r>
      <w:r>
        <w:rPr>
          <w:lang w:val="en-US"/>
        </w:rPr>
        <w:t xml:space="preserve"> FCC Bates Numbers 00359-00363, USDLA Summer Board and Planning Meeting Notes, dated June 16-18, 2004 (stating “[h]ave formed partnership with Achieve Telecom to assist in pursuit of E-rate k-12 monetary allocation with various technology companies.  Should result in USDLA as a 501(c)(3) being able to receive corporate grant monies which will be funneled into school districts.”)  </w:t>
      </w:r>
      <w:r w:rsidRPr="005B5644">
        <w:rPr>
          <w:i/>
          <w:lang w:val="en-US"/>
        </w:rPr>
        <w:t>See also</w:t>
      </w:r>
      <w:r>
        <w:rPr>
          <w:lang w:val="en-US"/>
        </w:rPr>
        <w:t xml:space="preserve"> FCC Bates Numbers 00372-00374, USDLA Summer Board and Planning Meeting Notes, dated March 2006; FCC Bates Numbers 00375-00379, USDLA, Chief Executive Officer Report, Board of Directors Meeting, dated June 15, 2006; FCC Bates Numbers 00380-00384, USDLA FY09 Report, dated Oct. 24, 2008 (all referring to “continued partnership with Achieve Telecom…”).</w:t>
      </w:r>
    </w:p>
  </w:footnote>
  <w:footnote w:id="46">
    <w:p w:rsidR="00581662" w:rsidRPr="00BA11CD" w:rsidRDefault="00581662" w:rsidP="0036792C">
      <w:pPr>
        <w:pStyle w:val="FootnoteText"/>
        <w:spacing w:after="120"/>
        <w:rPr>
          <w:lang w:val="en-US"/>
        </w:rPr>
      </w:pPr>
      <w:r>
        <w:rPr>
          <w:rStyle w:val="FootnoteReference"/>
        </w:rPr>
        <w:footnoteRef/>
      </w:r>
      <w:r>
        <w:t xml:space="preserve"> </w:t>
      </w:r>
      <w:r>
        <w:rPr>
          <w:i/>
          <w:lang w:val="en-US"/>
        </w:rPr>
        <w:t xml:space="preserve">See </w:t>
      </w:r>
      <w:r w:rsidRPr="00D6705E">
        <w:rPr>
          <w:i/>
          <w:lang w:val="en-US"/>
        </w:rPr>
        <w:t>supra</w:t>
      </w:r>
      <w:r>
        <w:rPr>
          <w:lang w:val="en-US"/>
        </w:rPr>
        <w:t xml:space="preserve"> paras. 8-9; Foundation Donations; Barletta Donations; RCN Donations; Achieve Donations.  Note that Ms. Jackson prepared a grant proposal, on behalf of USDLA, for the New Balance Foundation seeking $100,000 in donations for the DDF.  </w:t>
      </w:r>
      <w:r w:rsidRPr="005B5644">
        <w:rPr>
          <w:i/>
          <w:lang w:val="en-US"/>
        </w:rPr>
        <w:t>See</w:t>
      </w:r>
      <w:r>
        <w:rPr>
          <w:lang w:val="en-US"/>
        </w:rPr>
        <w:t xml:space="preserve"> FCC Bates Number 00415, Email from Joy Jackson, Achieve Telecom Network, LLC, to John Flores, USDLA (dated Nov. 28, 2007) (stating “they [New Balance] will accept a grant proposal from USDLA for $100,000 to support the Digital Divide Grant Fund.  We are editing the proposal and cover letter we submitted last year to send to Megan Davidson at New Balance…”</w:t>
      </w:r>
      <w:r w:rsidR="00DC033C">
        <w:rPr>
          <w:lang w:val="en-US"/>
        </w:rPr>
        <w:t>).</w:t>
      </w:r>
      <w:r>
        <w:rPr>
          <w:lang w:val="en-US"/>
        </w:rPr>
        <w:t xml:space="preserve">  </w:t>
      </w:r>
      <w:r w:rsidRPr="005B5644">
        <w:rPr>
          <w:i/>
          <w:lang w:val="en-US"/>
        </w:rPr>
        <w:t>See also</w:t>
      </w:r>
      <w:r>
        <w:rPr>
          <w:lang w:val="en-US"/>
        </w:rPr>
        <w:t xml:space="preserve"> FCC Bates Number 00416, Email from Joy Jackson, Achieve Telecom Network, LLC to Megan Davidson, New Balance Foundation (dated Nov. 29, 2007) (noting in the subject line: “USDLA-Achieve Telecom Proposal”). </w:t>
      </w:r>
    </w:p>
  </w:footnote>
  <w:footnote w:id="47">
    <w:p w:rsidR="00581662" w:rsidRPr="005B5644" w:rsidRDefault="00581662" w:rsidP="0093345D">
      <w:pPr>
        <w:pStyle w:val="FootnoteText"/>
        <w:spacing w:after="120"/>
        <w:rPr>
          <w:lang w:val="en-US"/>
        </w:rPr>
      </w:pPr>
      <w:r>
        <w:rPr>
          <w:rStyle w:val="FootnoteReference"/>
        </w:rPr>
        <w:footnoteRef/>
      </w:r>
      <w:r>
        <w:t xml:space="preserve"> </w:t>
      </w:r>
      <w:r w:rsidRPr="00532033">
        <w:rPr>
          <w:i/>
          <w:lang w:val="en-US"/>
        </w:rPr>
        <w:t>See</w:t>
      </w:r>
      <w:r>
        <w:rPr>
          <w:i/>
          <w:lang w:val="en-US"/>
        </w:rPr>
        <w:t xml:space="preserve"> </w:t>
      </w:r>
      <w:r>
        <w:rPr>
          <w:lang w:val="en-US"/>
        </w:rPr>
        <w:t xml:space="preserve">FCC Bates Numbers 00348-00349, Digital Divide Fund Grants, prepared by USDLA (listing DDF grant recipients, all of which were Achieve’s clients); FCC Bates Numbers 0140-0142, August 2014 Wireline Competition Bureau Email, Attachment 3 (listing detailed information concerning checks issued by USDLA’s DDF, including checks issued to Achieve or USDLA (as its fees)). </w:t>
      </w:r>
    </w:p>
  </w:footnote>
  <w:footnote w:id="48">
    <w:p w:rsidR="00581662" w:rsidRPr="008A7D3B" w:rsidRDefault="00581662" w:rsidP="0093345D">
      <w:pPr>
        <w:pStyle w:val="FootnoteText"/>
        <w:spacing w:after="120"/>
        <w:rPr>
          <w:lang w:val="en-US"/>
        </w:rPr>
      </w:pPr>
      <w:r>
        <w:rPr>
          <w:rStyle w:val="FootnoteReference"/>
        </w:rPr>
        <w:footnoteRef/>
      </w:r>
      <w:r>
        <w:t xml:space="preserve"> </w:t>
      </w:r>
      <w:r w:rsidRPr="00B60176">
        <w:rPr>
          <w:i/>
          <w:lang w:val="en-US"/>
        </w:rPr>
        <w:t>See</w:t>
      </w:r>
      <w:r>
        <w:rPr>
          <w:lang w:val="en-US"/>
        </w:rPr>
        <w:t xml:space="preserve"> FCC Bates Number 01297, Email from Patricia Marcelonis, USDLA, to Joy Jackson, Achieve Telecom Network, LLC (dated March 13, 2008) (stating “John just wanted me to run something by you.  He has the reaffirm letter signed for Brockton, which says it has been approved subject to funding, </w:t>
      </w:r>
      <w:r w:rsidRPr="00376551">
        <w:rPr>
          <w:i/>
          <w:lang w:val="en-US"/>
        </w:rPr>
        <w:t xml:space="preserve">but wanted me to check if all is OK </w:t>
      </w:r>
      <w:r w:rsidRPr="00E97A01">
        <w:rPr>
          <w:i/>
          <w:lang w:val="en-US"/>
        </w:rPr>
        <w:t>with Brockton and the Digital Divide Funding</w:t>
      </w:r>
      <w:r w:rsidRPr="00E97A01">
        <w:rPr>
          <w:lang w:val="en-US"/>
        </w:rPr>
        <w:t>.  I have attached a copy of the letter that he has signed which is ready</w:t>
      </w:r>
      <w:r>
        <w:rPr>
          <w:lang w:val="en-US"/>
        </w:rPr>
        <w:t xml:space="preserve"> to go.”) (Emphasis added).  In another example, Dr. Flores seeks Ms. Jackson’s approval before issuing a grant for a school district not part of this appeal.  </w:t>
      </w:r>
      <w:r w:rsidRPr="005B5644">
        <w:rPr>
          <w:i/>
          <w:lang w:val="en-US"/>
        </w:rPr>
        <w:t>See</w:t>
      </w:r>
      <w:r>
        <w:rPr>
          <w:lang w:val="en-US"/>
        </w:rPr>
        <w:t xml:space="preserve"> FCC Bates Number 01426, Email from John Flores, USDLA, to Joy Jackson, Achieve Telecom Network, LLC (dated April 18, 2007</w:t>
      </w:r>
      <w:r w:rsidRPr="005011C1">
        <w:rPr>
          <w:lang w:val="en-US"/>
        </w:rPr>
        <w:t xml:space="preserve">) </w:t>
      </w:r>
      <w:r w:rsidRPr="005B5644">
        <w:rPr>
          <w:lang w:val="en-US"/>
        </w:rPr>
        <w:t>(stating “received a grant application from New Haven for $312,660… will respond accordingly… please confirm</w:t>
      </w:r>
      <w:r w:rsidRPr="008A7D3B">
        <w:rPr>
          <w:lang w:val="en-US"/>
        </w:rPr>
        <w:t>.”).</w:t>
      </w:r>
      <w:r w:rsidRPr="005B5644">
        <w:rPr>
          <w:lang w:val="en-US"/>
        </w:rPr>
        <w:t xml:space="preserve">  </w:t>
      </w:r>
      <w:r w:rsidRPr="005B5644">
        <w:rPr>
          <w:i/>
          <w:lang w:val="en-US"/>
        </w:rPr>
        <w:t xml:space="preserve">See also </w:t>
      </w:r>
      <w:r>
        <w:rPr>
          <w:i/>
          <w:lang w:val="en-US"/>
        </w:rPr>
        <w:t>inf</w:t>
      </w:r>
      <w:r w:rsidRPr="005B5644">
        <w:rPr>
          <w:i/>
          <w:lang w:val="en-US"/>
        </w:rPr>
        <w:t>ra</w:t>
      </w:r>
      <w:r>
        <w:rPr>
          <w:lang w:val="en-US"/>
        </w:rPr>
        <w:t xml:space="preserve"> para. 12.</w:t>
      </w:r>
    </w:p>
  </w:footnote>
  <w:footnote w:id="49">
    <w:p w:rsidR="00581662" w:rsidRPr="00046A45" w:rsidRDefault="00581662" w:rsidP="00B70E61">
      <w:pPr>
        <w:pStyle w:val="FootnoteText"/>
        <w:spacing w:after="120"/>
        <w:rPr>
          <w:lang w:val="en-US"/>
        </w:rPr>
      </w:pPr>
      <w:r>
        <w:rPr>
          <w:rStyle w:val="FootnoteReference"/>
        </w:rPr>
        <w:footnoteRef/>
      </w:r>
      <w:r>
        <w:t xml:space="preserve"> </w:t>
      </w:r>
      <w:r>
        <w:rPr>
          <w:lang w:val="en-US"/>
        </w:rPr>
        <w:t xml:space="preserve">Specifically, in an email exchange on October 4, 2006, Ms. Jackson instructed Ms. Marcelonis to “[l]et me know if you get any questions back from them [an Achieve customer not part of this appeal] - -  Jane is an E-rate consultant and specialist so </w:t>
      </w:r>
      <w:r w:rsidRPr="004334C0">
        <w:rPr>
          <w:i/>
          <w:lang w:val="en-US"/>
        </w:rPr>
        <w:t>we</w:t>
      </w:r>
      <w:r>
        <w:rPr>
          <w:lang w:val="en-US"/>
        </w:rPr>
        <w:t xml:space="preserve"> need to make sure </w:t>
      </w:r>
      <w:r w:rsidRPr="004334C0">
        <w:rPr>
          <w:i/>
          <w:lang w:val="en-US"/>
        </w:rPr>
        <w:t>we</w:t>
      </w:r>
      <w:r>
        <w:rPr>
          <w:lang w:val="en-US"/>
        </w:rPr>
        <w:t xml:space="preserve"> answer her questions [about USDLA] correctly and carefully.”  </w:t>
      </w:r>
      <w:r>
        <w:rPr>
          <w:i/>
          <w:lang w:val="en-US"/>
        </w:rPr>
        <w:t xml:space="preserve">See </w:t>
      </w:r>
      <w:r>
        <w:rPr>
          <w:lang w:val="en-US"/>
        </w:rPr>
        <w:t xml:space="preserve">FCC Bates Number 01394, Email from Joy Jackson, Achieve Telecom Network, LLC to Patricia Marcelonis, USDLA (dated Oct. 4, 2006) (emphasis added).  Ms. Marcelonis responded with the acknowledgement that despite administering the program for USDLA, she knew “zip” about it.  </w:t>
      </w:r>
      <w:r w:rsidRPr="007B730C">
        <w:rPr>
          <w:i/>
          <w:lang w:val="en-US"/>
        </w:rPr>
        <w:t xml:space="preserve">See </w:t>
      </w:r>
      <w:r>
        <w:rPr>
          <w:lang w:val="en-US"/>
        </w:rPr>
        <w:t xml:space="preserve">FCC Bates Number 01394, Email from Patricia Marcelonis, USDLA, to Joy Jackson, Achieve Telecom Network, LLC (dated Oct. 4, 2006).  In another email exchange on April 24, 2008, Dr. Flores instructed Ms. Marcelonis to confirm with Ms. Jackson whether it would be permissible to pay three Springfield invoices. </w:t>
      </w:r>
      <w:r w:rsidRPr="000E10F6">
        <w:rPr>
          <w:i/>
          <w:lang w:val="en-US"/>
        </w:rPr>
        <w:t xml:space="preserve"> See</w:t>
      </w:r>
      <w:r>
        <w:rPr>
          <w:lang w:val="en-US"/>
        </w:rPr>
        <w:t xml:space="preserve"> FCC Bates Number 00441, Email from Patricia Marcelonis, USDLA, to John Flores, USDLA (dated Apr. 24, 2008) (stating “[t]his invoice for 3 payments for Springfield came in today from Achieve.  I wanted to send it to you to see if it is ok to pay.”); FCC Bates Number 00441, Email from John Flores, USDLA, to Patricia Marcelonis, USDLA (dated Apr. 24, 2008) (responding “ok by me.  Just confirm with Joy.”).   </w:t>
      </w:r>
    </w:p>
  </w:footnote>
  <w:footnote w:id="50">
    <w:p w:rsidR="00581662" w:rsidRPr="005B5644" w:rsidRDefault="00581662" w:rsidP="0093345D">
      <w:pPr>
        <w:pStyle w:val="FootnoteText"/>
        <w:spacing w:after="120"/>
        <w:rPr>
          <w:lang w:val="en-US"/>
        </w:rPr>
      </w:pPr>
      <w:r>
        <w:rPr>
          <w:rStyle w:val="FootnoteReference"/>
        </w:rPr>
        <w:footnoteRef/>
      </w:r>
      <w:r>
        <w:t xml:space="preserve"> </w:t>
      </w:r>
      <w:r w:rsidRPr="000E10F6">
        <w:rPr>
          <w:i/>
          <w:lang w:val="en-US"/>
        </w:rPr>
        <w:t>See</w:t>
      </w:r>
      <w:r>
        <w:rPr>
          <w:lang w:val="en-US"/>
        </w:rPr>
        <w:t xml:space="preserve"> FCC Bates Number 00956, Email from Patricia Marcelonis, USDLA, to Joy Jackson, Achieve Telecom Network, LLC (dated Oct. 23, 2006) (stating “Can you HELP me with the following email?”).</w:t>
      </w:r>
    </w:p>
  </w:footnote>
  <w:footnote w:id="51">
    <w:p w:rsidR="00581662" w:rsidRPr="005B5644" w:rsidRDefault="00581662" w:rsidP="0093345D">
      <w:pPr>
        <w:pStyle w:val="FootnoteText"/>
        <w:spacing w:after="120"/>
        <w:rPr>
          <w:lang w:val="en-US"/>
        </w:rPr>
      </w:pPr>
      <w:r>
        <w:rPr>
          <w:rStyle w:val="FootnoteReference"/>
        </w:rPr>
        <w:footnoteRef/>
      </w:r>
      <w:r>
        <w:rPr>
          <w:i/>
          <w:lang w:val="en-US"/>
        </w:rPr>
        <w:t xml:space="preserve"> </w:t>
      </w:r>
      <w:r w:rsidRPr="000E10F6">
        <w:rPr>
          <w:i/>
          <w:lang w:val="en-US"/>
        </w:rPr>
        <w:t>See</w:t>
      </w:r>
      <w:r>
        <w:rPr>
          <w:lang w:val="en-US"/>
        </w:rPr>
        <w:t xml:space="preserve"> FCC Bates Number 00958, Email from Joy Jackson, Achieve Telecom Network, LLC, to Patricia Marcelonis, USDLA (dated Oct. 23, 2006).</w:t>
      </w:r>
      <w:r>
        <w:t xml:space="preserve"> </w:t>
      </w:r>
    </w:p>
  </w:footnote>
  <w:footnote w:id="52">
    <w:p w:rsidR="00581662" w:rsidRPr="005B5644" w:rsidRDefault="00581662" w:rsidP="0093345D">
      <w:pPr>
        <w:pStyle w:val="FootnoteText"/>
        <w:spacing w:after="120"/>
        <w:rPr>
          <w:lang w:val="en-US"/>
        </w:rPr>
      </w:pPr>
      <w:r>
        <w:rPr>
          <w:rStyle w:val="FootnoteReference"/>
        </w:rPr>
        <w:footnoteRef/>
      </w:r>
      <w:r>
        <w:t xml:space="preserve"> </w:t>
      </w:r>
      <w:r w:rsidRPr="000E10F6">
        <w:rPr>
          <w:i/>
          <w:lang w:val="en-US"/>
        </w:rPr>
        <w:t>See</w:t>
      </w:r>
      <w:r>
        <w:rPr>
          <w:lang w:val="en-US"/>
        </w:rPr>
        <w:t xml:space="preserve"> FCC Bates Number 00984, Email from Patricia Marcelonis, USDLA, to Joy Jackson, Achieve Telecom Network, LLC (dated Jan. 26, 2007) (stating “Quick question- file name for this request- Erie- is that the name you would like for this file?  Location?”).  </w:t>
      </w:r>
      <w:r w:rsidRPr="005B5644">
        <w:rPr>
          <w:i/>
          <w:lang w:val="en-US"/>
        </w:rPr>
        <w:t>See also</w:t>
      </w:r>
      <w:r>
        <w:rPr>
          <w:lang w:val="en-US"/>
        </w:rPr>
        <w:t xml:space="preserve"> FCC Bates Number 00992, </w:t>
      </w:r>
      <w:r w:rsidRPr="00FA45BA">
        <w:t>Email from Patricia Marcelonis, USDLA, to Joy Jackson, Achieve Telecom Netw</w:t>
      </w:r>
      <w:r>
        <w:t>ork, LLC (dated Jan. 26, 2007)</w:t>
      </w:r>
      <w:r>
        <w:rPr>
          <w:lang w:val="en-US"/>
        </w:rPr>
        <w:t xml:space="preserve"> (asking Ms. Jackson whether Marcelonis should open a new DDF file for Hartford </w:t>
      </w:r>
      <w:r w:rsidRPr="00EC53DC">
        <w:t>or is it part of the other one we sent to Dave Bognar- Library Division</w:t>
      </w:r>
      <w:r>
        <w:rPr>
          <w:lang w:val="en-US"/>
        </w:rPr>
        <w:t xml:space="preserve">?).  Ms. Jackson replies: </w:t>
      </w:r>
      <w:r w:rsidRPr="005B5644">
        <w:rPr>
          <w:i/>
        </w:rPr>
        <w:t>“</w:t>
      </w:r>
      <w:r w:rsidRPr="005B5644">
        <w:t>Forget Bognar- we didn’t get the contract!  So open a new file for Hartford Schools.</w:t>
      </w:r>
      <w:r>
        <w:rPr>
          <w:lang w:val="en-US"/>
        </w:rPr>
        <w:t>”</w:t>
      </w:r>
      <w:r w:rsidRPr="00EC53DC">
        <w:rPr>
          <w:lang w:val="en-US"/>
        </w:rPr>
        <w:t xml:space="preserve"> </w:t>
      </w:r>
      <w:r>
        <w:rPr>
          <w:lang w:val="en-US"/>
        </w:rPr>
        <w:t xml:space="preserve"> </w:t>
      </w:r>
      <w:r w:rsidRPr="005B5644">
        <w:rPr>
          <w:i/>
          <w:lang w:val="en-US"/>
        </w:rPr>
        <w:t>See</w:t>
      </w:r>
      <w:r>
        <w:rPr>
          <w:lang w:val="en-US"/>
        </w:rPr>
        <w:t xml:space="preserve"> FCC Bates Number 00992, </w:t>
      </w:r>
      <w:r w:rsidRPr="00FA45BA">
        <w:t>Email from Joy Jackson, Achieve Telecom Network, LLC, to Patricia Marcelonis, USDLA (dated Jan. 2</w:t>
      </w:r>
      <w:r>
        <w:t>6, 2007)</w:t>
      </w:r>
      <w:r w:rsidRPr="00FA45BA">
        <w:t>.</w:t>
      </w:r>
      <w:r>
        <w:rPr>
          <w:lang w:val="en-US"/>
        </w:rPr>
        <w:t xml:space="preserve">  Apparently, Bognar, the Media Technology Specialist for the Hartford Public Library system, decided not to seek telecommunications funding at that time, and instead was considering only video conferencing equipment that Achieve did not offer.  </w:t>
      </w:r>
      <w:r w:rsidRPr="005B5644">
        <w:rPr>
          <w:i/>
          <w:lang w:val="en-US"/>
        </w:rPr>
        <w:t>See</w:t>
      </w:r>
      <w:r>
        <w:rPr>
          <w:lang w:val="en-US"/>
        </w:rPr>
        <w:t xml:space="preserve"> Achieve 2014 Response, Exhibit G.  </w:t>
      </w:r>
      <w:r w:rsidRPr="00FA45BA">
        <w:t xml:space="preserve">  </w:t>
      </w:r>
      <w:r>
        <w:rPr>
          <w:lang w:val="en-US"/>
        </w:rPr>
        <w:t xml:space="preserve">  </w:t>
      </w:r>
    </w:p>
  </w:footnote>
  <w:footnote w:id="53">
    <w:p w:rsidR="00581662" w:rsidRPr="005B5644" w:rsidRDefault="00581662" w:rsidP="0093345D">
      <w:pPr>
        <w:pStyle w:val="FootnoteText"/>
        <w:spacing w:after="120"/>
        <w:rPr>
          <w:lang w:val="en-US"/>
        </w:rPr>
      </w:pPr>
      <w:r>
        <w:rPr>
          <w:rStyle w:val="FootnoteReference"/>
        </w:rPr>
        <w:footnoteRef/>
      </w:r>
      <w:r>
        <w:t xml:space="preserve"> </w:t>
      </w:r>
      <w:r w:rsidRPr="000E10F6">
        <w:rPr>
          <w:i/>
          <w:lang w:val="en-US"/>
        </w:rPr>
        <w:t>See</w:t>
      </w:r>
      <w:r>
        <w:rPr>
          <w:lang w:val="en-US"/>
        </w:rPr>
        <w:t xml:space="preserve"> FCC Bates Number 01050, Part III of FCC, Inspector General Subpoena (seeking documents relating to how USDLA evaluated DDF requests); Achieve Request for Review.</w:t>
      </w:r>
    </w:p>
  </w:footnote>
  <w:footnote w:id="54">
    <w:p w:rsidR="00581662" w:rsidRPr="00336427" w:rsidRDefault="00581662" w:rsidP="0093345D">
      <w:pPr>
        <w:pStyle w:val="FootnoteText"/>
        <w:spacing w:after="120"/>
        <w:rPr>
          <w:lang w:val="en-US"/>
        </w:rPr>
      </w:pPr>
      <w:r>
        <w:rPr>
          <w:rStyle w:val="FootnoteReference"/>
        </w:rPr>
        <w:footnoteRef/>
      </w:r>
      <w:r>
        <w:t xml:space="preserve"> </w:t>
      </w:r>
      <w:r w:rsidRPr="00336427">
        <w:rPr>
          <w:i/>
          <w:lang w:val="en-US"/>
        </w:rPr>
        <w:t xml:space="preserve">See </w:t>
      </w:r>
      <w:r>
        <w:rPr>
          <w:i/>
          <w:lang w:val="en-US"/>
        </w:rPr>
        <w:t>infra</w:t>
      </w:r>
      <w:r>
        <w:rPr>
          <w:lang w:val="en-US"/>
        </w:rPr>
        <w:t xml:space="preserve"> para. 13.</w:t>
      </w:r>
    </w:p>
  </w:footnote>
  <w:footnote w:id="55">
    <w:p w:rsidR="00581662" w:rsidRPr="00FA45BA" w:rsidRDefault="00581662" w:rsidP="00B70E61">
      <w:pPr>
        <w:pStyle w:val="FootnoteText"/>
        <w:spacing w:after="120"/>
        <w:rPr>
          <w:lang w:val="en-US"/>
        </w:rPr>
      </w:pPr>
      <w:r w:rsidRPr="00FA45BA">
        <w:rPr>
          <w:rStyle w:val="FootnoteReference"/>
        </w:rPr>
        <w:footnoteRef/>
      </w:r>
      <w:r w:rsidRPr="00FA45BA">
        <w:t xml:space="preserve"> </w:t>
      </w:r>
      <w:r w:rsidRPr="00FA45BA">
        <w:rPr>
          <w:i/>
          <w:lang w:val="en-US"/>
        </w:rPr>
        <w:t>See</w:t>
      </w:r>
      <w:r w:rsidRPr="00FA45BA">
        <w:rPr>
          <w:lang w:val="en-US"/>
        </w:rPr>
        <w:t xml:space="preserve"> </w:t>
      </w:r>
      <w:r>
        <w:rPr>
          <w:lang w:val="en-US"/>
        </w:rPr>
        <w:t xml:space="preserve">FCC Bates Number 00942, </w:t>
      </w:r>
      <w:r w:rsidRPr="00FA45BA">
        <w:rPr>
          <w:lang w:val="en-US"/>
        </w:rPr>
        <w:t xml:space="preserve">Email from Joy Jackson, Achieve Telecom Network, LLC, to John Flores and Patricia Marcelonis, USDLA (dated Oct. 5, 2006) (stating “John- I am not expecting you to pay Brockton’s portion UNTIL they submit the grant (and are approved for USDLA support) and it will take us at least a month to install because they are a full satellite system.  I am fully aware that you need the grant application in ASAP and I stated yesterday in my email, I have Nic working with them to get all steps completed ASAP.  If they do not submit the grant and don’t ask for USDLA assistance, then they will be responsible for the difference that E-rate doesn’t pay when the project is launched- they understand this completely.  So it is their call.”) (Brockton Email).  </w:t>
      </w:r>
    </w:p>
  </w:footnote>
  <w:footnote w:id="56">
    <w:p w:rsidR="00581662" w:rsidRPr="00046A45" w:rsidRDefault="00581662" w:rsidP="0036792C">
      <w:pPr>
        <w:pStyle w:val="FootnoteText"/>
        <w:spacing w:after="120"/>
        <w:rPr>
          <w:lang w:val="en-US"/>
        </w:rPr>
      </w:pPr>
      <w:r w:rsidRPr="00FA45BA">
        <w:rPr>
          <w:rStyle w:val="FootnoteReference"/>
        </w:rPr>
        <w:footnoteRef/>
      </w:r>
      <w:r w:rsidRPr="00FA45BA">
        <w:t xml:space="preserve"> </w:t>
      </w:r>
      <w:r w:rsidRPr="00FA45BA">
        <w:rPr>
          <w:i/>
          <w:lang w:val="en-US"/>
        </w:rPr>
        <w:t>See</w:t>
      </w:r>
      <w:r w:rsidRPr="00FA45BA">
        <w:rPr>
          <w:lang w:val="en-US"/>
        </w:rPr>
        <w:t xml:space="preserve"> </w:t>
      </w:r>
      <w:r>
        <w:rPr>
          <w:lang w:val="en-US"/>
        </w:rPr>
        <w:t xml:space="preserve">FCC Bates Number 00897, </w:t>
      </w:r>
      <w:r w:rsidRPr="00FA45BA">
        <w:rPr>
          <w:lang w:val="en-US"/>
        </w:rPr>
        <w:t>Email from Joy Jackson, Achieve Telecom Network</w:t>
      </w:r>
      <w:r>
        <w:rPr>
          <w:lang w:val="en-US"/>
        </w:rPr>
        <w:t>, LLC, to Patricia Marcelonis, USDLA (dated July 31, 2006) (emphasis added).  In response, Ms. Marcelonis reminded Ms. Jackson that “…for legal purposes we need to have the following- On the Grant Application, first page, there are no dollar amounts listed… On the letter- needs to be on Brockton Letterhead . . .”</w:t>
      </w:r>
      <w:r w:rsidRPr="00383CE2">
        <w:rPr>
          <w:i/>
          <w:lang w:val="en-US"/>
        </w:rPr>
        <w:t xml:space="preserve"> </w:t>
      </w:r>
      <w:r>
        <w:rPr>
          <w:i/>
          <w:lang w:val="en-US"/>
        </w:rPr>
        <w:t xml:space="preserve"> </w:t>
      </w:r>
      <w:r w:rsidRPr="00B60176">
        <w:rPr>
          <w:i/>
          <w:lang w:val="en-US"/>
        </w:rPr>
        <w:t>See</w:t>
      </w:r>
      <w:r>
        <w:rPr>
          <w:lang w:val="en-US"/>
        </w:rPr>
        <w:t xml:space="preserve"> Email from Patricia Marcelonis, USDLA, to Joy Jackson, Achieve Telecom Network, LLC (dated Aug. 2, 2006).  Ms. Jackson then states that she will contact the School to have them finalize the documents.  </w:t>
      </w:r>
      <w:r w:rsidRPr="005B5644">
        <w:rPr>
          <w:i/>
          <w:lang w:val="en-US"/>
        </w:rPr>
        <w:t xml:space="preserve">See </w:t>
      </w:r>
      <w:r>
        <w:rPr>
          <w:lang w:val="en-US"/>
        </w:rPr>
        <w:t xml:space="preserve">FCC Bates Number 00896, Email from Joy Jackson, Achieve Telecom Network, LLC, to Patricia Marcelonis, USDLA dated Aug. 3, 2006) (stating “I had [sic] assumed that it was completely finalized at least that was what I was told.  I will get it back to Dennis and have him any take care of the remaining details.”).  </w:t>
      </w:r>
    </w:p>
  </w:footnote>
  <w:footnote w:id="57">
    <w:p w:rsidR="00581662" w:rsidRPr="00E81017" w:rsidRDefault="00581662" w:rsidP="00D51380">
      <w:pPr>
        <w:pStyle w:val="FootnoteText"/>
        <w:spacing w:after="120"/>
        <w:rPr>
          <w:lang w:val="en-US"/>
        </w:rPr>
      </w:pPr>
      <w:r>
        <w:rPr>
          <w:rStyle w:val="FootnoteReference"/>
        </w:rPr>
        <w:footnoteRef/>
      </w:r>
      <w:r>
        <w:t xml:space="preserve"> </w:t>
      </w:r>
      <w:r w:rsidRPr="00FA45BA">
        <w:rPr>
          <w:i/>
          <w:lang w:val="en-US"/>
        </w:rPr>
        <w:t>See</w:t>
      </w:r>
      <w:r w:rsidRPr="00FA45BA">
        <w:rPr>
          <w:lang w:val="en-US"/>
        </w:rPr>
        <w:t xml:space="preserve"> </w:t>
      </w:r>
      <w:r>
        <w:rPr>
          <w:lang w:val="en-US"/>
        </w:rPr>
        <w:t xml:space="preserve">FCC Bates Numbers 00967, </w:t>
      </w:r>
      <w:r w:rsidRPr="00FA45BA">
        <w:rPr>
          <w:lang w:val="en-US"/>
        </w:rPr>
        <w:t>Email from Joy Jackson, Achieve Telecom Network</w:t>
      </w:r>
      <w:r>
        <w:rPr>
          <w:lang w:val="en-US"/>
        </w:rPr>
        <w:t>, LLC, to Patricia Marcelonis, USDLA (dated Aug. 16, 2006).  This email shows that Ms. Jackson knows that USDLA will approve Brockton’s application before the School actually submits it to USDLA.  Further, when speaking of next steps, Ms. Jackson implies that she and USDLA are working together in the DDF program, urging Ms. Marcelonis that “</w:t>
      </w:r>
      <w:r w:rsidRPr="00600E8C">
        <w:rPr>
          <w:b/>
          <w:u w:val="single"/>
          <w:lang w:val="en-US"/>
        </w:rPr>
        <w:t>we</w:t>
      </w:r>
      <w:r w:rsidRPr="00600E8C">
        <w:rPr>
          <w:u w:val="single"/>
          <w:lang w:val="en-US"/>
        </w:rPr>
        <w:t xml:space="preserve"> proceed</w:t>
      </w:r>
      <w:r>
        <w:rPr>
          <w:lang w:val="en-US"/>
        </w:rPr>
        <w:t xml:space="preserve">” to draft the grant approval letter ASAP.  </w:t>
      </w:r>
      <w:r w:rsidRPr="005B5644">
        <w:rPr>
          <w:i/>
          <w:lang w:val="en-US"/>
        </w:rPr>
        <w:t>Id</w:t>
      </w:r>
      <w:r>
        <w:rPr>
          <w:lang w:val="en-US"/>
        </w:rPr>
        <w:t>. (emphasis added).</w:t>
      </w:r>
    </w:p>
  </w:footnote>
  <w:footnote w:id="58">
    <w:p w:rsidR="00581662" w:rsidRPr="006344DE" w:rsidRDefault="00581662" w:rsidP="00B70E61">
      <w:pPr>
        <w:pStyle w:val="FootnoteText"/>
        <w:spacing w:after="120"/>
      </w:pPr>
      <w:r>
        <w:rPr>
          <w:rStyle w:val="FootnoteReference"/>
        </w:rPr>
        <w:footnoteRef/>
      </w:r>
      <w:r>
        <w:t xml:space="preserve"> </w:t>
      </w:r>
      <w:r w:rsidRPr="00B60176">
        <w:rPr>
          <w:i/>
          <w:lang w:val="en-US"/>
        </w:rPr>
        <w:t>See</w:t>
      </w:r>
      <w:r>
        <w:rPr>
          <w:lang w:val="en-US"/>
        </w:rPr>
        <w:t xml:space="preserve"> August 2014 Wireline Competition Bureau Email, Attachment 3, at FCC Bates Number 118 (providing Email from Patricia Marcelonis, USDLA, to Joy Jackson, Achieve Telecom Network, LLC (dated Nov. 1, 2006)).</w:t>
      </w:r>
    </w:p>
  </w:footnote>
  <w:footnote w:id="59">
    <w:p w:rsidR="00581662" w:rsidRPr="00046A45" w:rsidRDefault="00581662" w:rsidP="0036792C">
      <w:pPr>
        <w:pStyle w:val="FootnoteText"/>
        <w:spacing w:after="120"/>
        <w:rPr>
          <w:lang w:val="en-US"/>
        </w:rPr>
      </w:pPr>
      <w:r>
        <w:rPr>
          <w:rStyle w:val="FootnoteReference"/>
        </w:rPr>
        <w:footnoteRef/>
      </w:r>
      <w:r>
        <w:t xml:space="preserve"> </w:t>
      </w:r>
      <w:r w:rsidRPr="00B60176">
        <w:rPr>
          <w:i/>
          <w:lang w:val="en-US"/>
        </w:rPr>
        <w:t>See</w:t>
      </w:r>
      <w:r>
        <w:rPr>
          <w:lang w:val="en-US"/>
        </w:rPr>
        <w:t xml:space="preserve"> FCC Bates Number 00967, Email from Joy Jackson, Achieve Telecom Network, LLC, to Patricia Marcelonis, USDLA (dated Nov. 2, 2006) (emphasis added).  Note that Ms. Jackson acknowledges that she personally completed Brockton’s DDF grant letter and exhibit for Dr. Flores, whose only role in the approval was to sign it. </w:t>
      </w:r>
    </w:p>
  </w:footnote>
  <w:footnote w:id="60">
    <w:p w:rsidR="00581662" w:rsidRPr="005B5644" w:rsidRDefault="00581662" w:rsidP="00A15FD2">
      <w:pPr>
        <w:pStyle w:val="FootnoteText"/>
        <w:spacing w:after="120"/>
        <w:rPr>
          <w:lang w:val="en-US"/>
        </w:rPr>
      </w:pPr>
      <w:r>
        <w:rPr>
          <w:rStyle w:val="FootnoteReference"/>
        </w:rPr>
        <w:footnoteRef/>
      </w:r>
      <w:r>
        <w:t xml:space="preserve"> </w:t>
      </w:r>
      <w:r w:rsidRPr="00B60176">
        <w:rPr>
          <w:i/>
          <w:lang w:val="en-US"/>
        </w:rPr>
        <w:t>See</w:t>
      </w:r>
      <w:r>
        <w:rPr>
          <w:lang w:val="en-US"/>
        </w:rPr>
        <w:t xml:space="preserve"> </w:t>
      </w:r>
      <w:r w:rsidRPr="00336427">
        <w:rPr>
          <w:i/>
          <w:lang w:val="en-US"/>
        </w:rPr>
        <w:t>generally</w:t>
      </w:r>
      <w:r>
        <w:rPr>
          <w:i/>
          <w:lang w:val="en-US"/>
        </w:rPr>
        <w:t>,</w:t>
      </w:r>
      <w:r>
        <w:rPr>
          <w:lang w:val="en-US"/>
        </w:rPr>
        <w:t xml:space="preserve"> FCC Bates Numbers 01051-1086 (various emails and letters in which Achieve employees provide USDLA with the necessary factual details, including the amount of the grants, in the form of exhibits for the DDF grant approval letters.).  </w:t>
      </w:r>
    </w:p>
  </w:footnote>
  <w:footnote w:id="61">
    <w:p w:rsidR="00581662" w:rsidRPr="005B5644" w:rsidRDefault="00581662" w:rsidP="00A15FD2">
      <w:pPr>
        <w:pStyle w:val="FootnoteText"/>
        <w:spacing w:after="120"/>
        <w:rPr>
          <w:lang w:val="en-US"/>
        </w:rPr>
      </w:pPr>
      <w:r>
        <w:rPr>
          <w:rStyle w:val="FootnoteReference"/>
        </w:rPr>
        <w:footnoteRef/>
      </w:r>
      <w:r>
        <w:t xml:space="preserve"> </w:t>
      </w:r>
      <w:r w:rsidRPr="005B5644">
        <w:rPr>
          <w:i/>
          <w:lang w:val="en-US"/>
        </w:rPr>
        <w:t>Id</w:t>
      </w:r>
      <w:r>
        <w:rPr>
          <w:lang w:val="en-US"/>
        </w:rPr>
        <w:t>.</w:t>
      </w:r>
    </w:p>
  </w:footnote>
  <w:footnote w:id="62">
    <w:p w:rsidR="00581662" w:rsidRPr="00D14956" w:rsidRDefault="00581662" w:rsidP="00A15FD2">
      <w:pPr>
        <w:pStyle w:val="FootnoteText"/>
        <w:spacing w:after="120"/>
        <w:rPr>
          <w:lang w:val="en-US"/>
        </w:rPr>
      </w:pPr>
      <w:r>
        <w:rPr>
          <w:rStyle w:val="FootnoteReference"/>
        </w:rPr>
        <w:footnoteRef/>
      </w:r>
      <w:r>
        <w:rPr>
          <w:lang w:val="en-US"/>
        </w:rPr>
        <w:t xml:space="preserve"> </w:t>
      </w:r>
      <w:r>
        <w:rPr>
          <w:i/>
          <w:lang w:val="en-US"/>
        </w:rPr>
        <w:t>Id.</w:t>
      </w:r>
    </w:p>
  </w:footnote>
  <w:footnote w:id="63">
    <w:p w:rsidR="00581662" w:rsidRPr="005B5644" w:rsidRDefault="00581662" w:rsidP="00A15FD2">
      <w:pPr>
        <w:pStyle w:val="FootnoteText"/>
        <w:spacing w:after="120"/>
        <w:rPr>
          <w:lang w:val="en-US"/>
        </w:rPr>
      </w:pPr>
      <w:r>
        <w:rPr>
          <w:rStyle w:val="FootnoteReference"/>
        </w:rPr>
        <w:footnoteRef/>
      </w:r>
      <w:r>
        <w:t xml:space="preserve"> </w:t>
      </w:r>
      <w:r w:rsidRPr="005B5644">
        <w:rPr>
          <w:i/>
          <w:lang w:val="en-US"/>
        </w:rPr>
        <w:t>See supra</w:t>
      </w:r>
      <w:r>
        <w:rPr>
          <w:lang w:val="en-US"/>
        </w:rPr>
        <w:t xml:space="preserve"> paras. 11-12.</w:t>
      </w:r>
    </w:p>
  </w:footnote>
  <w:footnote w:id="64">
    <w:p w:rsidR="00581662" w:rsidRPr="005B5644" w:rsidRDefault="00581662" w:rsidP="00A15FD2">
      <w:pPr>
        <w:pStyle w:val="FootnoteText"/>
        <w:spacing w:after="120"/>
        <w:rPr>
          <w:lang w:val="en-US"/>
        </w:rPr>
      </w:pPr>
      <w:r>
        <w:rPr>
          <w:rStyle w:val="FootnoteReference"/>
        </w:rPr>
        <w:footnoteRef/>
      </w:r>
      <w:r>
        <w:t xml:space="preserve"> </w:t>
      </w:r>
      <w:r w:rsidRPr="00B571D4">
        <w:rPr>
          <w:i/>
          <w:lang w:val="en-US"/>
        </w:rPr>
        <w:t>See</w:t>
      </w:r>
      <w:r>
        <w:rPr>
          <w:lang w:val="en-US"/>
        </w:rPr>
        <w:t xml:space="preserve"> FCC Bates Numbers 01298-01301, Letter from USAC, to Dr. John Flores, USDLA (dated Mar. 31, 2008) (requesting information concerning the DDF grant program) (USAC Letter); Facsimile from Patricia Marcelonis, USDLA, to Joy Jackson and Vic Gatto, Achieve Telecom Network, LLC (dated Mar. 31, 2008) (attaching USAC Letter) (stating “John would like to discuss the attached memo with you.”). </w:t>
      </w:r>
    </w:p>
  </w:footnote>
  <w:footnote w:id="65">
    <w:p w:rsidR="00581662" w:rsidRPr="00B571D4" w:rsidRDefault="00581662" w:rsidP="00A15FD2">
      <w:pPr>
        <w:pStyle w:val="FootnoteText"/>
        <w:spacing w:after="120"/>
        <w:rPr>
          <w:lang w:val="en-US"/>
        </w:rPr>
      </w:pPr>
      <w:r>
        <w:rPr>
          <w:rStyle w:val="FootnoteReference"/>
        </w:rPr>
        <w:footnoteRef/>
      </w:r>
      <w:r>
        <w:rPr>
          <w:lang w:val="en-US"/>
        </w:rPr>
        <w:t xml:space="preserve"> </w:t>
      </w:r>
      <w:r w:rsidRPr="00B571D4">
        <w:rPr>
          <w:i/>
          <w:lang w:val="en-US"/>
        </w:rPr>
        <w:t>See</w:t>
      </w:r>
      <w:r>
        <w:rPr>
          <w:lang w:val="en-US"/>
        </w:rPr>
        <w:t xml:space="preserve"> FCC Bates Number 01320, Letter from Vic Gatto, Achieve Telecom Network, LLC, to Dr. John Flores, USDLA (dated June 15, 2010) (stating “One of the issues that needs to be explained and clarified is your use of the term ‘partner’ in discussing the relationship between USDLA and Achieve Telecom.  What is required is a simple explanation from you that you were using the term ‘partner’ in a colloquial sense and that Achieve assisted in raising money to support the program and referred school districts for grants but had no decision-making role in issuing the grants.  USDLA took the application, reviewed it and you made a decision yourselves.  It also would be helpful for you to confirm (as your records will show) that Achieve was not a member of USDLA.  A proposed declaration is attached.  Please review it, sign it and send it to me by Friday, June 18 if possible.”).</w:t>
      </w:r>
    </w:p>
  </w:footnote>
  <w:footnote w:id="66">
    <w:p w:rsidR="00581662" w:rsidRPr="00B571D4" w:rsidRDefault="00581662" w:rsidP="00A15FD2">
      <w:pPr>
        <w:pStyle w:val="FootnoteText"/>
        <w:spacing w:after="120"/>
        <w:rPr>
          <w:lang w:val="en-US"/>
        </w:rPr>
      </w:pPr>
      <w:r>
        <w:rPr>
          <w:rStyle w:val="FootnoteReference"/>
        </w:rPr>
        <w:footnoteRef/>
      </w:r>
      <w:r w:rsidRPr="00B571D4">
        <w:rPr>
          <w:i/>
        </w:rPr>
        <w:t xml:space="preserve"> </w:t>
      </w:r>
      <w:r w:rsidRPr="00B571D4">
        <w:rPr>
          <w:i/>
          <w:lang w:val="en-US"/>
        </w:rPr>
        <w:t>See</w:t>
      </w:r>
      <w:r>
        <w:rPr>
          <w:lang w:val="en-US"/>
        </w:rPr>
        <w:t xml:space="preserve"> FCC Bates Numbers 01322, 01328, Letter from Dr. John Flores, USDLA, to USAC (dated June 21, 2010).  Achieve attached this letter as Exhibit 6 to its Request for Review. </w:t>
      </w:r>
    </w:p>
  </w:footnote>
  <w:footnote w:id="67">
    <w:p w:rsidR="00581662" w:rsidRPr="005B5644" w:rsidRDefault="00581662" w:rsidP="00A15FD2">
      <w:pPr>
        <w:pStyle w:val="FootnoteText"/>
        <w:spacing w:after="120"/>
        <w:rPr>
          <w:lang w:val="en-US"/>
        </w:rPr>
      </w:pPr>
      <w:r>
        <w:rPr>
          <w:rStyle w:val="FootnoteReference"/>
        </w:rPr>
        <w:footnoteRef/>
      </w:r>
      <w:r>
        <w:t xml:space="preserve"> </w:t>
      </w:r>
      <w:r w:rsidRPr="005B5644">
        <w:rPr>
          <w:i/>
          <w:lang w:val="en-US"/>
        </w:rPr>
        <w:t>Id</w:t>
      </w:r>
      <w:r>
        <w:rPr>
          <w:lang w:val="en-US"/>
        </w:rPr>
        <w:t xml:space="preserve">.  </w:t>
      </w:r>
      <w:r w:rsidRPr="005B5644">
        <w:rPr>
          <w:i/>
          <w:lang w:val="en-US"/>
        </w:rPr>
        <w:t>See also</w:t>
      </w:r>
      <w:r>
        <w:rPr>
          <w:lang w:val="en-US"/>
        </w:rPr>
        <w:t xml:space="preserve"> Achieve 2014 Response, Attachment E, Exhibit 6.</w:t>
      </w:r>
    </w:p>
  </w:footnote>
  <w:footnote w:id="68">
    <w:p w:rsidR="00581662" w:rsidRPr="00283E97" w:rsidRDefault="00581662" w:rsidP="0036792C">
      <w:pPr>
        <w:pStyle w:val="FootnoteText"/>
        <w:spacing w:after="120"/>
        <w:rPr>
          <w:lang w:val="en-US"/>
        </w:rPr>
      </w:pPr>
      <w:r>
        <w:rPr>
          <w:rStyle w:val="FootnoteReference"/>
        </w:rPr>
        <w:footnoteRef/>
      </w:r>
      <w:r>
        <w:t xml:space="preserve"> </w:t>
      </w:r>
      <w:r w:rsidRPr="002B4FD0">
        <w:rPr>
          <w:i/>
          <w:lang w:val="en-US"/>
        </w:rPr>
        <w:t>See</w:t>
      </w:r>
      <w:r>
        <w:rPr>
          <w:i/>
          <w:lang w:val="en-US"/>
        </w:rPr>
        <w:t xml:space="preserve"> </w:t>
      </w:r>
      <w:r>
        <w:rPr>
          <w:lang w:val="en-US"/>
        </w:rPr>
        <w:t xml:space="preserve">FCC Bates Number 01475, Email from John Flores, USDLA, to Joy Jackson and Vincent Gatto, Achieve Telecom Network, LLC (dated Apr. 30, 2008) (Fee Agreement).  </w:t>
      </w:r>
      <w:r w:rsidRPr="005B5644">
        <w:rPr>
          <w:i/>
          <w:lang w:val="en-US"/>
        </w:rPr>
        <w:t>See also</w:t>
      </w:r>
      <w:r>
        <w:rPr>
          <w:lang w:val="en-US"/>
        </w:rPr>
        <w:t xml:space="preserve"> FCC Bates Numbers 00369-00370, USLDA, Annual Board Meeting Abbreviated Minutes, dated Oct. 17, 2005) (noting that funds raised for the new Digital Divide Fund “will be used for the installation and servicing of telecommunications systems in local K-12 school systems.  USDLA will receive a 20% service fee for funds raised.”). </w:t>
      </w:r>
    </w:p>
  </w:footnote>
  <w:footnote w:id="69">
    <w:p w:rsidR="00581662" w:rsidRPr="00CE7BF4" w:rsidRDefault="00581662" w:rsidP="00B70E61">
      <w:pPr>
        <w:pStyle w:val="FootnoteText"/>
        <w:spacing w:after="120"/>
        <w:rPr>
          <w:lang w:val="en-US"/>
        </w:rPr>
      </w:pPr>
      <w:r>
        <w:rPr>
          <w:rStyle w:val="FootnoteReference"/>
        </w:rPr>
        <w:footnoteRef/>
      </w:r>
      <w:r>
        <w:t xml:space="preserve"> </w:t>
      </w:r>
      <w:r w:rsidRPr="00CE7BF4">
        <w:rPr>
          <w:i/>
          <w:lang w:val="en-US"/>
        </w:rPr>
        <w:t>See</w:t>
      </w:r>
      <w:r>
        <w:rPr>
          <w:lang w:val="en-US"/>
        </w:rPr>
        <w:t xml:space="preserve"> Jackson Response (stating “Achieve’s efforts in this regard are not pursuant to any partnership or agreement or understanding between Achieve and USDLA or its officers relating to grant applications from applicants specifying Achieve’s services.  In other words, there is no </w:t>
      </w:r>
      <w:r w:rsidRPr="009053D2">
        <w:rPr>
          <w:i/>
          <w:lang w:val="en-US"/>
        </w:rPr>
        <w:t>quid pro quo</w:t>
      </w:r>
      <w:r>
        <w:rPr>
          <w:lang w:val="en-US"/>
        </w:rPr>
        <w:t xml:space="preserve"> between Achieve and USDLA in this regard.  </w:t>
      </w:r>
      <w:r w:rsidRPr="00D73D54">
        <w:rPr>
          <w:lang w:val="en-US"/>
        </w:rPr>
        <w:t>Indeed, Achieve has not contributed to the [DDF] fund.  Nor does Achieve have any understandings or agreements with potential donors as to conditions relating to USDLA’s use of funds</w:t>
      </w:r>
      <w:r>
        <w:rPr>
          <w:lang w:val="en-US"/>
        </w:rPr>
        <w:t xml:space="preserve">.”).  The Jackson Response included USAC’s “Special Compliance Review Certification,” executed by Ms. Jackson, that requires the signatory to acknowledge that false statements could be punished under sections 502 or 503(b) of the Communications Act.  This certification is made “under penalty of perjury” that the contents of the submission to USAC are “true and correct.”  The Jackson Response was later incorporated by reference in Ms. Jackson’s “Declaration” of November 7, 2008, also made “under penalty of perjury,” and submitted in further support of Achieve’s Request for Review.  </w:t>
      </w:r>
      <w:r>
        <w:rPr>
          <w:i/>
          <w:lang w:val="en-US"/>
        </w:rPr>
        <w:t xml:space="preserve">See </w:t>
      </w:r>
      <w:r>
        <w:rPr>
          <w:lang w:val="en-US"/>
        </w:rPr>
        <w:t xml:space="preserve">Achieve Request for Review at Exhibit 3. </w:t>
      </w:r>
    </w:p>
  </w:footnote>
  <w:footnote w:id="70">
    <w:p w:rsidR="00581662" w:rsidRPr="00283E97" w:rsidRDefault="00581662" w:rsidP="0036792C">
      <w:pPr>
        <w:pStyle w:val="FootnoteText"/>
        <w:spacing w:after="120"/>
        <w:rPr>
          <w:lang w:val="en-US"/>
        </w:rPr>
      </w:pPr>
      <w:r>
        <w:rPr>
          <w:rStyle w:val="FootnoteReference"/>
        </w:rPr>
        <w:footnoteRef/>
      </w:r>
      <w:r>
        <w:t xml:space="preserve"> </w:t>
      </w:r>
      <w:r>
        <w:rPr>
          <w:i/>
          <w:lang w:val="en-US"/>
        </w:rPr>
        <w:t xml:space="preserve">See </w:t>
      </w:r>
      <w:r>
        <w:rPr>
          <w:lang w:val="en-US"/>
        </w:rPr>
        <w:t xml:space="preserve">Fee Agreement.  </w:t>
      </w:r>
      <w:r w:rsidRPr="00E81017">
        <w:rPr>
          <w:i/>
          <w:lang w:val="en-US"/>
        </w:rPr>
        <w:t>See also</w:t>
      </w:r>
      <w:r>
        <w:rPr>
          <w:lang w:val="en-US"/>
        </w:rPr>
        <w:t xml:space="preserve"> FCC Bates Number 00517, Email from Joy Jackson, Achieve Telecom Network, LLC, to Patricia Marcelonis, USDLA (dated Mar. 29, 2007) (stating “Can you please clarify for me that only 10% is coming out of the donations for the USDLA grant fund and not 20%?”); FCC Bates Number 00517, Email from Patricia Marcelonis, USDLA, to Joy Jackson, Achieve Telecom Network, LLC (dated Mar. 29, 2007) (stating “We are only taking 10% out.”); FCC Bates Number 00650, Email from John Flores, USDLA to Patricia Marcelonis and Kim Airasian, USDLA (dated July 20, 2007) (“Go back to a 20% fee for all Achieve donations.  I told Vic I would agree to 10% through June 30, 2007.”).  USDLA bank records show that USDLA received funds from Achieve to cover this “service fee.”  </w:t>
      </w:r>
      <w:r w:rsidRPr="00193CDB">
        <w:rPr>
          <w:i/>
          <w:lang w:val="en-US"/>
        </w:rPr>
        <w:t>See, e.g.</w:t>
      </w:r>
      <w:r w:rsidRPr="00462056">
        <w:rPr>
          <w:lang w:val="en-US"/>
        </w:rPr>
        <w:t>,</w:t>
      </w:r>
      <w:r>
        <w:rPr>
          <w:lang w:val="en-US"/>
        </w:rPr>
        <w:t xml:space="preserve"> FCC Bates Number 01576, Check from United States Distance Learning Association, Digital Divide Fund, to United States Distance Learning Association, Check Number 1026 in the amount of $10,000 (dated June 30, 2006) (noting “Transfer from Achieve/DD” on the Memo line of the check);</w:t>
      </w:r>
      <w:r w:rsidRPr="00193CDB">
        <w:rPr>
          <w:lang w:val="en-US"/>
        </w:rPr>
        <w:t xml:space="preserve"> </w:t>
      </w:r>
      <w:r>
        <w:rPr>
          <w:lang w:val="en-US"/>
        </w:rPr>
        <w:t xml:space="preserve">FCC Bates Number 01587, Check from United States Distance Learning Association, Digital Divide Fund, to United States Distance Learning Association, Check Number 1038 in the amount of $17,500 (dated Mar. 26, 2007) (noting “Achieve/Adams Foundation” on the Memo line of the check); FCC Bates Number 01605, Check from United States Distance Learning Association, Digital Divide Fund, to United States Distance Learning Association, Check Number 1057 in the amount of $1,045 (dated July 3, 2007) (noting “Digital Divide 10%” on the Memo line of the check).  </w:t>
      </w:r>
    </w:p>
  </w:footnote>
  <w:footnote w:id="71">
    <w:p w:rsidR="00581662" w:rsidRPr="00D61133" w:rsidRDefault="00581662" w:rsidP="0036792C">
      <w:pPr>
        <w:pStyle w:val="FootnoteText"/>
        <w:spacing w:after="120"/>
        <w:rPr>
          <w:lang w:val="en-US"/>
        </w:rPr>
      </w:pPr>
      <w:r>
        <w:rPr>
          <w:rStyle w:val="FootnoteReference"/>
        </w:rPr>
        <w:footnoteRef/>
      </w:r>
      <w:r>
        <w:t xml:space="preserve"> </w:t>
      </w:r>
      <w:r>
        <w:rPr>
          <w:i/>
          <w:lang w:val="en-US"/>
        </w:rPr>
        <w:t xml:space="preserve">See </w:t>
      </w:r>
      <w:r>
        <w:rPr>
          <w:lang w:val="en-US"/>
        </w:rPr>
        <w:t xml:space="preserve">Fee Agreement.  In its November 2014 response, Achieve seeks to characterize the fee agreement as “an understanding that limited USDLA’s administrative charges with regard to the Digital Divide Fund.”  </w:t>
      </w:r>
      <w:r w:rsidRPr="005B5644">
        <w:rPr>
          <w:i/>
          <w:lang w:val="en-US"/>
        </w:rPr>
        <w:t>See</w:t>
      </w:r>
      <w:r>
        <w:rPr>
          <w:lang w:val="en-US"/>
        </w:rPr>
        <w:t xml:space="preserve"> Achieve 2014 Response, para. 3.  However, these limitations merely underscore Achieve’s control over the DDF process since USDLA would not draw any administrative fees (</w:t>
      </w:r>
      <w:r w:rsidRPr="005B5644">
        <w:rPr>
          <w:i/>
          <w:lang w:val="en-US"/>
        </w:rPr>
        <w:t>i.e</w:t>
      </w:r>
      <w:r>
        <w:rPr>
          <w:lang w:val="en-US"/>
        </w:rPr>
        <w:t>., funding for USDLA operations) without prior approval from Achieve, which indirectly funded the DDF grant program.  This business arrangement ensured that 80</w:t>
      </w:r>
      <w:r w:rsidR="00AA7C6D">
        <w:rPr>
          <w:lang w:val="en-US"/>
        </w:rPr>
        <w:t xml:space="preserve"> percent to </w:t>
      </w:r>
      <w:r>
        <w:rPr>
          <w:lang w:val="en-US"/>
        </w:rPr>
        <w:t>90</w:t>
      </w:r>
      <w:r w:rsidR="00AA7C6D">
        <w:rPr>
          <w:lang w:val="en-US"/>
        </w:rPr>
        <w:t xml:space="preserve"> percent</w:t>
      </w:r>
      <w:r>
        <w:rPr>
          <w:lang w:val="en-US"/>
        </w:rPr>
        <w:t xml:space="preserve"> of the donations Achieve made available for the DDF grants would be available for Achieve’s clients, while providing the balance to USDLA for its own operations.  </w:t>
      </w:r>
    </w:p>
  </w:footnote>
  <w:footnote w:id="72">
    <w:p w:rsidR="00581662" w:rsidRPr="00D61133" w:rsidRDefault="00581662" w:rsidP="007E48AE">
      <w:pPr>
        <w:pStyle w:val="FootnoteText"/>
        <w:spacing w:after="120"/>
        <w:rPr>
          <w:lang w:val="en-US"/>
        </w:rPr>
      </w:pPr>
      <w:r>
        <w:rPr>
          <w:rStyle w:val="FootnoteReference"/>
        </w:rPr>
        <w:footnoteRef/>
      </w:r>
      <w:r>
        <w:t xml:space="preserve"> </w:t>
      </w:r>
      <w:r>
        <w:rPr>
          <w:i/>
          <w:lang w:val="en-US"/>
        </w:rPr>
        <w:t xml:space="preserve">See </w:t>
      </w:r>
      <w:r>
        <w:rPr>
          <w:lang w:val="en-US"/>
        </w:rPr>
        <w:t>FCC Bates Number 01476, Email from Joy Jackson, Achieve Telecom Network, LLC to John Flores, USDLA (dated Apr. 30, 2008).</w:t>
      </w:r>
    </w:p>
  </w:footnote>
  <w:footnote w:id="73">
    <w:p w:rsidR="00581662" w:rsidRPr="00B4784B" w:rsidRDefault="00581662" w:rsidP="007E48AE">
      <w:pPr>
        <w:pStyle w:val="FootnoteText"/>
        <w:spacing w:after="120"/>
      </w:pPr>
      <w:r>
        <w:rPr>
          <w:rStyle w:val="FootnoteReference"/>
        </w:rPr>
        <w:footnoteRef/>
      </w:r>
      <w:r>
        <w:t xml:space="preserve"> </w:t>
      </w:r>
      <w:r>
        <w:rPr>
          <w:i/>
          <w:lang w:val="en-US"/>
        </w:rPr>
        <w:t>See, e.g.</w:t>
      </w:r>
      <w:r w:rsidRPr="00462056">
        <w:rPr>
          <w:lang w:val="en-US"/>
        </w:rPr>
        <w:t xml:space="preserve">, </w:t>
      </w:r>
      <w:r>
        <w:rPr>
          <w:lang w:val="en-US"/>
        </w:rPr>
        <w:t>Email from Nicholas Gatto, Achieve Telecom Network, LLC, to Loraine Hunsinger, USAC (dated June 10, 2008) (attaching copies of Achieve invoice numbers BRO-0707, BRO-0708, and BRO-0709 for Brockton Public Schools) (</w:t>
      </w:r>
      <w:r>
        <w:rPr>
          <w:color w:val="000000"/>
          <w:lang w:val="en-US"/>
        </w:rPr>
        <w:t xml:space="preserve">Achieve Invoices).  </w:t>
      </w:r>
    </w:p>
  </w:footnote>
  <w:footnote w:id="74">
    <w:p w:rsidR="00581662" w:rsidRPr="00B4784B" w:rsidRDefault="00581662">
      <w:pPr>
        <w:pStyle w:val="FootnoteText"/>
        <w:spacing w:after="120"/>
        <w:rPr>
          <w:lang w:val="en-US"/>
        </w:rPr>
      </w:pPr>
      <w:r>
        <w:rPr>
          <w:rStyle w:val="FootnoteReference"/>
        </w:rPr>
        <w:footnoteRef/>
      </w:r>
      <w:r>
        <w:t xml:space="preserve"> </w:t>
      </w:r>
      <w:r>
        <w:rPr>
          <w:i/>
          <w:lang w:val="en-US"/>
        </w:rPr>
        <w:t>See, e.g.</w:t>
      </w:r>
      <w:r w:rsidRPr="00462056">
        <w:rPr>
          <w:lang w:val="en-US"/>
        </w:rPr>
        <w:t xml:space="preserve">, </w:t>
      </w:r>
      <w:r>
        <w:rPr>
          <w:color w:val="000000"/>
          <w:lang w:val="en-US"/>
        </w:rPr>
        <w:t>Achieve Invoices (noting “</w:t>
      </w:r>
      <w:r w:rsidRPr="00D92554">
        <w:rPr>
          <w:color w:val="000000"/>
        </w:rPr>
        <w:t>*** Please do not pay this invoice ***</w:t>
      </w:r>
      <w:r>
        <w:rPr>
          <w:color w:val="000000"/>
          <w:lang w:val="en-US"/>
        </w:rPr>
        <w:t xml:space="preserve"> </w:t>
      </w:r>
      <w:r w:rsidRPr="00D92554">
        <w:rPr>
          <w:color w:val="000000"/>
        </w:rPr>
        <w:t xml:space="preserve">A copy is being sent to </w:t>
      </w:r>
      <w:r>
        <w:rPr>
          <w:color w:val="000000"/>
        </w:rPr>
        <w:t>USDLA</w:t>
      </w:r>
      <w:r w:rsidRPr="00D92554">
        <w:rPr>
          <w:color w:val="000000"/>
        </w:rPr>
        <w:t xml:space="preserve"> for payment</w:t>
      </w:r>
      <w:r>
        <w:rPr>
          <w:color w:val="000000"/>
          <w:lang w:val="en-US"/>
        </w:rPr>
        <w:t xml:space="preserve"> </w:t>
      </w:r>
      <w:r w:rsidRPr="00D92554">
        <w:rPr>
          <w:color w:val="000000"/>
          <w:lang w:val="en-US"/>
        </w:rPr>
        <w:t>from their Digital Divide Fund</w:t>
      </w:r>
      <w:r>
        <w:rPr>
          <w:color w:val="000000"/>
          <w:lang w:val="en-US"/>
        </w:rPr>
        <w:t>.”)</w:t>
      </w:r>
      <w:r>
        <w:rPr>
          <w:lang w:val="en-US"/>
        </w:rPr>
        <w:t xml:space="preserve">. </w:t>
      </w:r>
    </w:p>
  </w:footnote>
  <w:footnote w:id="75">
    <w:p w:rsidR="00581662" w:rsidRPr="00A0429B" w:rsidRDefault="00581662">
      <w:pPr>
        <w:pStyle w:val="FootnoteText"/>
        <w:spacing w:after="120"/>
        <w:rPr>
          <w:lang w:val="en-US"/>
        </w:rPr>
      </w:pPr>
      <w:r>
        <w:rPr>
          <w:rStyle w:val="FootnoteReference"/>
        </w:rPr>
        <w:footnoteRef/>
      </w:r>
      <w:r>
        <w:t xml:space="preserve"> </w:t>
      </w:r>
      <w:r>
        <w:rPr>
          <w:i/>
          <w:lang w:val="en-US"/>
        </w:rPr>
        <w:t xml:space="preserve">See </w:t>
      </w:r>
      <w:r>
        <w:rPr>
          <w:lang w:val="en-US"/>
        </w:rPr>
        <w:t>USDLA Checks to Schools.</w:t>
      </w:r>
    </w:p>
  </w:footnote>
  <w:footnote w:id="76">
    <w:p w:rsidR="00581662" w:rsidRPr="00FD6AE0" w:rsidRDefault="00581662">
      <w:pPr>
        <w:pStyle w:val="FootnoteText"/>
        <w:spacing w:after="120"/>
        <w:rPr>
          <w:lang w:val="en-US"/>
        </w:rPr>
      </w:pPr>
      <w:r>
        <w:rPr>
          <w:rStyle w:val="FootnoteReference"/>
        </w:rPr>
        <w:footnoteRef/>
      </w:r>
      <w:r>
        <w:t xml:space="preserve"> </w:t>
      </w:r>
      <w:r>
        <w:rPr>
          <w:i/>
          <w:lang w:val="en-US"/>
        </w:rPr>
        <w:t>See</w:t>
      </w:r>
      <w:r w:rsidR="00DC033C">
        <w:rPr>
          <w:lang w:val="en-US"/>
        </w:rPr>
        <w:t xml:space="preserve"> COMADs; </w:t>
      </w:r>
      <w:r w:rsidR="00DC033C" w:rsidRPr="00DC033C">
        <w:rPr>
          <w:i/>
          <w:lang w:val="en-US"/>
        </w:rPr>
        <w:t>supra</w:t>
      </w:r>
      <w:r w:rsidR="00DC033C">
        <w:rPr>
          <w:lang w:val="en-US"/>
        </w:rPr>
        <w:t xml:space="preserve"> n.12.</w:t>
      </w:r>
      <w:r>
        <w:rPr>
          <w:lang w:val="en-US"/>
        </w:rPr>
        <w:t xml:space="preserve"> </w:t>
      </w:r>
    </w:p>
  </w:footnote>
  <w:footnote w:id="77">
    <w:p w:rsidR="00581662" w:rsidRPr="00DF20F4" w:rsidRDefault="00581662">
      <w:pPr>
        <w:pStyle w:val="FootnoteText"/>
        <w:spacing w:after="120"/>
        <w:rPr>
          <w:lang w:val="en-US"/>
        </w:rPr>
      </w:pPr>
      <w:r>
        <w:rPr>
          <w:rStyle w:val="FootnoteReference"/>
        </w:rPr>
        <w:footnoteRef/>
      </w:r>
      <w:r>
        <w:t xml:space="preserve"> </w:t>
      </w:r>
      <w:r>
        <w:rPr>
          <w:i/>
          <w:lang w:val="en-US"/>
        </w:rPr>
        <w:t>Id. (s</w:t>
      </w:r>
      <w:r>
        <w:rPr>
          <w:lang w:val="en-US"/>
        </w:rPr>
        <w:t>tating that “schools are required to conduct a fair and open competitive bidding process and to pay the non-discount share of the costs of eligible products and services… Because Achieve is able to guarantee [the Schools] that they will receive USDLA grants to cover their share of the costs for the Achieve funding requests, Achieve is providing the [Schools] with a rebate of the [School’s] share of the cost in violation of program rules.  Furthermore, Achieve has an unfair competitive advantage based on its violation of this rule.”).</w:t>
      </w:r>
    </w:p>
  </w:footnote>
  <w:footnote w:id="78">
    <w:p w:rsidR="00581662" w:rsidRDefault="00581662">
      <w:pPr>
        <w:pStyle w:val="FootnoteText"/>
        <w:spacing w:after="120"/>
      </w:pPr>
      <w:r>
        <w:rPr>
          <w:rStyle w:val="FootnoteReference"/>
        </w:rPr>
        <w:footnoteRef/>
      </w:r>
      <w:r>
        <w:t xml:space="preserve"> </w:t>
      </w:r>
      <w:r w:rsidRPr="00E17250">
        <w:rPr>
          <w:i/>
        </w:rPr>
        <w:t>See</w:t>
      </w:r>
      <w:r>
        <w:t xml:space="preserve"> </w:t>
      </w:r>
      <w:r w:rsidRPr="00180ACA">
        <w:rPr>
          <w:i/>
          <w:lang w:val="en-US"/>
        </w:rPr>
        <w:t>id</w:t>
      </w:r>
      <w:r>
        <w:rPr>
          <w:lang w:val="en-US"/>
        </w:rPr>
        <w:t>.</w:t>
      </w:r>
      <w:r>
        <w:t xml:space="preserve"> </w:t>
      </w:r>
    </w:p>
  </w:footnote>
  <w:footnote w:id="79">
    <w:p w:rsidR="00581662" w:rsidRPr="00181061" w:rsidRDefault="00581662">
      <w:pPr>
        <w:pStyle w:val="FootnoteText"/>
        <w:spacing w:after="120"/>
        <w:rPr>
          <w:lang w:val="en-US"/>
        </w:rPr>
      </w:pPr>
      <w:r>
        <w:rPr>
          <w:rStyle w:val="FootnoteReference"/>
        </w:rPr>
        <w:footnoteRef/>
      </w:r>
      <w:r>
        <w:t xml:space="preserve"> </w:t>
      </w:r>
      <w:r w:rsidRPr="00181061">
        <w:rPr>
          <w:i/>
          <w:lang w:val="en-US"/>
        </w:rPr>
        <w:t xml:space="preserve">See </w:t>
      </w:r>
      <w:r>
        <w:rPr>
          <w:lang w:val="en-US"/>
        </w:rPr>
        <w:t xml:space="preserve">Achieve Request for Review; Schools’ </w:t>
      </w:r>
      <w:r w:rsidRPr="00E7397D">
        <w:rPr>
          <w:lang w:val="en-US"/>
        </w:rPr>
        <w:t>Requests for Review listed in</w:t>
      </w:r>
      <w:r>
        <w:rPr>
          <w:i/>
          <w:lang w:val="en-US"/>
        </w:rPr>
        <w:t xml:space="preserve"> </w:t>
      </w:r>
      <w:r>
        <w:rPr>
          <w:lang w:val="en-US"/>
        </w:rPr>
        <w:t>Appendices A-D.</w:t>
      </w:r>
    </w:p>
  </w:footnote>
  <w:footnote w:id="80">
    <w:p w:rsidR="00581662" w:rsidRPr="000543D8" w:rsidRDefault="00581662">
      <w:pPr>
        <w:pStyle w:val="FootnoteText"/>
        <w:spacing w:after="120"/>
        <w:rPr>
          <w:lang w:val="en-US"/>
        </w:rPr>
      </w:pPr>
      <w:r>
        <w:rPr>
          <w:rStyle w:val="FootnoteReference"/>
        </w:rPr>
        <w:footnoteRef/>
      </w:r>
      <w:r>
        <w:t xml:space="preserve"> </w:t>
      </w:r>
      <w:r w:rsidRPr="003F03BD">
        <w:rPr>
          <w:i/>
          <w:lang w:val="en-US"/>
        </w:rPr>
        <w:t xml:space="preserve">See </w:t>
      </w:r>
      <w:r>
        <w:rPr>
          <w:i/>
          <w:lang w:val="en-US"/>
        </w:rPr>
        <w:t>supra</w:t>
      </w:r>
      <w:r>
        <w:rPr>
          <w:lang w:val="en-US"/>
        </w:rPr>
        <w:t xml:space="preserve"> para. 10.</w:t>
      </w:r>
    </w:p>
  </w:footnote>
  <w:footnote w:id="81">
    <w:p w:rsidR="00581662" w:rsidRPr="00F70982" w:rsidRDefault="00581662">
      <w:pPr>
        <w:pStyle w:val="FootnoteText"/>
        <w:spacing w:after="120"/>
        <w:rPr>
          <w:lang w:val="en-US"/>
        </w:rPr>
      </w:pPr>
      <w:r>
        <w:rPr>
          <w:rStyle w:val="FootnoteReference"/>
        </w:rPr>
        <w:footnoteRef/>
      </w:r>
      <w:r>
        <w:t xml:space="preserve"> </w:t>
      </w:r>
      <w:r>
        <w:rPr>
          <w:i/>
          <w:lang w:val="en-US"/>
        </w:rPr>
        <w:t>Id</w:t>
      </w:r>
      <w:r w:rsidRPr="00462056">
        <w:rPr>
          <w:lang w:val="en-US"/>
        </w:rPr>
        <w:t>.</w:t>
      </w:r>
      <w:r>
        <w:rPr>
          <w:i/>
          <w:lang w:val="en-US"/>
        </w:rPr>
        <w:t xml:space="preserve">  </w:t>
      </w:r>
    </w:p>
  </w:footnote>
  <w:footnote w:id="82">
    <w:p w:rsidR="00581662" w:rsidRPr="00181061" w:rsidRDefault="00581662">
      <w:pPr>
        <w:pStyle w:val="FootnoteText"/>
        <w:spacing w:after="120"/>
        <w:rPr>
          <w:lang w:val="en-US"/>
        </w:rPr>
      </w:pPr>
      <w:r>
        <w:rPr>
          <w:rStyle w:val="FootnoteReference"/>
        </w:rPr>
        <w:footnoteRef/>
      </w:r>
      <w:r>
        <w:t xml:space="preserve"> </w:t>
      </w:r>
      <w:r w:rsidRPr="00181061">
        <w:rPr>
          <w:i/>
          <w:lang w:val="en-US"/>
        </w:rPr>
        <w:t xml:space="preserve">See </w:t>
      </w:r>
      <w:r>
        <w:rPr>
          <w:lang w:val="en-US"/>
        </w:rPr>
        <w:t>Schools’ Requests for Review listed in Appendices A-D.</w:t>
      </w:r>
    </w:p>
  </w:footnote>
  <w:footnote w:id="83">
    <w:p w:rsidR="00581662" w:rsidRPr="00181061" w:rsidRDefault="00581662">
      <w:pPr>
        <w:pStyle w:val="FootnoteText"/>
        <w:spacing w:after="120"/>
        <w:rPr>
          <w:lang w:val="en-US"/>
        </w:rPr>
      </w:pPr>
      <w:r>
        <w:rPr>
          <w:rStyle w:val="FootnoteReference"/>
        </w:rPr>
        <w:footnoteRef/>
      </w:r>
      <w:r>
        <w:t xml:space="preserve"> </w:t>
      </w:r>
      <w:r w:rsidRPr="002155E7">
        <w:rPr>
          <w:i/>
          <w:lang w:val="en-US"/>
        </w:rPr>
        <w:t>Id.</w:t>
      </w:r>
    </w:p>
  </w:footnote>
  <w:footnote w:id="84">
    <w:p w:rsidR="00581662" w:rsidRPr="00964187" w:rsidRDefault="00581662">
      <w:pPr>
        <w:pStyle w:val="FootnoteText"/>
        <w:spacing w:after="120"/>
        <w:rPr>
          <w:lang w:val="en-US"/>
        </w:rPr>
      </w:pPr>
      <w:r>
        <w:rPr>
          <w:rStyle w:val="FootnoteReference"/>
        </w:rPr>
        <w:footnoteRef/>
      </w:r>
      <w:r>
        <w:rPr>
          <w:lang w:val="en-US"/>
        </w:rPr>
        <w:t xml:space="preserve"> </w:t>
      </w:r>
      <w:r>
        <w:rPr>
          <w:i/>
          <w:lang w:val="en-US"/>
        </w:rPr>
        <w:t>See</w:t>
      </w:r>
      <w:r>
        <w:rPr>
          <w:lang w:val="en-US"/>
        </w:rPr>
        <w:t xml:space="preserve"> Schools’ Requests for Review listed in Appendices A-D; Achieve Request for Review at 19.</w:t>
      </w:r>
    </w:p>
  </w:footnote>
  <w:footnote w:id="85">
    <w:p w:rsidR="00581662" w:rsidRPr="00411F1A" w:rsidRDefault="00581662">
      <w:pPr>
        <w:pStyle w:val="FootnoteText"/>
        <w:spacing w:after="120"/>
        <w:rPr>
          <w:lang w:val="en-US"/>
        </w:rPr>
      </w:pPr>
      <w:r>
        <w:rPr>
          <w:rStyle w:val="FootnoteReference"/>
        </w:rPr>
        <w:footnoteRef/>
      </w:r>
      <w:r>
        <w:t xml:space="preserve"> </w:t>
      </w:r>
      <w:r w:rsidRPr="003C06F2">
        <w:rPr>
          <w:i/>
          <w:iCs/>
          <w:lang w:val="en-US"/>
        </w:rPr>
        <w:t>See</w:t>
      </w:r>
      <w:r w:rsidRPr="003C06F2">
        <w:rPr>
          <w:lang w:val="en-US"/>
        </w:rPr>
        <w:t xml:space="preserve"> </w:t>
      </w:r>
      <w:r>
        <w:rPr>
          <w:i/>
          <w:lang w:val="en-US"/>
        </w:rPr>
        <w:t>supra</w:t>
      </w:r>
      <w:r>
        <w:rPr>
          <w:lang w:val="en-US"/>
        </w:rPr>
        <w:t xml:space="preserve"> paras. 4-13; 47 C.F.R.</w:t>
      </w:r>
      <w:r w:rsidRPr="006B069E">
        <w:rPr>
          <w:iCs/>
        </w:rPr>
        <w:t xml:space="preserve"> </w:t>
      </w:r>
      <w:r>
        <w:rPr>
          <w:iCs/>
        </w:rPr>
        <w:t>§</w:t>
      </w:r>
      <w:r>
        <w:rPr>
          <w:lang w:val="en-US"/>
        </w:rPr>
        <w:t xml:space="preserve"> 54.523</w:t>
      </w:r>
      <w:r w:rsidRPr="00912AB7">
        <w:rPr>
          <w:lang w:val="en-US"/>
        </w:rPr>
        <w:t>.</w:t>
      </w:r>
      <w:r w:rsidRPr="004B211B">
        <w:rPr>
          <w:lang w:val="en-US"/>
        </w:rPr>
        <w:t xml:space="preserve"> </w:t>
      </w:r>
      <w:r w:rsidRPr="00FE516A">
        <w:rPr>
          <w:lang w:val="en-US"/>
        </w:rPr>
        <w:t xml:space="preserve"> </w:t>
      </w:r>
      <w:r w:rsidRPr="00912AB7">
        <w:rPr>
          <w:i/>
          <w:lang w:val="en-US"/>
        </w:rPr>
        <w:t>See also United States v. Gree</w:t>
      </w:r>
      <w:r w:rsidRPr="004B211B">
        <w:rPr>
          <w:i/>
          <w:lang w:val="en-US"/>
        </w:rPr>
        <w:t>n</w:t>
      </w:r>
      <w:r w:rsidRPr="00756D79">
        <w:rPr>
          <w:lang w:val="en-US"/>
        </w:rPr>
        <w:t>, 2007 WL 3343129 (N.D. Cal. 2007) (denying Green’s appeal for wire fraud in connection with the E-rate program and stating that “[d]efendant used Alliance to give USAC the false impression that the schools had enough resources to pay for their co-pays…The scheme was to use Alliance to make a ‘grant’ to the school to cover its co-pay. …This was a fiction used to deceive USAC into thinking the school was going to cover its own co-pay [rather than use grants arranged for by defendant].”)</w:t>
      </w:r>
      <w:r>
        <w:rPr>
          <w:lang w:val="en-US"/>
        </w:rPr>
        <w:t xml:space="preserve">. </w:t>
      </w:r>
    </w:p>
  </w:footnote>
  <w:footnote w:id="86">
    <w:p w:rsidR="00581662" w:rsidRPr="006048CE" w:rsidRDefault="00581662">
      <w:pPr>
        <w:pStyle w:val="FootnoteText"/>
        <w:spacing w:after="120"/>
        <w:rPr>
          <w:lang w:val="en-US"/>
        </w:rPr>
      </w:pPr>
      <w:r>
        <w:rPr>
          <w:rStyle w:val="FootnoteReference"/>
        </w:rPr>
        <w:footnoteRef/>
      </w:r>
      <w:r>
        <w:t xml:space="preserve"> </w:t>
      </w:r>
      <w:r w:rsidRPr="00207A67">
        <w:rPr>
          <w:i/>
          <w:lang w:val="en-US"/>
        </w:rPr>
        <w:t>See</w:t>
      </w:r>
      <w:r>
        <w:rPr>
          <w:i/>
          <w:lang w:val="en-US"/>
        </w:rPr>
        <w:t xml:space="preserve"> supra </w:t>
      </w:r>
      <w:r w:rsidRPr="00462056">
        <w:rPr>
          <w:lang w:val="en-US"/>
        </w:rPr>
        <w:t>para. 1</w:t>
      </w:r>
      <w:r>
        <w:rPr>
          <w:lang w:val="en-US"/>
        </w:rPr>
        <w:t>6</w:t>
      </w:r>
      <w:r w:rsidRPr="00462056">
        <w:rPr>
          <w:lang w:val="en-US"/>
        </w:rPr>
        <w:t>.</w:t>
      </w:r>
      <w:r>
        <w:rPr>
          <w:lang w:val="en-US"/>
        </w:rPr>
        <w:t xml:space="preserve">  </w:t>
      </w:r>
    </w:p>
  </w:footnote>
  <w:footnote w:id="87">
    <w:p w:rsidR="00581662" w:rsidRPr="00952CC2" w:rsidRDefault="00581662">
      <w:pPr>
        <w:pStyle w:val="FootnoteText"/>
        <w:spacing w:after="120"/>
        <w:rPr>
          <w:lang w:val="en-US"/>
        </w:rPr>
      </w:pPr>
      <w:r>
        <w:rPr>
          <w:rStyle w:val="FootnoteReference"/>
        </w:rPr>
        <w:footnoteRef/>
      </w:r>
      <w:r>
        <w:t xml:space="preserve"> </w:t>
      </w:r>
      <w:r w:rsidRPr="00952CC2">
        <w:rPr>
          <w:i/>
          <w:lang w:val="en-US"/>
        </w:rPr>
        <w:t>See supra</w:t>
      </w:r>
      <w:r>
        <w:rPr>
          <w:lang w:val="en-US"/>
        </w:rPr>
        <w:t xml:space="preserve"> paras. 9-13.</w:t>
      </w:r>
    </w:p>
  </w:footnote>
  <w:footnote w:id="88">
    <w:p w:rsidR="00581662" w:rsidRPr="00B571D4" w:rsidRDefault="00581662" w:rsidP="00A15FD2">
      <w:pPr>
        <w:pStyle w:val="FootnoteText"/>
        <w:spacing w:after="120"/>
        <w:rPr>
          <w:lang w:val="en-US"/>
        </w:rPr>
      </w:pPr>
      <w:r>
        <w:rPr>
          <w:rStyle w:val="FootnoteReference"/>
        </w:rPr>
        <w:footnoteRef/>
      </w:r>
      <w:r>
        <w:t xml:space="preserve"> </w:t>
      </w:r>
      <w:r w:rsidRPr="005B5644">
        <w:rPr>
          <w:i/>
          <w:lang w:val="en-US"/>
        </w:rPr>
        <w:t>See</w:t>
      </w:r>
      <w:r>
        <w:rPr>
          <w:lang w:val="en-US"/>
        </w:rPr>
        <w:t xml:space="preserve"> Achieve 2014 Response, para 3.  Achieve has eschewed its previous position that it “is not directly or indirectly funding the non-discount portion of any applicant.”  </w:t>
      </w:r>
      <w:r w:rsidRPr="005B5644">
        <w:rPr>
          <w:i/>
          <w:lang w:val="en-US"/>
        </w:rPr>
        <w:t>See</w:t>
      </w:r>
      <w:r>
        <w:rPr>
          <w:lang w:val="en-US"/>
        </w:rPr>
        <w:t xml:space="preserve"> Jackson Response at 1.  Achieve does not explain this pivotal change in its position but merely asks that the Commission ignore its earlier filed statements (including any made under oath) if “seen as inconsistent with the information in this paragraph [3 of its November 2014 response].”  </w:t>
      </w:r>
      <w:r w:rsidRPr="005B5644">
        <w:rPr>
          <w:i/>
          <w:lang w:val="en-US"/>
        </w:rPr>
        <w:t>See</w:t>
      </w:r>
      <w:r>
        <w:rPr>
          <w:lang w:val="en-US"/>
        </w:rPr>
        <w:t xml:space="preserve"> Achieve 2014 Response, para. 3. </w:t>
      </w:r>
    </w:p>
  </w:footnote>
  <w:footnote w:id="89">
    <w:p w:rsidR="00581662" w:rsidRPr="002C2294" w:rsidRDefault="00581662" w:rsidP="00614D22">
      <w:pPr>
        <w:pStyle w:val="FootnoteText"/>
        <w:spacing w:after="120"/>
        <w:rPr>
          <w:lang w:val="en-US"/>
        </w:rPr>
      </w:pPr>
      <w:r>
        <w:rPr>
          <w:rStyle w:val="FootnoteReference"/>
        </w:rPr>
        <w:footnoteRef/>
      </w:r>
      <w:r>
        <w:rPr>
          <w:lang w:val="en-US"/>
        </w:rPr>
        <w:t xml:space="preserve"> </w:t>
      </w:r>
      <w:r w:rsidRPr="00FF30DA">
        <w:rPr>
          <w:i/>
          <w:lang w:val="en-US"/>
        </w:rPr>
        <w:t xml:space="preserve">See </w:t>
      </w:r>
      <w:r>
        <w:rPr>
          <w:i/>
          <w:lang w:val="en-US"/>
        </w:rPr>
        <w:t xml:space="preserve">supra </w:t>
      </w:r>
      <w:r>
        <w:rPr>
          <w:lang w:val="en-US"/>
        </w:rPr>
        <w:t xml:space="preserve">paras. 8-9.  </w:t>
      </w:r>
    </w:p>
  </w:footnote>
  <w:footnote w:id="90">
    <w:p w:rsidR="00581662" w:rsidRPr="00C61135" w:rsidRDefault="00581662" w:rsidP="00614D22">
      <w:pPr>
        <w:pStyle w:val="FootnoteText"/>
        <w:spacing w:after="120"/>
        <w:rPr>
          <w:lang w:val="en-US"/>
        </w:rPr>
      </w:pPr>
      <w:r>
        <w:rPr>
          <w:rStyle w:val="FootnoteReference"/>
        </w:rPr>
        <w:footnoteRef/>
      </w:r>
      <w:r>
        <w:t xml:space="preserve"> </w:t>
      </w:r>
      <w:r>
        <w:rPr>
          <w:i/>
          <w:lang w:val="en-US"/>
        </w:rPr>
        <w:t>See supra</w:t>
      </w:r>
      <w:r w:rsidRPr="00D8068B">
        <w:rPr>
          <w:lang w:val="en-US"/>
        </w:rPr>
        <w:t xml:space="preserve"> </w:t>
      </w:r>
      <w:r>
        <w:rPr>
          <w:lang w:val="en-US"/>
        </w:rPr>
        <w:t xml:space="preserve">para. 15.  </w:t>
      </w:r>
    </w:p>
  </w:footnote>
  <w:footnote w:id="91">
    <w:p w:rsidR="00581662" w:rsidRPr="0037772B" w:rsidRDefault="00581662" w:rsidP="00B70E61">
      <w:pPr>
        <w:pStyle w:val="FootnoteText"/>
        <w:spacing w:after="120"/>
      </w:pPr>
      <w:r>
        <w:rPr>
          <w:rStyle w:val="FootnoteReference"/>
        </w:rPr>
        <w:footnoteRef/>
      </w:r>
      <w:r>
        <w:t xml:space="preserve"> </w:t>
      </w:r>
      <w:r w:rsidRPr="00207A67">
        <w:rPr>
          <w:i/>
          <w:lang w:val="en-US"/>
        </w:rPr>
        <w:t>See</w:t>
      </w:r>
      <w:r>
        <w:rPr>
          <w:i/>
          <w:lang w:val="en-US"/>
        </w:rPr>
        <w:t xml:space="preserve"> supra </w:t>
      </w:r>
      <w:r w:rsidRPr="00462056">
        <w:rPr>
          <w:lang w:val="en-US"/>
        </w:rPr>
        <w:t xml:space="preserve">para. </w:t>
      </w:r>
      <w:r>
        <w:rPr>
          <w:lang w:val="en-US"/>
        </w:rPr>
        <w:t>11</w:t>
      </w:r>
      <w:r w:rsidRPr="00462056">
        <w:rPr>
          <w:lang w:val="en-US"/>
        </w:rPr>
        <w:t>.</w:t>
      </w:r>
      <w:r>
        <w:rPr>
          <w:i/>
          <w:lang w:val="en-US"/>
        </w:rPr>
        <w:t xml:space="preserve"> </w:t>
      </w:r>
      <w:r>
        <w:rPr>
          <w:lang w:val="en-US"/>
        </w:rPr>
        <w:t xml:space="preserve"> </w:t>
      </w:r>
    </w:p>
  </w:footnote>
  <w:footnote w:id="92">
    <w:p w:rsidR="00581662" w:rsidRPr="00AD6500" w:rsidRDefault="00581662" w:rsidP="0036792C">
      <w:pPr>
        <w:pStyle w:val="FootnoteText"/>
        <w:spacing w:after="120"/>
        <w:rPr>
          <w:lang w:val="en-US"/>
        </w:rPr>
      </w:pPr>
      <w:r>
        <w:rPr>
          <w:rStyle w:val="FootnoteReference"/>
        </w:rPr>
        <w:footnoteRef/>
      </w:r>
      <w:r>
        <w:t xml:space="preserve"> </w:t>
      </w:r>
      <w:r w:rsidRPr="00AD6500">
        <w:rPr>
          <w:i/>
          <w:lang w:val="en-US"/>
        </w:rPr>
        <w:t>See</w:t>
      </w:r>
      <w:r>
        <w:rPr>
          <w:i/>
          <w:lang w:val="en-US"/>
        </w:rPr>
        <w:t xml:space="preserve"> </w:t>
      </w:r>
      <w:r w:rsidRPr="00A8562E">
        <w:rPr>
          <w:i/>
          <w:lang w:val="en-US"/>
        </w:rPr>
        <w:t>supra</w:t>
      </w:r>
      <w:r w:rsidRPr="00863601">
        <w:rPr>
          <w:lang w:val="en-US"/>
        </w:rPr>
        <w:t xml:space="preserve"> para</w:t>
      </w:r>
      <w:r>
        <w:rPr>
          <w:lang w:val="en-US"/>
        </w:rPr>
        <w:t xml:space="preserve">s. 11-13.   </w:t>
      </w:r>
    </w:p>
  </w:footnote>
  <w:footnote w:id="93">
    <w:p w:rsidR="00581662" w:rsidRPr="00CC71B1" w:rsidRDefault="00581662">
      <w:pPr>
        <w:pStyle w:val="FootnoteText"/>
        <w:spacing w:after="120"/>
        <w:rPr>
          <w:lang w:val="en-US"/>
        </w:rPr>
      </w:pPr>
      <w:r>
        <w:rPr>
          <w:rStyle w:val="FootnoteReference"/>
        </w:rPr>
        <w:footnoteRef/>
      </w:r>
      <w:r>
        <w:t xml:space="preserve"> </w:t>
      </w:r>
      <w:r w:rsidRPr="00AE716A">
        <w:rPr>
          <w:i/>
          <w:lang w:val="en-US"/>
        </w:rPr>
        <w:t xml:space="preserve">See </w:t>
      </w:r>
      <w:r>
        <w:rPr>
          <w:i/>
          <w:lang w:val="en-US"/>
        </w:rPr>
        <w:t>supra</w:t>
      </w:r>
      <w:r>
        <w:rPr>
          <w:lang w:val="en-US"/>
        </w:rPr>
        <w:t xml:space="preserve"> paras. 10-15 (documenting false statements contained in the Jackson Response).  </w:t>
      </w:r>
    </w:p>
  </w:footnote>
  <w:footnote w:id="94">
    <w:p w:rsidR="00581662" w:rsidRPr="00E407F0" w:rsidRDefault="00581662" w:rsidP="009861A6">
      <w:pPr>
        <w:pStyle w:val="FootnoteText"/>
        <w:spacing w:after="120"/>
        <w:rPr>
          <w:lang w:val="en-US"/>
        </w:rPr>
      </w:pPr>
      <w:r>
        <w:rPr>
          <w:rStyle w:val="FootnoteReference"/>
        </w:rPr>
        <w:footnoteRef/>
      </w:r>
      <w:r>
        <w:t xml:space="preserve"> </w:t>
      </w:r>
      <w:r w:rsidRPr="00FE516A">
        <w:rPr>
          <w:i/>
          <w:lang w:val="en-US"/>
        </w:rPr>
        <w:t>See</w:t>
      </w:r>
      <w:r>
        <w:rPr>
          <w:lang w:val="en-US"/>
        </w:rPr>
        <w:t xml:space="preserve"> Jackson Response.  </w:t>
      </w:r>
    </w:p>
  </w:footnote>
  <w:footnote w:id="95">
    <w:p w:rsidR="00581662" w:rsidRPr="00B571D4" w:rsidRDefault="00581662" w:rsidP="009861A6">
      <w:pPr>
        <w:pStyle w:val="FootnoteText"/>
        <w:spacing w:after="120"/>
        <w:rPr>
          <w:lang w:val="en-US"/>
        </w:rPr>
      </w:pPr>
      <w:r>
        <w:rPr>
          <w:rStyle w:val="FootnoteReference"/>
        </w:rPr>
        <w:footnoteRef/>
      </w:r>
      <w:r>
        <w:t xml:space="preserve"> </w:t>
      </w:r>
      <w:r w:rsidRPr="005B5644">
        <w:rPr>
          <w:i/>
          <w:lang w:val="en-US"/>
        </w:rPr>
        <w:t>See</w:t>
      </w:r>
      <w:r>
        <w:rPr>
          <w:lang w:val="en-US"/>
        </w:rPr>
        <w:t xml:space="preserve"> Achieve 2014 Response, para 4.</w:t>
      </w:r>
    </w:p>
  </w:footnote>
  <w:footnote w:id="96">
    <w:p w:rsidR="00581662" w:rsidRPr="005B5644" w:rsidRDefault="00581662" w:rsidP="009861A6">
      <w:pPr>
        <w:pStyle w:val="FootnoteText"/>
        <w:spacing w:after="120"/>
        <w:rPr>
          <w:lang w:val="en-US"/>
        </w:rPr>
      </w:pPr>
      <w:r>
        <w:rPr>
          <w:rStyle w:val="FootnoteReference"/>
        </w:rPr>
        <w:footnoteRef/>
      </w:r>
      <w:r>
        <w:t xml:space="preserve"> </w:t>
      </w:r>
      <w:r w:rsidRPr="005B5644">
        <w:rPr>
          <w:i/>
          <w:lang w:val="en-US"/>
        </w:rPr>
        <w:t>See supra</w:t>
      </w:r>
      <w:r>
        <w:rPr>
          <w:lang w:val="en-US"/>
        </w:rPr>
        <w:t xml:space="preserve"> paras. 11-13 and n.33.</w:t>
      </w:r>
    </w:p>
  </w:footnote>
  <w:footnote w:id="97">
    <w:p w:rsidR="00581662" w:rsidRPr="00B571D4" w:rsidRDefault="00581662" w:rsidP="009861A6">
      <w:pPr>
        <w:pStyle w:val="FootnoteText"/>
        <w:spacing w:after="120"/>
        <w:rPr>
          <w:lang w:val="en-US"/>
        </w:rPr>
      </w:pPr>
      <w:r>
        <w:rPr>
          <w:rStyle w:val="FootnoteReference"/>
        </w:rPr>
        <w:footnoteRef/>
      </w:r>
      <w:r>
        <w:t xml:space="preserve"> </w:t>
      </w:r>
      <w:r w:rsidRPr="005B5644">
        <w:rPr>
          <w:i/>
          <w:lang w:val="en-US"/>
        </w:rPr>
        <w:t>See supra</w:t>
      </w:r>
      <w:r>
        <w:rPr>
          <w:lang w:val="en-US"/>
        </w:rPr>
        <w:t xml:space="preserve"> para. 14.</w:t>
      </w:r>
    </w:p>
  </w:footnote>
  <w:footnote w:id="98">
    <w:p w:rsidR="00581662" w:rsidRPr="003251EA" w:rsidRDefault="00581662" w:rsidP="009861A6">
      <w:pPr>
        <w:pStyle w:val="FootnoteText"/>
        <w:spacing w:after="120"/>
        <w:rPr>
          <w:lang w:val="en-US"/>
        </w:rPr>
      </w:pPr>
      <w:r>
        <w:rPr>
          <w:rStyle w:val="FootnoteReference"/>
        </w:rPr>
        <w:footnoteRef/>
      </w:r>
      <w:r>
        <w:rPr>
          <w:lang w:val="en-US"/>
        </w:rPr>
        <w:t xml:space="preserve"> </w:t>
      </w:r>
      <w:r w:rsidRPr="003251EA">
        <w:rPr>
          <w:i/>
          <w:lang w:val="en-US"/>
        </w:rPr>
        <w:t>See supra</w:t>
      </w:r>
      <w:r>
        <w:rPr>
          <w:lang w:val="en-US"/>
        </w:rPr>
        <w:t xml:space="preserve"> paras. 8-13.</w:t>
      </w:r>
    </w:p>
  </w:footnote>
  <w:footnote w:id="99">
    <w:p w:rsidR="00581662" w:rsidRPr="00495408" w:rsidRDefault="00581662" w:rsidP="00495408">
      <w:pPr>
        <w:pStyle w:val="FootnoteText"/>
        <w:spacing w:after="120"/>
        <w:rPr>
          <w:lang w:val="en-US"/>
        </w:rPr>
      </w:pPr>
      <w:r>
        <w:rPr>
          <w:rStyle w:val="FootnoteReference"/>
        </w:rPr>
        <w:footnoteRef/>
      </w:r>
      <w:r>
        <w:t xml:space="preserve"> </w:t>
      </w:r>
      <w:r w:rsidRPr="0065081E">
        <w:rPr>
          <w:i/>
          <w:lang w:val="en-US"/>
        </w:rPr>
        <w:t>See</w:t>
      </w:r>
      <w:r>
        <w:rPr>
          <w:lang w:val="en-US"/>
        </w:rPr>
        <w:t xml:space="preserve"> </w:t>
      </w:r>
      <w:r w:rsidRPr="000716B6">
        <w:rPr>
          <w:i/>
          <w:lang w:val="en-US"/>
        </w:rPr>
        <w:t xml:space="preserve">supra </w:t>
      </w:r>
      <w:r>
        <w:rPr>
          <w:lang w:val="en-US"/>
        </w:rPr>
        <w:t>paras. 5-16; 47 C.F.R.</w:t>
      </w:r>
      <w:r w:rsidRPr="006B069E">
        <w:rPr>
          <w:iCs/>
        </w:rPr>
        <w:t xml:space="preserve"> </w:t>
      </w:r>
      <w:r>
        <w:rPr>
          <w:iCs/>
        </w:rPr>
        <w:t>§</w:t>
      </w:r>
      <w:r>
        <w:rPr>
          <w:lang w:val="en-US"/>
        </w:rPr>
        <w:t xml:space="preserve"> 54.523.</w:t>
      </w:r>
    </w:p>
  </w:footnote>
  <w:footnote w:id="100">
    <w:p w:rsidR="00581662" w:rsidRPr="00411F1A" w:rsidRDefault="00581662" w:rsidP="0036792C">
      <w:pPr>
        <w:pStyle w:val="FootnoteText"/>
        <w:spacing w:after="120"/>
        <w:rPr>
          <w:lang w:val="en-US"/>
        </w:rPr>
      </w:pPr>
      <w:r>
        <w:rPr>
          <w:rStyle w:val="FootnoteReference"/>
        </w:rPr>
        <w:footnoteRef/>
      </w:r>
      <w:r>
        <w:t xml:space="preserve"> </w:t>
      </w:r>
      <w:r w:rsidRPr="003C06F2">
        <w:rPr>
          <w:i/>
          <w:iCs/>
          <w:lang w:val="en-US"/>
        </w:rPr>
        <w:t>See</w:t>
      </w:r>
      <w:r w:rsidRPr="003C06F2">
        <w:rPr>
          <w:lang w:val="en-US"/>
        </w:rPr>
        <w:t xml:space="preserve"> </w:t>
      </w:r>
      <w:r>
        <w:rPr>
          <w:lang w:val="en-US"/>
        </w:rPr>
        <w:t>47 C.F.R.</w:t>
      </w:r>
      <w:r w:rsidRPr="006B069E">
        <w:rPr>
          <w:iCs/>
        </w:rPr>
        <w:t xml:space="preserve"> </w:t>
      </w:r>
      <w:r>
        <w:rPr>
          <w:iCs/>
        </w:rPr>
        <w:t>§</w:t>
      </w:r>
      <w:r>
        <w:rPr>
          <w:lang w:val="en-US"/>
        </w:rPr>
        <w:t xml:space="preserve"> 54.523 and </w:t>
      </w:r>
      <w:r w:rsidRPr="00802878">
        <w:rPr>
          <w:i/>
          <w:lang w:val="en-US"/>
        </w:rPr>
        <w:t>supra</w:t>
      </w:r>
      <w:r>
        <w:rPr>
          <w:lang w:val="en-US"/>
        </w:rPr>
        <w:t xml:space="preserve"> para. 16.  </w:t>
      </w:r>
    </w:p>
  </w:footnote>
  <w:footnote w:id="101">
    <w:p w:rsidR="00581662" w:rsidRPr="002102F5" w:rsidRDefault="00581662" w:rsidP="007E48AE">
      <w:pPr>
        <w:pStyle w:val="FootnoteText"/>
        <w:spacing w:after="120"/>
        <w:rPr>
          <w:lang w:val="en-US"/>
        </w:rPr>
      </w:pPr>
      <w:r>
        <w:rPr>
          <w:rStyle w:val="FootnoteReference"/>
        </w:rPr>
        <w:footnoteRef/>
      </w:r>
      <w:r>
        <w:t xml:space="preserve"> </w:t>
      </w:r>
      <w:r>
        <w:rPr>
          <w:i/>
          <w:iCs/>
          <w:color w:val="000000"/>
          <w:lang w:val="en-US"/>
        </w:rPr>
        <w:t xml:space="preserve">See supra </w:t>
      </w:r>
      <w:r>
        <w:rPr>
          <w:iCs/>
          <w:color w:val="000000"/>
          <w:lang w:val="en-US"/>
        </w:rPr>
        <w:t>para. 5 and n.13 and 14.</w:t>
      </w:r>
    </w:p>
  </w:footnote>
  <w:footnote w:id="102">
    <w:p w:rsidR="00581662" w:rsidRPr="00FD03DD" w:rsidRDefault="00581662" w:rsidP="00B70E61">
      <w:pPr>
        <w:pStyle w:val="FootnoteText"/>
        <w:spacing w:after="120"/>
        <w:rPr>
          <w:lang w:val="en-US"/>
        </w:rPr>
      </w:pPr>
      <w:r>
        <w:rPr>
          <w:rStyle w:val="FootnoteReference"/>
        </w:rPr>
        <w:footnoteRef/>
      </w:r>
      <w:r>
        <w:t xml:space="preserve"> </w:t>
      </w:r>
      <w:r w:rsidRPr="00FD03DD">
        <w:rPr>
          <w:i/>
          <w:lang w:val="en-US"/>
        </w:rPr>
        <w:t>See supra</w:t>
      </w:r>
      <w:r>
        <w:rPr>
          <w:lang w:val="en-US"/>
        </w:rPr>
        <w:t xml:space="preserve"> paras. 7-16.  </w:t>
      </w:r>
      <w:r w:rsidRPr="00A4087D">
        <w:rPr>
          <w:lang w:val="en-US"/>
        </w:rPr>
        <w:t>In its November 2014 response, Achieve no longer disclaims its role in funding the DDF grants</w:t>
      </w:r>
      <w:r>
        <w:rPr>
          <w:lang w:val="en-US"/>
        </w:rPr>
        <w:t xml:space="preserve">.  </w:t>
      </w:r>
      <w:r w:rsidRPr="00FD1BFF">
        <w:rPr>
          <w:i/>
          <w:lang w:val="en-US"/>
        </w:rPr>
        <w:t>See</w:t>
      </w:r>
      <w:r>
        <w:rPr>
          <w:lang w:val="en-US"/>
        </w:rPr>
        <w:t xml:space="preserve"> Achieve 2014 Response.</w:t>
      </w:r>
    </w:p>
  </w:footnote>
  <w:footnote w:id="103">
    <w:p w:rsidR="00581662" w:rsidRPr="00A15FD2" w:rsidRDefault="00581662" w:rsidP="0080623B">
      <w:pPr>
        <w:pStyle w:val="FootnoteText"/>
        <w:spacing w:after="120"/>
        <w:rPr>
          <w:lang w:val="en-US"/>
        </w:rPr>
      </w:pPr>
      <w:r>
        <w:rPr>
          <w:rStyle w:val="FootnoteReference"/>
        </w:rPr>
        <w:footnoteRef/>
      </w:r>
      <w:r>
        <w:t xml:space="preserve"> </w:t>
      </w:r>
      <w:r w:rsidRPr="0080623B">
        <w:rPr>
          <w:i/>
          <w:lang w:val="en-US"/>
        </w:rPr>
        <w:t>See</w:t>
      </w:r>
      <w:r>
        <w:rPr>
          <w:lang w:val="en-US"/>
        </w:rPr>
        <w:t xml:space="preserve"> Achieve Request for Review at 4-5 (acknowledging that a service provider may help applicants obtain grants </w:t>
      </w:r>
      <w:r w:rsidR="00DC033C">
        <w:rPr>
          <w:lang w:val="en-US"/>
        </w:rPr>
        <w:t xml:space="preserve">only </w:t>
      </w:r>
      <w:r>
        <w:rPr>
          <w:lang w:val="en-US"/>
        </w:rPr>
        <w:t xml:space="preserve">so long as the grants or organizations are independent of the service provider); </w:t>
      </w:r>
      <w:r w:rsidRPr="001E6E55">
        <w:rPr>
          <w:i/>
          <w:lang w:val="en-US"/>
        </w:rPr>
        <w:t>see also supra</w:t>
      </w:r>
      <w:r>
        <w:rPr>
          <w:lang w:val="en-US"/>
        </w:rPr>
        <w:t xml:space="preserve"> para.5. </w:t>
      </w:r>
    </w:p>
  </w:footnote>
  <w:footnote w:id="104">
    <w:p w:rsidR="00581662" w:rsidRPr="00D65E9B" w:rsidRDefault="00581662" w:rsidP="0036792C">
      <w:pPr>
        <w:pStyle w:val="FootnoteText"/>
        <w:spacing w:after="120"/>
        <w:rPr>
          <w:lang w:val="en-US"/>
        </w:rPr>
      </w:pPr>
      <w:r>
        <w:rPr>
          <w:rStyle w:val="FootnoteReference"/>
        </w:rPr>
        <w:footnoteRef/>
      </w:r>
      <w:r>
        <w:t xml:space="preserve"> At no point does the record show that the Schools knew </w:t>
      </w:r>
      <w:r w:rsidRPr="00DC033C">
        <w:t>or should reasonably have known</w:t>
      </w:r>
      <w:r>
        <w:t xml:space="preserve"> that Achieve was controlling the distribution of grants.  </w:t>
      </w:r>
      <w:r w:rsidRPr="00D868EB">
        <w:rPr>
          <w:i/>
          <w:lang w:val="en-US"/>
        </w:rPr>
        <w:t>See</w:t>
      </w:r>
      <w:r>
        <w:rPr>
          <w:i/>
          <w:lang w:val="en-US"/>
        </w:rPr>
        <w:t xml:space="preserve"> </w:t>
      </w:r>
      <w:r>
        <w:rPr>
          <w:lang w:val="en-US"/>
        </w:rPr>
        <w:t>Affidavit of Daniel Vigeant, Director of Technology Services, Brockton Public School District (dated Nov. 8, 2008) (stating that “[a]t no time during any of my interactions with Achieve or any of it representatives was I ever informed or, made aware of, or otherwise led to believe or suspect that Achieve had any partnership or affiliation with USDLA”… “or that it was offering a service that would be of no cost to the District.”); Declaration Statement of James Halloran, Directory of Information Technology for the City of Somerville, Somerville School District (dated Mar. 5, 2009) (stating that “Somerville was not aware of the existence of any partnership between Achieve and USDLA”… “nor did Achieve ever offer to rebate Somerville’s share.”); Letter from Cheryl Watson, City Solicitor, on behalf of Chelsea School District to USAC, Schools and Libraries Division (dated Jan. 29, 2009) (stating “Chelsea has and had no knowledge of a relationship between Achieve and USDLA…” and “Achieve at no time indicated in their bid an offer or guarantee of any grants or rebates for their service.”); Declaration from Robert Hamel, Springfield Public School District (dated Nov. 6, 2008) (stating that “Achieve’s oral and written presentations to the District… did not represent in any way that Achieve was offering a service that would be ‘no cost’ to the District”… and “the District was not aware of the existence of any alleged partnership between Achieve and USDLA”… “[t]the District was also unaware of any donations solicited by Achieve for USDLA.”) (collectively, School Declarations).  These statements are not contested.</w:t>
      </w:r>
    </w:p>
  </w:footnote>
  <w:footnote w:id="105">
    <w:p w:rsidR="00581662" w:rsidRPr="002A01E6" w:rsidRDefault="00581662" w:rsidP="007E48AE">
      <w:pPr>
        <w:pStyle w:val="FootnoteText"/>
        <w:spacing w:after="120"/>
        <w:rPr>
          <w:lang w:val="en-US"/>
        </w:rPr>
      </w:pPr>
      <w:r>
        <w:rPr>
          <w:rStyle w:val="FootnoteReference"/>
        </w:rPr>
        <w:footnoteRef/>
      </w:r>
      <w:r>
        <w:t xml:space="preserve"> </w:t>
      </w:r>
      <w:r w:rsidRPr="003C06F2">
        <w:rPr>
          <w:i/>
          <w:iCs/>
          <w:lang w:val="en-US"/>
        </w:rPr>
        <w:t>See</w:t>
      </w:r>
      <w:r w:rsidRPr="003C06F2">
        <w:rPr>
          <w:lang w:val="en-US"/>
        </w:rPr>
        <w:t xml:space="preserve"> </w:t>
      </w:r>
      <w:r>
        <w:rPr>
          <w:lang w:val="en-US"/>
        </w:rPr>
        <w:t>47 C.F.R.</w:t>
      </w:r>
      <w:r w:rsidRPr="006B069E">
        <w:rPr>
          <w:iCs/>
        </w:rPr>
        <w:t xml:space="preserve"> </w:t>
      </w:r>
      <w:r>
        <w:rPr>
          <w:iCs/>
        </w:rPr>
        <w:t>§</w:t>
      </w:r>
      <w:r>
        <w:rPr>
          <w:lang w:val="en-US"/>
        </w:rPr>
        <w:t xml:space="preserve"> 54.523.  In its November 2014 response, Achieve seeks to defend its funding of the Schools’ non-discount share by arguing that E-rate program rules prohibiting rebates is not relevant because Achieve offered the services at a lawful rate established under a Massachusetts State Master Contract. </w:t>
      </w:r>
      <w:r w:rsidRPr="005B5644">
        <w:rPr>
          <w:i/>
          <w:lang w:val="en-US"/>
        </w:rPr>
        <w:t xml:space="preserve"> See</w:t>
      </w:r>
      <w:r>
        <w:rPr>
          <w:lang w:val="en-US"/>
        </w:rPr>
        <w:t xml:space="preserve"> Achieve 2014 Response.  Achieve states that the DDF grants “did not render the price uncompetitive or unlawful and did not cause an overcharge to the E-rate program.”  </w:t>
      </w:r>
      <w:r>
        <w:rPr>
          <w:i/>
          <w:lang w:val="en-US"/>
        </w:rPr>
        <w:t>Id.</w:t>
      </w:r>
      <w:r>
        <w:rPr>
          <w:lang w:val="en-US"/>
        </w:rPr>
        <w:t xml:space="preserve">  The violation of E-rate program rules prohibiting rebates, however, is not cured by offering services at a lawful rate.  The record shows that the Schools served by Achieve (whether at a lawful rate or not) did not</w:t>
      </w:r>
      <w:r w:rsidRPr="007E2CB4">
        <w:rPr>
          <w:rFonts w:cs="Courier New"/>
          <w:sz w:val="22"/>
          <w:szCs w:val="22"/>
        </w:rPr>
        <w:t xml:space="preserve"> </w:t>
      </w:r>
      <w:r w:rsidRPr="00180580">
        <w:rPr>
          <w:rFonts w:cs="Courier New"/>
        </w:rPr>
        <w:t>pay their non-discount share with funds independent of Achieve</w:t>
      </w:r>
      <w:r w:rsidRPr="00180580">
        <w:rPr>
          <w:rFonts w:cs="Courier New"/>
          <w:lang w:val="en-US"/>
        </w:rPr>
        <w:t>.</w:t>
      </w:r>
      <w:r>
        <w:rPr>
          <w:rFonts w:cs="Courier New"/>
          <w:lang w:val="en-US"/>
        </w:rPr>
        <w:t xml:space="preserve">  By analogy, if a service provider bribed a school district in an attempt to get its business, such an unlawful act would not be “cured” merely because any contract for services later awarded to the service provider may have used rates that were otherwise considered lawful.  </w:t>
      </w:r>
      <w:r w:rsidRPr="00180580">
        <w:rPr>
          <w:lang w:val="en-US"/>
        </w:rPr>
        <w:t xml:space="preserve"> </w:t>
      </w:r>
    </w:p>
  </w:footnote>
  <w:footnote w:id="106">
    <w:p w:rsidR="00581662" w:rsidRPr="001C449C" w:rsidRDefault="00581662" w:rsidP="007E48AE">
      <w:pPr>
        <w:pStyle w:val="FootnoteText"/>
        <w:spacing w:after="120"/>
      </w:pPr>
      <w:r>
        <w:rPr>
          <w:rStyle w:val="FootnoteReference"/>
        </w:rPr>
        <w:footnoteRef/>
      </w:r>
      <w:r>
        <w:t xml:space="preserve"> </w:t>
      </w:r>
      <w:r>
        <w:rPr>
          <w:i/>
          <w:iCs/>
          <w:color w:val="000000"/>
        </w:rPr>
        <w:t>S</w:t>
      </w:r>
      <w:r>
        <w:rPr>
          <w:i/>
          <w:iCs/>
          <w:color w:val="000000"/>
          <w:lang w:val="en-US"/>
        </w:rPr>
        <w:t xml:space="preserve">ee </w:t>
      </w:r>
      <w:r w:rsidRPr="007D1497">
        <w:rPr>
          <w:i/>
          <w:iCs/>
          <w:color w:val="000000"/>
          <w:lang w:val="en-US"/>
        </w:rPr>
        <w:t>supra</w:t>
      </w:r>
      <w:r>
        <w:rPr>
          <w:iCs/>
          <w:color w:val="000000"/>
          <w:lang w:val="en-US"/>
        </w:rPr>
        <w:t xml:space="preserve"> para.16.</w:t>
      </w:r>
      <w:r>
        <w:rPr>
          <w:i/>
          <w:lang w:val="en-US"/>
        </w:rPr>
        <w:t xml:space="preserve"> </w:t>
      </w:r>
    </w:p>
  </w:footnote>
  <w:footnote w:id="107">
    <w:p w:rsidR="00581662" w:rsidRPr="00374E4E" w:rsidRDefault="00581662">
      <w:pPr>
        <w:pStyle w:val="FootnoteText"/>
        <w:spacing w:after="120"/>
        <w:rPr>
          <w:lang w:val="en-US"/>
        </w:rPr>
      </w:pPr>
      <w:r>
        <w:rPr>
          <w:rStyle w:val="FootnoteReference"/>
        </w:rPr>
        <w:footnoteRef/>
      </w:r>
      <w:r>
        <w:t xml:space="preserve"> </w:t>
      </w:r>
      <w:r w:rsidRPr="007D1497">
        <w:rPr>
          <w:i/>
          <w:lang w:val="en-US"/>
        </w:rPr>
        <w:t>Id</w:t>
      </w:r>
      <w:r>
        <w:rPr>
          <w:lang w:val="en-US"/>
        </w:rPr>
        <w:t xml:space="preserve">. </w:t>
      </w:r>
    </w:p>
  </w:footnote>
  <w:footnote w:id="108">
    <w:p w:rsidR="00581662" w:rsidRPr="00B16BBE" w:rsidRDefault="00581662">
      <w:pPr>
        <w:pStyle w:val="FootnoteText"/>
        <w:spacing w:after="120"/>
        <w:rPr>
          <w:lang w:val="en-US"/>
        </w:rPr>
      </w:pPr>
      <w:r>
        <w:rPr>
          <w:rStyle w:val="FootnoteReference"/>
        </w:rPr>
        <w:footnoteRef/>
      </w:r>
      <w:r>
        <w:t xml:space="preserve"> </w:t>
      </w:r>
      <w:r w:rsidRPr="00B16BBE">
        <w:rPr>
          <w:i/>
          <w:lang w:val="en-US"/>
        </w:rPr>
        <w:t>See</w:t>
      </w:r>
      <w:r>
        <w:rPr>
          <w:lang w:val="en-US"/>
        </w:rPr>
        <w:t xml:space="preserve"> FCC Form 473 (requiring service providers </w:t>
      </w:r>
      <w:r w:rsidRPr="00B16BBE">
        <w:rPr>
          <w:lang w:val="en-US"/>
        </w:rPr>
        <w:t xml:space="preserve">to certify </w:t>
      </w:r>
      <w:r>
        <w:rPr>
          <w:lang w:val="en-US"/>
        </w:rPr>
        <w:t>o</w:t>
      </w:r>
      <w:r w:rsidRPr="00B16BBE">
        <w:rPr>
          <w:lang w:val="en-US"/>
        </w:rPr>
        <w:t xml:space="preserve">n the </w:t>
      </w:r>
      <w:r>
        <w:rPr>
          <w:lang w:val="en-US"/>
        </w:rPr>
        <w:t xml:space="preserve">FCC </w:t>
      </w:r>
      <w:r w:rsidRPr="00B16BBE">
        <w:rPr>
          <w:lang w:val="en-US"/>
        </w:rPr>
        <w:t>Form 473 that it has billed the applicant for the applicant's non-discounted portion</w:t>
      </w:r>
      <w:r>
        <w:rPr>
          <w:lang w:val="en-US"/>
        </w:rPr>
        <w:t>).</w:t>
      </w:r>
    </w:p>
  </w:footnote>
  <w:footnote w:id="109">
    <w:p w:rsidR="00581662" w:rsidRPr="008911DA" w:rsidRDefault="00581662">
      <w:pPr>
        <w:pStyle w:val="FootnoteText"/>
        <w:spacing w:after="120"/>
        <w:rPr>
          <w:lang w:val="en-US"/>
        </w:rPr>
      </w:pPr>
      <w:r>
        <w:rPr>
          <w:rStyle w:val="FootnoteReference"/>
        </w:rPr>
        <w:footnoteRef/>
      </w:r>
      <w:r>
        <w:t xml:space="preserve"> </w:t>
      </w:r>
      <w:r>
        <w:rPr>
          <w:i/>
          <w:iCs/>
        </w:rPr>
        <w:t>See</w:t>
      </w:r>
      <w:r>
        <w:rPr>
          <w:i/>
          <w:iCs/>
          <w:lang w:val="en-US"/>
        </w:rPr>
        <w:t xml:space="preserve"> supra</w:t>
      </w:r>
      <w:r>
        <w:rPr>
          <w:iCs/>
          <w:lang w:val="en-US"/>
        </w:rPr>
        <w:t xml:space="preserve"> para. 6 and n.19. </w:t>
      </w:r>
    </w:p>
  </w:footnote>
  <w:footnote w:id="110">
    <w:p w:rsidR="00581662" w:rsidRPr="00425129" w:rsidRDefault="00581662">
      <w:pPr>
        <w:pStyle w:val="FootnoteText"/>
        <w:spacing w:after="120"/>
        <w:rPr>
          <w:lang w:val="en-US"/>
        </w:rPr>
      </w:pPr>
      <w:r>
        <w:rPr>
          <w:rStyle w:val="FootnoteReference"/>
        </w:rPr>
        <w:footnoteRef/>
      </w:r>
      <w:r>
        <w:t xml:space="preserve"> </w:t>
      </w:r>
      <w:r w:rsidRPr="00425129">
        <w:rPr>
          <w:i/>
          <w:lang w:val="en-US"/>
        </w:rPr>
        <w:t>See supra</w:t>
      </w:r>
      <w:r>
        <w:rPr>
          <w:lang w:val="en-US"/>
        </w:rPr>
        <w:t xml:space="preserve"> paras. 7-15.</w:t>
      </w:r>
    </w:p>
  </w:footnote>
  <w:footnote w:id="111">
    <w:p w:rsidR="00581662" w:rsidRPr="00AA7004" w:rsidRDefault="00581662">
      <w:pPr>
        <w:pStyle w:val="FootnoteText"/>
        <w:spacing w:after="120"/>
        <w:rPr>
          <w:lang w:val="en-US"/>
        </w:rPr>
      </w:pPr>
      <w:r>
        <w:rPr>
          <w:rStyle w:val="FootnoteReference"/>
        </w:rPr>
        <w:footnoteRef/>
      </w:r>
      <w:r>
        <w:t xml:space="preserve"> </w:t>
      </w:r>
      <w:r w:rsidRPr="00AA7004">
        <w:rPr>
          <w:i/>
          <w:lang w:val="en-US"/>
        </w:rPr>
        <w:t>See</w:t>
      </w:r>
      <w:r>
        <w:rPr>
          <w:i/>
          <w:lang w:val="en-US"/>
        </w:rPr>
        <w:t xml:space="preserve"> supra </w:t>
      </w:r>
      <w:r w:rsidRPr="007D1497">
        <w:rPr>
          <w:lang w:val="en-US"/>
        </w:rPr>
        <w:t xml:space="preserve">para. </w:t>
      </w:r>
      <w:r>
        <w:rPr>
          <w:lang w:val="en-US"/>
        </w:rPr>
        <w:t>10.</w:t>
      </w:r>
      <w:r>
        <w:rPr>
          <w:i/>
          <w:lang w:val="en-US"/>
        </w:rPr>
        <w:t xml:space="preserve">  </w:t>
      </w:r>
    </w:p>
  </w:footnote>
  <w:footnote w:id="112">
    <w:p w:rsidR="00581662" w:rsidRPr="000C3AA3" w:rsidRDefault="00581662">
      <w:pPr>
        <w:pStyle w:val="FootnoteText"/>
        <w:rPr>
          <w:lang w:val="en-US"/>
        </w:rPr>
      </w:pPr>
      <w:r>
        <w:rPr>
          <w:rStyle w:val="FootnoteReference"/>
        </w:rPr>
        <w:footnoteRef/>
      </w:r>
      <w:r>
        <w:t xml:space="preserve"> </w:t>
      </w:r>
      <w:r w:rsidRPr="0079751D">
        <w:rPr>
          <w:i/>
          <w:lang w:val="en-US"/>
        </w:rPr>
        <w:t>Id.</w:t>
      </w:r>
    </w:p>
  </w:footnote>
  <w:footnote w:id="113">
    <w:p w:rsidR="00581662" w:rsidRPr="00315E04" w:rsidRDefault="00581662">
      <w:pPr>
        <w:pStyle w:val="FootnoteText"/>
        <w:spacing w:after="120"/>
        <w:rPr>
          <w:lang w:val="en-US"/>
        </w:rPr>
      </w:pPr>
      <w:r>
        <w:rPr>
          <w:rStyle w:val="FootnoteReference"/>
        </w:rPr>
        <w:footnoteRef/>
      </w:r>
      <w:r>
        <w:t xml:space="preserve"> </w:t>
      </w:r>
      <w:r>
        <w:rPr>
          <w:i/>
          <w:lang w:val="en-US"/>
        </w:rPr>
        <w:t>Id.</w:t>
      </w:r>
    </w:p>
  </w:footnote>
  <w:footnote w:id="114">
    <w:p w:rsidR="00581662" w:rsidRPr="005B5644" w:rsidRDefault="00581662">
      <w:pPr>
        <w:pStyle w:val="FootnoteText"/>
        <w:spacing w:after="120"/>
        <w:rPr>
          <w:lang w:val="en-US"/>
        </w:rPr>
      </w:pPr>
      <w:r>
        <w:rPr>
          <w:rStyle w:val="FootnoteReference"/>
        </w:rPr>
        <w:footnoteRef/>
      </w:r>
      <w:r>
        <w:t xml:space="preserve"> </w:t>
      </w:r>
      <w:r w:rsidRPr="005B5644">
        <w:rPr>
          <w:i/>
          <w:lang w:val="en-US"/>
        </w:rPr>
        <w:t>See</w:t>
      </w:r>
      <w:r>
        <w:rPr>
          <w:lang w:val="en-US"/>
        </w:rPr>
        <w:t xml:space="preserve"> Achieve 2014 Response.</w:t>
      </w:r>
    </w:p>
  </w:footnote>
  <w:footnote w:id="115">
    <w:p w:rsidR="00581662" w:rsidRDefault="00581662">
      <w:pPr>
        <w:pStyle w:val="FootnoteText"/>
        <w:spacing w:after="120"/>
      </w:pPr>
      <w:r>
        <w:rPr>
          <w:rStyle w:val="FootnoteReference"/>
        </w:rPr>
        <w:footnoteRef/>
      </w:r>
      <w:r>
        <w:t xml:space="preserve"> </w:t>
      </w:r>
      <w:r w:rsidRPr="00736136">
        <w:rPr>
          <w:i/>
        </w:rPr>
        <w:t>S</w:t>
      </w:r>
      <w:r>
        <w:rPr>
          <w:i/>
        </w:rPr>
        <w:t>ee S</w:t>
      </w:r>
      <w:r w:rsidRPr="00736136">
        <w:rPr>
          <w:i/>
        </w:rPr>
        <w:t>chools and Libraries Fourth Report and Order,</w:t>
      </w:r>
      <w:r>
        <w:t xml:space="preserve"> 19 FCC Rcd 15252, 15255-57, paras. 10-15; </w:t>
      </w:r>
      <w:r w:rsidRPr="00736136">
        <w:rPr>
          <w:i/>
        </w:rPr>
        <w:t>Bell South</w:t>
      </w:r>
      <w:r>
        <w:t xml:space="preserve"> </w:t>
      </w:r>
      <w:r w:rsidRPr="00736136">
        <w:rPr>
          <w:i/>
        </w:rPr>
        <w:t>Order</w:t>
      </w:r>
      <w:r>
        <w:t>.</w:t>
      </w:r>
    </w:p>
  </w:footnote>
  <w:footnote w:id="116">
    <w:p w:rsidR="00581662" w:rsidRPr="005442CA" w:rsidRDefault="00581662" w:rsidP="0051211F">
      <w:pPr>
        <w:pStyle w:val="FootnoteText"/>
        <w:spacing w:after="120"/>
        <w:rPr>
          <w:lang w:val="en-US"/>
        </w:rPr>
      </w:pPr>
      <w:r>
        <w:rPr>
          <w:rStyle w:val="FootnoteReference"/>
        </w:rPr>
        <w:footnoteRef/>
      </w:r>
      <w:r>
        <w:t xml:space="preserve"> </w:t>
      </w:r>
      <w:r w:rsidRPr="00FE516A">
        <w:rPr>
          <w:i/>
          <w:lang w:val="en-US"/>
        </w:rPr>
        <w:t>See</w:t>
      </w:r>
      <w:r>
        <w:rPr>
          <w:i/>
          <w:lang w:val="en-US"/>
        </w:rPr>
        <w:t xml:space="preserve"> supra </w:t>
      </w:r>
      <w:r w:rsidRPr="003067CE">
        <w:rPr>
          <w:lang w:val="en-US"/>
        </w:rPr>
        <w:t>para. 3 and n</w:t>
      </w:r>
      <w:r w:rsidR="003067CE">
        <w:rPr>
          <w:lang w:val="en-US"/>
        </w:rPr>
        <w:t>.</w:t>
      </w:r>
      <w:r w:rsidRPr="003067CE">
        <w:rPr>
          <w:lang w:val="en-US"/>
        </w:rPr>
        <w:t>7.</w:t>
      </w:r>
    </w:p>
  </w:footnote>
  <w:footnote w:id="117">
    <w:p w:rsidR="00581662" w:rsidRPr="005442CA" w:rsidRDefault="00581662" w:rsidP="0051211F">
      <w:pPr>
        <w:pStyle w:val="FootnoteText"/>
        <w:spacing w:after="120"/>
        <w:rPr>
          <w:lang w:val="en-US"/>
        </w:rPr>
      </w:pPr>
      <w:r>
        <w:rPr>
          <w:rStyle w:val="FootnoteReference"/>
        </w:rPr>
        <w:footnoteRef/>
      </w:r>
      <w:r>
        <w:t xml:space="preserve"> </w:t>
      </w:r>
      <w:r w:rsidRPr="005442CA">
        <w:rPr>
          <w:i/>
          <w:lang w:val="en-US"/>
        </w:rPr>
        <w:t>See</w:t>
      </w:r>
      <w:r w:rsidR="00DC033C">
        <w:rPr>
          <w:lang w:val="en-US"/>
        </w:rPr>
        <w:t xml:space="preserve"> COMADs; </w:t>
      </w:r>
      <w:r w:rsidR="00DC033C" w:rsidRPr="00DC033C">
        <w:rPr>
          <w:i/>
          <w:lang w:val="en-US"/>
        </w:rPr>
        <w:t xml:space="preserve">supra </w:t>
      </w:r>
      <w:r w:rsidR="00DC033C">
        <w:rPr>
          <w:lang w:val="en-US"/>
        </w:rPr>
        <w:t>n.12.</w:t>
      </w:r>
    </w:p>
  </w:footnote>
  <w:footnote w:id="118">
    <w:p w:rsidR="00581662" w:rsidRPr="00D65E9B" w:rsidRDefault="00581662" w:rsidP="0051211F">
      <w:pPr>
        <w:pStyle w:val="FootnoteText"/>
        <w:spacing w:after="120"/>
        <w:rPr>
          <w:lang w:val="en-US"/>
        </w:rPr>
      </w:pPr>
      <w:r>
        <w:rPr>
          <w:rStyle w:val="FootnoteReference"/>
        </w:rPr>
        <w:footnoteRef/>
      </w:r>
      <w:r>
        <w:t xml:space="preserve"> </w:t>
      </w:r>
      <w:r w:rsidRPr="00D868EB">
        <w:rPr>
          <w:i/>
          <w:lang w:val="en-US"/>
        </w:rPr>
        <w:t>See</w:t>
      </w:r>
      <w:r>
        <w:rPr>
          <w:i/>
          <w:lang w:val="en-US"/>
        </w:rPr>
        <w:t xml:space="preserve"> </w:t>
      </w:r>
      <w:r>
        <w:rPr>
          <w:lang w:val="en-US"/>
        </w:rPr>
        <w:t xml:space="preserve">School Declarations.  </w:t>
      </w:r>
    </w:p>
  </w:footnote>
  <w:footnote w:id="119">
    <w:p w:rsidR="00581662" w:rsidRPr="001E6E55" w:rsidRDefault="00581662" w:rsidP="007E48AE">
      <w:pPr>
        <w:pStyle w:val="FootnoteText"/>
        <w:spacing w:after="120"/>
        <w:rPr>
          <w:lang w:val="en-US"/>
        </w:rPr>
      </w:pPr>
      <w:r>
        <w:rPr>
          <w:rStyle w:val="FootnoteReference"/>
        </w:rPr>
        <w:footnoteRef/>
      </w:r>
      <w:r>
        <w:t xml:space="preserve"> </w:t>
      </w:r>
      <w:r w:rsidRPr="00736136">
        <w:rPr>
          <w:i/>
        </w:rPr>
        <w:t>S</w:t>
      </w:r>
      <w:r>
        <w:rPr>
          <w:i/>
        </w:rPr>
        <w:t>ee</w:t>
      </w:r>
      <w:r>
        <w:rPr>
          <w:i/>
          <w:lang w:val="en-US"/>
        </w:rPr>
        <w:t xml:space="preserve"> </w:t>
      </w:r>
      <w:r>
        <w:rPr>
          <w:i/>
        </w:rPr>
        <w:t>S</w:t>
      </w:r>
      <w:r w:rsidRPr="00736136">
        <w:rPr>
          <w:i/>
        </w:rPr>
        <w:t>chools and Libraries Fourth Report and Order,</w:t>
      </w:r>
      <w:r>
        <w:t xml:space="preserve"> 19 FCC Rcd 15252, 15255-57, paras. 10-15; </w:t>
      </w:r>
      <w:r w:rsidRPr="00736136">
        <w:rPr>
          <w:i/>
        </w:rPr>
        <w:t>Bell South</w:t>
      </w:r>
      <w:r>
        <w:t xml:space="preserve"> </w:t>
      </w:r>
      <w:r w:rsidRPr="00736136">
        <w:rPr>
          <w:i/>
        </w:rPr>
        <w:t>Order</w:t>
      </w:r>
      <w:r>
        <w:rPr>
          <w:i/>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AFD" w:rsidRDefault="00DA4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662" w:rsidRPr="00B34503" w:rsidRDefault="00581662" w:rsidP="004D33C5">
    <w:pPr>
      <w:pStyle w:val="FirstPageHeader"/>
      <w:tabs>
        <w:tab w:val="clear" w:pos="4320"/>
        <w:tab w:val="clear" w:pos="8640"/>
        <w:tab w:val="center" w:pos="4680"/>
        <w:tab w:val="right" w:pos="9360"/>
      </w:tabs>
      <w:rPr>
        <w:sz w:val="22"/>
        <w:u w:val="single"/>
      </w:rPr>
    </w:pPr>
    <w:r w:rsidRPr="00B34503">
      <w:rPr>
        <w:sz w:val="22"/>
        <w:u w:val="single"/>
      </w:rPr>
      <w:tab/>
      <w:t>Federal Communications Commission</w:t>
    </w:r>
    <w:r w:rsidRPr="00B34503">
      <w:rPr>
        <w:sz w:val="22"/>
        <w:u w:val="single"/>
      </w:rPr>
      <w:tab/>
      <w:t xml:space="preserve">  DA 1</w:t>
    </w:r>
    <w:r>
      <w:rPr>
        <w:sz w:val="22"/>
        <w:u w:val="single"/>
      </w:rPr>
      <w:t>5</w:t>
    </w:r>
    <w:r w:rsidRPr="00B34503">
      <w:rPr>
        <w:sz w:val="22"/>
        <w:u w:val="single"/>
      </w:rPr>
      <w:t>-</w:t>
    </w:r>
    <w:r w:rsidR="001E70FD">
      <w:rPr>
        <w:sz w:val="22"/>
        <w:u w:val="single"/>
      </w:rPr>
      <w:t>463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662" w:rsidRPr="00E73362" w:rsidRDefault="00581662">
    <w:pPr>
      <w:pStyle w:val="FirstPageHeader"/>
      <w:tabs>
        <w:tab w:val="clear" w:pos="4320"/>
        <w:tab w:val="clear" w:pos="8640"/>
        <w:tab w:val="center" w:pos="4680"/>
        <w:tab w:val="right" w:pos="9360"/>
      </w:tabs>
      <w:rPr>
        <w:b w:val="0"/>
        <w:i/>
        <w:sz w:val="22"/>
        <w:lang w:val="fr-FR"/>
      </w:rPr>
    </w:pPr>
  </w:p>
  <w:p w:rsidR="00581662" w:rsidRPr="00F818FA" w:rsidRDefault="00581662">
    <w:pPr>
      <w:pStyle w:val="FirstPageHeader"/>
      <w:tabs>
        <w:tab w:val="clear" w:pos="4320"/>
        <w:tab w:val="clear" w:pos="8640"/>
        <w:tab w:val="center" w:pos="4680"/>
        <w:tab w:val="right" w:pos="9360"/>
      </w:tabs>
      <w:rPr>
        <w:sz w:val="22"/>
        <w:u w:val="single"/>
      </w:rPr>
    </w:pPr>
    <w:r w:rsidRPr="00F818FA">
      <w:rPr>
        <w:sz w:val="22"/>
        <w:u w:val="single"/>
      </w:rPr>
      <w:tab/>
      <w:t>Federal Communications Commission</w:t>
    </w:r>
    <w:r w:rsidRPr="00F818FA">
      <w:rPr>
        <w:sz w:val="22"/>
        <w:u w:val="single"/>
      </w:rPr>
      <w:tab/>
      <w:t xml:space="preserve">  DA 1</w:t>
    </w:r>
    <w:r>
      <w:rPr>
        <w:sz w:val="22"/>
        <w:u w:val="single"/>
      </w:rPr>
      <w:t>5</w:t>
    </w:r>
    <w:r w:rsidRPr="00F818FA">
      <w:rPr>
        <w:sz w:val="22"/>
        <w:u w:val="single"/>
      </w:rPr>
      <w:t>-</w:t>
    </w:r>
    <w:r w:rsidR="001E70FD">
      <w:rPr>
        <w:sz w:val="22"/>
        <w:u w:val="single"/>
      </w:rPr>
      <w:t>463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7A68BA"/>
    <w:lvl w:ilvl="0">
      <w:start w:val="1"/>
      <w:numFmt w:val="decimal"/>
      <w:lvlText w:val="%1."/>
      <w:lvlJc w:val="left"/>
      <w:pPr>
        <w:tabs>
          <w:tab w:val="num" w:pos="1800"/>
        </w:tabs>
        <w:ind w:left="1800" w:hanging="360"/>
      </w:pPr>
    </w:lvl>
  </w:abstractNum>
  <w:abstractNum w:abstractNumId="1">
    <w:nsid w:val="FFFFFF7D"/>
    <w:multiLevelType w:val="singleLevel"/>
    <w:tmpl w:val="0C7C6904"/>
    <w:lvl w:ilvl="0">
      <w:start w:val="1"/>
      <w:numFmt w:val="decimal"/>
      <w:lvlText w:val="%1."/>
      <w:lvlJc w:val="left"/>
      <w:pPr>
        <w:tabs>
          <w:tab w:val="num" w:pos="1440"/>
        </w:tabs>
        <w:ind w:left="1440" w:hanging="360"/>
      </w:pPr>
    </w:lvl>
  </w:abstractNum>
  <w:abstractNum w:abstractNumId="2">
    <w:nsid w:val="FFFFFF7E"/>
    <w:multiLevelType w:val="singleLevel"/>
    <w:tmpl w:val="4DB0A846"/>
    <w:lvl w:ilvl="0">
      <w:start w:val="1"/>
      <w:numFmt w:val="decimal"/>
      <w:lvlText w:val="%1."/>
      <w:lvlJc w:val="left"/>
      <w:pPr>
        <w:tabs>
          <w:tab w:val="num" w:pos="1080"/>
        </w:tabs>
        <w:ind w:left="1080" w:hanging="360"/>
      </w:pPr>
    </w:lvl>
  </w:abstractNum>
  <w:abstractNum w:abstractNumId="3">
    <w:nsid w:val="FFFFFF7F"/>
    <w:multiLevelType w:val="singleLevel"/>
    <w:tmpl w:val="6570E9DE"/>
    <w:lvl w:ilvl="0">
      <w:start w:val="1"/>
      <w:numFmt w:val="decimal"/>
      <w:lvlText w:val="%1."/>
      <w:lvlJc w:val="left"/>
      <w:pPr>
        <w:tabs>
          <w:tab w:val="num" w:pos="720"/>
        </w:tabs>
        <w:ind w:left="720" w:hanging="360"/>
      </w:pPr>
    </w:lvl>
  </w:abstractNum>
  <w:abstractNum w:abstractNumId="4">
    <w:nsid w:val="FFFFFF80"/>
    <w:multiLevelType w:val="singleLevel"/>
    <w:tmpl w:val="2D0809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B4C4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5EFD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082E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4307ED6"/>
    <w:lvl w:ilvl="0">
      <w:start w:val="1"/>
      <w:numFmt w:val="decimal"/>
      <w:lvlText w:val="%1."/>
      <w:lvlJc w:val="left"/>
      <w:pPr>
        <w:tabs>
          <w:tab w:val="num" w:pos="360"/>
        </w:tabs>
        <w:ind w:left="360" w:hanging="360"/>
      </w:pPr>
    </w:lvl>
  </w:abstractNum>
  <w:abstractNum w:abstractNumId="9">
    <w:nsid w:val="FFFFFF89"/>
    <w:multiLevelType w:val="singleLevel"/>
    <w:tmpl w:val="45982B0C"/>
    <w:lvl w:ilvl="0">
      <w:start w:val="1"/>
      <w:numFmt w:val="bullet"/>
      <w:lvlText w:val=""/>
      <w:lvlJc w:val="left"/>
      <w:pPr>
        <w:tabs>
          <w:tab w:val="num" w:pos="360"/>
        </w:tabs>
        <w:ind w:left="360" w:hanging="360"/>
      </w:pPr>
      <w:rPr>
        <w:rFonts w:ascii="Symbol" w:hAnsi="Symbol" w:hint="default"/>
      </w:rPr>
    </w:lvl>
  </w:abstractNum>
  <w:abstractNum w:abstractNumId="10">
    <w:nsid w:val="12CD6C6E"/>
    <w:multiLevelType w:val="hybridMultilevel"/>
    <w:tmpl w:val="1E8C52CE"/>
    <w:lvl w:ilvl="0" w:tplc="C9347544">
      <w:start w:val="4"/>
      <w:numFmt w:val="upperRoman"/>
      <w:lvlText w:val="%1."/>
      <w:lvlJc w:val="left"/>
      <w:pPr>
        <w:tabs>
          <w:tab w:val="num" w:pos="720"/>
        </w:tabs>
        <w:ind w:left="720" w:hanging="81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1">
    <w:nsid w:val="36D83D08"/>
    <w:multiLevelType w:val="multilevel"/>
    <w:tmpl w:val="6C6E0E9A"/>
    <w:lvl w:ilvl="0">
      <w:start w:val="1"/>
      <w:numFmt w:val="upperRoman"/>
      <w:pStyle w:val="Heading1"/>
      <w:suff w:val="nothing"/>
      <w:lvlText w:val="%1.  "/>
      <w:lvlJc w:val="left"/>
      <w:pPr>
        <w:ind w:left="0" w:firstLine="0"/>
      </w:pPr>
      <w:rPr>
        <w:rFonts w:ascii="Times New Roman" w:hAnsi="Times New Roman" w:hint="default"/>
        <w:b/>
        <w:i w:val="0"/>
        <w:sz w:val="22"/>
      </w:rPr>
    </w:lvl>
    <w:lvl w:ilvl="1">
      <w:start w:val="1"/>
      <w:numFmt w:val="upperLetter"/>
      <w:pStyle w:val="Heading2"/>
      <w:lvlText w:val="%2."/>
      <w:lvlJc w:val="left"/>
      <w:pPr>
        <w:tabs>
          <w:tab w:val="num" w:pos="1170"/>
        </w:tabs>
        <w:ind w:left="810" w:firstLine="0"/>
      </w:pPr>
      <w:rPr>
        <w:rFonts w:hint="default"/>
      </w:rPr>
    </w:lvl>
    <w:lvl w:ilvl="2">
      <w:start w:val="1"/>
      <w:numFmt w:val="decimal"/>
      <w:pStyle w:val="par1"/>
      <w:lvlText w:val="%3."/>
      <w:lvlJc w:val="left"/>
      <w:pPr>
        <w:tabs>
          <w:tab w:val="num" w:pos="1530"/>
        </w:tabs>
        <w:ind w:left="45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lang w:val="x-none"/>
        <w:specVanish w:val="0"/>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2">
    <w:nsid w:val="3D0F1B3D"/>
    <w:multiLevelType w:val="singleLevel"/>
    <w:tmpl w:val="4DCCE696"/>
    <w:lvl w:ilvl="0">
      <w:start w:val="1"/>
      <w:numFmt w:val="decimal"/>
      <w:pStyle w:val="ParaNum"/>
      <w:lvlText w:val="%1."/>
      <w:lvlJc w:val="left"/>
      <w:pPr>
        <w:tabs>
          <w:tab w:val="num" w:pos="1170"/>
        </w:tabs>
        <w:ind w:left="90" w:firstLine="720"/>
      </w:pPr>
      <w:rPr>
        <w:rFonts w:ascii="Times New Roman" w:hAnsi="Times New Roman" w:hint="default"/>
        <w:b w:val="0"/>
        <w:i w:val="0"/>
        <w:caps w:val="0"/>
        <w:strike w:val="0"/>
        <w:dstrike w:val="0"/>
        <w:vanish w:val="0"/>
        <w:sz w:val="22"/>
        <w:u w:val="none"/>
        <w:vertAlign w:val="baseline"/>
      </w:rPr>
    </w:lvl>
  </w:abstractNum>
  <w:abstractNum w:abstractNumId="13">
    <w:nsid w:val="580B6FC3"/>
    <w:multiLevelType w:val="hybridMultilevel"/>
    <w:tmpl w:val="703C216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182925"/>
    <w:multiLevelType w:val="singleLevel"/>
    <w:tmpl w:val="2B582DA0"/>
    <w:lvl w:ilvl="0">
      <w:start w:val="1"/>
      <w:numFmt w:val="decimal"/>
      <w:pStyle w:val="ParaNumCharCharCharCharChar"/>
      <w:lvlText w:val="%1."/>
      <w:lvlJc w:val="left"/>
      <w:pPr>
        <w:tabs>
          <w:tab w:val="num" w:pos="990"/>
        </w:tabs>
        <w:ind w:left="-90" w:firstLine="720"/>
      </w:pPr>
      <w:rPr>
        <w:b w:val="0"/>
        <w:sz w:val="24"/>
        <w:szCs w:val="24"/>
      </w:rPr>
    </w:lvl>
  </w:abstractNum>
  <w:num w:numId="1">
    <w:abstractNumId w:val="11"/>
  </w:num>
  <w:num w:numId="2">
    <w:abstractNumId w:val="12"/>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C9"/>
    <w:rsid w:val="0000043B"/>
    <w:rsid w:val="00000948"/>
    <w:rsid w:val="00000F6C"/>
    <w:rsid w:val="00001EE7"/>
    <w:rsid w:val="0000251C"/>
    <w:rsid w:val="000025C2"/>
    <w:rsid w:val="000035BD"/>
    <w:rsid w:val="00003895"/>
    <w:rsid w:val="00003F43"/>
    <w:rsid w:val="00004099"/>
    <w:rsid w:val="00004412"/>
    <w:rsid w:val="00004CB8"/>
    <w:rsid w:val="000058C6"/>
    <w:rsid w:val="00005A46"/>
    <w:rsid w:val="00007C3D"/>
    <w:rsid w:val="00010ABB"/>
    <w:rsid w:val="00011731"/>
    <w:rsid w:val="0001175D"/>
    <w:rsid w:val="000120A2"/>
    <w:rsid w:val="00012227"/>
    <w:rsid w:val="00012688"/>
    <w:rsid w:val="000126B0"/>
    <w:rsid w:val="00013181"/>
    <w:rsid w:val="00013298"/>
    <w:rsid w:val="00013965"/>
    <w:rsid w:val="00014303"/>
    <w:rsid w:val="0001453C"/>
    <w:rsid w:val="00014E56"/>
    <w:rsid w:val="0001581D"/>
    <w:rsid w:val="0001626B"/>
    <w:rsid w:val="00017C86"/>
    <w:rsid w:val="00017D1B"/>
    <w:rsid w:val="00020855"/>
    <w:rsid w:val="00020A81"/>
    <w:rsid w:val="00021C35"/>
    <w:rsid w:val="00022324"/>
    <w:rsid w:val="00022591"/>
    <w:rsid w:val="00022B05"/>
    <w:rsid w:val="00023910"/>
    <w:rsid w:val="000242EB"/>
    <w:rsid w:val="00025041"/>
    <w:rsid w:val="00025278"/>
    <w:rsid w:val="00025C98"/>
    <w:rsid w:val="00026AFA"/>
    <w:rsid w:val="00027D54"/>
    <w:rsid w:val="000305E6"/>
    <w:rsid w:val="000324F9"/>
    <w:rsid w:val="000329EC"/>
    <w:rsid w:val="00032D45"/>
    <w:rsid w:val="00034322"/>
    <w:rsid w:val="000360FA"/>
    <w:rsid w:val="00036AB3"/>
    <w:rsid w:val="00037BDF"/>
    <w:rsid w:val="000408DB"/>
    <w:rsid w:val="000409EB"/>
    <w:rsid w:val="0004496C"/>
    <w:rsid w:val="00044FA0"/>
    <w:rsid w:val="00045DE8"/>
    <w:rsid w:val="00045F95"/>
    <w:rsid w:val="00046A45"/>
    <w:rsid w:val="000470CD"/>
    <w:rsid w:val="00047F62"/>
    <w:rsid w:val="0005019C"/>
    <w:rsid w:val="000505F5"/>
    <w:rsid w:val="00051010"/>
    <w:rsid w:val="00051972"/>
    <w:rsid w:val="00053204"/>
    <w:rsid w:val="000543D8"/>
    <w:rsid w:val="00054D25"/>
    <w:rsid w:val="000552A1"/>
    <w:rsid w:val="00055B4D"/>
    <w:rsid w:val="00055B64"/>
    <w:rsid w:val="00055C3C"/>
    <w:rsid w:val="00060913"/>
    <w:rsid w:val="00061639"/>
    <w:rsid w:val="00062188"/>
    <w:rsid w:val="000622D6"/>
    <w:rsid w:val="00062799"/>
    <w:rsid w:val="00062D1B"/>
    <w:rsid w:val="00063F85"/>
    <w:rsid w:val="00065762"/>
    <w:rsid w:val="00066AEB"/>
    <w:rsid w:val="00066EC3"/>
    <w:rsid w:val="00067420"/>
    <w:rsid w:val="00067875"/>
    <w:rsid w:val="00067FD0"/>
    <w:rsid w:val="00070B6D"/>
    <w:rsid w:val="00070DCD"/>
    <w:rsid w:val="00071432"/>
    <w:rsid w:val="000716B6"/>
    <w:rsid w:val="0007171E"/>
    <w:rsid w:val="0007251F"/>
    <w:rsid w:val="00072D32"/>
    <w:rsid w:val="00074FFC"/>
    <w:rsid w:val="00075507"/>
    <w:rsid w:val="00075794"/>
    <w:rsid w:val="00075C1C"/>
    <w:rsid w:val="000762C3"/>
    <w:rsid w:val="00076A0E"/>
    <w:rsid w:val="00076DD9"/>
    <w:rsid w:val="00077691"/>
    <w:rsid w:val="000777CF"/>
    <w:rsid w:val="00081461"/>
    <w:rsid w:val="0008186D"/>
    <w:rsid w:val="00081875"/>
    <w:rsid w:val="000819C4"/>
    <w:rsid w:val="00081B3E"/>
    <w:rsid w:val="000826F9"/>
    <w:rsid w:val="00082773"/>
    <w:rsid w:val="00083223"/>
    <w:rsid w:val="00083BD4"/>
    <w:rsid w:val="00084659"/>
    <w:rsid w:val="00084EC4"/>
    <w:rsid w:val="00085046"/>
    <w:rsid w:val="00091006"/>
    <w:rsid w:val="000914A2"/>
    <w:rsid w:val="00092DFB"/>
    <w:rsid w:val="00093081"/>
    <w:rsid w:val="00093CDF"/>
    <w:rsid w:val="00095CAD"/>
    <w:rsid w:val="000962A4"/>
    <w:rsid w:val="000962F4"/>
    <w:rsid w:val="000975C1"/>
    <w:rsid w:val="000A140B"/>
    <w:rsid w:val="000A41C6"/>
    <w:rsid w:val="000A5724"/>
    <w:rsid w:val="000A6830"/>
    <w:rsid w:val="000B0360"/>
    <w:rsid w:val="000B03E3"/>
    <w:rsid w:val="000B3094"/>
    <w:rsid w:val="000B4141"/>
    <w:rsid w:val="000B4473"/>
    <w:rsid w:val="000B5A50"/>
    <w:rsid w:val="000B7682"/>
    <w:rsid w:val="000B7774"/>
    <w:rsid w:val="000B79FA"/>
    <w:rsid w:val="000B7E34"/>
    <w:rsid w:val="000C0A20"/>
    <w:rsid w:val="000C3AA3"/>
    <w:rsid w:val="000C3BF7"/>
    <w:rsid w:val="000C3F13"/>
    <w:rsid w:val="000C46E1"/>
    <w:rsid w:val="000C49ED"/>
    <w:rsid w:val="000C4A1C"/>
    <w:rsid w:val="000C4D9E"/>
    <w:rsid w:val="000C5C67"/>
    <w:rsid w:val="000C5C7E"/>
    <w:rsid w:val="000C6050"/>
    <w:rsid w:val="000C6CB4"/>
    <w:rsid w:val="000C6D82"/>
    <w:rsid w:val="000C797C"/>
    <w:rsid w:val="000C7D33"/>
    <w:rsid w:val="000D0D70"/>
    <w:rsid w:val="000D142C"/>
    <w:rsid w:val="000D24EF"/>
    <w:rsid w:val="000D289E"/>
    <w:rsid w:val="000D3060"/>
    <w:rsid w:val="000D3F50"/>
    <w:rsid w:val="000D45A8"/>
    <w:rsid w:val="000D493A"/>
    <w:rsid w:val="000D6880"/>
    <w:rsid w:val="000D6DB8"/>
    <w:rsid w:val="000D7814"/>
    <w:rsid w:val="000E0424"/>
    <w:rsid w:val="000E0DCB"/>
    <w:rsid w:val="000E21A2"/>
    <w:rsid w:val="000E2C20"/>
    <w:rsid w:val="000E329A"/>
    <w:rsid w:val="000E46B1"/>
    <w:rsid w:val="000E5110"/>
    <w:rsid w:val="000E5E23"/>
    <w:rsid w:val="000E6132"/>
    <w:rsid w:val="000E63B2"/>
    <w:rsid w:val="000E6477"/>
    <w:rsid w:val="000F0961"/>
    <w:rsid w:val="000F1D81"/>
    <w:rsid w:val="000F2932"/>
    <w:rsid w:val="000F2B85"/>
    <w:rsid w:val="000F2C02"/>
    <w:rsid w:val="000F4203"/>
    <w:rsid w:val="000F4388"/>
    <w:rsid w:val="000F579A"/>
    <w:rsid w:val="000F63DB"/>
    <w:rsid w:val="000F6DBC"/>
    <w:rsid w:val="000F7983"/>
    <w:rsid w:val="000F7A60"/>
    <w:rsid w:val="00100118"/>
    <w:rsid w:val="00101010"/>
    <w:rsid w:val="00101949"/>
    <w:rsid w:val="00102EDC"/>
    <w:rsid w:val="00102FDC"/>
    <w:rsid w:val="00104177"/>
    <w:rsid w:val="001044B6"/>
    <w:rsid w:val="0010491E"/>
    <w:rsid w:val="00105664"/>
    <w:rsid w:val="00106815"/>
    <w:rsid w:val="00106912"/>
    <w:rsid w:val="00106A68"/>
    <w:rsid w:val="00106C9B"/>
    <w:rsid w:val="00107852"/>
    <w:rsid w:val="00110B73"/>
    <w:rsid w:val="00110FFC"/>
    <w:rsid w:val="001110D6"/>
    <w:rsid w:val="00112138"/>
    <w:rsid w:val="00112589"/>
    <w:rsid w:val="00112634"/>
    <w:rsid w:val="001128FA"/>
    <w:rsid w:val="00112B20"/>
    <w:rsid w:val="00112E4F"/>
    <w:rsid w:val="00113217"/>
    <w:rsid w:val="00113CBC"/>
    <w:rsid w:val="00114CAE"/>
    <w:rsid w:val="00114DF3"/>
    <w:rsid w:val="0011653B"/>
    <w:rsid w:val="00120FCB"/>
    <w:rsid w:val="00121E03"/>
    <w:rsid w:val="00122895"/>
    <w:rsid w:val="00122B58"/>
    <w:rsid w:val="0012376C"/>
    <w:rsid w:val="00123EF7"/>
    <w:rsid w:val="00124804"/>
    <w:rsid w:val="0012650A"/>
    <w:rsid w:val="001266D4"/>
    <w:rsid w:val="00126D76"/>
    <w:rsid w:val="00126FE0"/>
    <w:rsid w:val="0012748A"/>
    <w:rsid w:val="00127A52"/>
    <w:rsid w:val="00130445"/>
    <w:rsid w:val="00132130"/>
    <w:rsid w:val="001339D8"/>
    <w:rsid w:val="00134132"/>
    <w:rsid w:val="00134827"/>
    <w:rsid w:val="001350F3"/>
    <w:rsid w:val="0013513F"/>
    <w:rsid w:val="00141FA3"/>
    <w:rsid w:val="0014301D"/>
    <w:rsid w:val="00143A61"/>
    <w:rsid w:val="0014422C"/>
    <w:rsid w:val="00144F16"/>
    <w:rsid w:val="00144F2F"/>
    <w:rsid w:val="001466D6"/>
    <w:rsid w:val="00146CC5"/>
    <w:rsid w:val="0014796F"/>
    <w:rsid w:val="001506E1"/>
    <w:rsid w:val="001509B3"/>
    <w:rsid w:val="00150EBD"/>
    <w:rsid w:val="001512CE"/>
    <w:rsid w:val="0015320C"/>
    <w:rsid w:val="00153449"/>
    <w:rsid w:val="00153464"/>
    <w:rsid w:val="0015567F"/>
    <w:rsid w:val="00155784"/>
    <w:rsid w:val="00155DD9"/>
    <w:rsid w:val="0015670A"/>
    <w:rsid w:val="00160332"/>
    <w:rsid w:val="0016280C"/>
    <w:rsid w:val="00163216"/>
    <w:rsid w:val="0016378C"/>
    <w:rsid w:val="00164D82"/>
    <w:rsid w:val="0016592E"/>
    <w:rsid w:val="00165A51"/>
    <w:rsid w:val="00167F5A"/>
    <w:rsid w:val="00170420"/>
    <w:rsid w:val="00170D8E"/>
    <w:rsid w:val="00170E6A"/>
    <w:rsid w:val="001716D8"/>
    <w:rsid w:val="00172E5D"/>
    <w:rsid w:val="001770D7"/>
    <w:rsid w:val="00177498"/>
    <w:rsid w:val="001776D8"/>
    <w:rsid w:val="00180128"/>
    <w:rsid w:val="00180596"/>
    <w:rsid w:val="00180ACA"/>
    <w:rsid w:val="00181061"/>
    <w:rsid w:val="001820D8"/>
    <w:rsid w:val="00182447"/>
    <w:rsid w:val="00182AA5"/>
    <w:rsid w:val="00183CD9"/>
    <w:rsid w:val="00185FE4"/>
    <w:rsid w:val="0018603A"/>
    <w:rsid w:val="00187095"/>
    <w:rsid w:val="001902AA"/>
    <w:rsid w:val="00191306"/>
    <w:rsid w:val="00191362"/>
    <w:rsid w:val="001946AA"/>
    <w:rsid w:val="00194CD9"/>
    <w:rsid w:val="00195365"/>
    <w:rsid w:val="0019574E"/>
    <w:rsid w:val="00195DF3"/>
    <w:rsid w:val="001960BE"/>
    <w:rsid w:val="001960DB"/>
    <w:rsid w:val="00196764"/>
    <w:rsid w:val="001973FC"/>
    <w:rsid w:val="00197F42"/>
    <w:rsid w:val="001A04ED"/>
    <w:rsid w:val="001A0694"/>
    <w:rsid w:val="001A0FDA"/>
    <w:rsid w:val="001A14C8"/>
    <w:rsid w:val="001A1D67"/>
    <w:rsid w:val="001A1E00"/>
    <w:rsid w:val="001A2573"/>
    <w:rsid w:val="001A29DE"/>
    <w:rsid w:val="001A2AA7"/>
    <w:rsid w:val="001A331A"/>
    <w:rsid w:val="001A3645"/>
    <w:rsid w:val="001A39B9"/>
    <w:rsid w:val="001A3F6A"/>
    <w:rsid w:val="001A42C7"/>
    <w:rsid w:val="001A68AD"/>
    <w:rsid w:val="001A7296"/>
    <w:rsid w:val="001A7C16"/>
    <w:rsid w:val="001A7E5F"/>
    <w:rsid w:val="001B04F3"/>
    <w:rsid w:val="001B1665"/>
    <w:rsid w:val="001B1907"/>
    <w:rsid w:val="001B330B"/>
    <w:rsid w:val="001B440D"/>
    <w:rsid w:val="001B49F5"/>
    <w:rsid w:val="001B4C36"/>
    <w:rsid w:val="001B58FF"/>
    <w:rsid w:val="001B64D1"/>
    <w:rsid w:val="001B7747"/>
    <w:rsid w:val="001B7B6D"/>
    <w:rsid w:val="001B7EB3"/>
    <w:rsid w:val="001C03EF"/>
    <w:rsid w:val="001C05EC"/>
    <w:rsid w:val="001C1210"/>
    <w:rsid w:val="001C13BB"/>
    <w:rsid w:val="001C15AE"/>
    <w:rsid w:val="001C1CC1"/>
    <w:rsid w:val="001C4108"/>
    <w:rsid w:val="001C50E4"/>
    <w:rsid w:val="001C6130"/>
    <w:rsid w:val="001C648C"/>
    <w:rsid w:val="001C7200"/>
    <w:rsid w:val="001C735A"/>
    <w:rsid w:val="001C7D6A"/>
    <w:rsid w:val="001C7E5C"/>
    <w:rsid w:val="001D0264"/>
    <w:rsid w:val="001D0715"/>
    <w:rsid w:val="001D176D"/>
    <w:rsid w:val="001D1873"/>
    <w:rsid w:val="001D190B"/>
    <w:rsid w:val="001D381D"/>
    <w:rsid w:val="001D3C36"/>
    <w:rsid w:val="001D47A1"/>
    <w:rsid w:val="001D49E6"/>
    <w:rsid w:val="001D5526"/>
    <w:rsid w:val="001D6365"/>
    <w:rsid w:val="001D68DD"/>
    <w:rsid w:val="001D6BAB"/>
    <w:rsid w:val="001D7AD5"/>
    <w:rsid w:val="001D7DC9"/>
    <w:rsid w:val="001E15A7"/>
    <w:rsid w:val="001E215E"/>
    <w:rsid w:val="001E2680"/>
    <w:rsid w:val="001E281D"/>
    <w:rsid w:val="001E289B"/>
    <w:rsid w:val="001E29E8"/>
    <w:rsid w:val="001E2A13"/>
    <w:rsid w:val="001E3D14"/>
    <w:rsid w:val="001E3D7D"/>
    <w:rsid w:val="001E4CE4"/>
    <w:rsid w:val="001E4F9B"/>
    <w:rsid w:val="001E6656"/>
    <w:rsid w:val="001E6A69"/>
    <w:rsid w:val="001E6E55"/>
    <w:rsid w:val="001E70FD"/>
    <w:rsid w:val="001E76FA"/>
    <w:rsid w:val="001F052F"/>
    <w:rsid w:val="001F134A"/>
    <w:rsid w:val="001F171C"/>
    <w:rsid w:val="001F1F7B"/>
    <w:rsid w:val="001F2950"/>
    <w:rsid w:val="001F2C76"/>
    <w:rsid w:val="001F2E09"/>
    <w:rsid w:val="001F301F"/>
    <w:rsid w:val="001F398F"/>
    <w:rsid w:val="001F4D89"/>
    <w:rsid w:val="001F5EF3"/>
    <w:rsid w:val="001F66D0"/>
    <w:rsid w:val="001F684F"/>
    <w:rsid w:val="001F7704"/>
    <w:rsid w:val="0020035D"/>
    <w:rsid w:val="00201E63"/>
    <w:rsid w:val="002024A6"/>
    <w:rsid w:val="002026A1"/>
    <w:rsid w:val="0020296D"/>
    <w:rsid w:val="0020446B"/>
    <w:rsid w:val="0020567C"/>
    <w:rsid w:val="002077D0"/>
    <w:rsid w:val="00207A67"/>
    <w:rsid w:val="00210059"/>
    <w:rsid w:val="0021025B"/>
    <w:rsid w:val="002102D8"/>
    <w:rsid w:val="002102F5"/>
    <w:rsid w:val="002118E3"/>
    <w:rsid w:val="00212CDD"/>
    <w:rsid w:val="00213F74"/>
    <w:rsid w:val="002142E9"/>
    <w:rsid w:val="0021522E"/>
    <w:rsid w:val="00215D8E"/>
    <w:rsid w:val="00215E45"/>
    <w:rsid w:val="002163A7"/>
    <w:rsid w:val="00216D98"/>
    <w:rsid w:val="00217E09"/>
    <w:rsid w:val="002204CB"/>
    <w:rsid w:val="00220754"/>
    <w:rsid w:val="00220B5E"/>
    <w:rsid w:val="002211A5"/>
    <w:rsid w:val="00221C49"/>
    <w:rsid w:val="002224F3"/>
    <w:rsid w:val="00222697"/>
    <w:rsid w:val="00222A2D"/>
    <w:rsid w:val="0022515A"/>
    <w:rsid w:val="002251C9"/>
    <w:rsid w:val="00225D42"/>
    <w:rsid w:val="00225DF4"/>
    <w:rsid w:val="00227A93"/>
    <w:rsid w:val="002322A6"/>
    <w:rsid w:val="00235C01"/>
    <w:rsid w:val="00235EA7"/>
    <w:rsid w:val="00236720"/>
    <w:rsid w:val="002370E0"/>
    <w:rsid w:val="0023710F"/>
    <w:rsid w:val="00237233"/>
    <w:rsid w:val="00237BE7"/>
    <w:rsid w:val="0024046D"/>
    <w:rsid w:val="00240870"/>
    <w:rsid w:val="00240FAB"/>
    <w:rsid w:val="0024342A"/>
    <w:rsid w:val="00244EDD"/>
    <w:rsid w:val="0024517E"/>
    <w:rsid w:val="00246C2D"/>
    <w:rsid w:val="0024711E"/>
    <w:rsid w:val="00247371"/>
    <w:rsid w:val="002476B7"/>
    <w:rsid w:val="00247F3C"/>
    <w:rsid w:val="00250292"/>
    <w:rsid w:val="0025041C"/>
    <w:rsid w:val="00252DC8"/>
    <w:rsid w:val="00253F51"/>
    <w:rsid w:val="00254EFB"/>
    <w:rsid w:val="00255237"/>
    <w:rsid w:val="0025650D"/>
    <w:rsid w:val="00257F09"/>
    <w:rsid w:val="00260E83"/>
    <w:rsid w:val="00261A88"/>
    <w:rsid w:val="0026274E"/>
    <w:rsid w:val="002633D3"/>
    <w:rsid w:val="00263831"/>
    <w:rsid w:val="00265035"/>
    <w:rsid w:val="00265AB5"/>
    <w:rsid w:val="00266F51"/>
    <w:rsid w:val="0026740A"/>
    <w:rsid w:val="0027003D"/>
    <w:rsid w:val="0027045A"/>
    <w:rsid w:val="00270665"/>
    <w:rsid w:val="00270A87"/>
    <w:rsid w:val="00271C70"/>
    <w:rsid w:val="002721A4"/>
    <w:rsid w:val="0027233E"/>
    <w:rsid w:val="002732C8"/>
    <w:rsid w:val="0027382F"/>
    <w:rsid w:val="00273D54"/>
    <w:rsid w:val="00273D63"/>
    <w:rsid w:val="002744F8"/>
    <w:rsid w:val="00274793"/>
    <w:rsid w:val="002747CC"/>
    <w:rsid w:val="002749D5"/>
    <w:rsid w:val="00274C46"/>
    <w:rsid w:val="0027514D"/>
    <w:rsid w:val="00276215"/>
    <w:rsid w:val="00276261"/>
    <w:rsid w:val="0027652A"/>
    <w:rsid w:val="00277469"/>
    <w:rsid w:val="00277661"/>
    <w:rsid w:val="00280544"/>
    <w:rsid w:val="00280641"/>
    <w:rsid w:val="00280B30"/>
    <w:rsid w:val="00280B32"/>
    <w:rsid w:val="00281BCF"/>
    <w:rsid w:val="00283E97"/>
    <w:rsid w:val="00283EBA"/>
    <w:rsid w:val="002841F9"/>
    <w:rsid w:val="0028493A"/>
    <w:rsid w:val="00285814"/>
    <w:rsid w:val="002858F6"/>
    <w:rsid w:val="00285997"/>
    <w:rsid w:val="002862B7"/>
    <w:rsid w:val="00286D55"/>
    <w:rsid w:val="00287502"/>
    <w:rsid w:val="00287785"/>
    <w:rsid w:val="00290B62"/>
    <w:rsid w:val="0029232E"/>
    <w:rsid w:val="002923AD"/>
    <w:rsid w:val="00293050"/>
    <w:rsid w:val="00293500"/>
    <w:rsid w:val="00294CB2"/>
    <w:rsid w:val="0029565C"/>
    <w:rsid w:val="002958A3"/>
    <w:rsid w:val="00296F7B"/>
    <w:rsid w:val="00297114"/>
    <w:rsid w:val="002973DA"/>
    <w:rsid w:val="00297610"/>
    <w:rsid w:val="00297928"/>
    <w:rsid w:val="00297DEA"/>
    <w:rsid w:val="002A01EB"/>
    <w:rsid w:val="002A1F1F"/>
    <w:rsid w:val="002A2CBB"/>
    <w:rsid w:val="002A2DFF"/>
    <w:rsid w:val="002A3DA4"/>
    <w:rsid w:val="002A44A1"/>
    <w:rsid w:val="002A4848"/>
    <w:rsid w:val="002A53D3"/>
    <w:rsid w:val="002A557E"/>
    <w:rsid w:val="002A730F"/>
    <w:rsid w:val="002A7794"/>
    <w:rsid w:val="002B0081"/>
    <w:rsid w:val="002B1BA8"/>
    <w:rsid w:val="002B1E90"/>
    <w:rsid w:val="002B23C2"/>
    <w:rsid w:val="002B2883"/>
    <w:rsid w:val="002B3C73"/>
    <w:rsid w:val="002B3D7E"/>
    <w:rsid w:val="002B3F27"/>
    <w:rsid w:val="002B4B50"/>
    <w:rsid w:val="002B4FD0"/>
    <w:rsid w:val="002B67B3"/>
    <w:rsid w:val="002C0023"/>
    <w:rsid w:val="002C149E"/>
    <w:rsid w:val="002C2294"/>
    <w:rsid w:val="002C2C23"/>
    <w:rsid w:val="002C3B80"/>
    <w:rsid w:val="002C3E6D"/>
    <w:rsid w:val="002C435C"/>
    <w:rsid w:val="002C47C8"/>
    <w:rsid w:val="002C4B7D"/>
    <w:rsid w:val="002C5A77"/>
    <w:rsid w:val="002C7130"/>
    <w:rsid w:val="002C76CE"/>
    <w:rsid w:val="002D1CC1"/>
    <w:rsid w:val="002D2097"/>
    <w:rsid w:val="002D226B"/>
    <w:rsid w:val="002D234A"/>
    <w:rsid w:val="002D2F3A"/>
    <w:rsid w:val="002D35AB"/>
    <w:rsid w:val="002D5135"/>
    <w:rsid w:val="002E012A"/>
    <w:rsid w:val="002E1AC9"/>
    <w:rsid w:val="002E1C76"/>
    <w:rsid w:val="002E225D"/>
    <w:rsid w:val="002E4A4F"/>
    <w:rsid w:val="002E4D1A"/>
    <w:rsid w:val="002E4F63"/>
    <w:rsid w:val="002E570E"/>
    <w:rsid w:val="002E6754"/>
    <w:rsid w:val="002E7347"/>
    <w:rsid w:val="002E736F"/>
    <w:rsid w:val="002E7599"/>
    <w:rsid w:val="002F09A4"/>
    <w:rsid w:val="002F15B4"/>
    <w:rsid w:val="002F1F05"/>
    <w:rsid w:val="002F2451"/>
    <w:rsid w:val="002F2601"/>
    <w:rsid w:val="002F27A0"/>
    <w:rsid w:val="002F2A48"/>
    <w:rsid w:val="002F2DC2"/>
    <w:rsid w:val="002F30BC"/>
    <w:rsid w:val="002F3D31"/>
    <w:rsid w:val="002F4427"/>
    <w:rsid w:val="002F5409"/>
    <w:rsid w:val="002F5696"/>
    <w:rsid w:val="002F5BAB"/>
    <w:rsid w:val="002F75ED"/>
    <w:rsid w:val="002F7F88"/>
    <w:rsid w:val="00300C5A"/>
    <w:rsid w:val="00300EB1"/>
    <w:rsid w:val="00300FA9"/>
    <w:rsid w:val="00301FBA"/>
    <w:rsid w:val="003021AA"/>
    <w:rsid w:val="00302AA4"/>
    <w:rsid w:val="00303718"/>
    <w:rsid w:val="0030423B"/>
    <w:rsid w:val="00304365"/>
    <w:rsid w:val="0030446C"/>
    <w:rsid w:val="003045D1"/>
    <w:rsid w:val="00305635"/>
    <w:rsid w:val="00305B0A"/>
    <w:rsid w:val="00305EE6"/>
    <w:rsid w:val="003067CE"/>
    <w:rsid w:val="00306957"/>
    <w:rsid w:val="003076B2"/>
    <w:rsid w:val="003101E7"/>
    <w:rsid w:val="003125F4"/>
    <w:rsid w:val="00312CF3"/>
    <w:rsid w:val="0031337A"/>
    <w:rsid w:val="00313859"/>
    <w:rsid w:val="00313CF7"/>
    <w:rsid w:val="00314712"/>
    <w:rsid w:val="00316819"/>
    <w:rsid w:val="00316907"/>
    <w:rsid w:val="00317408"/>
    <w:rsid w:val="0031761B"/>
    <w:rsid w:val="00317E4A"/>
    <w:rsid w:val="00320355"/>
    <w:rsid w:val="00320536"/>
    <w:rsid w:val="00320614"/>
    <w:rsid w:val="00320910"/>
    <w:rsid w:val="00322F14"/>
    <w:rsid w:val="003233BF"/>
    <w:rsid w:val="003238D9"/>
    <w:rsid w:val="00325072"/>
    <w:rsid w:val="003251EA"/>
    <w:rsid w:val="0032752E"/>
    <w:rsid w:val="0033047E"/>
    <w:rsid w:val="0033095F"/>
    <w:rsid w:val="0033196E"/>
    <w:rsid w:val="003354A7"/>
    <w:rsid w:val="00336615"/>
    <w:rsid w:val="00337CC7"/>
    <w:rsid w:val="00340743"/>
    <w:rsid w:val="003409BE"/>
    <w:rsid w:val="00340A94"/>
    <w:rsid w:val="003421FD"/>
    <w:rsid w:val="0034367D"/>
    <w:rsid w:val="003440B1"/>
    <w:rsid w:val="003448E7"/>
    <w:rsid w:val="003450A0"/>
    <w:rsid w:val="003451AD"/>
    <w:rsid w:val="003453D9"/>
    <w:rsid w:val="00346188"/>
    <w:rsid w:val="00346C06"/>
    <w:rsid w:val="00346FDE"/>
    <w:rsid w:val="003470AB"/>
    <w:rsid w:val="0034784F"/>
    <w:rsid w:val="00347DAC"/>
    <w:rsid w:val="00350146"/>
    <w:rsid w:val="00350D28"/>
    <w:rsid w:val="00350E47"/>
    <w:rsid w:val="00351DAA"/>
    <w:rsid w:val="00352E83"/>
    <w:rsid w:val="00353189"/>
    <w:rsid w:val="003531E3"/>
    <w:rsid w:val="0035341A"/>
    <w:rsid w:val="00354781"/>
    <w:rsid w:val="00356D13"/>
    <w:rsid w:val="003574A1"/>
    <w:rsid w:val="00361F60"/>
    <w:rsid w:val="00362E85"/>
    <w:rsid w:val="003635AA"/>
    <w:rsid w:val="0036375E"/>
    <w:rsid w:val="003637C3"/>
    <w:rsid w:val="00363F8A"/>
    <w:rsid w:val="00364A72"/>
    <w:rsid w:val="00364D36"/>
    <w:rsid w:val="0036537C"/>
    <w:rsid w:val="0036792C"/>
    <w:rsid w:val="00367C88"/>
    <w:rsid w:val="003708D8"/>
    <w:rsid w:val="003710DB"/>
    <w:rsid w:val="003717D8"/>
    <w:rsid w:val="00372717"/>
    <w:rsid w:val="00372F0C"/>
    <w:rsid w:val="003736CD"/>
    <w:rsid w:val="003738E7"/>
    <w:rsid w:val="00374797"/>
    <w:rsid w:val="00374B14"/>
    <w:rsid w:val="00374D4D"/>
    <w:rsid w:val="00374E4E"/>
    <w:rsid w:val="00375C11"/>
    <w:rsid w:val="00375E0B"/>
    <w:rsid w:val="003760E4"/>
    <w:rsid w:val="00376551"/>
    <w:rsid w:val="00376A26"/>
    <w:rsid w:val="0037772B"/>
    <w:rsid w:val="00377C70"/>
    <w:rsid w:val="0038038C"/>
    <w:rsid w:val="0038137B"/>
    <w:rsid w:val="003819A4"/>
    <w:rsid w:val="00381C2B"/>
    <w:rsid w:val="00381F95"/>
    <w:rsid w:val="0038202C"/>
    <w:rsid w:val="0038381E"/>
    <w:rsid w:val="00383CE2"/>
    <w:rsid w:val="0038478E"/>
    <w:rsid w:val="00384B20"/>
    <w:rsid w:val="00385481"/>
    <w:rsid w:val="0038557E"/>
    <w:rsid w:val="0038697C"/>
    <w:rsid w:val="003903D8"/>
    <w:rsid w:val="003918A0"/>
    <w:rsid w:val="00391A76"/>
    <w:rsid w:val="00392AD2"/>
    <w:rsid w:val="003931C9"/>
    <w:rsid w:val="00393FEA"/>
    <w:rsid w:val="003947B7"/>
    <w:rsid w:val="003973F7"/>
    <w:rsid w:val="003974DF"/>
    <w:rsid w:val="00397D2F"/>
    <w:rsid w:val="003A051E"/>
    <w:rsid w:val="003A078F"/>
    <w:rsid w:val="003A0ECA"/>
    <w:rsid w:val="003A19AD"/>
    <w:rsid w:val="003A29CF"/>
    <w:rsid w:val="003A4C38"/>
    <w:rsid w:val="003A5292"/>
    <w:rsid w:val="003A54C4"/>
    <w:rsid w:val="003A586E"/>
    <w:rsid w:val="003A5D47"/>
    <w:rsid w:val="003A65E2"/>
    <w:rsid w:val="003A6DD8"/>
    <w:rsid w:val="003A7EC9"/>
    <w:rsid w:val="003B008C"/>
    <w:rsid w:val="003B01A8"/>
    <w:rsid w:val="003B07EB"/>
    <w:rsid w:val="003B22EC"/>
    <w:rsid w:val="003B23DA"/>
    <w:rsid w:val="003B2B42"/>
    <w:rsid w:val="003B38FA"/>
    <w:rsid w:val="003B3B51"/>
    <w:rsid w:val="003B4460"/>
    <w:rsid w:val="003B4591"/>
    <w:rsid w:val="003B4ABC"/>
    <w:rsid w:val="003B509D"/>
    <w:rsid w:val="003B5372"/>
    <w:rsid w:val="003B55A1"/>
    <w:rsid w:val="003B6051"/>
    <w:rsid w:val="003B6247"/>
    <w:rsid w:val="003B62A8"/>
    <w:rsid w:val="003B78A1"/>
    <w:rsid w:val="003B7A8C"/>
    <w:rsid w:val="003C06F2"/>
    <w:rsid w:val="003C1428"/>
    <w:rsid w:val="003C1C7B"/>
    <w:rsid w:val="003C1F50"/>
    <w:rsid w:val="003C2B7A"/>
    <w:rsid w:val="003C341D"/>
    <w:rsid w:val="003C36EE"/>
    <w:rsid w:val="003C38B9"/>
    <w:rsid w:val="003C4405"/>
    <w:rsid w:val="003C555D"/>
    <w:rsid w:val="003C5DEA"/>
    <w:rsid w:val="003C602F"/>
    <w:rsid w:val="003C730F"/>
    <w:rsid w:val="003C7B60"/>
    <w:rsid w:val="003C7F3E"/>
    <w:rsid w:val="003D013F"/>
    <w:rsid w:val="003D05D1"/>
    <w:rsid w:val="003D0A07"/>
    <w:rsid w:val="003D16CF"/>
    <w:rsid w:val="003D2491"/>
    <w:rsid w:val="003D24C9"/>
    <w:rsid w:val="003D2BCE"/>
    <w:rsid w:val="003D3F27"/>
    <w:rsid w:val="003D4DEB"/>
    <w:rsid w:val="003D4F76"/>
    <w:rsid w:val="003D5090"/>
    <w:rsid w:val="003D593D"/>
    <w:rsid w:val="003D5E45"/>
    <w:rsid w:val="003D6646"/>
    <w:rsid w:val="003D6A80"/>
    <w:rsid w:val="003D6C1E"/>
    <w:rsid w:val="003D6F3D"/>
    <w:rsid w:val="003D776E"/>
    <w:rsid w:val="003E04B3"/>
    <w:rsid w:val="003E0BFB"/>
    <w:rsid w:val="003E0C69"/>
    <w:rsid w:val="003E0CAC"/>
    <w:rsid w:val="003E1B7D"/>
    <w:rsid w:val="003E1E54"/>
    <w:rsid w:val="003E1FFB"/>
    <w:rsid w:val="003E362C"/>
    <w:rsid w:val="003E3FA1"/>
    <w:rsid w:val="003E640F"/>
    <w:rsid w:val="003E6485"/>
    <w:rsid w:val="003E6D6C"/>
    <w:rsid w:val="003E7E15"/>
    <w:rsid w:val="003F03BD"/>
    <w:rsid w:val="003F186C"/>
    <w:rsid w:val="003F2209"/>
    <w:rsid w:val="003F4475"/>
    <w:rsid w:val="003F4EB5"/>
    <w:rsid w:val="003F501B"/>
    <w:rsid w:val="003F583B"/>
    <w:rsid w:val="003F6069"/>
    <w:rsid w:val="003F6CD4"/>
    <w:rsid w:val="003F7F9D"/>
    <w:rsid w:val="00400165"/>
    <w:rsid w:val="004003BA"/>
    <w:rsid w:val="00400630"/>
    <w:rsid w:val="00400B61"/>
    <w:rsid w:val="00401BDD"/>
    <w:rsid w:val="0040264A"/>
    <w:rsid w:val="0040495C"/>
    <w:rsid w:val="00404F16"/>
    <w:rsid w:val="00404F19"/>
    <w:rsid w:val="00405B37"/>
    <w:rsid w:val="00405EFB"/>
    <w:rsid w:val="00406277"/>
    <w:rsid w:val="00406FE6"/>
    <w:rsid w:val="004071E6"/>
    <w:rsid w:val="004072C8"/>
    <w:rsid w:val="004076FC"/>
    <w:rsid w:val="004077BF"/>
    <w:rsid w:val="004100AB"/>
    <w:rsid w:val="0041079F"/>
    <w:rsid w:val="00410CD1"/>
    <w:rsid w:val="00411BEE"/>
    <w:rsid w:val="00411C36"/>
    <w:rsid w:val="00411F1A"/>
    <w:rsid w:val="00411FC3"/>
    <w:rsid w:val="004127FC"/>
    <w:rsid w:val="00413DEB"/>
    <w:rsid w:val="004155BB"/>
    <w:rsid w:val="00415CF9"/>
    <w:rsid w:val="00416664"/>
    <w:rsid w:val="00417D31"/>
    <w:rsid w:val="00417F14"/>
    <w:rsid w:val="00420DA3"/>
    <w:rsid w:val="00421D1D"/>
    <w:rsid w:val="004223FA"/>
    <w:rsid w:val="0042276B"/>
    <w:rsid w:val="00423A03"/>
    <w:rsid w:val="00423C92"/>
    <w:rsid w:val="0042447E"/>
    <w:rsid w:val="00424652"/>
    <w:rsid w:val="00424A62"/>
    <w:rsid w:val="00424CBA"/>
    <w:rsid w:val="00425129"/>
    <w:rsid w:val="00426DF0"/>
    <w:rsid w:val="00426E30"/>
    <w:rsid w:val="00427388"/>
    <w:rsid w:val="004274BD"/>
    <w:rsid w:val="0042762D"/>
    <w:rsid w:val="00427D20"/>
    <w:rsid w:val="00427EE5"/>
    <w:rsid w:val="00430365"/>
    <w:rsid w:val="00430A7D"/>
    <w:rsid w:val="004311EA"/>
    <w:rsid w:val="00431B2E"/>
    <w:rsid w:val="00432781"/>
    <w:rsid w:val="00432E3D"/>
    <w:rsid w:val="00433490"/>
    <w:rsid w:val="004334C0"/>
    <w:rsid w:val="00433947"/>
    <w:rsid w:val="00433996"/>
    <w:rsid w:val="00433AD8"/>
    <w:rsid w:val="004347D1"/>
    <w:rsid w:val="004355A0"/>
    <w:rsid w:val="0043613F"/>
    <w:rsid w:val="004401D4"/>
    <w:rsid w:val="00440555"/>
    <w:rsid w:val="0044228A"/>
    <w:rsid w:val="00443B7D"/>
    <w:rsid w:val="004448CF"/>
    <w:rsid w:val="00444AA8"/>
    <w:rsid w:val="00444BD1"/>
    <w:rsid w:val="0044510F"/>
    <w:rsid w:val="004459F6"/>
    <w:rsid w:val="00445CC7"/>
    <w:rsid w:val="004467B1"/>
    <w:rsid w:val="00447500"/>
    <w:rsid w:val="00447C33"/>
    <w:rsid w:val="00447C79"/>
    <w:rsid w:val="00450179"/>
    <w:rsid w:val="004505ED"/>
    <w:rsid w:val="004538A7"/>
    <w:rsid w:val="00454266"/>
    <w:rsid w:val="004542D5"/>
    <w:rsid w:val="00454C78"/>
    <w:rsid w:val="004567F9"/>
    <w:rsid w:val="004570E4"/>
    <w:rsid w:val="00457C70"/>
    <w:rsid w:val="00457D05"/>
    <w:rsid w:val="00462056"/>
    <w:rsid w:val="00464172"/>
    <w:rsid w:val="00464548"/>
    <w:rsid w:val="00464DD6"/>
    <w:rsid w:val="00465494"/>
    <w:rsid w:val="00465904"/>
    <w:rsid w:val="004659D9"/>
    <w:rsid w:val="0046615C"/>
    <w:rsid w:val="00466645"/>
    <w:rsid w:val="00466962"/>
    <w:rsid w:val="00466E2E"/>
    <w:rsid w:val="00466EE5"/>
    <w:rsid w:val="00470351"/>
    <w:rsid w:val="0047118D"/>
    <w:rsid w:val="004726DB"/>
    <w:rsid w:val="0047334D"/>
    <w:rsid w:val="0047338A"/>
    <w:rsid w:val="004738F1"/>
    <w:rsid w:val="00474079"/>
    <w:rsid w:val="004743B3"/>
    <w:rsid w:val="0047470E"/>
    <w:rsid w:val="00475894"/>
    <w:rsid w:val="00476AE3"/>
    <w:rsid w:val="00476D8C"/>
    <w:rsid w:val="00477FFA"/>
    <w:rsid w:val="00480671"/>
    <w:rsid w:val="004809EB"/>
    <w:rsid w:val="00480E05"/>
    <w:rsid w:val="0048244F"/>
    <w:rsid w:val="004859D4"/>
    <w:rsid w:val="00485D6F"/>
    <w:rsid w:val="004861B1"/>
    <w:rsid w:val="00486583"/>
    <w:rsid w:val="00486A89"/>
    <w:rsid w:val="0048758F"/>
    <w:rsid w:val="004878A6"/>
    <w:rsid w:val="0049028D"/>
    <w:rsid w:val="004905FA"/>
    <w:rsid w:val="0049063C"/>
    <w:rsid w:val="0049085D"/>
    <w:rsid w:val="00491610"/>
    <w:rsid w:val="004924CE"/>
    <w:rsid w:val="0049319F"/>
    <w:rsid w:val="00494383"/>
    <w:rsid w:val="00495077"/>
    <w:rsid w:val="00495408"/>
    <w:rsid w:val="00496275"/>
    <w:rsid w:val="00497210"/>
    <w:rsid w:val="00497339"/>
    <w:rsid w:val="004A0D68"/>
    <w:rsid w:val="004A1244"/>
    <w:rsid w:val="004A143C"/>
    <w:rsid w:val="004A24B7"/>
    <w:rsid w:val="004A3591"/>
    <w:rsid w:val="004A3DC7"/>
    <w:rsid w:val="004A45BB"/>
    <w:rsid w:val="004A4C0D"/>
    <w:rsid w:val="004A5021"/>
    <w:rsid w:val="004A6CE7"/>
    <w:rsid w:val="004A741C"/>
    <w:rsid w:val="004A7549"/>
    <w:rsid w:val="004B029F"/>
    <w:rsid w:val="004B074C"/>
    <w:rsid w:val="004B136E"/>
    <w:rsid w:val="004B1E88"/>
    <w:rsid w:val="004B211B"/>
    <w:rsid w:val="004B2576"/>
    <w:rsid w:val="004B2CD1"/>
    <w:rsid w:val="004B2DCA"/>
    <w:rsid w:val="004B3D06"/>
    <w:rsid w:val="004B46FD"/>
    <w:rsid w:val="004B4E54"/>
    <w:rsid w:val="004B60D0"/>
    <w:rsid w:val="004B62AE"/>
    <w:rsid w:val="004B768C"/>
    <w:rsid w:val="004C060C"/>
    <w:rsid w:val="004C18EE"/>
    <w:rsid w:val="004C1EDC"/>
    <w:rsid w:val="004C2184"/>
    <w:rsid w:val="004C226B"/>
    <w:rsid w:val="004C2960"/>
    <w:rsid w:val="004C2A36"/>
    <w:rsid w:val="004C3CF5"/>
    <w:rsid w:val="004C4508"/>
    <w:rsid w:val="004C4843"/>
    <w:rsid w:val="004C55DD"/>
    <w:rsid w:val="004C671A"/>
    <w:rsid w:val="004C74AD"/>
    <w:rsid w:val="004D0DD5"/>
    <w:rsid w:val="004D1B8C"/>
    <w:rsid w:val="004D2665"/>
    <w:rsid w:val="004D2DDE"/>
    <w:rsid w:val="004D32DD"/>
    <w:rsid w:val="004D33C5"/>
    <w:rsid w:val="004D38F8"/>
    <w:rsid w:val="004D3FF1"/>
    <w:rsid w:val="004D4A86"/>
    <w:rsid w:val="004D53CA"/>
    <w:rsid w:val="004D6A3C"/>
    <w:rsid w:val="004D6F10"/>
    <w:rsid w:val="004E3E2E"/>
    <w:rsid w:val="004E4199"/>
    <w:rsid w:val="004E443F"/>
    <w:rsid w:val="004E4459"/>
    <w:rsid w:val="004E48A1"/>
    <w:rsid w:val="004E531B"/>
    <w:rsid w:val="004E633E"/>
    <w:rsid w:val="004E6539"/>
    <w:rsid w:val="004E6B63"/>
    <w:rsid w:val="004E7DAE"/>
    <w:rsid w:val="004F1114"/>
    <w:rsid w:val="004F13AE"/>
    <w:rsid w:val="004F1C67"/>
    <w:rsid w:val="004F4661"/>
    <w:rsid w:val="004F479A"/>
    <w:rsid w:val="004F56FD"/>
    <w:rsid w:val="004F5CAE"/>
    <w:rsid w:val="004F5F30"/>
    <w:rsid w:val="004F5FCF"/>
    <w:rsid w:val="004F63C0"/>
    <w:rsid w:val="004F6998"/>
    <w:rsid w:val="004F6E1C"/>
    <w:rsid w:val="004F79DD"/>
    <w:rsid w:val="005011C1"/>
    <w:rsid w:val="00502440"/>
    <w:rsid w:val="0050774B"/>
    <w:rsid w:val="0051211F"/>
    <w:rsid w:val="00512849"/>
    <w:rsid w:val="00512A60"/>
    <w:rsid w:val="00514812"/>
    <w:rsid w:val="005165A4"/>
    <w:rsid w:val="0051666E"/>
    <w:rsid w:val="0051695A"/>
    <w:rsid w:val="005169E0"/>
    <w:rsid w:val="00516F5D"/>
    <w:rsid w:val="0052042D"/>
    <w:rsid w:val="00520944"/>
    <w:rsid w:val="00520BEC"/>
    <w:rsid w:val="005210EE"/>
    <w:rsid w:val="005212C8"/>
    <w:rsid w:val="005214D4"/>
    <w:rsid w:val="00522CD8"/>
    <w:rsid w:val="00522F9F"/>
    <w:rsid w:val="00523692"/>
    <w:rsid w:val="005246EC"/>
    <w:rsid w:val="00524CE1"/>
    <w:rsid w:val="005253C0"/>
    <w:rsid w:val="00525953"/>
    <w:rsid w:val="0052750C"/>
    <w:rsid w:val="0052784A"/>
    <w:rsid w:val="00527D3E"/>
    <w:rsid w:val="00530B28"/>
    <w:rsid w:val="00531197"/>
    <w:rsid w:val="0053173F"/>
    <w:rsid w:val="005318AD"/>
    <w:rsid w:val="00531AA9"/>
    <w:rsid w:val="00532E0A"/>
    <w:rsid w:val="0053486C"/>
    <w:rsid w:val="00534960"/>
    <w:rsid w:val="00534B38"/>
    <w:rsid w:val="00534C73"/>
    <w:rsid w:val="005361A9"/>
    <w:rsid w:val="005366DB"/>
    <w:rsid w:val="005367BC"/>
    <w:rsid w:val="00536B0D"/>
    <w:rsid w:val="00536B5F"/>
    <w:rsid w:val="00536B94"/>
    <w:rsid w:val="005371A9"/>
    <w:rsid w:val="00537F5B"/>
    <w:rsid w:val="00540A45"/>
    <w:rsid w:val="00541B20"/>
    <w:rsid w:val="00542CED"/>
    <w:rsid w:val="0054306A"/>
    <w:rsid w:val="005430A5"/>
    <w:rsid w:val="005430DD"/>
    <w:rsid w:val="00544024"/>
    <w:rsid w:val="005442CA"/>
    <w:rsid w:val="00544E28"/>
    <w:rsid w:val="00545B89"/>
    <w:rsid w:val="00545C45"/>
    <w:rsid w:val="00545E5F"/>
    <w:rsid w:val="00547037"/>
    <w:rsid w:val="00550223"/>
    <w:rsid w:val="00550621"/>
    <w:rsid w:val="00550943"/>
    <w:rsid w:val="0055166C"/>
    <w:rsid w:val="005520B8"/>
    <w:rsid w:val="00552C79"/>
    <w:rsid w:val="00553A07"/>
    <w:rsid w:val="00553AF4"/>
    <w:rsid w:val="00554375"/>
    <w:rsid w:val="00554BC0"/>
    <w:rsid w:val="00555287"/>
    <w:rsid w:val="00555D36"/>
    <w:rsid w:val="00556346"/>
    <w:rsid w:val="00556520"/>
    <w:rsid w:val="005568C9"/>
    <w:rsid w:val="0055773B"/>
    <w:rsid w:val="0055791D"/>
    <w:rsid w:val="00557FFD"/>
    <w:rsid w:val="00560121"/>
    <w:rsid w:val="00560430"/>
    <w:rsid w:val="00560473"/>
    <w:rsid w:val="00562132"/>
    <w:rsid w:val="005622AA"/>
    <w:rsid w:val="00562343"/>
    <w:rsid w:val="00562539"/>
    <w:rsid w:val="005625BE"/>
    <w:rsid w:val="005628F2"/>
    <w:rsid w:val="00563103"/>
    <w:rsid w:val="005631AF"/>
    <w:rsid w:val="00563828"/>
    <w:rsid w:val="00564C40"/>
    <w:rsid w:val="0056625F"/>
    <w:rsid w:val="00567465"/>
    <w:rsid w:val="00567B82"/>
    <w:rsid w:val="0057084D"/>
    <w:rsid w:val="00570A6B"/>
    <w:rsid w:val="00570BA5"/>
    <w:rsid w:val="00570BAF"/>
    <w:rsid w:val="0057307C"/>
    <w:rsid w:val="00573961"/>
    <w:rsid w:val="00574310"/>
    <w:rsid w:val="00574EF8"/>
    <w:rsid w:val="00575237"/>
    <w:rsid w:val="00575D46"/>
    <w:rsid w:val="00577F0A"/>
    <w:rsid w:val="00577F69"/>
    <w:rsid w:val="00580326"/>
    <w:rsid w:val="0058034D"/>
    <w:rsid w:val="00581546"/>
    <w:rsid w:val="00581662"/>
    <w:rsid w:val="00582402"/>
    <w:rsid w:val="00583282"/>
    <w:rsid w:val="005836A6"/>
    <w:rsid w:val="005836BF"/>
    <w:rsid w:val="005842A0"/>
    <w:rsid w:val="00585112"/>
    <w:rsid w:val="005856BC"/>
    <w:rsid w:val="00586ED7"/>
    <w:rsid w:val="005870DC"/>
    <w:rsid w:val="00591019"/>
    <w:rsid w:val="0059196A"/>
    <w:rsid w:val="0059275A"/>
    <w:rsid w:val="00592CA6"/>
    <w:rsid w:val="005947C2"/>
    <w:rsid w:val="005947FC"/>
    <w:rsid w:val="00595390"/>
    <w:rsid w:val="00595D8C"/>
    <w:rsid w:val="005961ED"/>
    <w:rsid w:val="005963A0"/>
    <w:rsid w:val="0059751F"/>
    <w:rsid w:val="00597796"/>
    <w:rsid w:val="005A0680"/>
    <w:rsid w:val="005A08F8"/>
    <w:rsid w:val="005A1245"/>
    <w:rsid w:val="005A1E50"/>
    <w:rsid w:val="005A279B"/>
    <w:rsid w:val="005A3689"/>
    <w:rsid w:val="005A36E0"/>
    <w:rsid w:val="005A46A0"/>
    <w:rsid w:val="005A5401"/>
    <w:rsid w:val="005A5526"/>
    <w:rsid w:val="005A6336"/>
    <w:rsid w:val="005A6F39"/>
    <w:rsid w:val="005A75E1"/>
    <w:rsid w:val="005B15E4"/>
    <w:rsid w:val="005B2156"/>
    <w:rsid w:val="005B392B"/>
    <w:rsid w:val="005B453A"/>
    <w:rsid w:val="005B5644"/>
    <w:rsid w:val="005B6856"/>
    <w:rsid w:val="005B6890"/>
    <w:rsid w:val="005B7D4B"/>
    <w:rsid w:val="005C17BA"/>
    <w:rsid w:val="005C2218"/>
    <w:rsid w:val="005C309C"/>
    <w:rsid w:val="005C4205"/>
    <w:rsid w:val="005C58F1"/>
    <w:rsid w:val="005C6638"/>
    <w:rsid w:val="005D0272"/>
    <w:rsid w:val="005D0A4F"/>
    <w:rsid w:val="005D210F"/>
    <w:rsid w:val="005D5558"/>
    <w:rsid w:val="005D7183"/>
    <w:rsid w:val="005D72D6"/>
    <w:rsid w:val="005D73B3"/>
    <w:rsid w:val="005D7B6E"/>
    <w:rsid w:val="005E0147"/>
    <w:rsid w:val="005E1339"/>
    <w:rsid w:val="005E235D"/>
    <w:rsid w:val="005E27D6"/>
    <w:rsid w:val="005E3D8D"/>
    <w:rsid w:val="005E3F50"/>
    <w:rsid w:val="005E4189"/>
    <w:rsid w:val="005E4998"/>
    <w:rsid w:val="005E5339"/>
    <w:rsid w:val="005E53AF"/>
    <w:rsid w:val="005E67BF"/>
    <w:rsid w:val="005E6F12"/>
    <w:rsid w:val="005E75D8"/>
    <w:rsid w:val="005E7BAF"/>
    <w:rsid w:val="005F0393"/>
    <w:rsid w:val="005F1435"/>
    <w:rsid w:val="005F16B9"/>
    <w:rsid w:val="005F191F"/>
    <w:rsid w:val="005F372E"/>
    <w:rsid w:val="005F4F58"/>
    <w:rsid w:val="005F5CBA"/>
    <w:rsid w:val="005F63C4"/>
    <w:rsid w:val="005F6B50"/>
    <w:rsid w:val="00600E8C"/>
    <w:rsid w:val="00604153"/>
    <w:rsid w:val="006048CE"/>
    <w:rsid w:val="00604AAF"/>
    <w:rsid w:val="00605880"/>
    <w:rsid w:val="00607C37"/>
    <w:rsid w:val="00607C62"/>
    <w:rsid w:val="00607E64"/>
    <w:rsid w:val="00611FAC"/>
    <w:rsid w:val="006131E9"/>
    <w:rsid w:val="0061349C"/>
    <w:rsid w:val="00614D22"/>
    <w:rsid w:val="006156B7"/>
    <w:rsid w:val="0061659B"/>
    <w:rsid w:val="00620E51"/>
    <w:rsid w:val="00621370"/>
    <w:rsid w:val="006213BB"/>
    <w:rsid w:val="00622D75"/>
    <w:rsid w:val="00622EC2"/>
    <w:rsid w:val="0062355F"/>
    <w:rsid w:val="00625584"/>
    <w:rsid w:val="00626C94"/>
    <w:rsid w:val="00626D59"/>
    <w:rsid w:val="0063023B"/>
    <w:rsid w:val="0063117E"/>
    <w:rsid w:val="00632971"/>
    <w:rsid w:val="00632BF0"/>
    <w:rsid w:val="00633664"/>
    <w:rsid w:val="006344DE"/>
    <w:rsid w:val="00634926"/>
    <w:rsid w:val="00635A4A"/>
    <w:rsid w:val="006367B8"/>
    <w:rsid w:val="00636ADD"/>
    <w:rsid w:val="00641707"/>
    <w:rsid w:val="0064181D"/>
    <w:rsid w:val="00641B5A"/>
    <w:rsid w:val="00641B67"/>
    <w:rsid w:val="006427C9"/>
    <w:rsid w:val="00643F54"/>
    <w:rsid w:val="00644AB6"/>
    <w:rsid w:val="00644FE0"/>
    <w:rsid w:val="00645C39"/>
    <w:rsid w:val="00646A57"/>
    <w:rsid w:val="00647D8C"/>
    <w:rsid w:val="00650576"/>
    <w:rsid w:val="0065081E"/>
    <w:rsid w:val="00650822"/>
    <w:rsid w:val="00651618"/>
    <w:rsid w:val="00652AB2"/>
    <w:rsid w:val="00652C73"/>
    <w:rsid w:val="00653140"/>
    <w:rsid w:val="00653748"/>
    <w:rsid w:val="00653F7F"/>
    <w:rsid w:val="00654993"/>
    <w:rsid w:val="00655C3A"/>
    <w:rsid w:val="0065643E"/>
    <w:rsid w:val="00656DC1"/>
    <w:rsid w:val="00657AA4"/>
    <w:rsid w:val="0066041F"/>
    <w:rsid w:val="0066044B"/>
    <w:rsid w:val="006606CC"/>
    <w:rsid w:val="006606CF"/>
    <w:rsid w:val="00661662"/>
    <w:rsid w:val="00661C6F"/>
    <w:rsid w:val="006623FA"/>
    <w:rsid w:val="00662C79"/>
    <w:rsid w:val="006631E8"/>
    <w:rsid w:val="00663489"/>
    <w:rsid w:val="00663662"/>
    <w:rsid w:val="00663D3C"/>
    <w:rsid w:val="00663E07"/>
    <w:rsid w:val="00663E25"/>
    <w:rsid w:val="0066488D"/>
    <w:rsid w:val="006652F3"/>
    <w:rsid w:val="006666F3"/>
    <w:rsid w:val="00667869"/>
    <w:rsid w:val="00667A40"/>
    <w:rsid w:val="00670AE3"/>
    <w:rsid w:val="00672F0D"/>
    <w:rsid w:val="006730A5"/>
    <w:rsid w:val="0067370D"/>
    <w:rsid w:val="006744BC"/>
    <w:rsid w:val="00675825"/>
    <w:rsid w:val="00676DCE"/>
    <w:rsid w:val="00681238"/>
    <w:rsid w:val="00681E1A"/>
    <w:rsid w:val="0068309C"/>
    <w:rsid w:val="006835D2"/>
    <w:rsid w:val="006836CE"/>
    <w:rsid w:val="00685143"/>
    <w:rsid w:val="006851C7"/>
    <w:rsid w:val="0068546A"/>
    <w:rsid w:val="00685C6D"/>
    <w:rsid w:val="00686B4A"/>
    <w:rsid w:val="00690765"/>
    <w:rsid w:val="0069108E"/>
    <w:rsid w:val="006915A3"/>
    <w:rsid w:val="0069259E"/>
    <w:rsid w:val="00692617"/>
    <w:rsid w:val="0069361E"/>
    <w:rsid w:val="00694974"/>
    <w:rsid w:val="0069696C"/>
    <w:rsid w:val="00696E33"/>
    <w:rsid w:val="0069792D"/>
    <w:rsid w:val="00697DF8"/>
    <w:rsid w:val="006A0CA0"/>
    <w:rsid w:val="006A12DF"/>
    <w:rsid w:val="006A32B7"/>
    <w:rsid w:val="006A3BF6"/>
    <w:rsid w:val="006A3FFF"/>
    <w:rsid w:val="006A459D"/>
    <w:rsid w:val="006A5339"/>
    <w:rsid w:val="006A6999"/>
    <w:rsid w:val="006A7A9D"/>
    <w:rsid w:val="006A7D87"/>
    <w:rsid w:val="006B069E"/>
    <w:rsid w:val="006B19A7"/>
    <w:rsid w:val="006B3D87"/>
    <w:rsid w:val="006B3FEA"/>
    <w:rsid w:val="006B4293"/>
    <w:rsid w:val="006B5764"/>
    <w:rsid w:val="006B5F79"/>
    <w:rsid w:val="006B75DF"/>
    <w:rsid w:val="006B7865"/>
    <w:rsid w:val="006C00A0"/>
    <w:rsid w:val="006C1059"/>
    <w:rsid w:val="006C29E1"/>
    <w:rsid w:val="006C2A7D"/>
    <w:rsid w:val="006C313E"/>
    <w:rsid w:val="006C3907"/>
    <w:rsid w:val="006C3B2D"/>
    <w:rsid w:val="006C3E9A"/>
    <w:rsid w:val="006C3FF5"/>
    <w:rsid w:val="006C4810"/>
    <w:rsid w:val="006C4E1D"/>
    <w:rsid w:val="006C53E8"/>
    <w:rsid w:val="006C585F"/>
    <w:rsid w:val="006C6305"/>
    <w:rsid w:val="006D0A20"/>
    <w:rsid w:val="006D0E59"/>
    <w:rsid w:val="006D2294"/>
    <w:rsid w:val="006D2998"/>
    <w:rsid w:val="006D31FB"/>
    <w:rsid w:val="006D34E8"/>
    <w:rsid w:val="006D432B"/>
    <w:rsid w:val="006D506C"/>
    <w:rsid w:val="006D616F"/>
    <w:rsid w:val="006D73BB"/>
    <w:rsid w:val="006E033E"/>
    <w:rsid w:val="006E2FB4"/>
    <w:rsid w:val="006E3186"/>
    <w:rsid w:val="006E3F4F"/>
    <w:rsid w:val="006E6BE6"/>
    <w:rsid w:val="006E6F3B"/>
    <w:rsid w:val="006E71B2"/>
    <w:rsid w:val="006F0953"/>
    <w:rsid w:val="006F0CA9"/>
    <w:rsid w:val="006F1276"/>
    <w:rsid w:val="006F1369"/>
    <w:rsid w:val="006F3EF2"/>
    <w:rsid w:val="006F446D"/>
    <w:rsid w:val="006F4EA8"/>
    <w:rsid w:val="006F5C14"/>
    <w:rsid w:val="006F5FB6"/>
    <w:rsid w:val="006F63CC"/>
    <w:rsid w:val="006F68DE"/>
    <w:rsid w:val="006F6E4D"/>
    <w:rsid w:val="00700477"/>
    <w:rsid w:val="00700817"/>
    <w:rsid w:val="00701482"/>
    <w:rsid w:val="0070184A"/>
    <w:rsid w:val="00702477"/>
    <w:rsid w:val="007024FC"/>
    <w:rsid w:val="00702DD8"/>
    <w:rsid w:val="0070671E"/>
    <w:rsid w:val="007067F9"/>
    <w:rsid w:val="00710091"/>
    <w:rsid w:val="00710C0A"/>
    <w:rsid w:val="00711090"/>
    <w:rsid w:val="007137C2"/>
    <w:rsid w:val="0071637A"/>
    <w:rsid w:val="007164ED"/>
    <w:rsid w:val="00720708"/>
    <w:rsid w:val="00720F9D"/>
    <w:rsid w:val="0072130A"/>
    <w:rsid w:val="0072349F"/>
    <w:rsid w:val="00723660"/>
    <w:rsid w:val="0072422A"/>
    <w:rsid w:val="00724785"/>
    <w:rsid w:val="00724D69"/>
    <w:rsid w:val="00725573"/>
    <w:rsid w:val="0072596E"/>
    <w:rsid w:val="00727179"/>
    <w:rsid w:val="00727497"/>
    <w:rsid w:val="00730F21"/>
    <w:rsid w:val="00731E11"/>
    <w:rsid w:val="00732BC4"/>
    <w:rsid w:val="00733F48"/>
    <w:rsid w:val="00734281"/>
    <w:rsid w:val="00734DC0"/>
    <w:rsid w:val="00735992"/>
    <w:rsid w:val="007361F9"/>
    <w:rsid w:val="00736F0E"/>
    <w:rsid w:val="00740274"/>
    <w:rsid w:val="00740D53"/>
    <w:rsid w:val="0074105E"/>
    <w:rsid w:val="00741F8B"/>
    <w:rsid w:val="0074277D"/>
    <w:rsid w:val="00742E91"/>
    <w:rsid w:val="00743192"/>
    <w:rsid w:val="00743D88"/>
    <w:rsid w:val="0074403E"/>
    <w:rsid w:val="0074434F"/>
    <w:rsid w:val="00744665"/>
    <w:rsid w:val="007450F7"/>
    <w:rsid w:val="00745AC6"/>
    <w:rsid w:val="00747573"/>
    <w:rsid w:val="00747D3E"/>
    <w:rsid w:val="007501EA"/>
    <w:rsid w:val="00750F77"/>
    <w:rsid w:val="007524BF"/>
    <w:rsid w:val="00752DD8"/>
    <w:rsid w:val="007533F5"/>
    <w:rsid w:val="0075382C"/>
    <w:rsid w:val="007538E8"/>
    <w:rsid w:val="0075433A"/>
    <w:rsid w:val="00754426"/>
    <w:rsid w:val="00754B46"/>
    <w:rsid w:val="00755238"/>
    <w:rsid w:val="007554EF"/>
    <w:rsid w:val="00756B29"/>
    <w:rsid w:val="00756D79"/>
    <w:rsid w:val="007602A2"/>
    <w:rsid w:val="00761394"/>
    <w:rsid w:val="00761461"/>
    <w:rsid w:val="0076181C"/>
    <w:rsid w:val="007618E4"/>
    <w:rsid w:val="00762928"/>
    <w:rsid w:val="00762E3D"/>
    <w:rsid w:val="00763AD8"/>
    <w:rsid w:val="0076426B"/>
    <w:rsid w:val="00764D17"/>
    <w:rsid w:val="00764DEA"/>
    <w:rsid w:val="00764E24"/>
    <w:rsid w:val="00767066"/>
    <w:rsid w:val="007672D5"/>
    <w:rsid w:val="007676F5"/>
    <w:rsid w:val="007678C7"/>
    <w:rsid w:val="00767B0F"/>
    <w:rsid w:val="00771487"/>
    <w:rsid w:val="00772002"/>
    <w:rsid w:val="007726F9"/>
    <w:rsid w:val="007738B8"/>
    <w:rsid w:val="00773DC2"/>
    <w:rsid w:val="007758EF"/>
    <w:rsid w:val="00775958"/>
    <w:rsid w:val="00775991"/>
    <w:rsid w:val="00776425"/>
    <w:rsid w:val="00777FF8"/>
    <w:rsid w:val="00780A19"/>
    <w:rsid w:val="0078173A"/>
    <w:rsid w:val="00782C12"/>
    <w:rsid w:val="00783836"/>
    <w:rsid w:val="00783DD0"/>
    <w:rsid w:val="00784BBC"/>
    <w:rsid w:val="0078590B"/>
    <w:rsid w:val="00785E09"/>
    <w:rsid w:val="00786163"/>
    <w:rsid w:val="00787164"/>
    <w:rsid w:val="00787E39"/>
    <w:rsid w:val="007902C4"/>
    <w:rsid w:val="0079075A"/>
    <w:rsid w:val="00790E93"/>
    <w:rsid w:val="00791962"/>
    <w:rsid w:val="00791C5E"/>
    <w:rsid w:val="0079277D"/>
    <w:rsid w:val="007929BE"/>
    <w:rsid w:val="00792F6F"/>
    <w:rsid w:val="00792F95"/>
    <w:rsid w:val="007934A7"/>
    <w:rsid w:val="007934FA"/>
    <w:rsid w:val="00794711"/>
    <w:rsid w:val="00794EEF"/>
    <w:rsid w:val="0079564D"/>
    <w:rsid w:val="00795A6C"/>
    <w:rsid w:val="0079691E"/>
    <w:rsid w:val="00796BF3"/>
    <w:rsid w:val="00796FEC"/>
    <w:rsid w:val="0079751D"/>
    <w:rsid w:val="007A0B59"/>
    <w:rsid w:val="007A1885"/>
    <w:rsid w:val="007A1C00"/>
    <w:rsid w:val="007A242A"/>
    <w:rsid w:val="007A2DCD"/>
    <w:rsid w:val="007A3F14"/>
    <w:rsid w:val="007A42CC"/>
    <w:rsid w:val="007A4739"/>
    <w:rsid w:val="007A5275"/>
    <w:rsid w:val="007A7180"/>
    <w:rsid w:val="007B0E4F"/>
    <w:rsid w:val="007B1892"/>
    <w:rsid w:val="007B2D48"/>
    <w:rsid w:val="007B302E"/>
    <w:rsid w:val="007B3F4F"/>
    <w:rsid w:val="007B4091"/>
    <w:rsid w:val="007B5D94"/>
    <w:rsid w:val="007B6C0C"/>
    <w:rsid w:val="007B730C"/>
    <w:rsid w:val="007B7342"/>
    <w:rsid w:val="007B77D6"/>
    <w:rsid w:val="007B7D64"/>
    <w:rsid w:val="007B7D6A"/>
    <w:rsid w:val="007C00F8"/>
    <w:rsid w:val="007C3BE8"/>
    <w:rsid w:val="007C4DAE"/>
    <w:rsid w:val="007C631B"/>
    <w:rsid w:val="007C672A"/>
    <w:rsid w:val="007D0AD0"/>
    <w:rsid w:val="007D1497"/>
    <w:rsid w:val="007D1951"/>
    <w:rsid w:val="007D2261"/>
    <w:rsid w:val="007D2507"/>
    <w:rsid w:val="007D30DF"/>
    <w:rsid w:val="007D3256"/>
    <w:rsid w:val="007D33E1"/>
    <w:rsid w:val="007D4C9E"/>
    <w:rsid w:val="007D4EB4"/>
    <w:rsid w:val="007D5A25"/>
    <w:rsid w:val="007D5A4A"/>
    <w:rsid w:val="007D6717"/>
    <w:rsid w:val="007D6A16"/>
    <w:rsid w:val="007E0273"/>
    <w:rsid w:val="007E2B55"/>
    <w:rsid w:val="007E2B6B"/>
    <w:rsid w:val="007E2B7F"/>
    <w:rsid w:val="007E2F7E"/>
    <w:rsid w:val="007E343A"/>
    <w:rsid w:val="007E37C9"/>
    <w:rsid w:val="007E3E27"/>
    <w:rsid w:val="007E462C"/>
    <w:rsid w:val="007E48AE"/>
    <w:rsid w:val="007E4DBF"/>
    <w:rsid w:val="007E6327"/>
    <w:rsid w:val="007E64D9"/>
    <w:rsid w:val="007E65FE"/>
    <w:rsid w:val="007E6847"/>
    <w:rsid w:val="007E6AB9"/>
    <w:rsid w:val="007E75B6"/>
    <w:rsid w:val="007F140A"/>
    <w:rsid w:val="007F1810"/>
    <w:rsid w:val="007F1E51"/>
    <w:rsid w:val="007F1EE3"/>
    <w:rsid w:val="007F4AC5"/>
    <w:rsid w:val="007F6EE1"/>
    <w:rsid w:val="007F7191"/>
    <w:rsid w:val="007F7883"/>
    <w:rsid w:val="007F7A8D"/>
    <w:rsid w:val="00800FE7"/>
    <w:rsid w:val="008014D4"/>
    <w:rsid w:val="008019A6"/>
    <w:rsid w:val="00801F9B"/>
    <w:rsid w:val="008021DE"/>
    <w:rsid w:val="00802878"/>
    <w:rsid w:val="00802C01"/>
    <w:rsid w:val="00802E38"/>
    <w:rsid w:val="0080300E"/>
    <w:rsid w:val="0080319F"/>
    <w:rsid w:val="008044E4"/>
    <w:rsid w:val="00805351"/>
    <w:rsid w:val="0080623B"/>
    <w:rsid w:val="00806E8E"/>
    <w:rsid w:val="00807088"/>
    <w:rsid w:val="00810718"/>
    <w:rsid w:val="00811762"/>
    <w:rsid w:val="00812F53"/>
    <w:rsid w:val="00813479"/>
    <w:rsid w:val="00813949"/>
    <w:rsid w:val="00813FD0"/>
    <w:rsid w:val="008148B5"/>
    <w:rsid w:val="00814CAA"/>
    <w:rsid w:val="00814FE8"/>
    <w:rsid w:val="008159F1"/>
    <w:rsid w:val="008174FA"/>
    <w:rsid w:val="00817772"/>
    <w:rsid w:val="00817EE8"/>
    <w:rsid w:val="0082001D"/>
    <w:rsid w:val="00820252"/>
    <w:rsid w:val="00821316"/>
    <w:rsid w:val="00821E8F"/>
    <w:rsid w:val="008220B9"/>
    <w:rsid w:val="0082244E"/>
    <w:rsid w:val="008244FC"/>
    <w:rsid w:val="00824D80"/>
    <w:rsid w:val="00825515"/>
    <w:rsid w:val="00825EFF"/>
    <w:rsid w:val="008266C9"/>
    <w:rsid w:val="008279A0"/>
    <w:rsid w:val="00830549"/>
    <w:rsid w:val="008308CF"/>
    <w:rsid w:val="00830A87"/>
    <w:rsid w:val="00831A4B"/>
    <w:rsid w:val="00831B9B"/>
    <w:rsid w:val="00832161"/>
    <w:rsid w:val="008338CD"/>
    <w:rsid w:val="008339A7"/>
    <w:rsid w:val="008339CE"/>
    <w:rsid w:val="00833F39"/>
    <w:rsid w:val="008344D3"/>
    <w:rsid w:val="00834802"/>
    <w:rsid w:val="00834AA6"/>
    <w:rsid w:val="00834F19"/>
    <w:rsid w:val="008356C2"/>
    <w:rsid w:val="0083573E"/>
    <w:rsid w:val="008358CC"/>
    <w:rsid w:val="00835D75"/>
    <w:rsid w:val="00837786"/>
    <w:rsid w:val="0084003D"/>
    <w:rsid w:val="008400A4"/>
    <w:rsid w:val="0084048C"/>
    <w:rsid w:val="00840CA0"/>
    <w:rsid w:val="00840CB0"/>
    <w:rsid w:val="00841222"/>
    <w:rsid w:val="00842586"/>
    <w:rsid w:val="008426C0"/>
    <w:rsid w:val="00842853"/>
    <w:rsid w:val="00842C5D"/>
    <w:rsid w:val="00842F5B"/>
    <w:rsid w:val="0084383E"/>
    <w:rsid w:val="00843BBE"/>
    <w:rsid w:val="00843CFF"/>
    <w:rsid w:val="0084487D"/>
    <w:rsid w:val="00844884"/>
    <w:rsid w:val="00844FC9"/>
    <w:rsid w:val="008452EB"/>
    <w:rsid w:val="0084557D"/>
    <w:rsid w:val="00846299"/>
    <w:rsid w:val="008474E6"/>
    <w:rsid w:val="00847C9B"/>
    <w:rsid w:val="00847E22"/>
    <w:rsid w:val="00847FF8"/>
    <w:rsid w:val="00850009"/>
    <w:rsid w:val="00850E30"/>
    <w:rsid w:val="00851DF7"/>
    <w:rsid w:val="00851FE4"/>
    <w:rsid w:val="0085216C"/>
    <w:rsid w:val="00852D10"/>
    <w:rsid w:val="00853870"/>
    <w:rsid w:val="00854122"/>
    <w:rsid w:val="008545FC"/>
    <w:rsid w:val="00854A6D"/>
    <w:rsid w:val="00855695"/>
    <w:rsid w:val="0085586D"/>
    <w:rsid w:val="008560F3"/>
    <w:rsid w:val="008605CA"/>
    <w:rsid w:val="00863601"/>
    <w:rsid w:val="00864B4A"/>
    <w:rsid w:val="00866828"/>
    <w:rsid w:val="00866B34"/>
    <w:rsid w:val="008723D3"/>
    <w:rsid w:val="0087326A"/>
    <w:rsid w:val="00873CFE"/>
    <w:rsid w:val="00874186"/>
    <w:rsid w:val="008744C9"/>
    <w:rsid w:val="00874BCF"/>
    <w:rsid w:val="0087561E"/>
    <w:rsid w:val="00876ABA"/>
    <w:rsid w:val="00876CDC"/>
    <w:rsid w:val="00877704"/>
    <w:rsid w:val="008800C6"/>
    <w:rsid w:val="0088046A"/>
    <w:rsid w:val="0088206A"/>
    <w:rsid w:val="00882D93"/>
    <w:rsid w:val="00884F35"/>
    <w:rsid w:val="008859A6"/>
    <w:rsid w:val="00886C74"/>
    <w:rsid w:val="00887B42"/>
    <w:rsid w:val="008911DA"/>
    <w:rsid w:val="00894463"/>
    <w:rsid w:val="008944C9"/>
    <w:rsid w:val="00894D0F"/>
    <w:rsid w:val="0089572C"/>
    <w:rsid w:val="00896DAE"/>
    <w:rsid w:val="008A1D7A"/>
    <w:rsid w:val="008A3278"/>
    <w:rsid w:val="008A3A01"/>
    <w:rsid w:val="008A55A0"/>
    <w:rsid w:val="008A6228"/>
    <w:rsid w:val="008A629C"/>
    <w:rsid w:val="008A7D3B"/>
    <w:rsid w:val="008B0248"/>
    <w:rsid w:val="008B041A"/>
    <w:rsid w:val="008B09E9"/>
    <w:rsid w:val="008B0B93"/>
    <w:rsid w:val="008B0B95"/>
    <w:rsid w:val="008B1318"/>
    <w:rsid w:val="008B4302"/>
    <w:rsid w:val="008B47CB"/>
    <w:rsid w:val="008B66AF"/>
    <w:rsid w:val="008B68F2"/>
    <w:rsid w:val="008B753D"/>
    <w:rsid w:val="008B7CF7"/>
    <w:rsid w:val="008C0C21"/>
    <w:rsid w:val="008C0FE6"/>
    <w:rsid w:val="008C1CF1"/>
    <w:rsid w:val="008C1DEF"/>
    <w:rsid w:val="008C23F3"/>
    <w:rsid w:val="008C2B84"/>
    <w:rsid w:val="008C3B29"/>
    <w:rsid w:val="008C47A9"/>
    <w:rsid w:val="008C5E24"/>
    <w:rsid w:val="008C60EB"/>
    <w:rsid w:val="008C776B"/>
    <w:rsid w:val="008C7840"/>
    <w:rsid w:val="008D01B8"/>
    <w:rsid w:val="008D04CC"/>
    <w:rsid w:val="008D3604"/>
    <w:rsid w:val="008D4A6D"/>
    <w:rsid w:val="008D522B"/>
    <w:rsid w:val="008D5237"/>
    <w:rsid w:val="008D5753"/>
    <w:rsid w:val="008D7416"/>
    <w:rsid w:val="008D7844"/>
    <w:rsid w:val="008E0245"/>
    <w:rsid w:val="008E0D1C"/>
    <w:rsid w:val="008E10B5"/>
    <w:rsid w:val="008E14FC"/>
    <w:rsid w:val="008E19A0"/>
    <w:rsid w:val="008E207C"/>
    <w:rsid w:val="008E32D6"/>
    <w:rsid w:val="008E36CB"/>
    <w:rsid w:val="008E3CD6"/>
    <w:rsid w:val="008E4175"/>
    <w:rsid w:val="008E41D7"/>
    <w:rsid w:val="008E4E76"/>
    <w:rsid w:val="008E509D"/>
    <w:rsid w:val="008E5124"/>
    <w:rsid w:val="008E523C"/>
    <w:rsid w:val="008E5A2D"/>
    <w:rsid w:val="008E5FAF"/>
    <w:rsid w:val="008E687E"/>
    <w:rsid w:val="008E6F48"/>
    <w:rsid w:val="008F0962"/>
    <w:rsid w:val="008F184E"/>
    <w:rsid w:val="008F3E53"/>
    <w:rsid w:val="008F51C4"/>
    <w:rsid w:val="008F5262"/>
    <w:rsid w:val="008F55D2"/>
    <w:rsid w:val="008F5C1A"/>
    <w:rsid w:val="008F6EED"/>
    <w:rsid w:val="008F70D7"/>
    <w:rsid w:val="008F7282"/>
    <w:rsid w:val="008F731B"/>
    <w:rsid w:val="009003A8"/>
    <w:rsid w:val="00900631"/>
    <w:rsid w:val="00901523"/>
    <w:rsid w:val="00901A59"/>
    <w:rsid w:val="009024EC"/>
    <w:rsid w:val="009029DF"/>
    <w:rsid w:val="00902E3D"/>
    <w:rsid w:val="00904231"/>
    <w:rsid w:val="00905049"/>
    <w:rsid w:val="009053D2"/>
    <w:rsid w:val="0090684D"/>
    <w:rsid w:val="00906DC9"/>
    <w:rsid w:val="00907CA5"/>
    <w:rsid w:val="009105A6"/>
    <w:rsid w:val="009112F0"/>
    <w:rsid w:val="00912AB7"/>
    <w:rsid w:val="00912E12"/>
    <w:rsid w:val="00913998"/>
    <w:rsid w:val="00913B39"/>
    <w:rsid w:val="00914031"/>
    <w:rsid w:val="009145DC"/>
    <w:rsid w:val="00914D76"/>
    <w:rsid w:val="00915327"/>
    <w:rsid w:val="00915DDE"/>
    <w:rsid w:val="00917AC5"/>
    <w:rsid w:val="0092076F"/>
    <w:rsid w:val="00921985"/>
    <w:rsid w:val="00923EE3"/>
    <w:rsid w:val="00924822"/>
    <w:rsid w:val="00924FB7"/>
    <w:rsid w:val="00925032"/>
    <w:rsid w:val="00926136"/>
    <w:rsid w:val="00927EC9"/>
    <w:rsid w:val="00930479"/>
    <w:rsid w:val="0093192D"/>
    <w:rsid w:val="0093345D"/>
    <w:rsid w:val="0093384D"/>
    <w:rsid w:val="00935668"/>
    <w:rsid w:val="0093729C"/>
    <w:rsid w:val="009372BC"/>
    <w:rsid w:val="00940266"/>
    <w:rsid w:val="00941B84"/>
    <w:rsid w:val="00942289"/>
    <w:rsid w:val="00942699"/>
    <w:rsid w:val="00942CEF"/>
    <w:rsid w:val="00943140"/>
    <w:rsid w:val="0094361E"/>
    <w:rsid w:val="009447DC"/>
    <w:rsid w:val="009448F2"/>
    <w:rsid w:val="0094546C"/>
    <w:rsid w:val="0094559C"/>
    <w:rsid w:val="00946080"/>
    <w:rsid w:val="0094612E"/>
    <w:rsid w:val="00946739"/>
    <w:rsid w:val="00946EF9"/>
    <w:rsid w:val="0095081B"/>
    <w:rsid w:val="00950DC1"/>
    <w:rsid w:val="00951C5F"/>
    <w:rsid w:val="009520D1"/>
    <w:rsid w:val="009524BD"/>
    <w:rsid w:val="00952CC2"/>
    <w:rsid w:val="0095321F"/>
    <w:rsid w:val="0095363C"/>
    <w:rsid w:val="00953879"/>
    <w:rsid w:val="00953890"/>
    <w:rsid w:val="00954722"/>
    <w:rsid w:val="009619F8"/>
    <w:rsid w:val="00962C95"/>
    <w:rsid w:val="0096384B"/>
    <w:rsid w:val="00964187"/>
    <w:rsid w:val="00964350"/>
    <w:rsid w:val="009647B0"/>
    <w:rsid w:val="00965B15"/>
    <w:rsid w:val="0096629B"/>
    <w:rsid w:val="009671F3"/>
    <w:rsid w:val="009675DE"/>
    <w:rsid w:val="00967DBD"/>
    <w:rsid w:val="009702FA"/>
    <w:rsid w:val="009703BB"/>
    <w:rsid w:val="00970621"/>
    <w:rsid w:val="00971CAB"/>
    <w:rsid w:val="009727A2"/>
    <w:rsid w:val="00973289"/>
    <w:rsid w:val="009743FF"/>
    <w:rsid w:val="00974C04"/>
    <w:rsid w:val="0097513D"/>
    <w:rsid w:val="00976A82"/>
    <w:rsid w:val="009778AC"/>
    <w:rsid w:val="0098020A"/>
    <w:rsid w:val="0098300A"/>
    <w:rsid w:val="00983687"/>
    <w:rsid w:val="00983BD4"/>
    <w:rsid w:val="009840CF"/>
    <w:rsid w:val="009861A6"/>
    <w:rsid w:val="00986D50"/>
    <w:rsid w:val="009871D3"/>
    <w:rsid w:val="00987769"/>
    <w:rsid w:val="00990407"/>
    <w:rsid w:val="00990D43"/>
    <w:rsid w:val="0099114D"/>
    <w:rsid w:val="009925C5"/>
    <w:rsid w:val="00992754"/>
    <w:rsid w:val="00993154"/>
    <w:rsid w:val="00993A49"/>
    <w:rsid w:val="0099469C"/>
    <w:rsid w:val="00994E9F"/>
    <w:rsid w:val="00994EB8"/>
    <w:rsid w:val="0099692C"/>
    <w:rsid w:val="009973B3"/>
    <w:rsid w:val="00997A30"/>
    <w:rsid w:val="00997FEE"/>
    <w:rsid w:val="009A1E62"/>
    <w:rsid w:val="009A2663"/>
    <w:rsid w:val="009A3899"/>
    <w:rsid w:val="009A3BBA"/>
    <w:rsid w:val="009A43F8"/>
    <w:rsid w:val="009A5148"/>
    <w:rsid w:val="009A51BC"/>
    <w:rsid w:val="009A6498"/>
    <w:rsid w:val="009A6674"/>
    <w:rsid w:val="009A6E56"/>
    <w:rsid w:val="009A79D6"/>
    <w:rsid w:val="009B0055"/>
    <w:rsid w:val="009B0963"/>
    <w:rsid w:val="009B1A26"/>
    <w:rsid w:val="009B25CE"/>
    <w:rsid w:val="009B285A"/>
    <w:rsid w:val="009B4288"/>
    <w:rsid w:val="009B57B4"/>
    <w:rsid w:val="009B742F"/>
    <w:rsid w:val="009B76A5"/>
    <w:rsid w:val="009B7967"/>
    <w:rsid w:val="009B7BFC"/>
    <w:rsid w:val="009C0291"/>
    <w:rsid w:val="009C0ADF"/>
    <w:rsid w:val="009C0CE3"/>
    <w:rsid w:val="009C186E"/>
    <w:rsid w:val="009C2FBA"/>
    <w:rsid w:val="009C34BC"/>
    <w:rsid w:val="009C34E4"/>
    <w:rsid w:val="009C3545"/>
    <w:rsid w:val="009C37F2"/>
    <w:rsid w:val="009C39EF"/>
    <w:rsid w:val="009C4C75"/>
    <w:rsid w:val="009C5622"/>
    <w:rsid w:val="009C5B90"/>
    <w:rsid w:val="009C5F65"/>
    <w:rsid w:val="009C7D15"/>
    <w:rsid w:val="009C7D9D"/>
    <w:rsid w:val="009D06D4"/>
    <w:rsid w:val="009D1BA7"/>
    <w:rsid w:val="009D1ED0"/>
    <w:rsid w:val="009D26B6"/>
    <w:rsid w:val="009D37F2"/>
    <w:rsid w:val="009D3C62"/>
    <w:rsid w:val="009D4D3F"/>
    <w:rsid w:val="009D56F2"/>
    <w:rsid w:val="009D6692"/>
    <w:rsid w:val="009D72D4"/>
    <w:rsid w:val="009D7ADA"/>
    <w:rsid w:val="009E0609"/>
    <w:rsid w:val="009E0F7F"/>
    <w:rsid w:val="009E1317"/>
    <w:rsid w:val="009E160C"/>
    <w:rsid w:val="009E2C7A"/>
    <w:rsid w:val="009E34B0"/>
    <w:rsid w:val="009E3D10"/>
    <w:rsid w:val="009E4239"/>
    <w:rsid w:val="009E633A"/>
    <w:rsid w:val="009E6377"/>
    <w:rsid w:val="009E6699"/>
    <w:rsid w:val="009E6B04"/>
    <w:rsid w:val="009E7450"/>
    <w:rsid w:val="009E7A4C"/>
    <w:rsid w:val="009E7B43"/>
    <w:rsid w:val="009E7F33"/>
    <w:rsid w:val="009F045D"/>
    <w:rsid w:val="009F1606"/>
    <w:rsid w:val="009F2C8E"/>
    <w:rsid w:val="009F3F68"/>
    <w:rsid w:val="009F4357"/>
    <w:rsid w:val="009F49FB"/>
    <w:rsid w:val="009F4AC0"/>
    <w:rsid w:val="009F5667"/>
    <w:rsid w:val="00A01014"/>
    <w:rsid w:val="00A01FF1"/>
    <w:rsid w:val="00A0229B"/>
    <w:rsid w:val="00A023AC"/>
    <w:rsid w:val="00A02E33"/>
    <w:rsid w:val="00A0429B"/>
    <w:rsid w:val="00A04792"/>
    <w:rsid w:val="00A04D54"/>
    <w:rsid w:val="00A068B0"/>
    <w:rsid w:val="00A0714C"/>
    <w:rsid w:val="00A076CB"/>
    <w:rsid w:val="00A10D6F"/>
    <w:rsid w:val="00A1180D"/>
    <w:rsid w:val="00A12649"/>
    <w:rsid w:val="00A12A11"/>
    <w:rsid w:val="00A1312A"/>
    <w:rsid w:val="00A13460"/>
    <w:rsid w:val="00A15A15"/>
    <w:rsid w:val="00A15FD2"/>
    <w:rsid w:val="00A168AA"/>
    <w:rsid w:val="00A171DB"/>
    <w:rsid w:val="00A20641"/>
    <w:rsid w:val="00A20AE2"/>
    <w:rsid w:val="00A2104B"/>
    <w:rsid w:val="00A2148C"/>
    <w:rsid w:val="00A226BC"/>
    <w:rsid w:val="00A2328B"/>
    <w:rsid w:val="00A238C4"/>
    <w:rsid w:val="00A23E80"/>
    <w:rsid w:val="00A24FAE"/>
    <w:rsid w:val="00A26A48"/>
    <w:rsid w:val="00A26BF4"/>
    <w:rsid w:val="00A275F0"/>
    <w:rsid w:val="00A31C69"/>
    <w:rsid w:val="00A3241A"/>
    <w:rsid w:val="00A32C43"/>
    <w:rsid w:val="00A32DB3"/>
    <w:rsid w:val="00A34FDE"/>
    <w:rsid w:val="00A35364"/>
    <w:rsid w:val="00A358D4"/>
    <w:rsid w:val="00A3633A"/>
    <w:rsid w:val="00A369A8"/>
    <w:rsid w:val="00A36F5B"/>
    <w:rsid w:val="00A37EA3"/>
    <w:rsid w:val="00A4087D"/>
    <w:rsid w:val="00A409D5"/>
    <w:rsid w:val="00A42D0F"/>
    <w:rsid w:val="00A42FDC"/>
    <w:rsid w:val="00A43015"/>
    <w:rsid w:val="00A43392"/>
    <w:rsid w:val="00A43607"/>
    <w:rsid w:val="00A43D5F"/>
    <w:rsid w:val="00A43FE1"/>
    <w:rsid w:val="00A45C2F"/>
    <w:rsid w:val="00A45D35"/>
    <w:rsid w:val="00A45DCD"/>
    <w:rsid w:val="00A46709"/>
    <w:rsid w:val="00A46BB0"/>
    <w:rsid w:val="00A50B71"/>
    <w:rsid w:val="00A50CF2"/>
    <w:rsid w:val="00A50DD5"/>
    <w:rsid w:val="00A50FF8"/>
    <w:rsid w:val="00A51556"/>
    <w:rsid w:val="00A51B4A"/>
    <w:rsid w:val="00A51D24"/>
    <w:rsid w:val="00A521A6"/>
    <w:rsid w:val="00A53516"/>
    <w:rsid w:val="00A537FC"/>
    <w:rsid w:val="00A54C8F"/>
    <w:rsid w:val="00A5546D"/>
    <w:rsid w:val="00A55477"/>
    <w:rsid w:val="00A5582F"/>
    <w:rsid w:val="00A57F4F"/>
    <w:rsid w:val="00A6041E"/>
    <w:rsid w:val="00A6083F"/>
    <w:rsid w:val="00A60A04"/>
    <w:rsid w:val="00A60F87"/>
    <w:rsid w:val="00A610CB"/>
    <w:rsid w:val="00A615B4"/>
    <w:rsid w:val="00A62162"/>
    <w:rsid w:val="00A625A6"/>
    <w:rsid w:val="00A62BED"/>
    <w:rsid w:val="00A62FE4"/>
    <w:rsid w:val="00A64B65"/>
    <w:rsid w:val="00A64CFD"/>
    <w:rsid w:val="00A64E6D"/>
    <w:rsid w:val="00A65155"/>
    <w:rsid w:val="00A652D8"/>
    <w:rsid w:val="00A6553E"/>
    <w:rsid w:val="00A66021"/>
    <w:rsid w:val="00A67E0D"/>
    <w:rsid w:val="00A70135"/>
    <w:rsid w:val="00A7024A"/>
    <w:rsid w:val="00A723EE"/>
    <w:rsid w:val="00A72AC9"/>
    <w:rsid w:val="00A72B2F"/>
    <w:rsid w:val="00A733DF"/>
    <w:rsid w:val="00A73CA9"/>
    <w:rsid w:val="00A73D38"/>
    <w:rsid w:val="00A74544"/>
    <w:rsid w:val="00A750DE"/>
    <w:rsid w:val="00A75A96"/>
    <w:rsid w:val="00A760E4"/>
    <w:rsid w:val="00A76287"/>
    <w:rsid w:val="00A774C1"/>
    <w:rsid w:val="00A80BB5"/>
    <w:rsid w:val="00A82634"/>
    <w:rsid w:val="00A82655"/>
    <w:rsid w:val="00A82A3A"/>
    <w:rsid w:val="00A82B2B"/>
    <w:rsid w:val="00A82BBE"/>
    <w:rsid w:val="00A82D13"/>
    <w:rsid w:val="00A8357A"/>
    <w:rsid w:val="00A8377F"/>
    <w:rsid w:val="00A8491D"/>
    <w:rsid w:val="00A8533E"/>
    <w:rsid w:val="00A8562E"/>
    <w:rsid w:val="00A862CD"/>
    <w:rsid w:val="00A86EDC"/>
    <w:rsid w:val="00A87D0B"/>
    <w:rsid w:val="00A90440"/>
    <w:rsid w:val="00A90BB2"/>
    <w:rsid w:val="00A90C51"/>
    <w:rsid w:val="00A91AE2"/>
    <w:rsid w:val="00A93C8D"/>
    <w:rsid w:val="00A9447B"/>
    <w:rsid w:val="00A97927"/>
    <w:rsid w:val="00AA10EC"/>
    <w:rsid w:val="00AA1174"/>
    <w:rsid w:val="00AA23DD"/>
    <w:rsid w:val="00AA2801"/>
    <w:rsid w:val="00AA30F5"/>
    <w:rsid w:val="00AA3119"/>
    <w:rsid w:val="00AA4226"/>
    <w:rsid w:val="00AA4F9F"/>
    <w:rsid w:val="00AA6836"/>
    <w:rsid w:val="00AA7004"/>
    <w:rsid w:val="00AA7C6D"/>
    <w:rsid w:val="00AA7E37"/>
    <w:rsid w:val="00AB03EB"/>
    <w:rsid w:val="00AB1900"/>
    <w:rsid w:val="00AB1CC1"/>
    <w:rsid w:val="00AB3D06"/>
    <w:rsid w:val="00AB44CF"/>
    <w:rsid w:val="00AB4908"/>
    <w:rsid w:val="00AB62ED"/>
    <w:rsid w:val="00AB727A"/>
    <w:rsid w:val="00AB774B"/>
    <w:rsid w:val="00AB7899"/>
    <w:rsid w:val="00AB7E88"/>
    <w:rsid w:val="00AB7F41"/>
    <w:rsid w:val="00AC02E8"/>
    <w:rsid w:val="00AC096F"/>
    <w:rsid w:val="00AC0B64"/>
    <w:rsid w:val="00AC0E97"/>
    <w:rsid w:val="00AC1111"/>
    <w:rsid w:val="00AC19F6"/>
    <w:rsid w:val="00AC1A97"/>
    <w:rsid w:val="00AC1C88"/>
    <w:rsid w:val="00AC2B9E"/>
    <w:rsid w:val="00AC2E58"/>
    <w:rsid w:val="00AC38D0"/>
    <w:rsid w:val="00AC3AFD"/>
    <w:rsid w:val="00AC41C1"/>
    <w:rsid w:val="00AC4AFE"/>
    <w:rsid w:val="00AC54CE"/>
    <w:rsid w:val="00AC6B7E"/>
    <w:rsid w:val="00AC71CA"/>
    <w:rsid w:val="00AC73F0"/>
    <w:rsid w:val="00AD07EC"/>
    <w:rsid w:val="00AD086F"/>
    <w:rsid w:val="00AD0C52"/>
    <w:rsid w:val="00AD172E"/>
    <w:rsid w:val="00AD21B1"/>
    <w:rsid w:val="00AD2456"/>
    <w:rsid w:val="00AD24A8"/>
    <w:rsid w:val="00AD2B06"/>
    <w:rsid w:val="00AD2DEA"/>
    <w:rsid w:val="00AD2F06"/>
    <w:rsid w:val="00AD2FBF"/>
    <w:rsid w:val="00AD3836"/>
    <w:rsid w:val="00AD385B"/>
    <w:rsid w:val="00AD3CA2"/>
    <w:rsid w:val="00AD4247"/>
    <w:rsid w:val="00AD4C91"/>
    <w:rsid w:val="00AD4DD1"/>
    <w:rsid w:val="00AD5125"/>
    <w:rsid w:val="00AD6500"/>
    <w:rsid w:val="00AD6E44"/>
    <w:rsid w:val="00AD729D"/>
    <w:rsid w:val="00AD7460"/>
    <w:rsid w:val="00AE0CD6"/>
    <w:rsid w:val="00AE1CD8"/>
    <w:rsid w:val="00AE2330"/>
    <w:rsid w:val="00AE2CFC"/>
    <w:rsid w:val="00AE2D07"/>
    <w:rsid w:val="00AE3498"/>
    <w:rsid w:val="00AE34F2"/>
    <w:rsid w:val="00AE3E0B"/>
    <w:rsid w:val="00AE429E"/>
    <w:rsid w:val="00AE4D2E"/>
    <w:rsid w:val="00AE5123"/>
    <w:rsid w:val="00AE53EA"/>
    <w:rsid w:val="00AE5D5F"/>
    <w:rsid w:val="00AE700C"/>
    <w:rsid w:val="00AE716A"/>
    <w:rsid w:val="00AE7341"/>
    <w:rsid w:val="00AE7B4D"/>
    <w:rsid w:val="00AF0120"/>
    <w:rsid w:val="00AF0211"/>
    <w:rsid w:val="00AF0996"/>
    <w:rsid w:val="00AF11C3"/>
    <w:rsid w:val="00AF1361"/>
    <w:rsid w:val="00AF17F0"/>
    <w:rsid w:val="00AF1ADA"/>
    <w:rsid w:val="00AF2418"/>
    <w:rsid w:val="00AF2497"/>
    <w:rsid w:val="00AF537A"/>
    <w:rsid w:val="00AF581A"/>
    <w:rsid w:val="00AF5BB1"/>
    <w:rsid w:val="00AF5C8B"/>
    <w:rsid w:val="00AF77BB"/>
    <w:rsid w:val="00B00312"/>
    <w:rsid w:val="00B0111C"/>
    <w:rsid w:val="00B01672"/>
    <w:rsid w:val="00B01682"/>
    <w:rsid w:val="00B01977"/>
    <w:rsid w:val="00B0217D"/>
    <w:rsid w:val="00B024B4"/>
    <w:rsid w:val="00B03936"/>
    <w:rsid w:val="00B04301"/>
    <w:rsid w:val="00B060AB"/>
    <w:rsid w:val="00B066DC"/>
    <w:rsid w:val="00B069ED"/>
    <w:rsid w:val="00B07211"/>
    <w:rsid w:val="00B10EAF"/>
    <w:rsid w:val="00B1191E"/>
    <w:rsid w:val="00B131A0"/>
    <w:rsid w:val="00B14BEA"/>
    <w:rsid w:val="00B15C96"/>
    <w:rsid w:val="00B2009C"/>
    <w:rsid w:val="00B20DE8"/>
    <w:rsid w:val="00B22043"/>
    <w:rsid w:val="00B220FA"/>
    <w:rsid w:val="00B221DF"/>
    <w:rsid w:val="00B22561"/>
    <w:rsid w:val="00B2274F"/>
    <w:rsid w:val="00B228C3"/>
    <w:rsid w:val="00B2296E"/>
    <w:rsid w:val="00B24713"/>
    <w:rsid w:val="00B26E32"/>
    <w:rsid w:val="00B27728"/>
    <w:rsid w:val="00B31A66"/>
    <w:rsid w:val="00B32593"/>
    <w:rsid w:val="00B32D13"/>
    <w:rsid w:val="00B34503"/>
    <w:rsid w:val="00B34838"/>
    <w:rsid w:val="00B34964"/>
    <w:rsid w:val="00B34B01"/>
    <w:rsid w:val="00B358E3"/>
    <w:rsid w:val="00B35B94"/>
    <w:rsid w:val="00B37B8C"/>
    <w:rsid w:val="00B40791"/>
    <w:rsid w:val="00B43B1B"/>
    <w:rsid w:val="00B4530F"/>
    <w:rsid w:val="00B4567F"/>
    <w:rsid w:val="00B456F1"/>
    <w:rsid w:val="00B46778"/>
    <w:rsid w:val="00B4735F"/>
    <w:rsid w:val="00B4783B"/>
    <w:rsid w:val="00B4784B"/>
    <w:rsid w:val="00B47C1B"/>
    <w:rsid w:val="00B50DC1"/>
    <w:rsid w:val="00B50E5C"/>
    <w:rsid w:val="00B5142E"/>
    <w:rsid w:val="00B51C13"/>
    <w:rsid w:val="00B5200F"/>
    <w:rsid w:val="00B524FA"/>
    <w:rsid w:val="00B5358A"/>
    <w:rsid w:val="00B538B6"/>
    <w:rsid w:val="00B546C5"/>
    <w:rsid w:val="00B54E3A"/>
    <w:rsid w:val="00B55CEB"/>
    <w:rsid w:val="00B55EE7"/>
    <w:rsid w:val="00B575A4"/>
    <w:rsid w:val="00B57721"/>
    <w:rsid w:val="00B60176"/>
    <w:rsid w:val="00B60AD5"/>
    <w:rsid w:val="00B62190"/>
    <w:rsid w:val="00B633B8"/>
    <w:rsid w:val="00B63742"/>
    <w:rsid w:val="00B650E3"/>
    <w:rsid w:val="00B6577A"/>
    <w:rsid w:val="00B67809"/>
    <w:rsid w:val="00B67968"/>
    <w:rsid w:val="00B70516"/>
    <w:rsid w:val="00B70873"/>
    <w:rsid w:val="00B708DA"/>
    <w:rsid w:val="00B70B46"/>
    <w:rsid w:val="00B70E61"/>
    <w:rsid w:val="00B71EE9"/>
    <w:rsid w:val="00B73842"/>
    <w:rsid w:val="00B740C6"/>
    <w:rsid w:val="00B7730F"/>
    <w:rsid w:val="00B8000B"/>
    <w:rsid w:val="00B816DA"/>
    <w:rsid w:val="00B8230C"/>
    <w:rsid w:val="00B82A18"/>
    <w:rsid w:val="00B85E48"/>
    <w:rsid w:val="00B86960"/>
    <w:rsid w:val="00B86B04"/>
    <w:rsid w:val="00B86D72"/>
    <w:rsid w:val="00B86FBC"/>
    <w:rsid w:val="00B87875"/>
    <w:rsid w:val="00B91C2D"/>
    <w:rsid w:val="00B940A9"/>
    <w:rsid w:val="00B943A4"/>
    <w:rsid w:val="00B9485A"/>
    <w:rsid w:val="00B951EF"/>
    <w:rsid w:val="00B97E64"/>
    <w:rsid w:val="00BA0CF2"/>
    <w:rsid w:val="00BA11CD"/>
    <w:rsid w:val="00BA1274"/>
    <w:rsid w:val="00BA14CC"/>
    <w:rsid w:val="00BA243E"/>
    <w:rsid w:val="00BA29E1"/>
    <w:rsid w:val="00BA2E4F"/>
    <w:rsid w:val="00BA4732"/>
    <w:rsid w:val="00BA4860"/>
    <w:rsid w:val="00BA6694"/>
    <w:rsid w:val="00BB01C0"/>
    <w:rsid w:val="00BB0FFD"/>
    <w:rsid w:val="00BB1C79"/>
    <w:rsid w:val="00BB208E"/>
    <w:rsid w:val="00BB3678"/>
    <w:rsid w:val="00BB47DC"/>
    <w:rsid w:val="00BB56E0"/>
    <w:rsid w:val="00BB7101"/>
    <w:rsid w:val="00BB7E7B"/>
    <w:rsid w:val="00BC040F"/>
    <w:rsid w:val="00BC094C"/>
    <w:rsid w:val="00BC1731"/>
    <w:rsid w:val="00BC1C90"/>
    <w:rsid w:val="00BC23CF"/>
    <w:rsid w:val="00BC2D90"/>
    <w:rsid w:val="00BC32EF"/>
    <w:rsid w:val="00BC344A"/>
    <w:rsid w:val="00BC3754"/>
    <w:rsid w:val="00BC3756"/>
    <w:rsid w:val="00BC43FD"/>
    <w:rsid w:val="00BC4897"/>
    <w:rsid w:val="00BC5060"/>
    <w:rsid w:val="00BC5A9E"/>
    <w:rsid w:val="00BC6587"/>
    <w:rsid w:val="00BC6C71"/>
    <w:rsid w:val="00BC7A21"/>
    <w:rsid w:val="00BD03DB"/>
    <w:rsid w:val="00BD0B14"/>
    <w:rsid w:val="00BD127B"/>
    <w:rsid w:val="00BD1E69"/>
    <w:rsid w:val="00BD435E"/>
    <w:rsid w:val="00BD4A8B"/>
    <w:rsid w:val="00BD5076"/>
    <w:rsid w:val="00BD50B3"/>
    <w:rsid w:val="00BD5BA3"/>
    <w:rsid w:val="00BD70C7"/>
    <w:rsid w:val="00BE1073"/>
    <w:rsid w:val="00BE1607"/>
    <w:rsid w:val="00BE27DE"/>
    <w:rsid w:val="00BE3253"/>
    <w:rsid w:val="00BE3A6A"/>
    <w:rsid w:val="00BE443F"/>
    <w:rsid w:val="00BE46A8"/>
    <w:rsid w:val="00BE687B"/>
    <w:rsid w:val="00BE6940"/>
    <w:rsid w:val="00BE6E3F"/>
    <w:rsid w:val="00BE7193"/>
    <w:rsid w:val="00BE76B6"/>
    <w:rsid w:val="00BF145E"/>
    <w:rsid w:val="00BF1B72"/>
    <w:rsid w:val="00BF229F"/>
    <w:rsid w:val="00BF27B0"/>
    <w:rsid w:val="00BF2C2C"/>
    <w:rsid w:val="00BF2CB0"/>
    <w:rsid w:val="00BF354D"/>
    <w:rsid w:val="00BF3EF4"/>
    <w:rsid w:val="00BF4BEC"/>
    <w:rsid w:val="00BF56FC"/>
    <w:rsid w:val="00BF5B34"/>
    <w:rsid w:val="00BF6779"/>
    <w:rsid w:val="00C00577"/>
    <w:rsid w:val="00C0147C"/>
    <w:rsid w:val="00C0246D"/>
    <w:rsid w:val="00C02E36"/>
    <w:rsid w:val="00C04C6B"/>
    <w:rsid w:val="00C04CD1"/>
    <w:rsid w:val="00C04E00"/>
    <w:rsid w:val="00C0539E"/>
    <w:rsid w:val="00C059F2"/>
    <w:rsid w:val="00C06617"/>
    <w:rsid w:val="00C06A1B"/>
    <w:rsid w:val="00C07101"/>
    <w:rsid w:val="00C07FCE"/>
    <w:rsid w:val="00C103D8"/>
    <w:rsid w:val="00C10DB1"/>
    <w:rsid w:val="00C1142B"/>
    <w:rsid w:val="00C1201B"/>
    <w:rsid w:val="00C1269F"/>
    <w:rsid w:val="00C133DE"/>
    <w:rsid w:val="00C148BD"/>
    <w:rsid w:val="00C151A3"/>
    <w:rsid w:val="00C156E3"/>
    <w:rsid w:val="00C15DD9"/>
    <w:rsid w:val="00C202D2"/>
    <w:rsid w:val="00C2051D"/>
    <w:rsid w:val="00C20CDA"/>
    <w:rsid w:val="00C22577"/>
    <w:rsid w:val="00C23E8B"/>
    <w:rsid w:val="00C24264"/>
    <w:rsid w:val="00C2462E"/>
    <w:rsid w:val="00C2584D"/>
    <w:rsid w:val="00C269A9"/>
    <w:rsid w:val="00C26C9E"/>
    <w:rsid w:val="00C2725A"/>
    <w:rsid w:val="00C30135"/>
    <w:rsid w:val="00C3061C"/>
    <w:rsid w:val="00C312AB"/>
    <w:rsid w:val="00C315C7"/>
    <w:rsid w:val="00C3397B"/>
    <w:rsid w:val="00C34040"/>
    <w:rsid w:val="00C34847"/>
    <w:rsid w:val="00C3519A"/>
    <w:rsid w:val="00C35273"/>
    <w:rsid w:val="00C36FB7"/>
    <w:rsid w:val="00C40550"/>
    <w:rsid w:val="00C41E4E"/>
    <w:rsid w:val="00C421E8"/>
    <w:rsid w:val="00C43AC2"/>
    <w:rsid w:val="00C43C65"/>
    <w:rsid w:val="00C460A8"/>
    <w:rsid w:val="00C46B12"/>
    <w:rsid w:val="00C4730E"/>
    <w:rsid w:val="00C47523"/>
    <w:rsid w:val="00C51D07"/>
    <w:rsid w:val="00C521C7"/>
    <w:rsid w:val="00C521F9"/>
    <w:rsid w:val="00C526B3"/>
    <w:rsid w:val="00C52912"/>
    <w:rsid w:val="00C52988"/>
    <w:rsid w:val="00C52F29"/>
    <w:rsid w:val="00C531A6"/>
    <w:rsid w:val="00C5341C"/>
    <w:rsid w:val="00C535B4"/>
    <w:rsid w:val="00C545F2"/>
    <w:rsid w:val="00C55AFF"/>
    <w:rsid w:val="00C56278"/>
    <w:rsid w:val="00C56FE4"/>
    <w:rsid w:val="00C57066"/>
    <w:rsid w:val="00C57A8C"/>
    <w:rsid w:val="00C6051E"/>
    <w:rsid w:val="00C61135"/>
    <w:rsid w:val="00C61715"/>
    <w:rsid w:val="00C61C53"/>
    <w:rsid w:val="00C61ED6"/>
    <w:rsid w:val="00C62135"/>
    <w:rsid w:val="00C62A16"/>
    <w:rsid w:val="00C652F0"/>
    <w:rsid w:val="00C662AB"/>
    <w:rsid w:val="00C66443"/>
    <w:rsid w:val="00C67A7F"/>
    <w:rsid w:val="00C700E4"/>
    <w:rsid w:val="00C70520"/>
    <w:rsid w:val="00C7149A"/>
    <w:rsid w:val="00C7205C"/>
    <w:rsid w:val="00C7235C"/>
    <w:rsid w:val="00C72A7E"/>
    <w:rsid w:val="00C72B85"/>
    <w:rsid w:val="00C72C49"/>
    <w:rsid w:val="00C738DF"/>
    <w:rsid w:val="00C7501F"/>
    <w:rsid w:val="00C75432"/>
    <w:rsid w:val="00C7566F"/>
    <w:rsid w:val="00C75A9D"/>
    <w:rsid w:val="00C77C6A"/>
    <w:rsid w:val="00C80553"/>
    <w:rsid w:val="00C81363"/>
    <w:rsid w:val="00C813DD"/>
    <w:rsid w:val="00C818EC"/>
    <w:rsid w:val="00C8397A"/>
    <w:rsid w:val="00C84F0F"/>
    <w:rsid w:val="00C85ABF"/>
    <w:rsid w:val="00C90F66"/>
    <w:rsid w:val="00C9126F"/>
    <w:rsid w:val="00C91298"/>
    <w:rsid w:val="00C91408"/>
    <w:rsid w:val="00C91A14"/>
    <w:rsid w:val="00C91AEF"/>
    <w:rsid w:val="00C9267E"/>
    <w:rsid w:val="00C93DA4"/>
    <w:rsid w:val="00C95640"/>
    <w:rsid w:val="00C95E4B"/>
    <w:rsid w:val="00C95F5A"/>
    <w:rsid w:val="00C9767A"/>
    <w:rsid w:val="00C97911"/>
    <w:rsid w:val="00CA0BCA"/>
    <w:rsid w:val="00CA1786"/>
    <w:rsid w:val="00CA181F"/>
    <w:rsid w:val="00CA1B66"/>
    <w:rsid w:val="00CA21D0"/>
    <w:rsid w:val="00CA339B"/>
    <w:rsid w:val="00CA5831"/>
    <w:rsid w:val="00CA5B4C"/>
    <w:rsid w:val="00CA6B47"/>
    <w:rsid w:val="00CA6C32"/>
    <w:rsid w:val="00CA6E92"/>
    <w:rsid w:val="00CA6F97"/>
    <w:rsid w:val="00CB0564"/>
    <w:rsid w:val="00CB083B"/>
    <w:rsid w:val="00CB0A57"/>
    <w:rsid w:val="00CB0CD8"/>
    <w:rsid w:val="00CB14E6"/>
    <w:rsid w:val="00CB17EF"/>
    <w:rsid w:val="00CB1819"/>
    <w:rsid w:val="00CB1B96"/>
    <w:rsid w:val="00CB1CCD"/>
    <w:rsid w:val="00CB1E87"/>
    <w:rsid w:val="00CB2B7E"/>
    <w:rsid w:val="00CB587F"/>
    <w:rsid w:val="00CB5D4E"/>
    <w:rsid w:val="00CB6298"/>
    <w:rsid w:val="00CB63F9"/>
    <w:rsid w:val="00CB6458"/>
    <w:rsid w:val="00CB6EE3"/>
    <w:rsid w:val="00CB7233"/>
    <w:rsid w:val="00CC05BE"/>
    <w:rsid w:val="00CC078E"/>
    <w:rsid w:val="00CC0981"/>
    <w:rsid w:val="00CC0982"/>
    <w:rsid w:val="00CC177B"/>
    <w:rsid w:val="00CC2BD0"/>
    <w:rsid w:val="00CC2E12"/>
    <w:rsid w:val="00CC44A1"/>
    <w:rsid w:val="00CC4623"/>
    <w:rsid w:val="00CC4656"/>
    <w:rsid w:val="00CC65B6"/>
    <w:rsid w:val="00CC6E5E"/>
    <w:rsid w:val="00CC7AA6"/>
    <w:rsid w:val="00CD04DB"/>
    <w:rsid w:val="00CD0535"/>
    <w:rsid w:val="00CD1133"/>
    <w:rsid w:val="00CD38C0"/>
    <w:rsid w:val="00CD3E48"/>
    <w:rsid w:val="00CD4206"/>
    <w:rsid w:val="00CD440C"/>
    <w:rsid w:val="00CD502F"/>
    <w:rsid w:val="00CD56BB"/>
    <w:rsid w:val="00CD6388"/>
    <w:rsid w:val="00CD679B"/>
    <w:rsid w:val="00CD6AA6"/>
    <w:rsid w:val="00CD6DCA"/>
    <w:rsid w:val="00CD7D21"/>
    <w:rsid w:val="00CE108C"/>
    <w:rsid w:val="00CE3508"/>
    <w:rsid w:val="00CE3B9D"/>
    <w:rsid w:val="00CE3D3A"/>
    <w:rsid w:val="00CE4368"/>
    <w:rsid w:val="00CE471E"/>
    <w:rsid w:val="00CE4CA8"/>
    <w:rsid w:val="00CE5126"/>
    <w:rsid w:val="00CE67CE"/>
    <w:rsid w:val="00CE6EB2"/>
    <w:rsid w:val="00CE75C9"/>
    <w:rsid w:val="00CE7BF4"/>
    <w:rsid w:val="00CF0862"/>
    <w:rsid w:val="00CF0DD4"/>
    <w:rsid w:val="00CF203F"/>
    <w:rsid w:val="00CF27FE"/>
    <w:rsid w:val="00CF2EE3"/>
    <w:rsid w:val="00CF4D8C"/>
    <w:rsid w:val="00CF4EB6"/>
    <w:rsid w:val="00CF52B1"/>
    <w:rsid w:val="00CF687F"/>
    <w:rsid w:val="00CF6DBF"/>
    <w:rsid w:val="00CF7467"/>
    <w:rsid w:val="00D00642"/>
    <w:rsid w:val="00D00F23"/>
    <w:rsid w:val="00D02859"/>
    <w:rsid w:val="00D02FA9"/>
    <w:rsid w:val="00D03C44"/>
    <w:rsid w:val="00D04082"/>
    <w:rsid w:val="00D0590D"/>
    <w:rsid w:val="00D05FA4"/>
    <w:rsid w:val="00D062FA"/>
    <w:rsid w:val="00D071DB"/>
    <w:rsid w:val="00D07788"/>
    <w:rsid w:val="00D07D35"/>
    <w:rsid w:val="00D07FA1"/>
    <w:rsid w:val="00D10B36"/>
    <w:rsid w:val="00D10C51"/>
    <w:rsid w:val="00D10EE5"/>
    <w:rsid w:val="00D113C9"/>
    <w:rsid w:val="00D1216B"/>
    <w:rsid w:val="00D12534"/>
    <w:rsid w:val="00D132BD"/>
    <w:rsid w:val="00D14956"/>
    <w:rsid w:val="00D14BD2"/>
    <w:rsid w:val="00D14DEA"/>
    <w:rsid w:val="00D155CB"/>
    <w:rsid w:val="00D15C0B"/>
    <w:rsid w:val="00D16DCF"/>
    <w:rsid w:val="00D1767E"/>
    <w:rsid w:val="00D17933"/>
    <w:rsid w:val="00D17DC1"/>
    <w:rsid w:val="00D203A2"/>
    <w:rsid w:val="00D21938"/>
    <w:rsid w:val="00D21B66"/>
    <w:rsid w:val="00D22A92"/>
    <w:rsid w:val="00D22C0F"/>
    <w:rsid w:val="00D23055"/>
    <w:rsid w:val="00D23644"/>
    <w:rsid w:val="00D239DB"/>
    <w:rsid w:val="00D23F4E"/>
    <w:rsid w:val="00D244CF"/>
    <w:rsid w:val="00D24640"/>
    <w:rsid w:val="00D25038"/>
    <w:rsid w:val="00D26073"/>
    <w:rsid w:val="00D26370"/>
    <w:rsid w:val="00D266B1"/>
    <w:rsid w:val="00D2721C"/>
    <w:rsid w:val="00D27319"/>
    <w:rsid w:val="00D314EC"/>
    <w:rsid w:val="00D317CC"/>
    <w:rsid w:val="00D320C3"/>
    <w:rsid w:val="00D32A2C"/>
    <w:rsid w:val="00D33623"/>
    <w:rsid w:val="00D33C80"/>
    <w:rsid w:val="00D33E5B"/>
    <w:rsid w:val="00D36728"/>
    <w:rsid w:val="00D369D9"/>
    <w:rsid w:val="00D40132"/>
    <w:rsid w:val="00D4148F"/>
    <w:rsid w:val="00D41EE8"/>
    <w:rsid w:val="00D44CFC"/>
    <w:rsid w:val="00D454FD"/>
    <w:rsid w:val="00D45E94"/>
    <w:rsid w:val="00D461B3"/>
    <w:rsid w:val="00D46A9E"/>
    <w:rsid w:val="00D474CD"/>
    <w:rsid w:val="00D47B67"/>
    <w:rsid w:val="00D47C5E"/>
    <w:rsid w:val="00D5006C"/>
    <w:rsid w:val="00D50337"/>
    <w:rsid w:val="00D50AA4"/>
    <w:rsid w:val="00D50ABE"/>
    <w:rsid w:val="00D50B13"/>
    <w:rsid w:val="00D50BFF"/>
    <w:rsid w:val="00D50C6A"/>
    <w:rsid w:val="00D51380"/>
    <w:rsid w:val="00D514AE"/>
    <w:rsid w:val="00D51A38"/>
    <w:rsid w:val="00D525E7"/>
    <w:rsid w:val="00D528B9"/>
    <w:rsid w:val="00D52DA4"/>
    <w:rsid w:val="00D53335"/>
    <w:rsid w:val="00D543F0"/>
    <w:rsid w:val="00D54A53"/>
    <w:rsid w:val="00D55443"/>
    <w:rsid w:val="00D5638C"/>
    <w:rsid w:val="00D56A2B"/>
    <w:rsid w:val="00D579D6"/>
    <w:rsid w:val="00D607C2"/>
    <w:rsid w:val="00D60E98"/>
    <w:rsid w:val="00D61133"/>
    <w:rsid w:val="00D6152B"/>
    <w:rsid w:val="00D6179F"/>
    <w:rsid w:val="00D629C8"/>
    <w:rsid w:val="00D62D24"/>
    <w:rsid w:val="00D62DC4"/>
    <w:rsid w:val="00D63792"/>
    <w:rsid w:val="00D63945"/>
    <w:rsid w:val="00D63B2E"/>
    <w:rsid w:val="00D644E2"/>
    <w:rsid w:val="00D64EC1"/>
    <w:rsid w:val="00D65E9B"/>
    <w:rsid w:val="00D6705E"/>
    <w:rsid w:val="00D670AE"/>
    <w:rsid w:val="00D67A6E"/>
    <w:rsid w:val="00D67AC0"/>
    <w:rsid w:val="00D67F3A"/>
    <w:rsid w:val="00D710E8"/>
    <w:rsid w:val="00D71884"/>
    <w:rsid w:val="00D736D7"/>
    <w:rsid w:val="00D73D54"/>
    <w:rsid w:val="00D740F5"/>
    <w:rsid w:val="00D7435C"/>
    <w:rsid w:val="00D7582C"/>
    <w:rsid w:val="00D758A6"/>
    <w:rsid w:val="00D759AB"/>
    <w:rsid w:val="00D75C6E"/>
    <w:rsid w:val="00D75F04"/>
    <w:rsid w:val="00D75FF2"/>
    <w:rsid w:val="00D7701D"/>
    <w:rsid w:val="00D8068B"/>
    <w:rsid w:val="00D80E96"/>
    <w:rsid w:val="00D81A9E"/>
    <w:rsid w:val="00D8592D"/>
    <w:rsid w:val="00D85A15"/>
    <w:rsid w:val="00D85E5A"/>
    <w:rsid w:val="00D86620"/>
    <w:rsid w:val="00D86835"/>
    <w:rsid w:val="00D868EB"/>
    <w:rsid w:val="00D86C63"/>
    <w:rsid w:val="00D90038"/>
    <w:rsid w:val="00D92342"/>
    <w:rsid w:val="00D92554"/>
    <w:rsid w:val="00D92593"/>
    <w:rsid w:val="00D94131"/>
    <w:rsid w:val="00D94378"/>
    <w:rsid w:val="00D950F0"/>
    <w:rsid w:val="00D964A3"/>
    <w:rsid w:val="00D96603"/>
    <w:rsid w:val="00D96D79"/>
    <w:rsid w:val="00D97DA8"/>
    <w:rsid w:val="00DA017E"/>
    <w:rsid w:val="00DA0A6F"/>
    <w:rsid w:val="00DA0F0F"/>
    <w:rsid w:val="00DA1446"/>
    <w:rsid w:val="00DA17CA"/>
    <w:rsid w:val="00DA26E4"/>
    <w:rsid w:val="00DA2CDE"/>
    <w:rsid w:val="00DA2FAD"/>
    <w:rsid w:val="00DA3E22"/>
    <w:rsid w:val="00DA46D0"/>
    <w:rsid w:val="00DA4AFD"/>
    <w:rsid w:val="00DA4D95"/>
    <w:rsid w:val="00DA4F7F"/>
    <w:rsid w:val="00DA73CF"/>
    <w:rsid w:val="00DA77EE"/>
    <w:rsid w:val="00DA789F"/>
    <w:rsid w:val="00DB0FB1"/>
    <w:rsid w:val="00DB1096"/>
    <w:rsid w:val="00DB1405"/>
    <w:rsid w:val="00DB1DF2"/>
    <w:rsid w:val="00DB2E9F"/>
    <w:rsid w:val="00DB4934"/>
    <w:rsid w:val="00DB50B5"/>
    <w:rsid w:val="00DB60B6"/>
    <w:rsid w:val="00DB610D"/>
    <w:rsid w:val="00DB73DD"/>
    <w:rsid w:val="00DB75BA"/>
    <w:rsid w:val="00DB7B9C"/>
    <w:rsid w:val="00DC033C"/>
    <w:rsid w:val="00DC072D"/>
    <w:rsid w:val="00DC1F5E"/>
    <w:rsid w:val="00DC29F2"/>
    <w:rsid w:val="00DC3935"/>
    <w:rsid w:val="00DC3F23"/>
    <w:rsid w:val="00DC4BF1"/>
    <w:rsid w:val="00DC4D33"/>
    <w:rsid w:val="00DC59FE"/>
    <w:rsid w:val="00DC6004"/>
    <w:rsid w:val="00DC61EC"/>
    <w:rsid w:val="00DC64EE"/>
    <w:rsid w:val="00DC6F6E"/>
    <w:rsid w:val="00DC7D83"/>
    <w:rsid w:val="00DD00D6"/>
    <w:rsid w:val="00DD07B0"/>
    <w:rsid w:val="00DD10E7"/>
    <w:rsid w:val="00DD153F"/>
    <w:rsid w:val="00DD3F04"/>
    <w:rsid w:val="00DD42FD"/>
    <w:rsid w:val="00DD43AB"/>
    <w:rsid w:val="00DD5798"/>
    <w:rsid w:val="00DD587B"/>
    <w:rsid w:val="00DD66CA"/>
    <w:rsid w:val="00DD7D7F"/>
    <w:rsid w:val="00DE07E7"/>
    <w:rsid w:val="00DE0F73"/>
    <w:rsid w:val="00DE118A"/>
    <w:rsid w:val="00DE16C7"/>
    <w:rsid w:val="00DE32FD"/>
    <w:rsid w:val="00DE3680"/>
    <w:rsid w:val="00DE3CE4"/>
    <w:rsid w:val="00DE3E6E"/>
    <w:rsid w:val="00DE3FCD"/>
    <w:rsid w:val="00DE45B9"/>
    <w:rsid w:val="00DE4791"/>
    <w:rsid w:val="00DE493D"/>
    <w:rsid w:val="00DE52DE"/>
    <w:rsid w:val="00DE58D0"/>
    <w:rsid w:val="00DE6DF0"/>
    <w:rsid w:val="00DE6F4E"/>
    <w:rsid w:val="00DF0094"/>
    <w:rsid w:val="00DF0D1E"/>
    <w:rsid w:val="00DF20F4"/>
    <w:rsid w:val="00DF2A6B"/>
    <w:rsid w:val="00DF3A8D"/>
    <w:rsid w:val="00DF3AC8"/>
    <w:rsid w:val="00DF3AD9"/>
    <w:rsid w:val="00DF3D54"/>
    <w:rsid w:val="00DF54E9"/>
    <w:rsid w:val="00DF577A"/>
    <w:rsid w:val="00DF59F1"/>
    <w:rsid w:val="00DF5E83"/>
    <w:rsid w:val="00DF6061"/>
    <w:rsid w:val="00E00174"/>
    <w:rsid w:val="00E0263B"/>
    <w:rsid w:val="00E032D8"/>
    <w:rsid w:val="00E040A9"/>
    <w:rsid w:val="00E042E4"/>
    <w:rsid w:val="00E047A5"/>
    <w:rsid w:val="00E059D0"/>
    <w:rsid w:val="00E06165"/>
    <w:rsid w:val="00E074B4"/>
    <w:rsid w:val="00E10975"/>
    <w:rsid w:val="00E11530"/>
    <w:rsid w:val="00E1162D"/>
    <w:rsid w:val="00E12703"/>
    <w:rsid w:val="00E1310C"/>
    <w:rsid w:val="00E164FB"/>
    <w:rsid w:val="00E165C6"/>
    <w:rsid w:val="00E16BB6"/>
    <w:rsid w:val="00E16DC0"/>
    <w:rsid w:val="00E16F96"/>
    <w:rsid w:val="00E177F7"/>
    <w:rsid w:val="00E17CBF"/>
    <w:rsid w:val="00E2095F"/>
    <w:rsid w:val="00E222E7"/>
    <w:rsid w:val="00E22C21"/>
    <w:rsid w:val="00E24E5C"/>
    <w:rsid w:val="00E2586C"/>
    <w:rsid w:val="00E268D1"/>
    <w:rsid w:val="00E2690A"/>
    <w:rsid w:val="00E26C56"/>
    <w:rsid w:val="00E277E9"/>
    <w:rsid w:val="00E3005B"/>
    <w:rsid w:val="00E3345F"/>
    <w:rsid w:val="00E33D1F"/>
    <w:rsid w:val="00E351EE"/>
    <w:rsid w:val="00E351FF"/>
    <w:rsid w:val="00E35257"/>
    <w:rsid w:val="00E35625"/>
    <w:rsid w:val="00E3636B"/>
    <w:rsid w:val="00E36B7E"/>
    <w:rsid w:val="00E37331"/>
    <w:rsid w:val="00E37C3D"/>
    <w:rsid w:val="00E407F0"/>
    <w:rsid w:val="00E42BC7"/>
    <w:rsid w:val="00E4380D"/>
    <w:rsid w:val="00E43947"/>
    <w:rsid w:val="00E4443F"/>
    <w:rsid w:val="00E46AE3"/>
    <w:rsid w:val="00E477C3"/>
    <w:rsid w:val="00E47882"/>
    <w:rsid w:val="00E47884"/>
    <w:rsid w:val="00E47EE6"/>
    <w:rsid w:val="00E50F7B"/>
    <w:rsid w:val="00E525F9"/>
    <w:rsid w:val="00E53090"/>
    <w:rsid w:val="00E54761"/>
    <w:rsid w:val="00E55440"/>
    <w:rsid w:val="00E55D4F"/>
    <w:rsid w:val="00E55E5E"/>
    <w:rsid w:val="00E55E6E"/>
    <w:rsid w:val="00E55FF6"/>
    <w:rsid w:val="00E564D2"/>
    <w:rsid w:val="00E56EBC"/>
    <w:rsid w:val="00E5718C"/>
    <w:rsid w:val="00E6109E"/>
    <w:rsid w:val="00E621B8"/>
    <w:rsid w:val="00E62245"/>
    <w:rsid w:val="00E62DD8"/>
    <w:rsid w:val="00E63C31"/>
    <w:rsid w:val="00E64DF1"/>
    <w:rsid w:val="00E66A91"/>
    <w:rsid w:val="00E70ABE"/>
    <w:rsid w:val="00E72D8B"/>
    <w:rsid w:val="00E73362"/>
    <w:rsid w:val="00E7397D"/>
    <w:rsid w:val="00E7468C"/>
    <w:rsid w:val="00E74C5C"/>
    <w:rsid w:val="00E75923"/>
    <w:rsid w:val="00E760ED"/>
    <w:rsid w:val="00E76929"/>
    <w:rsid w:val="00E804A8"/>
    <w:rsid w:val="00E80D42"/>
    <w:rsid w:val="00E81931"/>
    <w:rsid w:val="00E8260D"/>
    <w:rsid w:val="00E82869"/>
    <w:rsid w:val="00E82DB9"/>
    <w:rsid w:val="00E83023"/>
    <w:rsid w:val="00E84B22"/>
    <w:rsid w:val="00E85298"/>
    <w:rsid w:val="00E8615B"/>
    <w:rsid w:val="00E86697"/>
    <w:rsid w:val="00E90C0D"/>
    <w:rsid w:val="00E90CA7"/>
    <w:rsid w:val="00E90D48"/>
    <w:rsid w:val="00E91153"/>
    <w:rsid w:val="00E916CE"/>
    <w:rsid w:val="00E9191D"/>
    <w:rsid w:val="00E9215D"/>
    <w:rsid w:val="00E924F3"/>
    <w:rsid w:val="00E926BD"/>
    <w:rsid w:val="00E94059"/>
    <w:rsid w:val="00E94B69"/>
    <w:rsid w:val="00E9532D"/>
    <w:rsid w:val="00E956F3"/>
    <w:rsid w:val="00E95F9F"/>
    <w:rsid w:val="00E96F91"/>
    <w:rsid w:val="00E97A01"/>
    <w:rsid w:val="00E97F97"/>
    <w:rsid w:val="00EA0F0C"/>
    <w:rsid w:val="00EA1B06"/>
    <w:rsid w:val="00EA2625"/>
    <w:rsid w:val="00EA26CD"/>
    <w:rsid w:val="00EA28E9"/>
    <w:rsid w:val="00EA2B70"/>
    <w:rsid w:val="00EA37A6"/>
    <w:rsid w:val="00EA3A03"/>
    <w:rsid w:val="00EA3CCF"/>
    <w:rsid w:val="00EA3DC2"/>
    <w:rsid w:val="00EA4551"/>
    <w:rsid w:val="00EA47FA"/>
    <w:rsid w:val="00EA4B81"/>
    <w:rsid w:val="00EA582E"/>
    <w:rsid w:val="00EA5F4C"/>
    <w:rsid w:val="00EA7FAE"/>
    <w:rsid w:val="00EB0517"/>
    <w:rsid w:val="00EB0B6A"/>
    <w:rsid w:val="00EB153D"/>
    <w:rsid w:val="00EB1E3B"/>
    <w:rsid w:val="00EB2E21"/>
    <w:rsid w:val="00EB2EE7"/>
    <w:rsid w:val="00EB3296"/>
    <w:rsid w:val="00EB560F"/>
    <w:rsid w:val="00EB5AC5"/>
    <w:rsid w:val="00EB6FDD"/>
    <w:rsid w:val="00EC0A5B"/>
    <w:rsid w:val="00EC1937"/>
    <w:rsid w:val="00EC25EE"/>
    <w:rsid w:val="00EC27A5"/>
    <w:rsid w:val="00EC3574"/>
    <w:rsid w:val="00EC4A74"/>
    <w:rsid w:val="00EC4AFD"/>
    <w:rsid w:val="00EC53DC"/>
    <w:rsid w:val="00ED00D3"/>
    <w:rsid w:val="00ED0CFE"/>
    <w:rsid w:val="00ED1689"/>
    <w:rsid w:val="00ED1D5D"/>
    <w:rsid w:val="00ED2475"/>
    <w:rsid w:val="00ED3220"/>
    <w:rsid w:val="00ED3BAE"/>
    <w:rsid w:val="00ED60B6"/>
    <w:rsid w:val="00ED7AB6"/>
    <w:rsid w:val="00EE04AA"/>
    <w:rsid w:val="00EE0A23"/>
    <w:rsid w:val="00EE1B9A"/>
    <w:rsid w:val="00EE1DDF"/>
    <w:rsid w:val="00EE28B1"/>
    <w:rsid w:val="00EE2E6D"/>
    <w:rsid w:val="00EE473A"/>
    <w:rsid w:val="00EE4AA9"/>
    <w:rsid w:val="00EE4B3F"/>
    <w:rsid w:val="00EE554B"/>
    <w:rsid w:val="00EE581E"/>
    <w:rsid w:val="00EE586F"/>
    <w:rsid w:val="00EE6EF8"/>
    <w:rsid w:val="00EE7119"/>
    <w:rsid w:val="00EE7ABE"/>
    <w:rsid w:val="00EF0734"/>
    <w:rsid w:val="00EF0AE8"/>
    <w:rsid w:val="00EF2063"/>
    <w:rsid w:val="00EF2AA4"/>
    <w:rsid w:val="00EF38D1"/>
    <w:rsid w:val="00EF3C5C"/>
    <w:rsid w:val="00EF48F3"/>
    <w:rsid w:val="00EF4E74"/>
    <w:rsid w:val="00EF4F23"/>
    <w:rsid w:val="00EF5097"/>
    <w:rsid w:val="00EF53A9"/>
    <w:rsid w:val="00EF5CE5"/>
    <w:rsid w:val="00EF6344"/>
    <w:rsid w:val="00EF689A"/>
    <w:rsid w:val="00EF6CD9"/>
    <w:rsid w:val="00F0082D"/>
    <w:rsid w:val="00F00891"/>
    <w:rsid w:val="00F00DF6"/>
    <w:rsid w:val="00F0187F"/>
    <w:rsid w:val="00F01FAE"/>
    <w:rsid w:val="00F02DF9"/>
    <w:rsid w:val="00F0596B"/>
    <w:rsid w:val="00F0660D"/>
    <w:rsid w:val="00F075B9"/>
    <w:rsid w:val="00F075D9"/>
    <w:rsid w:val="00F1002C"/>
    <w:rsid w:val="00F105A4"/>
    <w:rsid w:val="00F10FA7"/>
    <w:rsid w:val="00F1112E"/>
    <w:rsid w:val="00F115CF"/>
    <w:rsid w:val="00F126C9"/>
    <w:rsid w:val="00F12EAA"/>
    <w:rsid w:val="00F14344"/>
    <w:rsid w:val="00F1616D"/>
    <w:rsid w:val="00F16968"/>
    <w:rsid w:val="00F20204"/>
    <w:rsid w:val="00F2290E"/>
    <w:rsid w:val="00F22FCC"/>
    <w:rsid w:val="00F232FA"/>
    <w:rsid w:val="00F24B96"/>
    <w:rsid w:val="00F2560C"/>
    <w:rsid w:val="00F25814"/>
    <w:rsid w:val="00F25970"/>
    <w:rsid w:val="00F273EA"/>
    <w:rsid w:val="00F2749C"/>
    <w:rsid w:val="00F275B5"/>
    <w:rsid w:val="00F277B8"/>
    <w:rsid w:val="00F277E7"/>
    <w:rsid w:val="00F27A7F"/>
    <w:rsid w:val="00F308DB"/>
    <w:rsid w:val="00F3184B"/>
    <w:rsid w:val="00F323EF"/>
    <w:rsid w:val="00F32AA1"/>
    <w:rsid w:val="00F35BB3"/>
    <w:rsid w:val="00F35DA8"/>
    <w:rsid w:val="00F361E5"/>
    <w:rsid w:val="00F3732A"/>
    <w:rsid w:val="00F40063"/>
    <w:rsid w:val="00F40AFD"/>
    <w:rsid w:val="00F40B04"/>
    <w:rsid w:val="00F40B09"/>
    <w:rsid w:val="00F40D74"/>
    <w:rsid w:val="00F43625"/>
    <w:rsid w:val="00F43CB7"/>
    <w:rsid w:val="00F4501F"/>
    <w:rsid w:val="00F460DD"/>
    <w:rsid w:val="00F460FF"/>
    <w:rsid w:val="00F47FD9"/>
    <w:rsid w:val="00F501D0"/>
    <w:rsid w:val="00F50CC5"/>
    <w:rsid w:val="00F513AB"/>
    <w:rsid w:val="00F52D64"/>
    <w:rsid w:val="00F535C5"/>
    <w:rsid w:val="00F53781"/>
    <w:rsid w:val="00F53AB2"/>
    <w:rsid w:val="00F57F7A"/>
    <w:rsid w:val="00F60F3D"/>
    <w:rsid w:val="00F613DD"/>
    <w:rsid w:val="00F6221E"/>
    <w:rsid w:val="00F63B6E"/>
    <w:rsid w:val="00F6523A"/>
    <w:rsid w:val="00F66316"/>
    <w:rsid w:val="00F6637D"/>
    <w:rsid w:val="00F66E4C"/>
    <w:rsid w:val="00F67A0B"/>
    <w:rsid w:val="00F70982"/>
    <w:rsid w:val="00F70C01"/>
    <w:rsid w:val="00F71A12"/>
    <w:rsid w:val="00F722FC"/>
    <w:rsid w:val="00F72DF3"/>
    <w:rsid w:val="00F74444"/>
    <w:rsid w:val="00F74482"/>
    <w:rsid w:val="00F74AA9"/>
    <w:rsid w:val="00F74F11"/>
    <w:rsid w:val="00F75F75"/>
    <w:rsid w:val="00F7682E"/>
    <w:rsid w:val="00F817DF"/>
    <w:rsid w:val="00F818FA"/>
    <w:rsid w:val="00F83195"/>
    <w:rsid w:val="00F83F5E"/>
    <w:rsid w:val="00F85221"/>
    <w:rsid w:val="00F8556C"/>
    <w:rsid w:val="00F86254"/>
    <w:rsid w:val="00F862DA"/>
    <w:rsid w:val="00F86B4E"/>
    <w:rsid w:val="00F91B45"/>
    <w:rsid w:val="00F91C2B"/>
    <w:rsid w:val="00F921AE"/>
    <w:rsid w:val="00F93858"/>
    <w:rsid w:val="00F943A6"/>
    <w:rsid w:val="00F944A1"/>
    <w:rsid w:val="00F94B01"/>
    <w:rsid w:val="00F94B08"/>
    <w:rsid w:val="00F952BA"/>
    <w:rsid w:val="00F95A5C"/>
    <w:rsid w:val="00F9720E"/>
    <w:rsid w:val="00FA0F0E"/>
    <w:rsid w:val="00FA17EF"/>
    <w:rsid w:val="00FA18CE"/>
    <w:rsid w:val="00FA2010"/>
    <w:rsid w:val="00FA2ED6"/>
    <w:rsid w:val="00FA348F"/>
    <w:rsid w:val="00FA4418"/>
    <w:rsid w:val="00FA45BA"/>
    <w:rsid w:val="00FA4FB4"/>
    <w:rsid w:val="00FA501C"/>
    <w:rsid w:val="00FA5C8A"/>
    <w:rsid w:val="00FA6AD9"/>
    <w:rsid w:val="00FB1364"/>
    <w:rsid w:val="00FB1B16"/>
    <w:rsid w:val="00FB2E43"/>
    <w:rsid w:val="00FB33BF"/>
    <w:rsid w:val="00FB46E3"/>
    <w:rsid w:val="00FB5373"/>
    <w:rsid w:val="00FB547A"/>
    <w:rsid w:val="00FB62D5"/>
    <w:rsid w:val="00FB6479"/>
    <w:rsid w:val="00FB7471"/>
    <w:rsid w:val="00FB75D8"/>
    <w:rsid w:val="00FB7BF7"/>
    <w:rsid w:val="00FC03C1"/>
    <w:rsid w:val="00FC06A6"/>
    <w:rsid w:val="00FC094A"/>
    <w:rsid w:val="00FC146E"/>
    <w:rsid w:val="00FC2D55"/>
    <w:rsid w:val="00FC3563"/>
    <w:rsid w:val="00FC4057"/>
    <w:rsid w:val="00FC573C"/>
    <w:rsid w:val="00FC62F5"/>
    <w:rsid w:val="00FC6305"/>
    <w:rsid w:val="00FC63FC"/>
    <w:rsid w:val="00FC6ED7"/>
    <w:rsid w:val="00FC7201"/>
    <w:rsid w:val="00FC7C7D"/>
    <w:rsid w:val="00FD1498"/>
    <w:rsid w:val="00FD2DD5"/>
    <w:rsid w:val="00FD3DF6"/>
    <w:rsid w:val="00FD46F2"/>
    <w:rsid w:val="00FD4816"/>
    <w:rsid w:val="00FD4C7F"/>
    <w:rsid w:val="00FD6738"/>
    <w:rsid w:val="00FD6AE0"/>
    <w:rsid w:val="00FE0225"/>
    <w:rsid w:val="00FE14F4"/>
    <w:rsid w:val="00FE1671"/>
    <w:rsid w:val="00FE1B75"/>
    <w:rsid w:val="00FE2987"/>
    <w:rsid w:val="00FE2BDF"/>
    <w:rsid w:val="00FE2E67"/>
    <w:rsid w:val="00FE3233"/>
    <w:rsid w:val="00FE468B"/>
    <w:rsid w:val="00FE50BF"/>
    <w:rsid w:val="00FE516A"/>
    <w:rsid w:val="00FE56CB"/>
    <w:rsid w:val="00FE58F1"/>
    <w:rsid w:val="00FE7C33"/>
    <w:rsid w:val="00FF01EF"/>
    <w:rsid w:val="00FF085D"/>
    <w:rsid w:val="00FF0F29"/>
    <w:rsid w:val="00FF13BB"/>
    <w:rsid w:val="00FF1437"/>
    <w:rsid w:val="00FF1E4E"/>
    <w:rsid w:val="00FF2204"/>
    <w:rsid w:val="00FF30DA"/>
    <w:rsid w:val="00FF4ABC"/>
    <w:rsid w:val="00FF4F40"/>
    <w:rsid w:val="00FF56FA"/>
    <w:rsid w:val="00FF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56"/>
    <w:rPr>
      <w:sz w:val="24"/>
    </w:rPr>
  </w:style>
  <w:style w:type="paragraph" w:styleId="Heading1">
    <w:name w:val="heading 1"/>
    <w:basedOn w:val="Normal"/>
    <w:next w:val="Normal"/>
    <w:qFormat/>
    <w:rsid w:val="00D868EB"/>
    <w:pPr>
      <w:keepNext/>
      <w:numPr>
        <w:numId w:val="1"/>
      </w:numPr>
      <w:spacing w:before="220" w:after="220"/>
      <w:jc w:val="center"/>
      <w:outlineLvl w:val="0"/>
    </w:pPr>
    <w:rPr>
      <w:rFonts w:ascii="Times New Roman Bold" w:hAnsi="Times New Roman Bold"/>
      <w:b/>
      <w:caps/>
      <w:kern w:val="28"/>
    </w:rPr>
  </w:style>
  <w:style w:type="paragraph" w:styleId="Heading2">
    <w:name w:val="heading 2"/>
    <w:basedOn w:val="Normal"/>
    <w:next w:val="Normal"/>
    <w:qFormat/>
    <w:rsid w:val="00D868EB"/>
    <w:pPr>
      <w:keepNext/>
      <w:numPr>
        <w:ilvl w:val="1"/>
        <w:numId w:val="1"/>
      </w:numPr>
      <w:spacing w:after="220"/>
      <w:outlineLvl w:val="1"/>
    </w:pPr>
    <w:rPr>
      <w:rFonts w:ascii="Times New Roman Bold" w:hAnsi="Times New Roman Bold"/>
      <w:b/>
    </w:rPr>
  </w:style>
  <w:style w:type="paragraph" w:styleId="Heading3">
    <w:name w:val="heading 3"/>
    <w:basedOn w:val="Normal"/>
    <w:next w:val="Normal"/>
    <w:qFormat/>
    <w:rsid w:val="00D868EB"/>
    <w:pPr>
      <w:keepNext/>
      <w:spacing w:before="240" w:after="60"/>
      <w:outlineLvl w:val="2"/>
    </w:pPr>
    <w:rPr>
      <w:rFonts w:ascii="Arial" w:hAnsi="Arial"/>
    </w:rPr>
  </w:style>
  <w:style w:type="paragraph" w:styleId="Heading4">
    <w:name w:val="heading 4"/>
    <w:basedOn w:val="Normal"/>
    <w:next w:val="Normal"/>
    <w:qFormat/>
    <w:rsid w:val="00D868EB"/>
    <w:pPr>
      <w:keepNext/>
      <w:numPr>
        <w:ilvl w:val="3"/>
        <w:numId w:val="1"/>
      </w:numPr>
      <w:spacing w:before="240" w:after="60"/>
      <w:outlineLvl w:val="3"/>
    </w:pPr>
    <w:rPr>
      <w:rFonts w:ascii="Arial" w:hAnsi="Arial"/>
      <w:b/>
    </w:rPr>
  </w:style>
  <w:style w:type="paragraph" w:styleId="Heading5">
    <w:name w:val="heading 5"/>
    <w:basedOn w:val="Normal"/>
    <w:next w:val="Normal"/>
    <w:qFormat/>
    <w:rsid w:val="00D868EB"/>
    <w:pPr>
      <w:numPr>
        <w:ilvl w:val="4"/>
        <w:numId w:val="1"/>
      </w:numPr>
      <w:spacing w:before="240" w:after="60"/>
      <w:outlineLvl w:val="4"/>
    </w:pPr>
    <w:rPr>
      <w:sz w:val="22"/>
    </w:rPr>
  </w:style>
  <w:style w:type="paragraph" w:styleId="Heading6">
    <w:name w:val="heading 6"/>
    <w:basedOn w:val="Normal"/>
    <w:next w:val="Normal"/>
    <w:qFormat/>
    <w:rsid w:val="00D868EB"/>
    <w:pPr>
      <w:numPr>
        <w:ilvl w:val="5"/>
        <w:numId w:val="1"/>
      </w:numPr>
      <w:spacing w:before="240" w:after="60"/>
      <w:outlineLvl w:val="5"/>
    </w:pPr>
    <w:rPr>
      <w:i/>
      <w:sz w:val="22"/>
    </w:rPr>
  </w:style>
  <w:style w:type="paragraph" w:styleId="Heading7">
    <w:name w:val="heading 7"/>
    <w:basedOn w:val="Normal"/>
    <w:next w:val="Normal"/>
    <w:qFormat/>
    <w:rsid w:val="00D868EB"/>
    <w:pPr>
      <w:numPr>
        <w:ilvl w:val="6"/>
        <w:numId w:val="1"/>
      </w:numPr>
      <w:spacing w:before="240" w:after="60"/>
      <w:outlineLvl w:val="6"/>
    </w:pPr>
    <w:rPr>
      <w:rFonts w:ascii="Arial" w:hAnsi="Arial"/>
    </w:rPr>
  </w:style>
  <w:style w:type="paragraph" w:styleId="Heading8">
    <w:name w:val="heading 8"/>
    <w:basedOn w:val="Normal"/>
    <w:next w:val="Normal"/>
    <w:qFormat/>
    <w:rsid w:val="00D868EB"/>
    <w:pPr>
      <w:numPr>
        <w:ilvl w:val="7"/>
        <w:numId w:val="1"/>
      </w:numPr>
      <w:spacing w:before="240" w:after="60"/>
      <w:outlineLvl w:val="7"/>
    </w:pPr>
    <w:rPr>
      <w:rFonts w:ascii="Arial" w:hAnsi="Arial"/>
      <w:i/>
    </w:rPr>
  </w:style>
  <w:style w:type="paragraph" w:styleId="Heading9">
    <w:name w:val="heading 9"/>
    <w:basedOn w:val="Normal"/>
    <w:next w:val="Normal"/>
    <w:qFormat/>
    <w:rsid w:val="00D868E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868EB"/>
    <w:pPr>
      <w:tabs>
        <w:tab w:val="center" w:pos="4320"/>
        <w:tab w:val="right" w:pos="8640"/>
      </w:tabs>
    </w:pPr>
  </w:style>
  <w:style w:type="paragraph" w:styleId="Footer">
    <w:name w:val="footer"/>
    <w:basedOn w:val="Normal"/>
    <w:semiHidden/>
    <w:rsid w:val="00D868EB"/>
    <w:pPr>
      <w:tabs>
        <w:tab w:val="center" w:pos="4320"/>
        <w:tab w:val="right" w:pos="8640"/>
      </w:tabs>
    </w:pPr>
  </w:style>
  <w:style w:type="character" w:styleId="PageNumber">
    <w:name w:val="page number"/>
    <w:basedOn w:val="DefaultParagraphFont"/>
    <w:semiHidden/>
    <w:rsid w:val="00D868EB"/>
  </w:style>
  <w:style w:type="paragraph" w:customStyle="1" w:styleId="FirstPageHeader">
    <w:name w:val="First Page Header"/>
    <w:basedOn w:val="Normal"/>
    <w:rsid w:val="00D868EB"/>
    <w:pPr>
      <w:tabs>
        <w:tab w:val="center" w:pos="4320"/>
        <w:tab w:val="right" w:pos="8640"/>
      </w:tabs>
    </w:pPr>
    <w:rPr>
      <w:b/>
    </w:rPr>
  </w:style>
  <w:style w:type="paragraph" w:customStyle="1" w:styleId="Titleinfo">
    <w:name w:val="Title info"/>
    <w:basedOn w:val="Header"/>
    <w:rsid w:val="00D868EB"/>
    <w:pPr>
      <w:tabs>
        <w:tab w:val="clear" w:pos="4320"/>
        <w:tab w:val="clear" w:pos="8640"/>
      </w:tabs>
    </w:pPr>
    <w:rPr>
      <w:sz w:val="22"/>
    </w:rPr>
  </w:style>
  <w:style w:type="paragraph" w:customStyle="1" w:styleId="Numberedparagraphs">
    <w:name w:val="Numbered paragraphs"/>
    <w:basedOn w:val="Normal"/>
    <w:rsid w:val="00D868EB"/>
    <w:pPr>
      <w:tabs>
        <w:tab w:val="left" w:pos="1440"/>
      </w:tabs>
      <w:spacing w:after="220"/>
    </w:p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Footnote Text Char2,fn,f"/>
    <w:basedOn w:val="Normal"/>
    <w:link w:val="FootnoteTextChar"/>
    <w:uiPriority w:val="99"/>
    <w:rsid w:val="00D868EB"/>
    <w:pPr>
      <w:spacing w:after="200"/>
    </w:pPr>
    <w:rPr>
      <w:sz w:val="20"/>
      <w:lang w:val="x-none"/>
    </w:rPr>
  </w:style>
  <w:style w:type="character" w:styleId="FootnoteReference">
    <w:name w:val="footnote reference"/>
    <w:aliases w:val="Style 12,(NECG) Footnote Reference,Style 13,Appel note de bas de p,Style 124,fr,o,Style 3,FR,Style 17,Footnote Reference/,Style 6,Footnote Reference1,Style 7"/>
    <w:rsid w:val="00D868EB"/>
    <w:rPr>
      <w:vertAlign w:val="superscript"/>
    </w:rPr>
  </w:style>
  <w:style w:type="paragraph" w:styleId="BalloonText">
    <w:name w:val="Balloon Text"/>
    <w:basedOn w:val="Normal"/>
    <w:semiHidden/>
    <w:rsid w:val="00D868EB"/>
    <w:rPr>
      <w:rFonts w:ascii="Tahoma" w:hAnsi="Tahoma" w:cs="Tahoma"/>
      <w:sz w:val="16"/>
      <w:szCs w:val="16"/>
    </w:rPr>
  </w:style>
  <w:style w:type="character" w:styleId="Hyperlink">
    <w:name w:val="Hyperlink"/>
    <w:rsid w:val="00D868EB"/>
    <w:rPr>
      <w:color w:val="0000FF"/>
      <w:u w:val="single"/>
    </w:rPr>
  </w:style>
  <w:style w:type="character" w:customStyle="1" w:styleId="documentbody1">
    <w:name w:val="documentbody1"/>
    <w:rsid w:val="00D868EB"/>
    <w:rPr>
      <w:rFonts w:ascii="Verdana" w:hAnsi="Verdana" w:hint="default"/>
      <w:sz w:val="19"/>
      <w:szCs w:val="19"/>
    </w:rPr>
  </w:style>
  <w:style w:type="character" w:customStyle="1" w:styleId="searchterm3">
    <w:name w:val="searchterm3"/>
    <w:rsid w:val="00D868EB"/>
    <w:rPr>
      <w:rFonts w:ascii="Verdana" w:hAnsi="Verdana" w:hint="default"/>
      <w:b/>
      <w:bCs/>
      <w:sz w:val="19"/>
      <w:szCs w:val="19"/>
      <w:shd w:val="clear" w:color="auto" w:fill="FFFF00"/>
    </w:rPr>
  </w:style>
  <w:style w:type="character" w:styleId="FollowedHyperlink">
    <w:name w:val="FollowedHyperlink"/>
    <w:semiHidden/>
    <w:rsid w:val="00D868EB"/>
    <w:rPr>
      <w:color w:val="800080"/>
      <w:u w:val="single"/>
    </w:rPr>
  </w:style>
  <w:style w:type="character" w:customStyle="1" w:styleId="StyleNumberedparagraphs11ptChar">
    <w:name w:val="Style Numbered paragraphs + 11 pt Char"/>
    <w:rsid w:val="00D868EB"/>
    <w:rPr>
      <w:noProof w:val="0"/>
      <w:sz w:val="22"/>
      <w:lang w:val="en-US" w:eastAsia="en-US" w:bidi="ar-SA"/>
    </w:rPr>
  </w:style>
  <w:style w:type="paragraph" w:customStyle="1" w:styleId="ParaNum">
    <w:name w:val="ParaNum"/>
    <w:basedOn w:val="Normal"/>
    <w:rsid w:val="00D868EB"/>
    <w:pPr>
      <w:widowControl w:val="0"/>
      <w:numPr>
        <w:numId w:val="2"/>
      </w:numPr>
      <w:tabs>
        <w:tab w:val="left" w:pos="1440"/>
      </w:tabs>
      <w:spacing w:after="220"/>
      <w:jc w:val="both"/>
    </w:pPr>
  </w:style>
  <w:style w:type="character" w:customStyle="1" w:styleId="StyleNumberedparagraphs11ptCharCharChar">
    <w:name w:val="Style Numbered paragraphs + 11 pt Char Char Char"/>
    <w:rsid w:val="00D868EB"/>
    <w:rPr>
      <w:noProof w:val="0"/>
      <w:sz w:val="22"/>
      <w:szCs w:val="22"/>
      <w:lang w:val="en-US" w:eastAsia="en-US" w:bidi="ar-SA"/>
    </w:rPr>
  </w:style>
  <w:style w:type="paragraph" w:customStyle="1" w:styleId="ParaNumCharCharCharCharChar">
    <w:name w:val="ParaNum Char Char Char Char Char"/>
    <w:basedOn w:val="Normal"/>
    <w:rsid w:val="00D868EB"/>
    <w:pPr>
      <w:widowControl w:val="0"/>
      <w:numPr>
        <w:numId w:val="3"/>
      </w:numPr>
      <w:spacing w:after="220"/>
      <w:jc w:val="both"/>
    </w:pPr>
    <w:rPr>
      <w:snapToGrid w:val="0"/>
      <w:kern w:val="28"/>
      <w:sz w:val="22"/>
    </w:rPr>
  </w:style>
  <w:style w:type="character" w:customStyle="1" w:styleId="FootnoteTextChar1Char">
    <w:name w:val="Footnote Text Char1 Char"/>
    <w:aliases w:val="ALTS FOOTNOTE Char1 Char,fn Char1 Char,Footnote Text Char Char Char,ALTS FOOTNOTE Char Char Char,fn Char Char Char,Footnote Text Char1 Char Char Char,Footnote Text Char Char Char Char Char,Footnote Text Char2 Char,fn Char Char1"/>
    <w:rsid w:val="00D868EB"/>
    <w:rPr>
      <w:noProof w:val="0"/>
      <w:lang w:val="en-US" w:eastAsia="en-US" w:bidi="ar-SA"/>
    </w:rPr>
  </w:style>
  <w:style w:type="character" w:customStyle="1" w:styleId="FootnoteTextChar1CharCharCharCharChar">
    <w:name w:val="Footnote Text Char1 Char Char Char Char Char"/>
    <w:aliases w:val="Footnote Text Char Char Char Char Char Char Char Char"/>
    <w:rsid w:val="00D868EB"/>
    <w:rPr>
      <w:noProof w:val="0"/>
      <w:lang w:val="en-US" w:eastAsia="en-US" w:bidi="ar-SA"/>
    </w:rPr>
  </w:style>
  <w:style w:type="character" w:customStyle="1" w:styleId="FootnoteTextChar1Char1CharCharCharChar">
    <w:name w:val="Footnote Text Char1 Char1 Char Char Char Char"/>
    <w:rsid w:val="00D868EB"/>
    <w:rPr>
      <w:noProof w:val="0"/>
      <w:lang w:val="en-US" w:eastAsia="en-US" w:bidi="ar-SA"/>
    </w:rPr>
  </w:style>
  <w:style w:type="character" w:styleId="Emphasis">
    <w:name w:val="Emphasis"/>
    <w:qFormat/>
    <w:rsid w:val="00D868EB"/>
    <w:rPr>
      <w:i/>
      <w:iCs/>
    </w:rPr>
  </w:style>
  <w:style w:type="character" w:customStyle="1" w:styleId="stylenumberedparagraphs11ptchar0">
    <w:name w:val="stylenumberedparagraphs11ptchar"/>
    <w:basedOn w:val="DefaultParagraphFont"/>
    <w:uiPriority w:val="99"/>
    <w:rsid w:val="00D868EB"/>
  </w:style>
  <w:style w:type="character" w:customStyle="1" w:styleId="FootnoteTextChar3Char">
    <w:name w:val="Footnote Text Char3 Char"/>
    <w:aliases w:val="Footnote Text Char Char1 Char,Footnote Text Char1 Char Char1 Char,Footnote Text Char Char Char Char1 Char,Footnote Text Char1 Char Char Char Char1 Char,ALTS FOOTNOTE Char1 Char Char Char Char1 Char,fn Char2 Char Char"/>
    <w:rsid w:val="00D868EB"/>
    <w:rPr>
      <w:lang w:val="en-US" w:eastAsia="en-US" w:bidi="ar-SA"/>
    </w:rPr>
  </w:style>
  <w:style w:type="character" w:styleId="CommentReference">
    <w:name w:val="annotation reference"/>
    <w:semiHidden/>
    <w:rsid w:val="00D868EB"/>
    <w:rPr>
      <w:sz w:val="16"/>
      <w:szCs w:val="16"/>
    </w:rPr>
  </w:style>
  <w:style w:type="paragraph" w:styleId="CommentText">
    <w:name w:val="annotation text"/>
    <w:basedOn w:val="Normal"/>
    <w:link w:val="CommentTextChar"/>
    <w:uiPriority w:val="99"/>
    <w:semiHidden/>
    <w:rsid w:val="00D868EB"/>
    <w:rPr>
      <w:sz w:val="20"/>
    </w:rPr>
  </w:style>
  <w:style w:type="character" w:customStyle="1" w:styleId="CharChar1">
    <w:name w:val="Char Char1"/>
    <w:basedOn w:val="DefaultParagraphFont"/>
    <w:rsid w:val="00D868EB"/>
  </w:style>
  <w:style w:type="paragraph" w:styleId="CommentSubject">
    <w:name w:val="annotation subject"/>
    <w:basedOn w:val="CommentText"/>
    <w:next w:val="CommentText"/>
    <w:rsid w:val="00D868EB"/>
    <w:rPr>
      <w:b/>
      <w:bCs/>
    </w:rPr>
  </w:style>
  <w:style w:type="character" w:customStyle="1" w:styleId="CharChar">
    <w:name w:val="Char Char"/>
    <w:rsid w:val="00D868EB"/>
    <w:rPr>
      <w:b/>
      <w:bCs/>
    </w:rPr>
  </w:style>
  <w:style w:type="paragraph" w:styleId="NormalWeb">
    <w:name w:val="Normal (Web)"/>
    <w:basedOn w:val="Normal"/>
    <w:rsid w:val="00D868EB"/>
    <w:pPr>
      <w:spacing w:before="100" w:beforeAutospacing="1" w:after="100" w:afterAutospacing="1"/>
    </w:pPr>
    <w:rPr>
      <w:szCs w:val="24"/>
    </w:rPr>
  </w:style>
  <w:style w:type="paragraph" w:styleId="ListParagraph">
    <w:name w:val="List Paragraph"/>
    <w:basedOn w:val="Normal"/>
    <w:uiPriority w:val="34"/>
    <w:qFormat/>
    <w:rsid w:val="00D868EB"/>
    <w:pPr>
      <w:ind w:left="720"/>
    </w:pPr>
  </w:style>
  <w:style w:type="paragraph" w:customStyle="1" w:styleId="par1">
    <w:name w:val="par1"/>
    <w:basedOn w:val="Normal"/>
    <w:rsid w:val="00EE0A23"/>
    <w:pPr>
      <w:numPr>
        <w:ilvl w:val="2"/>
        <w:numId w:val="1"/>
      </w:numPr>
    </w:pPr>
  </w:style>
  <w:style w:type="paragraph" w:customStyle="1" w:styleId="Default">
    <w:name w:val="Default"/>
    <w:rsid w:val="00B4783B"/>
    <w:pPr>
      <w:autoSpaceDE w:val="0"/>
      <w:autoSpaceDN w:val="0"/>
      <w:adjustRightInd w:val="0"/>
    </w:pPr>
    <w:rPr>
      <w:color w:val="000000"/>
      <w:sz w:val="24"/>
      <w:szCs w:val="24"/>
    </w:rPr>
  </w:style>
  <w:style w:type="character" w:customStyle="1" w:styleId="FootnoteTextChar">
    <w:name w:val="Footnote Text Char"/>
    <w:aliases w:val="Footnote Text Char1 Char1,ALTS FOOTNOTE Char1 Char1,fn Char1 Char1,Footnote Text Char Char Char1,ALTS FOOTNOTE Char Char Char1,fn Char Char Char1,Footnote Text Char1 Char Char Char1,Footnote Text Char Char Char Char Char1,fn Char"/>
    <w:link w:val="FootnoteText"/>
    <w:uiPriority w:val="99"/>
    <w:rsid w:val="00D7582C"/>
    <w:rPr>
      <w:lang w:eastAsia="en-US"/>
    </w:rPr>
  </w:style>
  <w:style w:type="table" w:styleId="TableGrid">
    <w:name w:val="Table Grid"/>
    <w:basedOn w:val="TableNormal"/>
    <w:rsid w:val="006A7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SFOOTNOTEChar3">
    <w:name w:val="ALTS FOOTNOTE Char3"/>
    <w:aliases w:val="fn Char3,Footnote Text Char Char2,ALTS FOOTNOTE Char Char2,fn Char Char2,Footnote Text Char1 Char Char2,Footnote Text Char Char Char Char2,Footnote Text Char2 Char Char Char Char2,Footnote Text Char1 Char1 Char Char Char Char2,f Char"/>
    <w:rsid w:val="00B26E32"/>
    <w:rPr>
      <w:lang w:val="en-US" w:eastAsia="en-US" w:bidi="ar-SA"/>
    </w:rPr>
  </w:style>
  <w:style w:type="character" w:customStyle="1" w:styleId="searchterm">
    <w:name w:val="searchterm"/>
    <w:basedOn w:val="DefaultParagraphFont"/>
    <w:rsid w:val="000120A2"/>
  </w:style>
  <w:style w:type="paragraph" w:styleId="Revision">
    <w:name w:val="Revision"/>
    <w:hidden/>
    <w:uiPriority w:val="99"/>
    <w:semiHidden/>
    <w:rsid w:val="00A51B4A"/>
    <w:rPr>
      <w:sz w:val="24"/>
    </w:rPr>
  </w:style>
  <w:style w:type="character" w:customStyle="1" w:styleId="CommentTextChar">
    <w:name w:val="Comment Text Char"/>
    <w:link w:val="CommentText"/>
    <w:uiPriority w:val="99"/>
    <w:semiHidden/>
    <w:rsid w:val="007B7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56"/>
    <w:rPr>
      <w:sz w:val="24"/>
    </w:rPr>
  </w:style>
  <w:style w:type="paragraph" w:styleId="Heading1">
    <w:name w:val="heading 1"/>
    <w:basedOn w:val="Normal"/>
    <w:next w:val="Normal"/>
    <w:qFormat/>
    <w:rsid w:val="00D868EB"/>
    <w:pPr>
      <w:keepNext/>
      <w:numPr>
        <w:numId w:val="1"/>
      </w:numPr>
      <w:spacing w:before="220" w:after="220"/>
      <w:jc w:val="center"/>
      <w:outlineLvl w:val="0"/>
    </w:pPr>
    <w:rPr>
      <w:rFonts w:ascii="Times New Roman Bold" w:hAnsi="Times New Roman Bold"/>
      <w:b/>
      <w:caps/>
      <w:kern w:val="28"/>
    </w:rPr>
  </w:style>
  <w:style w:type="paragraph" w:styleId="Heading2">
    <w:name w:val="heading 2"/>
    <w:basedOn w:val="Normal"/>
    <w:next w:val="Normal"/>
    <w:qFormat/>
    <w:rsid w:val="00D868EB"/>
    <w:pPr>
      <w:keepNext/>
      <w:numPr>
        <w:ilvl w:val="1"/>
        <w:numId w:val="1"/>
      </w:numPr>
      <w:spacing w:after="220"/>
      <w:outlineLvl w:val="1"/>
    </w:pPr>
    <w:rPr>
      <w:rFonts w:ascii="Times New Roman Bold" w:hAnsi="Times New Roman Bold"/>
      <w:b/>
    </w:rPr>
  </w:style>
  <w:style w:type="paragraph" w:styleId="Heading3">
    <w:name w:val="heading 3"/>
    <w:basedOn w:val="Normal"/>
    <w:next w:val="Normal"/>
    <w:qFormat/>
    <w:rsid w:val="00D868EB"/>
    <w:pPr>
      <w:keepNext/>
      <w:spacing w:before="240" w:after="60"/>
      <w:outlineLvl w:val="2"/>
    </w:pPr>
    <w:rPr>
      <w:rFonts w:ascii="Arial" w:hAnsi="Arial"/>
    </w:rPr>
  </w:style>
  <w:style w:type="paragraph" w:styleId="Heading4">
    <w:name w:val="heading 4"/>
    <w:basedOn w:val="Normal"/>
    <w:next w:val="Normal"/>
    <w:qFormat/>
    <w:rsid w:val="00D868EB"/>
    <w:pPr>
      <w:keepNext/>
      <w:numPr>
        <w:ilvl w:val="3"/>
        <w:numId w:val="1"/>
      </w:numPr>
      <w:spacing w:before="240" w:after="60"/>
      <w:outlineLvl w:val="3"/>
    </w:pPr>
    <w:rPr>
      <w:rFonts w:ascii="Arial" w:hAnsi="Arial"/>
      <w:b/>
    </w:rPr>
  </w:style>
  <w:style w:type="paragraph" w:styleId="Heading5">
    <w:name w:val="heading 5"/>
    <w:basedOn w:val="Normal"/>
    <w:next w:val="Normal"/>
    <w:qFormat/>
    <w:rsid w:val="00D868EB"/>
    <w:pPr>
      <w:numPr>
        <w:ilvl w:val="4"/>
        <w:numId w:val="1"/>
      </w:numPr>
      <w:spacing w:before="240" w:after="60"/>
      <w:outlineLvl w:val="4"/>
    </w:pPr>
    <w:rPr>
      <w:sz w:val="22"/>
    </w:rPr>
  </w:style>
  <w:style w:type="paragraph" w:styleId="Heading6">
    <w:name w:val="heading 6"/>
    <w:basedOn w:val="Normal"/>
    <w:next w:val="Normal"/>
    <w:qFormat/>
    <w:rsid w:val="00D868EB"/>
    <w:pPr>
      <w:numPr>
        <w:ilvl w:val="5"/>
        <w:numId w:val="1"/>
      </w:numPr>
      <w:spacing w:before="240" w:after="60"/>
      <w:outlineLvl w:val="5"/>
    </w:pPr>
    <w:rPr>
      <w:i/>
      <w:sz w:val="22"/>
    </w:rPr>
  </w:style>
  <w:style w:type="paragraph" w:styleId="Heading7">
    <w:name w:val="heading 7"/>
    <w:basedOn w:val="Normal"/>
    <w:next w:val="Normal"/>
    <w:qFormat/>
    <w:rsid w:val="00D868EB"/>
    <w:pPr>
      <w:numPr>
        <w:ilvl w:val="6"/>
        <w:numId w:val="1"/>
      </w:numPr>
      <w:spacing w:before="240" w:after="60"/>
      <w:outlineLvl w:val="6"/>
    </w:pPr>
    <w:rPr>
      <w:rFonts w:ascii="Arial" w:hAnsi="Arial"/>
    </w:rPr>
  </w:style>
  <w:style w:type="paragraph" w:styleId="Heading8">
    <w:name w:val="heading 8"/>
    <w:basedOn w:val="Normal"/>
    <w:next w:val="Normal"/>
    <w:qFormat/>
    <w:rsid w:val="00D868EB"/>
    <w:pPr>
      <w:numPr>
        <w:ilvl w:val="7"/>
        <w:numId w:val="1"/>
      </w:numPr>
      <w:spacing w:before="240" w:after="60"/>
      <w:outlineLvl w:val="7"/>
    </w:pPr>
    <w:rPr>
      <w:rFonts w:ascii="Arial" w:hAnsi="Arial"/>
      <w:i/>
    </w:rPr>
  </w:style>
  <w:style w:type="paragraph" w:styleId="Heading9">
    <w:name w:val="heading 9"/>
    <w:basedOn w:val="Normal"/>
    <w:next w:val="Normal"/>
    <w:qFormat/>
    <w:rsid w:val="00D868E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868EB"/>
    <w:pPr>
      <w:tabs>
        <w:tab w:val="center" w:pos="4320"/>
        <w:tab w:val="right" w:pos="8640"/>
      </w:tabs>
    </w:pPr>
  </w:style>
  <w:style w:type="paragraph" w:styleId="Footer">
    <w:name w:val="footer"/>
    <w:basedOn w:val="Normal"/>
    <w:semiHidden/>
    <w:rsid w:val="00D868EB"/>
    <w:pPr>
      <w:tabs>
        <w:tab w:val="center" w:pos="4320"/>
        <w:tab w:val="right" w:pos="8640"/>
      </w:tabs>
    </w:pPr>
  </w:style>
  <w:style w:type="character" w:styleId="PageNumber">
    <w:name w:val="page number"/>
    <w:basedOn w:val="DefaultParagraphFont"/>
    <w:semiHidden/>
    <w:rsid w:val="00D868EB"/>
  </w:style>
  <w:style w:type="paragraph" w:customStyle="1" w:styleId="FirstPageHeader">
    <w:name w:val="First Page Header"/>
    <w:basedOn w:val="Normal"/>
    <w:rsid w:val="00D868EB"/>
    <w:pPr>
      <w:tabs>
        <w:tab w:val="center" w:pos="4320"/>
        <w:tab w:val="right" w:pos="8640"/>
      </w:tabs>
    </w:pPr>
    <w:rPr>
      <w:b/>
    </w:rPr>
  </w:style>
  <w:style w:type="paragraph" w:customStyle="1" w:styleId="Titleinfo">
    <w:name w:val="Title info"/>
    <w:basedOn w:val="Header"/>
    <w:rsid w:val="00D868EB"/>
    <w:pPr>
      <w:tabs>
        <w:tab w:val="clear" w:pos="4320"/>
        <w:tab w:val="clear" w:pos="8640"/>
      </w:tabs>
    </w:pPr>
    <w:rPr>
      <w:sz w:val="22"/>
    </w:rPr>
  </w:style>
  <w:style w:type="paragraph" w:customStyle="1" w:styleId="Numberedparagraphs">
    <w:name w:val="Numbered paragraphs"/>
    <w:basedOn w:val="Normal"/>
    <w:rsid w:val="00D868EB"/>
    <w:pPr>
      <w:tabs>
        <w:tab w:val="left" w:pos="1440"/>
      </w:tabs>
      <w:spacing w:after="220"/>
    </w:p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Footnote Text Char2,fn,f"/>
    <w:basedOn w:val="Normal"/>
    <w:link w:val="FootnoteTextChar"/>
    <w:uiPriority w:val="99"/>
    <w:rsid w:val="00D868EB"/>
    <w:pPr>
      <w:spacing w:after="200"/>
    </w:pPr>
    <w:rPr>
      <w:sz w:val="20"/>
      <w:lang w:val="x-none"/>
    </w:rPr>
  </w:style>
  <w:style w:type="character" w:styleId="FootnoteReference">
    <w:name w:val="footnote reference"/>
    <w:aliases w:val="Style 12,(NECG) Footnote Reference,Style 13,Appel note de bas de p,Style 124,fr,o,Style 3,FR,Style 17,Footnote Reference/,Style 6,Footnote Reference1,Style 7"/>
    <w:rsid w:val="00D868EB"/>
    <w:rPr>
      <w:vertAlign w:val="superscript"/>
    </w:rPr>
  </w:style>
  <w:style w:type="paragraph" w:styleId="BalloonText">
    <w:name w:val="Balloon Text"/>
    <w:basedOn w:val="Normal"/>
    <w:semiHidden/>
    <w:rsid w:val="00D868EB"/>
    <w:rPr>
      <w:rFonts w:ascii="Tahoma" w:hAnsi="Tahoma" w:cs="Tahoma"/>
      <w:sz w:val="16"/>
      <w:szCs w:val="16"/>
    </w:rPr>
  </w:style>
  <w:style w:type="character" w:styleId="Hyperlink">
    <w:name w:val="Hyperlink"/>
    <w:rsid w:val="00D868EB"/>
    <w:rPr>
      <w:color w:val="0000FF"/>
      <w:u w:val="single"/>
    </w:rPr>
  </w:style>
  <w:style w:type="character" w:customStyle="1" w:styleId="documentbody1">
    <w:name w:val="documentbody1"/>
    <w:rsid w:val="00D868EB"/>
    <w:rPr>
      <w:rFonts w:ascii="Verdana" w:hAnsi="Verdana" w:hint="default"/>
      <w:sz w:val="19"/>
      <w:szCs w:val="19"/>
    </w:rPr>
  </w:style>
  <w:style w:type="character" w:customStyle="1" w:styleId="searchterm3">
    <w:name w:val="searchterm3"/>
    <w:rsid w:val="00D868EB"/>
    <w:rPr>
      <w:rFonts w:ascii="Verdana" w:hAnsi="Verdana" w:hint="default"/>
      <w:b/>
      <w:bCs/>
      <w:sz w:val="19"/>
      <w:szCs w:val="19"/>
      <w:shd w:val="clear" w:color="auto" w:fill="FFFF00"/>
    </w:rPr>
  </w:style>
  <w:style w:type="character" w:styleId="FollowedHyperlink">
    <w:name w:val="FollowedHyperlink"/>
    <w:semiHidden/>
    <w:rsid w:val="00D868EB"/>
    <w:rPr>
      <w:color w:val="800080"/>
      <w:u w:val="single"/>
    </w:rPr>
  </w:style>
  <w:style w:type="character" w:customStyle="1" w:styleId="StyleNumberedparagraphs11ptChar">
    <w:name w:val="Style Numbered paragraphs + 11 pt Char"/>
    <w:rsid w:val="00D868EB"/>
    <w:rPr>
      <w:noProof w:val="0"/>
      <w:sz w:val="22"/>
      <w:lang w:val="en-US" w:eastAsia="en-US" w:bidi="ar-SA"/>
    </w:rPr>
  </w:style>
  <w:style w:type="paragraph" w:customStyle="1" w:styleId="ParaNum">
    <w:name w:val="ParaNum"/>
    <w:basedOn w:val="Normal"/>
    <w:rsid w:val="00D868EB"/>
    <w:pPr>
      <w:widowControl w:val="0"/>
      <w:numPr>
        <w:numId w:val="2"/>
      </w:numPr>
      <w:tabs>
        <w:tab w:val="left" w:pos="1440"/>
      </w:tabs>
      <w:spacing w:after="220"/>
      <w:jc w:val="both"/>
    </w:pPr>
  </w:style>
  <w:style w:type="character" w:customStyle="1" w:styleId="StyleNumberedparagraphs11ptCharCharChar">
    <w:name w:val="Style Numbered paragraphs + 11 pt Char Char Char"/>
    <w:rsid w:val="00D868EB"/>
    <w:rPr>
      <w:noProof w:val="0"/>
      <w:sz w:val="22"/>
      <w:szCs w:val="22"/>
      <w:lang w:val="en-US" w:eastAsia="en-US" w:bidi="ar-SA"/>
    </w:rPr>
  </w:style>
  <w:style w:type="paragraph" w:customStyle="1" w:styleId="ParaNumCharCharCharCharChar">
    <w:name w:val="ParaNum Char Char Char Char Char"/>
    <w:basedOn w:val="Normal"/>
    <w:rsid w:val="00D868EB"/>
    <w:pPr>
      <w:widowControl w:val="0"/>
      <w:numPr>
        <w:numId w:val="3"/>
      </w:numPr>
      <w:spacing w:after="220"/>
      <w:jc w:val="both"/>
    </w:pPr>
    <w:rPr>
      <w:snapToGrid w:val="0"/>
      <w:kern w:val="28"/>
      <w:sz w:val="22"/>
    </w:rPr>
  </w:style>
  <w:style w:type="character" w:customStyle="1" w:styleId="FootnoteTextChar1Char">
    <w:name w:val="Footnote Text Char1 Char"/>
    <w:aliases w:val="ALTS FOOTNOTE Char1 Char,fn Char1 Char,Footnote Text Char Char Char,ALTS FOOTNOTE Char Char Char,fn Char Char Char,Footnote Text Char1 Char Char Char,Footnote Text Char Char Char Char Char,Footnote Text Char2 Char,fn Char Char1"/>
    <w:rsid w:val="00D868EB"/>
    <w:rPr>
      <w:noProof w:val="0"/>
      <w:lang w:val="en-US" w:eastAsia="en-US" w:bidi="ar-SA"/>
    </w:rPr>
  </w:style>
  <w:style w:type="character" w:customStyle="1" w:styleId="FootnoteTextChar1CharCharCharCharChar">
    <w:name w:val="Footnote Text Char1 Char Char Char Char Char"/>
    <w:aliases w:val="Footnote Text Char Char Char Char Char Char Char Char"/>
    <w:rsid w:val="00D868EB"/>
    <w:rPr>
      <w:noProof w:val="0"/>
      <w:lang w:val="en-US" w:eastAsia="en-US" w:bidi="ar-SA"/>
    </w:rPr>
  </w:style>
  <w:style w:type="character" w:customStyle="1" w:styleId="FootnoteTextChar1Char1CharCharCharChar">
    <w:name w:val="Footnote Text Char1 Char1 Char Char Char Char"/>
    <w:rsid w:val="00D868EB"/>
    <w:rPr>
      <w:noProof w:val="0"/>
      <w:lang w:val="en-US" w:eastAsia="en-US" w:bidi="ar-SA"/>
    </w:rPr>
  </w:style>
  <w:style w:type="character" w:styleId="Emphasis">
    <w:name w:val="Emphasis"/>
    <w:qFormat/>
    <w:rsid w:val="00D868EB"/>
    <w:rPr>
      <w:i/>
      <w:iCs/>
    </w:rPr>
  </w:style>
  <w:style w:type="character" w:customStyle="1" w:styleId="stylenumberedparagraphs11ptchar0">
    <w:name w:val="stylenumberedparagraphs11ptchar"/>
    <w:basedOn w:val="DefaultParagraphFont"/>
    <w:uiPriority w:val="99"/>
    <w:rsid w:val="00D868EB"/>
  </w:style>
  <w:style w:type="character" w:customStyle="1" w:styleId="FootnoteTextChar3Char">
    <w:name w:val="Footnote Text Char3 Char"/>
    <w:aliases w:val="Footnote Text Char Char1 Char,Footnote Text Char1 Char Char1 Char,Footnote Text Char Char Char Char1 Char,Footnote Text Char1 Char Char Char Char1 Char,ALTS FOOTNOTE Char1 Char Char Char Char1 Char,fn Char2 Char Char"/>
    <w:rsid w:val="00D868EB"/>
    <w:rPr>
      <w:lang w:val="en-US" w:eastAsia="en-US" w:bidi="ar-SA"/>
    </w:rPr>
  </w:style>
  <w:style w:type="character" w:styleId="CommentReference">
    <w:name w:val="annotation reference"/>
    <w:semiHidden/>
    <w:rsid w:val="00D868EB"/>
    <w:rPr>
      <w:sz w:val="16"/>
      <w:szCs w:val="16"/>
    </w:rPr>
  </w:style>
  <w:style w:type="paragraph" w:styleId="CommentText">
    <w:name w:val="annotation text"/>
    <w:basedOn w:val="Normal"/>
    <w:link w:val="CommentTextChar"/>
    <w:uiPriority w:val="99"/>
    <w:semiHidden/>
    <w:rsid w:val="00D868EB"/>
    <w:rPr>
      <w:sz w:val="20"/>
    </w:rPr>
  </w:style>
  <w:style w:type="character" w:customStyle="1" w:styleId="CharChar1">
    <w:name w:val="Char Char1"/>
    <w:basedOn w:val="DefaultParagraphFont"/>
    <w:rsid w:val="00D868EB"/>
  </w:style>
  <w:style w:type="paragraph" w:styleId="CommentSubject">
    <w:name w:val="annotation subject"/>
    <w:basedOn w:val="CommentText"/>
    <w:next w:val="CommentText"/>
    <w:rsid w:val="00D868EB"/>
    <w:rPr>
      <w:b/>
      <w:bCs/>
    </w:rPr>
  </w:style>
  <w:style w:type="character" w:customStyle="1" w:styleId="CharChar">
    <w:name w:val="Char Char"/>
    <w:rsid w:val="00D868EB"/>
    <w:rPr>
      <w:b/>
      <w:bCs/>
    </w:rPr>
  </w:style>
  <w:style w:type="paragraph" w:styleId="NormalWeb">
    <w:name w:val="Normal (Web)"/>
    <w:basedOn w:val="Normal"/>
    <w:rsid w:val="00D868EB"/>
    <w:pPr>
      <w:spacing w:before="100" w:beforeAutospacing="1" w:after="100" w:afterAutospacing="1"/>
    </w:pPr>
    <w:rPr>
      <w:szCs w:val="24"/>
    </w:rPr>
  </w:style>
  <w:style w:type="paragraph" w:styleId="ListParagraph">
    <w:name w:val="List Paragraph"/>
    <w:basedOn w:val="Normal"/>
    <w:uiPriority w:val="34"/>
    <w:qFormat/>
    <w:rsid w:val="00D868EB"/>
    <w:pPr>
      <w:ind w:left="720"/>
    </w:pPr>
  </w:style>
  <w:style w:type="paragraph" w:customStyle="1" w:styleId="par1">
    <w:name w:val="par1"/>
    <w:basedOn w:val="Normal"/>
    <w:rsid w:val="00EE0A23"/>
    <w:pPr>
      <w:numPr>
        <w:ilvl w:val="2"/>
        <w:numId w:val="1"/>
      </w:numPr>
    </w:pPr>
  </w:style>
  <w:style w:type="paragraph" w:customStyle="1" w:styleId="Default">
    <w:name w:val="Default"/>
    <w:rsid w:val="00B4783B"/>
    <w:pPr>
      <w:autoSpaceDE w:val="0"/>
      <w:autoSpaceDN w:val="0"/>
      <w:adjustRightInd w:val="0"/>
    </w:pPr>
    <w:rPr>
      <w:color w:val="000000"/>
      <w:sz w:val="24"/>
      <w:szCs w:val="24"/>
    </w:rPr>
  </w:style>
  <w:style w:type="character" w:customStyle="1" w:styleId="FootnoteTextChar">
    <w:name w:val="Footnote Text Char"/>
    <w:aliases w:val="Footnote Text Char1 Char1,ALTS FOOTNOTE Char1 Char1,fn Char1 Char1,Footnote Text Char Char Char1,ALTS FOOTNOTE Char Char Char1,fn Char Char Char1,Footnote Text Char1 Char Char Char1,Footnote Text Char Char Char Char Char1,fn Char"/>
    <w:link w:val="FootnoteText"/>
    <w:uiPriority w:val="99"/>
    <w:rsid w:val="00D7582C"/>
    <w:rPr>
      <w:lang w:eastAsia="en-US"/>
    </w:rPr>
  </w:style>
  <w:style w:type="table" w:styleId="TableGrid">
    <w:name w:val="Table Grid"/>
    <w:basedOn w:val="TableNormal"/>
    <w:rsid w:val="006A7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SFOOTNOTEChar3">
    <w:name w:val="ALTS FOOTNOTE Char3"/>
    <w:aliases w:val="fn Char3,Footnote Text Char Char2,ALTS FOOTNOTE Char Char2,fn Char Char2,Footnote Text Char1 Char Char2,Footnote Text Char Char Char Char2,Footnote Text Char2 Char Char Char Char2,Footnote Text Char1 Char1 Char Char Char Char2,f Char"/>
    <w:rsid w:val="00B26E32"/>
    <w:rPr>
      <w:lang w:val="en-US" w:eastAsia="en-US" w:bidi="ar-SA"/>
    </w:rPr>
  </w:style>
  <w:style w:type="character" w:customStyle="1" w:styleId="searchterm">
    <w:name w:val="searchterm"/>
    <w:basedOn w:val="DefaultParagraphFont"/>
    <w:rsid w:val="000120A2"/>
  </w:style>
  <w:style w:type="paragraph" w:styleId="Revision">
    <w:name w:val="Revision"/>
    <w:hidden/>
    <w:uiPriority w:val="99"/>
    <w:semiHidden/>
    <w:rsid w:val="00A51B4A"/>
    <w:rPr>
      <w:sz w:val="24"/>
    </w:rPr>
  </w:style>
  <w:style w:type="character" w:customStyle="1" w:styleId="CommentTextChar">
    <w:name w:val="Comment Text Char"/>
    <w:link w:val="CommentText"/>
    <w:uiPriority w:val="99"/>
    <w:semiHidden/>
    <w:rsid w:val="007B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9784">
      <w:bodyDiv w:val="1"/>
      <w:marLeft w:val="0"/>
      <w:marRight w:val="0"/>
      <w:marTop w:val="0"/>
      <w:marBottom w:val="0"/>
      <w:divBdr>
        <w:top w:val="none" w:sz="0" w:space="0" w:color="auto"/>
        <w:left w:val="none" w:sz="0" w:space="0" w:color="auto"/>
        <w:bottom w:val="none" w:sz="0" w:space="0" w:color="auto"/>
        <w:right w:val="none" w:sz="0" w:space="0" w:color="auto"/>
      </w:divBdr>
      <w:divsChild>
        <w:div w:id="1793014972">
          <w:marLeft w:val="0"/>
          <w:marRight w:val="0"/>
          <w:marTop w:val="0"/>
          <w:marBottom w:val="0"/>
          <w:divBdr>
            <w:top w:val="none" w:sz="0" w:space="0" w:color="auto"/>
            <w:left w:val="none" w:sz="0" w:space="0" w:color="auto"/>
            <w:bottom w:val="none" w:sz="0" w:space="0" w:color="auto"/>
            <w:right w:val="none" w:sz="0" w:space="0" w:color="auto"/>
          </w:divBdr>
        </w:div>
      </w:divsChild>
    </w:div>
    <w:div w:id="417098426">
      <w:bodyDiv w:val="1"/>
      <w:marLeft w:val="0"/>
      <w:marRight w:val="0"/>
      <w:marTop w:val="0"/>
      <w:marBottom w:val="0"/>
      <w:divBdr>
        <w:top w:val="none" w:sz="0" w:space="0" w:color="auto"/>
        <w:left w:val="none" w:sz="0" w:space="0" w:color="auto"/>
        <w:bottom w:val="none" w:sz="0" w:space="0" w:color="auto"/>
        <w:right w:val="none" w:sz="0" w:space="0" w:color="auto"/>
      </w:divBdr>
      <w:divsChild>
        <w:div w:id="143862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06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130576">
      <w:bodyDiv w:val="1"/>
      <w:marLeft w:val="0"/>
      <w:marRight w:val="0"/>
      <w:marTop w:val="0"/>
      <w:marBottom w:val="0"/>
      <w:divBdr>
        <w:top w:val="none" w:sz="0" w:space="0" w:color="auto"/>
        <w:left w:val="none" w:sz="0" w:space="0" w:color="auto"/>
        <w:bottom w:val="none" w:sz="0" w:space="0" w:color="auto"/>
        <w:right w:val="none" w:sz="0" w:space="0" w:color="auto"/>
      </w:divBdr>
      <w:divsChild>
        <w:div w:id="1651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730078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682137">
      <w:bodyDiv w:val="1"/>
      <w:marLeft w:val="0"/>
      <w:marRight w:val="0"/>
      <w:marTop w:val="0"/>
      <w:marBottom w:val="0"/>
      <w:divBdr>
        <w:top w:val="none" w:sz="0" w:space="0" w:color="auto"/>
        <w:left w:val="none" w:sz="0" w:space="0" w:color="auto"/>
        <w:bottom w:val="none" w:sz="0" w:space="0" w:color="auto"/>
        <w:right w:val="none" w:sz="0" w:space="0" w:color="auto"/>
      </w:divBdr>
      <w:divsChild>
        <w:div w:id="578252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433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233863">
      <w:bodyDiv w:val="1"/>
      <w:marLeft w:val="0"/>
      <w:marRight w:val="0"/>
      <w:marTop w:val="0"/>
      <w:marBottom w:val="0"/>
      <w:divBdr>
        <w:top w:val="none" w:sz="0" w:space="0" w:color="auto"/>
        <w:left w:val="none" w:sz="0" w:space="0" w:color="auto"/>
        <w:bottom w:val="none" w:sz="0" w:space="0" w:color="auto"/>
        <w:right w:val="none" w:sz="0" w:space="0" w:color="auto"/>
      </w:divBdr>
      <w:divsChild>
        <w:div w:id="200098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901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5537247">
      <w:bodyDiv w:val="1"/>
      <w:marLeft w:val="0"/>
      <w:marRight w:val="0"/>
      <w:marTop w:val="0"/>
      <w:marBottom w:val="0"/>
      <w:divBdr>
        <w:top w:val="none" w:sz="0" w:space="0" w:color="auto"/>
        <w:left w:val="none" w:sz="0" w:space="0" w:color="auto"/>
        <w:bottom w:val="none" w:sz="0" w:space="0" w:color="auto"/>
        <w:right w:val="none" w:sz="0" w:space="0" w:color="auto"/>
      </w:divBdr>
    </w:div>
    <w:div w:id="883519608">
      <w:bodyDiv w:val="1"/>
      <w:marLeft w:val="0"/>
      <w:marRight w:val="0"/>
      <w:marTop w:val="0"/>
      <w:marBottom w:val="0"/>
      <w:divBdr>
        <w:top w:val="none" w:sz="0" w:space="0" w:color="auto"/>
        <w:left w:val="none" w:sz="0" w:space="0" w:color="auto"/>
        <w:bottom w:val="none" w:sz="0" w:space="0" w:color="auto"/>
        <w:right w:val="none" w:sz="0" w:space="0" w:color="auto"/>
      </w:divBdr>
      <w:divsChild>
        <w:div w:id="257253196">
          <w:blockQuote w:val="1"/>
          <w:marLeft w:val="720"/>
          <w:marRight w:val="720"/>
          <w:marTop w:val="100"/>
          <w:marBottom w:val="100"/>
          <w:divBdr>
            <w:top w:val="none" w:sz="0" w:space="0" w:color="auto"/>
            <w:left w:val="none" w:sz="0" w:space="0" w:color="auto"/>
            <w:bottom w:val="none" w:sz="0" w:space="0" w:color="auto"/>
            <w:right w:val="none" w:sz="0" w:space="0" w:color="auto"/>
          </w:divBdr>
        </w:div>
        <w:div w:id="351153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626108">
      <w:bodyDiv w:val="1"/>
      <w:marLeft w:val="30"/>
      <w:marRight w:val="30"/>
      <w:marTop w:val="30"/>
      <w:marBottom w:val="30"/>
      <w:divBdr>
        <w:top w:val="none" w:sz="0" w:space="0" w:color="auto"/>
        <w:left w:val="none" w:sz="0" w:space="0" w:color="auto"/>
        <w:bottom w:val="none" w:sz="0" w:space="0" w:color="auto"/>
        <w:right w:val="none" w:sz="0" w:space="0" w:color="auto"/>
      </w:divBdr>
      <w:divsChild>
        <w:div w:id="1832214986">
          <w:marLeft w:val="0"/>
          <w:marRight w:val="0"/>
          <w:marTop w:val="0"/>
          <w:marBottom w:val="0"/>
          <w:divBdr>
            <w:top w:val="none" w:sz="0" w:space="0" w:color="auto"/>
            <w:left w:val="none" w:sz="0" w:space="0" w:color="auto"/>
            <w:bottom w:val="none" w:sz="0" w:space="0" w:color="auto"/>
            <w:right w:val="none" w:sz="0" w:space="0" w:color="auto"/>
          </w:divBdr>
          <w:divsChild>
            <w:div w:id="856190243">
              <w:marLeft w:val="45"/>
              <w:marRight w:val="45"/>
              <w:marTop w:val="45"/>
              <w:marBottom w:val="45"/>
              <w:divBdr>
                <w:top w:val="none" w:sz="0" w:space="0" w:color="auto"/>
                <w:left w:val="none" w:sz="0" w:space="0" w:color="auto"/>
                <w:bottom w:val="none" w:sz="0" w:space="0" w:color="auto"/>
                <w:right w:val="none" w:sz="0" w:space="0" w:color="auto"/>
              </w:divBdr>
              <w:divsChild>
                <w:div w:id="765998185">
                  <w:marLeft w:val="0"/>
                  <w:marRight w:val="0"/>
                  <w:marTop w:val="0"/>
                  <w:marBottom w:val="0"/>
                  <w:divBdr>
                    <w:top w:val="none" w:sz="0" w:space="0" w:color="auto"/>
                    <w:left w:val="none" w:sz="0" w:space="0" w:color="auto"/>
                    <w:bottom w:val="none" w:sz="0" w:space="0" w:color="auto"/>
                    <w:right w:val="none" w:sz="0" w:space="0" w:color="auto"/>
                  </w:divBdr>
                  <w:divsChild>
                    <w:div w:id="90768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896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3202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437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69482360">
      <w:bodyDiv w:val="1"/>
      <w:marLeft w:val="0"/>
      <w:marRight w:val="0"/>
      <w:marTop w:val="0"/>
      <w:marBottom w:val="0"/>
      <w:divBdr>
        <w:top w:val="none" w:sz="0" w:space="0" w:color="auto"/>
        <w:left w:val="none" w:sz="0" w:space="0" w:color="auto"/>
        <w:bottom w:val="none" w:sz="0" w:space="0" w:color="auto"/>
        <w:right w:val="none" w:sz="0" w:space="0" w:color="auto"/>
      </w:divBdr>
      <w:divsChild>
        <w:div w:id="101923102">
          <w:blockQuote w:val="1"/>
          <w:marLeft w:val="720"/>
          <w:marRight w:val="720"/>
          <w:marTop w:val="100"/>
          <w:marBottom w:val="100"/>
          <w:divBdr>
            <w:top w:val="none" w:sz="0" w:space="0" w:color="auto"/>
            <w:left w:val="none" w:sz="0" w:space="0" w:color="auto"/>
            <w:bottom w:val="none" w:sz="0" w:space="0" w:color="auto"/>
            <w:right w:val="none" w:sz="0" w:space="0" w:color="auto"/>
          </w:divBdr>
        </w:div>
        <w:div w:id="526797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572773">
      <w:bodyDiv w:val="1"/>
      <w:marLeft w:val="0"/>
      <w:marRight w:val="0"/>
      <w:marTop w:val="0"/>
      <w:marBottom w:val="0"/>
      <w:divBdr>
        <w:top w:val="none" w:sz="0" w:space="0" w:color="auto"/>
        <w:left w:val="none" w:sz="0" w:space="0" w:color="auto"/>
        <w:bottom w:val="none" w:sz="0" w:space="0" w:color="auto"/>
        <w:right w:val="none" w:sz="0" w:space="0" w:color="auto"/>
      </w:divBdr>
    </w:div>
    <w:div w:id="1136096696">
      <w:bodyDiv w:val="1"/>
      <w:marLeft w:val="0"/>
      <w:marRight w:val="0"/>
      <w:marTop w:val="0"/>
      <w:marBottom w:val="0"/>
      <w:divBdr>
        <w:top w:val="none" w:sz="0" w:space="0" w:color="auto"/>
        <w:left w:val="none" w:sz="0" w:space="0" w:color="auto"/>
        <w:bottom w:val="none" w:sz="0" w:space="0" w:color="auto"/>
        <w:right w:val="none" w:sz="0" w:space="0" w:color="auto"/>
      </w:divBdr>
      <w:divsChild>
        <w:div w:id="29958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206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643164">
      <w:bodyDiv w:val="1"/>
      <w:marLeft w:val="0"/>
      <w:marRight w:val="0"/>
      <w:marTop w:val="0"/>
      <w:marBottom w:val="0"/>
      <w:divBdr>
        <w:top w:val="none" w:sz="0" w:space="0" w:color="auto"/>
        <w:left w:val="none" w:sz="0" w:space="0" w:color="auto"/>
        <w:bottom w:val="none" w:sz="0" w:space="0" w:color="auto"/>
        <w:right w:val="none" w:sz="0" w:space="0" w:color="auto"/>
      </w:divBdr>
    </w:div>
    <w:div w:id="1276131254">
      <w:bodyDiv w:val="1"/>
      <w:marLeft w:val="0"/>
      <w:marRight w:val="0"/>
      <w:marTop w:val="0"/>
      <w:marBottom w:val="0"/>
      <w:divBdr>
        <w:top w:val="none" w:sz="0" w:space="0" w:color="auto"/>
        <w:left w:val="none" w:sz="0" w:space="0" w:color="auto"/>
        <w:bottom w:val="none" w:sz="0" w:space="0" w:color="auto"/>
        <w:right w:val="none" w:sz="0" w:space="0" w:color="auto"/>
      </w:divBdr>
      <w:divsChild>
        <w:div w:id="107389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547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1230405">
      <w:bodyDiv w:val="1"/>
      <w:marLeft w:val="0"/>
      <w:marRight w:val="0"/>
      <w:marTop w:val="0"/>
      <w:marBottom w:val="0"/>
      <w:divBdr>
        <w:top w:val="none" w:sz="0" w:space="0" w:color="auto"/>
        <w:left w:val="none" w:sz="0" w:space="0" w:color="auto"/>
        <w:bottom w:val="none" w:sz="0" w:space="0" w:color="auto"/>
        <w:right w:val="none" w:sz="0" w:space="0" w:color="auto"/>
      </w:divBdr>
      <w:divsChild>
        <w:div w:id="528572589">
          <w:blockQuote w:val="1"/>
          <w:marLeft w:val="720"/>
          <w:marRight w:val="720"/>
          <w:marTop w:val="100"/>
          <w:marBottom w:val="100"/>
          <w:divBdr>
            <w:top w:val="none" w:sz="0" w:space="0" w:color="auto"/>
            <w:left w:val="none" w:sz="0" w:space="0" w:color="auto"/>
            <w:bottom w:val="none" w:sz="0" w:space="0" w:color="auto"/>
            <w:right w:val="none" w:sz="0" w:space="0" w:color="auto"/>
          </w:divBdr>
        </w:div>
        <w:div w:id="615214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428936">
      <w:bodyDiv w:val="1"/>
      <w:marLeft w:val="0"/>
      <w:marRight w:val="0"/>
      <w:marTop w:val="0"/>
      <w:marBottom w:val="0"/>
      <w:divBdr>
        <w:top w:val="none" w:sz="0" w:space="0" w:color="auto"/>
        <w:left w:val="none" w:sz="0" w:space="0" w:color="auto"/>
        <w:bottom w:val="none" w:sz="0" w:space="0" w:color="auto"/>
        <w:right w:val="none" w:sz="0" w:space="0" w:color="auto"/>
      </w:divBdr>
      <w:divsChild>
        <w:div w:id="23516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01210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193442">
      <w:bodyDiv w:val="1"/>
      <w:marLeft w:val="0"/>
      <w:marRight w:val="0"/>
      <w:marTop w:val="0"/>
      <w:marBottom w:val="0"/>
      <w:divBdr>
        <w:top w:val="none" w:sz="0" w:space="0" w:color="auto"/>
        <w:left w:val="none" w:sz="0" w:space="0" w:color="auto"/>
        <w:bottom w:val="none" w:sz="0" w:space="0" w:color="auto"/>
        <w:right w:val="none" w:sz="0" w:space="0" w:color="auto"/>
      </w:divBdr>
      <w:divsChild>
        <w:div w:id="53407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sac.org/about/tools/TrainingArchive/Default.aspx?div=3" TargetMode="External"/><Relationship Id="rId2" Type="http://schemas.openxmlformats.org/officeDocument/2006/relationships/hyperlink" Target="http://www.usac.org/sl/applicants/step07/obligation-to-pay.aspx" TargetMode="External"/><Relationship Id="rId1" Type="http://schemas.openxmlformats.org/officeDocument/2006/relationships/hyperlink" Target="http://sl.universalservice.org/reference/freeservices.asp" TargetMode="External"/><Relationship Id="rId6" Type="http://schemas.openxmlformats.org/officeDocument/2006/relationships/hyperlink" Target="http://www.entitysource.com/details/entity/ma_861522/achieve-telecom-network-of-ma-llc" TargetMode="External"/><Relationship Id="rId5" Type="http://schemas.openxmlformats.org/officeDocument/2006/relationships/hyperlink" Target="http://www.barlettaco.com/" TargetMode="External"/><Relationship Id="rId4" Type="http://schemas.openxmlformats.org/officeDocument/2006/relationships/hyperlink" Target="http://www.usd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5825</Words>
  <Characters>31310</Characters>
  <Application>Microsoft Office Word</Application>
  <DocSecurity>0</DocSecurity>
  <Lines>649</Lines>
  <Paragraphs>236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37120</CharactersWithSpaces>
  <SharedDoc>false</SharedDoc>
  <HyperlinkBase> </HyperlinkBase>
  <HLinks>
    <vt:vector size="48" baseType="variant">
      <vt:variant>
        <vt:i4>2949131</vt:i4>
      </vt:variant>
      <vt:variant>
        <vt:i4>21</vt:i4>
      </vt:variant>
      <vt:variant>
        <vt:i4>0</vt:i4>
      </vt:variant>
      <vt:variant>
        <vt:i4>5</vt:i4>
      </vt:variant>
      <vt:variant>
        <vt:lpwstr>http://www.usac.org/_res/documents/sl/training/2004/01 E-rate for Beginners.ppt</vt:lpwstr>
      </vt:variant>
      <vt:variant>
        <vt:lpwstr/>
      </vt:variant>
      <vt:variant>
        <vt:i4>5374073</vt:i4>
      </vt:variant>
      <vt:variant>
        <vt:i4>18</vt:i4>
      </vt:variant>
      <vt:variant>
        <vt:i4>0</vt:i4>
      </vt:variant>
      <vt:variant>
        <vt:i4>5</vt:i4>
      </vt:variant>
      <vt:variant>
        <vt:lpwstr>http://www.entitysource.com/details/entity/ma_861522/achieve-telecom-network-of-ma-llc</vt:lpwstr>
      </vt:variant>
      <vt:variant>
        <vt:lpwstr/>
      </vt:variant>
      <vt:variant>
        <vt:i4>2555945</vt:i4>
      </vt:variant>
      <vt:variant>
        <vt:i4>15</vt:i4>
      </vt:variant>
      <vt:variant>
        <vt:i4>0</vt:i4>
      </vt:variant>
      <vt:variant>
        <vt:i4>5</vt:i4>
      </vt:variant>
      <vt:variant>
        <vt:lpwstr>http://www.barlettaco.com/</vt:lpwstr>
      </vt:variant>
      <vt:variant>
        <vt:lpwstr/>
      </vt:variant>
      <vt:variant>
        <vt:i4>5439507</vt:i4>
      </vt:variant>
      <vt:variant>
        <vt:i4>12</vt:i4>
      </vt:variant>
      <vt:variant>
        <vt:i4>0</vt:i4>
      </vt:variant>
      <vt:variant>
        <vt:i4>5</vt:i4>
      </vt:variant>
      <vt:variant>
        <vt:lpwstr>http://www.usdla.org/</vt:lpwstr>
      </vt:variant>
      <vt:variant>
        <vt:lpwstr/>
      </vt:variant>
      <vt:variant>
        <vt:i4>6422584</vt:i4>
      </vt:variant>
      <vt:variant>
        <vt:i4>9</vt:i4>
      </vt:variant>
      <vt:variant>
        <vt:i4>0</vt:i4>
      </vt:variant>
      <vt:variant>
        <vt:i4>5</vt:i4>
      </vt:variant>
      <vt:variant>
        <vt:lpwstr>http://www.usac.org/about/tools/TrainingArchive/Default.aspx?div=3</vt:lpwstr>
      </vt:variant>
      <vt:variant>
        <vt:lpwstr/>
      </vt:variant>
      <vt:variant>
        <vt:i4>7602295</vt:i4>
      </vt:variant>
      <vt:variant>
        <vt:i4>6</vt:i4>
      </vt:variant>
      <vt:variant>
        <vt:i4>0</vt:i4>
      </vt:variant>
      <vt:variant>
        <vt:i4>5</vt:i4>
      </vt:variant>
      <vt:variant>
        <vt:lpwstr>http://www.usac.org/sl/applicants/step07/obligation-to-pay.aspx</vt:lpwstr>
      </vt:variant>
      <vt:variant>
        <vt:lpwstr/>
      </vt:variant>
      <vt:variant>
        <vt:i4>7602295</vt:i4>
      </vt:variant>
      <vt:variant>
        <vt:i4>3</vt:i4>
      </vt:variant>
      <vt:variant>
        <vt:i4>0</vt:i4>
      </vt:variant>
      <vt:variant>
        <vt:i4>5</vt:i4>
      </vt:variant>
      <vt:variant>
        <vt:lpwstr>http://www.usac.org/sl/applicants/step07/obligation-to-pay.aspx</vt:lpwstr>
      </vt:variant>
      <vt:variant>
        <vt:lpwstr/>
      </vt:variant>
      <vt:variant>
        <vt:i4>4587612</vt:i4>
      </vt:variant>
      <vt:variant>
        <vt:i4>0</vt:i4>
      </vt:variant>
      <vt:variant>
        <vt:i4>0</vt:i4>
      </vt:variant>
      <vt:variant>
        <vt:i4>5</vt:i4>
      </vt:variant>
      <vt:variant>
        <vt:lpwstr>http://sl.universalservice.org/reference/freeservices.asp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2015-04-15T20:10:00Z</dcterms:created>
  <dcterms:modified xsi:type="dcterms:W3CDTF">2015-04-15T20:10:00Z</dcterms:modified>
  <cp:category> </cp:category>
  <cp:contentStatus> </cp:contentStatus>
</cp:coreProperties>
</file>