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D6" w:rsidRPr="004E0227" w:rsidRDefault="00237AD6" w:rsidP="00237AD6">
      <w:pPr>
        <w:jc w:val="right"/>
        <w:rPr>
          <w:sz w:val="24"/>
          <w:szCs w:val="24"/>
        </w:rPr>
      </w:pPr>
      <w:bookmarkStart w:id="0" w:name="_GoBack"/>
      <w:bookmarkEnd w:id="0"/>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b/>
          <w:sz w:val="24"/>
          <w:szCs w:val="24"/>
        </w:rPr>
        <w:t xml:space="preserve">DA </w:t>
      </w:r>
      <w:r w:rsidR="002902E8" w:rsidRPr="002902E8">
        <w:rPr>
          <w:b/>
          <w:sz w:val="24"/>
          <w:szCs w:val="24"/>
        </w:rPr>
        <w:t>15-487</w:t>
      </w:r>
    </w:p>
    <w:p w:rsidR="00237AD6" w:rsidRPr="00D84B21" w:rsidRDefault="00237AD6" w:rsidP="00237AD6">
      <w:pPr>
        <w:rPr>
          <w:sz w:val="24"/>
          <w:szCs w:val="24"/>
        </w:rPr>
      </w:pP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r w:rsidRPr="00D84B21">
        <w:rPr>
          <w:sz w:val="24"/>
          <w:szCs w:val="24"/>
        </w:rPr>
        <w:tab/>
      </w:r>
    </w:p>
    <w:p w:rsidR="007374CA" w:rsidRPr="00237AD6" w:rsidRDefault="00584892" w:rsidP="007374CA">
      <w:pPr>
        <w:jc w:val="center"/>
        <w:rPr>
          <w:b/>
          <w:sz w:val="36"/>
          <w:szCs w:val="36"/>
        </w:rPr>
      </w:pPr>
      <w:r w:rsidRPr="00237AD6">
        <w:rPr>
          <w:b/>
          <w:sz w:val="36"/>
          <w:szCs w:val="36"/>
        </w:rPr>
        <w:t>Small Entity Compliance Guide</w:t>
      </w:r>
    </w:p>
    <w:p w:rsidR="00A82090" w:rsidRDefault="00A82090" w:rsidP="007374CA">
      <w:pPr>
        <w:jc w:val="center"/>
        <w:rPr>
          <w:sz w:val="36"/>
          <w:szCs w:val="36"/>
        </w:rPr>
      </w:pPr>
    </w:p>
    <w:p w:rsidR="007374CA" w:rsidRDefault="00C12F01" w:rsidP="007374CA">
      <w:pPr>
        <w:spacing w:after="120"/>
        <w:jc w:val="center"/>
        <w:rPr>
          <w:b/>
          <w:sz w:val="28"/>
          <w:szCs w:val="28"/>
        </w:rPr>
      </w:pPr>
      <w:r w:rsidRPr="00C12F01">
        <w:rPr>
          <w:b/>
          <w:sz w:val="28"/>
          <w:szCs w:val="28"/>
        </w:rPr>
        <w:t xml:space="preserve">Order </w:t>
      </w:r>
      <w:r w:rsidR="007374CA">
        <w:rPr>
          <w:b/>
          <w:sz w:val="28"/>
          <w:szCs w:val="28"/>
        </w:rPr>
        <w:t xml:space="preserve">on Reconsideration </w:t>
      </w:r>
      <w:r w:rsidRPr="00C12F01">
        <w:rPr>
          <w:b/>
          <w:sz w:val="28"/>
          <w:szCs w:val="28"/>
        </w:rPr>
        <w:t>and Further Notice of Proposed Rulemaking</w:t>
      </w:r>
    </w:p>
    <w:p w:rsidR="00237AD6" w:rsidRDefault="00237AD6" w:rsidP="007374CA">
      <w:pPr>
        <w:spacing w:after="120"/>
        <w:jc w:val="center"/>
        <w:rPr>
          <w:b/>
          <w:szCs w:val="22"/>
        </w:rPr>
      </w:pPr>
    </w:p>
    <w:p w:rsidR="00496FB3" w:rsidRDefault="00E94E18" w:rsidP="007374CA">
      <w:pPr>
        <w:spacing w:after="120"/>
        <w:jc w:val="center"/>
        <w:rPr>
          <w:b/>
          <w:szCs w:val="22"/>
        </w:rPr>
      </w:pPr>
      <w:r>
        <w:rPr>
          <w:b/>
          <w:szCs w:val="22"/>
        </w:rPr>
        <w:t xml:space="preserve">Amendment of </w:t>
      </w:r>
      <w:r w:rsidR="00496FB3" w:rsidRPr="00496FB3">
        <w:rPr>
          <w:b/>
          <w:szCs w:val="22"/>
        </w:rPr>
        <w:t>Parts 1, 2, 22, 24, 27, 90 and 95 of the Commission’s Rules to Improve</w:t>
      </w:r>
    </w:p>
    <w:p w:rsidR="00584892" w:rsidRPr="00237AD6" w:rsidRDefault="00496FB3" w:rsidP="00A82090">
      <w:pPr>
        <w:spacing w:after="120"/>
        <w:jc w:val="center"/>
        <w:rPr>
          <w:b/>
          <w:sz w:val="28"/>
          <w:szCs w:val="28"/>
        </w:rPr>
      </w:pPr>
      <w:r w:rsidRPr="00496FB3">
        <w:rPr>
          <w:b/>
          <w:szCs w:val="22"/>
        </w:rPr>
        <w:t xml:space="preserve"> </w:t>
      </w:r>
      <w:r w:rsidRPr="00237AD6">
        <w:rPr>
          <w:b/>
          <w:sz w:val="28"/>
          <w:szCs w:val="28"/>
        </w:rPr>
        <w:t>Wireless Coverage Through the Use of Signal Boosters</w:t>
      </w:r>
    </w:p>
    <w:p w:rsidR="00A82090" w:rsidRPr="000D6AAA" w:rsidRDefault="00A82090" w:rsidP="00A82090">
      <w:pPr>
        <w:spacing w:after="120"/>
        <w:jc w:val="center"/>
        <w:rPr>
          <w:b/>
          <w:szCs w:val="22"/>
        </w:rPr>
      </w:pPr>
    </w:p>
    <w:p w:rsidR="00C12F01" w:rsidRDefault="00584892" w:rsidP="00C12F01">
      <w:pPr>
        <w:jc w:val="center"/>
        <w:rPr>
          <w:b/>
          <w:bCs/>
          <w:szCs w:val="22"/>
        </w:rPr>
      </w:pPr>
      <w:r>
        <w:rPr>
          <w:b/>
          <w:bCs/>
          <w:szCs w:val="22"/>
        </w:rPr>
        <w:t>FCC 1</w:t>
      </w:r>
      <w:r w:rsidR="00F51D8E">
        <w:rPr>
          <w:b/>
          <w:bCs/>
          <w:szCs w:val="22"/>
        </w:rPr>
        <w:t>4</w:t>
      </w:r>
      <w:r>
        <w:rPr>
          <w:b/>
          <w:bCs/>
          <w:szCs w:val="22"/>
        </w:rPr>
        <w:t>-</w:t>
      </w:r>
      <w:r w:rsidR="00F51D8E">
        <w:rPr>
          <w:b/>
          <w:bCs/>
          <w:szCs w:val="22"/>
        </w:rPr>
        <w:t>138</w:t>
      </w:r>
    </w:p>
    <w:p w:rsidR="00584892" w:rsidRDefault="00584892" w:rsidP="00C12F01">
      <w:pPr>
        <w:jc w:val="center"/>
        <w:rPr>
          <w:b/>
          <w:spacing w:val="-2"/>
          <w:szCs w:val="22"/>
        </w:rPr>
      </w:pPr>
      <w:r w:rsidRPr="004B1666">
        <w:rPr>
          <w:b/>
          <w:spacing w:val="-2"/>
          <w:szCs w:val="22"/>
        </w:rPr>
        <w:t xml:space="preserve">WT Docket No. </w:t>
      </w:r>
      <w:r>
        <w:rPr>
          <w:b/>
          <w:spacing w:val="-2"/>
          <w:szCs w:val="22"/>
        </w:rPr>
        <w:t>1</w:t>
      </w:r>
      <w:r w:rsidR="00F26CCE">
        <w:rPr>
          <w:b/>
          <w:spacing w:val="-2"/>
          <w:szCs w:val="22"/>
        </w:rPr>
        <w:t>0</w:t>
      </w:r>
      <w:r w:rsidRPr="004B1666">
        <w:rPr>
          <w:b/>
          <w:spacing w:val="-2"/>
          <w:szCs w:val="22"/>
        </w:rPr>
        <w:t>-</w:t>
      </w:r>
      <w:r w:rsidR="00496FB3">
        <w:rPr>
          <w:b/>
          <w:spacing w:val="-2"/>
          <w:szCs w:val="22"/>
        </w:rPr>
        <w:t>4</w:t>
      </w:r>
    </w:p>
    <w:p w:rsidR="00C12F01" w:rsidRDefault="00C12F01" w:rsidP="00C12F01">
      <w:pPr>
        <w:jc w:val="center"/>
        <w:rPr>
          <w:b/>
          <w:spacing w:val="-2"/>
          <w:szCs w:val="22"/>
        </w:rPr>
      </w:pPr>
      <w:r>
        <w:rPr>
          <w:b/>
          <w:spacing w:val="-2"/>
          <w:szCs w:val="22"/>
        </w:rPr>
        <w:t>Released</w:t>
      </w:r>
      <w:r w:rsidR="00CC66F0">
        <w:rPr>
          <w:b/>
          <w:spacing w:val="-2"/>
          <w:szCs w:val="22"/>
        </w:rPr>
        <w:t>:</w:t>
      </w:r>
      <w:r>
        <w:rPr>
          <w:b/>
          <w:spacing w:val="-2"/>
          <w:szCs w:val="22"/>
        </w:rPr>
        <w:t xml:space="preserve"> </w:t>
      </w:r>
      <w:r w:rsidR="007374CA">
        <w:rPr>
          <w:b/>
          <w:spacing w:val="-2"/>
          <w:szCs w:val="22"/>
        </w:rPr>
        <w:t>September 23</w:t>
      </w:r>
      <w:r>
        <w:rPr>
          <w:b/>
          <w:spacing w:val="-2"/>
          <w:szCs w:val="22"/>
        </w:rPr>
        <w:t>, 2014</w:t>
      </w:r>
    </w:p>
    <w:p w:rsidR="00584892" w:rsidRPr="00F74B2B" w:rsidRDefault="00584892">
      <w:pPr>
        <w:jc w:val="center"/>
        <w:rPr>
          <w:b/>
          <w:szCs w:val="22"/>
        </w:rPr>
      </w:pPr>
    </w:p>
    <w:p w:rsidR="00584892" w:rsidRDefault="00584892">
      <w:pPr>
        <w:tabs>
          <w:tab w:val="left" w:pos="360"/>
        </w:tabs>
        <w:ind w:left="1080" w:right="720"/>
        <w:jc w:val="both"/>
        <w:rPr>
          <w:b/>
          <w:szCs w:val="22"/>
        </w:rPr>
      </w:pPr>
      <w:r w:rsidRPr="004B1666">
        <w:rPr>
          <w:b/>
          <w:szCs w:val="22"/>
        </w:rPr>
        <w:t>This Guide is prepared in accordance with the requirements of Section 212 of the Small Business Regulatory Enforcement Fairness Act of 1996.  It is intended to help small entities—small businesses, small organizations (non-profits), and sm</w:t>
      </w:r>
      <w:r>
        <w:rPr>
          <w:b/>
          <w:szCs w:val="22"/>
        </w:rPr>
        <w:t>all governmental jurisdictions—</w:t>
      </w:r>
      <w:r w:rsidRPr="004B1666">
        <w:rPr>
          <w:b/>
          <w:szCs w:val="22"/>
        </w:rPr>
        <w:t xml:space="preserve">comply with the </w:t>
      </w:r>
      <w:r>
        <w:rPr>
          <w:b/>
          <w:szCs w:val="22"/>
        </w:rPr>
        <w:t xml:space="preserve">new rules adopted in the </w:t>
      </w:r>
      <w:r w:rsidRPr="004B1666">
        <w:rPr>
          <w:b/>
          <w:szCs w:val="22"/>
        </w:rPr>
        <w:t>above-referenced FCC rule</w:t>
      </w:r>
      <w:r>
        <w:rPr>
          <w:b/>
          <w:szCs w:val="22"/>
        </w:rPr>
        <w:t>making docket(s)</w:t>
      </w:r>
      <w:r w:rsidRPr="004B1666">
        <w:rPr>
          <w:b/>
          <w:szCs w:val="22"/>
        </w:rPr>
        <w:t>.  This Guide is not intended to replace the rules and</w:t>
      </w:r>
      <w:r>
        <w:rPr>
          <w:b/>
          <w:szCs w:val="22"/>
        </w:rPr>
        <w:t>, therefore,</w:t>
      </w:r>
      <w:r w:rsidRPr="004B1666">
        <w:rPr>
          <w:b/>
          <w:szCs w:val="22"/>
        </w:rPr>
        <w:t xml:space="preserve"> final authority rests solely with the rules.  Although we have attempted to cover all parts of the rules that might be especially important to small entities, the coverage may not be exhaustive.  This Guide may</w:t>
      </w:r>
      <w:r>
        <w:rPr>
          <w:b/>
          <w:szCs w:val="22"/>
        </w:rPr>
        <w:t>, perhaps,</w:t>
      </w:r>
      <w:r w:rsidRPr="004B1666">
        <w:rPr>
          <w:b/>
          <w:szCs w:val="22"/>
        </w:rPr>
        <w:t xml:space="preserve">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84892" w:rsidRDefault="00584892">
      <w:pPr>
        <w:tabs>
          <w:tab w:val="left" w:pos="360"/>
        </w:tabs>
        <w:ind w:left="1080" w:right="720"/>
        <w:jc w:val="both"/>
        <w:rPr>
          <w:b/>
          <w:szCs w:val="22"/>
        </w:rPr>
      </w:pPr>
    </w:p>
    <w:p w:rsidR="00584892" w:rsidRPr="004B1666" w:rsidRDefault="00584892">
      <w:pPr>
        <w:tabs>
          <w:tab w:val="left" w:pos="360"/>
        </w:tabs>
        <w:ind w:left="1080" w:right="72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w:t>
      </w:r>
      <w:r w:rsidRPr="004B1666">
        <w:rPr>
          <w:b/>
          <w:szCs w:val="22"/>
        </w:rPr>
        <w:t xml:space="preserve"> Interested parties are free to file comments regarding this Guide and the appropriateness of its application to a particular situation; the FCC will consider whether the recommendations or interpretations in the Guide are appropriate in that situation. </w:t>
      </w:r>
      <w:r>
        <w:rPr>
          <w:b/>
          <w:szCs w:val="22"/>
        </w:rPr>
        <w:t xml:space="preserve"> </w:t>
      </w:r>
      <w:r w:rsidRPr="004B1666">
        <w:rPr>
          <w:b/>
          <w:szCs w:val="22"/>
        </w:rPr>
        <w:t xml:space="preserve">The FCC may </w:t>
      </w:r>
      <w:r>
        <w:rPr>
          <w:b/>
          <w:szCs w:val="22"/>
        </w:rPr>
        <w:t xml:space="preserve">decide to </w:t>
      </w:r>
      <w:r w:rsidRPr="004B1666">
        <w:rPr>
          <w:b/>
          <w:szCs w:val="22"/>
        </w:rPr>
        <w:t xml:space="preserve">revise this Guide without public notice to </w:t>
      </w:r>
      <w:r>
        <w:rPr>
          <w:b/>
          <w:szCs w:val="22"/>
        </w:rPr>
        <w:t xml:space="preserve">reflect changes in the FCC’s approach to implementing a rule, </w:t>
      </w:r>
      <w:r w:rsidRPr="004B1666">
        <w:rPr>
          <w:b/>
          <w:szCs w:val="22"/>
        </w:rPr>
        <w:t>or</w:t>
      </w:r>
      <w:r>
        <w:rPr>
          <w:b/>
          <w:szCs w:val="22"/>
        </w:rPr>
        <w:t xml:space="preserve"> to clarify or</w:t>
      </w:r>
      <w:r w:rsidRPr="004B1666">
        <w:rPr>
          <w:b/>
          <w:szCs w:val="22"/>
        </w:rPr>
        <w:t xml:space="preserve"> update</w:t>
      </w:r>
      <w:r>
        <w:rPr>
          <w:b/>
          <w:szCs w:val="22"/>
        </w:rPr>
        <w:t xml:space="preserve"> the text of the Guide.  </w:t>
      </w:r>
      <w:r w:rsidRPr="004B1666">
        <w:rPr>
          <w:b/>
          <w:szCs w:val="22"/>
        </w:rPr>
        <w:t>Direct your comments and recommendations, or calls for further assistance, to the FCC’s Consumer Center:</w:t>
      </w:r>
    </w:p>
    <w:p w:rsidR="00584892" w:rsidRPr="004B1666" w:rsidRDefault="00584892">
      <w:pPr>
        <w:jc w:val="center"/>
        <w:rPr>
          <w:b/>
          <w:color w:val="000000"/>
          <w:szCs w:val="22"/>
        </w:rPr>
      </w:pPr>
      <w:r w:rsidRPr="004B1666">
        <w:rPr>
          <w:b/>
          <w:color w:val="000000"/>
          <w:szCs w:val="22"/>
        </w:rPr>
        <w:t>1-888-CALL-</w:t>
      </w:r>
      <w:r w:rsidR="001C40D7" w:rsidRPr="004B1666">
        <w:rPr>
          <w:b/>
          <w:color w:val="000000"/>
          <w:szCs w:val="22"/>
        </w:rPr>
        <w:t>FCC (</w:t>
      </w:r>
      <w:r w:rsidRPr="004B1666">
        <w:rPr>
          <w:b/>
          <w:color w:val="000000"/>
          <w:szCs w:val="22"/>
        </w:rPr>
        <w:t>1-888-225-5322)  </w:t>
      </w:r>
      <w:r w:rsidRPr="004B1666">
        <w:rPr>
          <w:b/>
          <w:color w:val="000000"/>
          <w:szCs w:val="22"/>
        </w:rPr>
        <w:br/>
        <w:t>TTY: 1-888-TELL-FCC  (1-888-835-5322)  </w:t>
      </w:r>
      <w:r w:rsidRPr="004B1666">
        <w:rPr>
          <w:b/>
          <w:color w:val="000000"/>
          <w:szCs w:val="22"/>
        </w:rPr>
        <w:br/>
        <w:t>Fax: 202-418-0232</w:t>
      </w:r>
    </w:p>
    <w:p w:rsidR="00584892" w:rsidRPr="004B1666" w:rsidRDefault="00584892">
      <w:pPr>
        <w:jc w:val="center"/>
        <w:rPr>
          <w:b/>
          <w:noProof/>
          <w:szCs w:val="22"/>
        </w:rPr>
      </w:pPr>
    </w:p>
    <w:p w:rsidR="00584892" w:rsidRPr="004B1666" w:rsidRDefault="00584892">
      <w:pPr>
        <w:jc w:val="center"/>
        <w:rPr>
          <w:b/>
          <w:noProof/>
          <w:szCs w:val="22"/>
        </w:rPr>
      </w:pPr>
    </w:p>
    <w:p w:rsidR="00584892" w:rsidRPr="00F333F0" w:rsidRDefault="00584892">
      <w:pPr>
        <w:jc w:val="center"/>
        <w:rPr>
          <w:b/>
          <w:noProof/>
        </w:rPr>
      </w:pPr>
    </w:p>
    <w:p w:rsidR="00584892" w:rsidRDefault="00584892">
      <w:pPr>
        <w:pStyle w:val="TOCTitle"/>
      </w:pPr>
      <w:bookmarkStart w:id="1" w:name="TOChere"/>
      <w:r>
        <w:t>Table of Contents</w:t>
      </w:r>
    </w:p>
    <w:bookmarkEnd w:id="1"/>
    <w:p w:rsidR="002343D8" w:rsidRDefault="004C4D77">
      <w:pPr>
        <w:pStyle w:val="TOC1"/>
        <w:rPr>
          <w:rFonts w:asciiTheme="minorHAnsi" w:eastAsiaTheme="minorEastAsia" w:hAnsiTheme="minorHAnsi" w:cstheme="minorBidi"/>
          <w:b w:val="0"/>
          <w:caps w:val="0"/>
          <w:snapToGrid/>
          <w:kern w:val="0"/>
          <w:szCs w:val="22"/>
        </w:rPr>
      </w:pPr>
      <w:r>
        <w:rPr>
          <w:caps w:val="0"/>
          <w:szCs w:val="22"/>
        </w:rPr>
        <w:fldChar w:fldCharType="begin"/>
      </w:r>
      <w:r>
        <w:rPr>
          <w:caps w:val="0"/>
          <w:szCs w:val="22"/>
        </w:rPr>
        <w:instrText xml:space="preserve"> TOC \o "1-3" \h \z \u </w:instrText>
      </w:r>
      <w:r>
        <w:rPr>
          <w:caps w:val="0"/>
          <w:szCs w:val="22"/>
        </w:rPr>
        <w:fldChar w:fldCharType="separate"/>
      </w:r>
      <w:hyperlink w:anchor="_Toc399919663" w:history="1">
        <w:r w:rsidR="002343D8" w:rsidRPr="00213A94">
          <w:rPr>
            <w:rStyle w:val="Hyperlink"/>
          </w:rPr>
          <w:t>I.</w:t>
        </w:r>
        <w:r w:rsidR="002343D8">
          <w:rPr>
            <w:rFonts w:asciiTheme="minorHAnsi" w:eastAsiaTheme="minorEastAsia" w:hAnsiTheme="minorHAnsi" w:cstheme="minorBidi"/>
            <w:b w:val="0"/>
            <w:caps w:val="0"/>
            <w:snapToGrid/>
            <w:kern w:val="0"/>
            <w:szCs w:val="22"/>
          </w:rPr>
          <w:tab/>
        </w:r>
        <w:r w:rsidR="00B844C3">
          <w:t xml:space="preserve">SUMMARY OF ACTION TAKEN AND </w:t>
        </w:r>
        <w:r w:rsidR="002343D8" w:rsidRPr="00213A94">
          <w:rPr>
            <w:rStyle w:val="Hyperlink"/>
          </w:rPr>
          <w:t>Objectives of the Proceeding</w:t>
        </w:r>
        <w:r w:rsidR="002343D8">
          <w:rPr>
            <w:webHidden/>
          </w:rPr>
          <w:tab/>
        </w:r>
        <w:r w:rsidR="002343D8">
          <w:rPr>
            <w:webHidden/>
          </w:rPr>
          <w:fldChar w:fldCharType="begin"/>
        </w:r>
        <w:r w:rsidR="002343D8">
          <w:rPr>
            <w:webHidden/>
          </w:rPr>
          <w:instrText xml:space="preserve"> PAGEREF _Toc399919663 \h </w:instrText>
        </w:r>
        <w:r w:rsidR="002343D8">
          <w:rPr>
            <w:webHidden/>
          </w:rPr>
        </w:r>
        <w:r w:rsidR="002343D8">
          <w:rPr>
            <w:webHidden/>
          </w:rPr>
          <w:fldChar w:fldCharType="separate"/>
        </w:r>
        <w:r w:rsidR="00C12F01">
          <w:rPr>
            <w:webHidden/>
          </w:rPr>
          <w:t>3</w:t>
        </w:r>
        <w:r w:rsidR="002343D8">
          <w:rPr>
            <w:webHidden/>
          </w:rPr>
          <w:fldChar w:fldCharType="end"/>
        </w:r>
      </w:hyperlink>
    </w:p>
    <w:p w:rsidR="002343D8" w:rsidRDefault="005A5DF7">
      <w:pPr>
        <w:pStyle w:val="TOC1"/>
        <w:rPr>
          <w:rFonts w:asciiTheme="minorHAnsi" w:eastAsiaTheme="minorEastAsia" w:hAnsiTheme="minorHAnsi" w:cstheme="minorBidi"/>
          <w:b w:val="0"/>
          <w:caps w:val="0"/>
          <w:snapToGrid/>
          <w:kern w:val="0"/>
          <w:szCs w:val="22"/>
        </w:rPr>
      </w:pPr>
      <w:hyperlink w:anchor="_Toc399919664" w:history="1">
        <w:r w:rsidR="002343D8" w:rsidRPr="00213A94">
          <w:rPr>
            <w:rStyle w:val="Hyperlink"/>
          </w:rPr>
          <w:t>II.</w:t>
        </w:r>
        <w:r w:rsidR="002343D8">
          <w:rPr>
            <w:rFonts w:asciiTheme="minorHAnsi" w:eastAsiaTheme="minorEastAsia" w:hAnsiTheme="minorHAnsi" w:cstheme="minorBidi"/>
            <w:b w:val="0"/>
            <w:caps w:val="0"/>
            <w:snapToGrid/>
            <w:kern w:val="0"/>
            <w:szCs w:val="22"/>
          </w:rPr>
          <w:tab/>
        </w:r>
        <w:r w:rsidR="002343D8" w:rsidRPr="00213A94">
          <w:rPr>
            <w:rStyle w:val="Hyperlink"/>
          </w:rPr>
          <w:t>Regulations and Policies That the Commission ADOPTED OR Modified, including compliance requirements</w:t>
        </w:r>
        <w:r w:rsidR="002343D8">
          <w:rPr>
            <w:webHidden/>
          </w:rPr>
          <w:tab/>
        </w:r>
        <w:r w:rsidR="002343D8">
          <w:rPr>
            <w:webHidden/>
          </w:rPr>
          <w:fldChar w:fldCharType="begin"/>
        </w:r>
        <w:r w:rsidR="002343D8">
          <w:rPr>
            <w:webHidden/>
          </w:rPr>
          <w:instrText xml:space="preserve"> PAGEREF _Toc399919664 \h </w:instrText>
        </w:r>
        <w:r w:rsidR="002343D8">
          <w:rPr>
            <w:webHidden/>
          </w:rPr>
        </w:r>
        <w:r w:rsidR="002343D8">
          <w:rPr>
            <w:webHidden/>
          </w:rPr>
          <w:fldChar w:fldCharType="separate"/>
        </w:r>
        <w:r w:rsidR="00C12F01">
          <w:rPr>
            <w:webHidden/>
          </w:rPr>
          <w:t>3</w:t>
        </w:r>
        <w:r w:rsidR="002343D8">
          <w:rPr>
            <w:webHidden/>
          </w:rPr>
          <w:fldChar w:fldCharType="end"/>
        </w:r>
      </w:hyperlink>
    </w:p>
    <w:p w:rsidR="002343D8" w:rsidRDefault="005A5DF7">
      <w:pPr>
        <w:pStyle w:val="TOC1"/>
        <w:rPr>
          <w:rFonts w:asciiTheme="minorHAnsi" w:eastAsiaTheme="minorEastAsia" w:hAnsiTheme="minorHAnsi" w:cstheme="minorBidi"/>
          <w:b w:val="0"/>
          <w:caps w:val="0"/>
          <w:snapToGrid/>
          <w:kern w:val="0"/>
          <w:szCs w:val="22"/>
        </w:rPr>
      </w:pPr>
      <w:hyperlink w:anchor="_Toc399919665" w:history="1">
        <w:r w:rsidR="002343D8" w:rsidRPr="00213A94">
          <w:rPr>
            <w:rStyle w:val="Hyperlink"/>
          </w:rPr>
          <w:t>III.</w:t>
        </w:r>
        <w:r w:rsidR="002343D8">
          <w:rPr>
            <w:rFonts w:asciiTheme="minorHAnsi" w:eastAsiaTheme="minorEastAsia" w:hAnsiTheme="minorHAnsi" w:cstheme="minorBidi"/>
            <w:b w:val="0"/>
            <w:caps w:val="0"/>
            <w:snapToGrid/>
            <w:kern w:val="0"/>
            <w:szCs w:val="22"/>
          </w:rPr>
          <w:tab/>
        </w:r>
        <w:r w:rsidR="002343D8" w:rsidRPr="00213A94">
          <w:rPr>
            <w:rStyle w:val="Hyperlink"/>
          </w:rPr>
          <w:t>Recordkeeping Requirements</w:t>
        </w:r>
        <w:r w:rsidR="002343D8">
          <w:rPr>
            <w:webHidden/>
          </w:rPr>
          <w:tab/>
        </w:r>
        <w:r w:rsidR="002343D8">
          <w:rPr>
            <w:webHidden/>
          </w:rPr>
          <w:fldChar w:fldCharType="begin"/>
        </w:r>
        <w:r w:rsidR="002343D8">
          <w:rPr>
            <w:webHidden/>
          </w:rPr>
          <w:instrText xml:space="preserve"> PAGEREF _Toc399919665 \h </w:instrText>
        </w:r>
        <w:r w:rsidR="002343D8">
          <w:rPr>
            <w:webHidden/>
          </w:rPr>
        </w:r>
        <w:r w:rsidR="002343D8">
          <w:rPr>
            <w:webHidden/>
          </w:rPr>
          <w:fldChar w:fldCharType="separate"/>
        </w:r>
        <w:r w:rsidR="00C12F01">
          <w:rPr>
            <w:webHidden/>
          </w:rPr>
          <w:t>5</w:t>
        </w:r>
        <w:r w:rsidR="002343D8">
          <w:rPr>
            <w:webHidden/>
          </w:rPr>
          <w:fldChar w:fldCharType="end"/>
        </w:r>
      </w:hyperlink>
    </w:p>
    <w:p w:rsidR="002343D8" w:rsidRDefault="005A5DF7">
      <w:pPr>
        <w:pStyle w:val="TOC1"/>
        <w:rPr>
          <w:rFonts w:asciiTheme="minorHAnsi" w:eastAsiaTheme="minorEastAsia" w:hAnsiTheme="minorHAnsi" w:cstheme="minorBidi"/>
          <w:b w:val="0"/>
          <w:caps w:val="0"/>
          <w:snapToGrid/>
          <w:kern w:val="0"/>
          <w:szCs w:val="22"/>
        </w:rPr>
      </w:pPr>
      <w:hyperlink w:anchor="_Toc399919666" w:history="1">
        <w:r w:rsidR="002343D8" w:rsidRPr="00213A94">
          <w:rPr>
            <w:rStyle w:val="Hyperlink"/>
          </w:rPr>
          <w:t>IV.</w:t>
        </w:r>
        <w:r w:rsidR="002343D8">
          <w:rPr>
            <w:rFonts w:asciiTheme="minorHAnsi" w:eastAsiaTheme="minorEastAsia" w:hAnsiTheme="minorHAnsi" w:cstheme="minorBidi"/>
            <w:b w:val="0"/>
            <w:caps w:val="0"/>
            <w:snapToGrid/>
            <w:kern w:val="0"/>
            <w:szCs w:val="22"/>
          </w:rPr>
          <w:tab/>
        </w:r>
        <w:r w:rsidR="002343D8" w:rsidRPr="00213A94">
          <w:rPr>
            <w:rStyle w:val="Hyperlink"/>
          </w:rPr>
          <w:t>Weblink</w:t>
        </w:r>
        <w:r w:rsidR="002343D8">
          <w:rPr>
            <w:webHidden/>
          </w:rPr>
          <w:tab/>
        </w:r>
        <w:r w:rsidR="002343D8">
          <w:rPr>
            <w:webHidden/>
          </w:rPr>
          <w:fldChar w:fldCharType="begin"/>
        </w:r>
        <w:r w:rsidR="002343D8">
          <w:rPr>
            <w:webHidden/>
          </w:rPr>
          <w:instrText xml:space="preserve"> PAGEREF _Toc399919666 \h </w:instrText>
        </w:r>
        <w:r w:rsidR="002343D8">
          <w:rPr>
            <w:webHidden/>
          </w:rPr>
        </w:r>
        <w:r w:rsidR="002343D8">
          <w:rPr>
            <w:webHidden/>
          </w:rPr>
          <w:fldChar w:fldCharType="separate"/>
        </w:r>
        <w:r w:rsidR="00C12F01">
          <w:rPr>
            <w:webHidden/>
          </w:rPr>
          <w:t>5</w:t>
        </w:r>
        <w:r w:rsidR="002343D8">
          <w:rPr>
            <w:webHidden/>
          </w:rPr>
          <w:fldChar w:fldCharType="end"/>
        </w:r>
      </w:hyperlink>
    </w:p>
    <w:p w:rsidR="00584892" w:rsidRPr="004B1666" w:rsidRDefault="004C4D77">
      <w:pPr>
        <w:rPr>
          <w:b/>
          <w:noProof/>
          <w:szCs w:val="22"/>
        </w:rPr>
      </w:pPr>
      <w:r>
        <w:rPr>
          <w:caps/>
          <w:noProof/>
          <w:szCs w:val="22"/>
        </w:rPr>
        <w:fldChar w:fldCharType="end"/>
      </w:r>
    </w:p>
    <w:p w:rsidR="00584892" w:rsidRPr="004B1666" w:rsidRDefault="00584892">
      <w:pPr>
        <w:rPr>
          <w:szCs w:val="22"/>
        </w:rPr>
      </w:pPr>
    </w:p>
    <w:p w:rsidR="00584892" w:rsidRPr="004B1666" w:rsidRDefault="00584892">
      <w:pPr>
        <w:rPr>
          <w:szCs w:val="22"/>
        </w:rPr>
      </w:pPr>
    </w:p>
    <w:p w:rsidR="00584892" w:rsidRPr="004B1666" w:rsidRDefault="00584892">
      <w:pPr>
        <w:jc w:val="both"/>
        <w:rPr>
          <w:szCs w:val="22"/>
        </w:rPr>
      </w:pPr>
      <w:r w:rsidRPr="004B1666">
        <w:rPr>
          <w:szCs w:val="22"/>
        </w:rPr>
        <w:br w:type="page"/>
      </w:r>
    </w:p>
    <w:p w:rsidR="00584892" w:rsidRPr="004B1666" w:rsidRDefault="00B844C3" w:rsidP="00B844C3">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399919663"/>
      <w:r w:rsidRPr="00B844C3">
        <w:rPr>
          <w:rFonts w:ascii="Times New Roman" w:hAnsi="Times New Roman"/>
          <w:szCs w:val="22"/>
        </w:rPr>
        <w:t xml:space="preserve">SUMMARY OF ACTION TAKEN AND </w:t>
      </w:r>
      <w:r w:rsidR="00584892" w:rsidRPr="004B1666">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E7A83" w:rsidRDefault="00584892" w:rsidP="009E2184">
      <w:pPr>
        <w:pStyle w:val="ParaNum"/>
        <w:numPr>
          <w:ilvl w:val="0"/>
          <w:numId w:val="0"/>
        </w:numPr>
        <w:ind w:firstLine="720"/>
        <w:jc w:val="both"/>
      </w:pPr>
      <w:r w:rsidRPr="00790C36">
        <w:rPr>
          <w:szCs w:val="22"/>
        </w:rPr>
        <w:t xml:space="preserve">In this </w:t>
      </w:r>
      <w:r>
        <w:rPr>
          <w:i/>
          <w:szCs w:val="22"/>
        </w:rPr>
        <w:t>Order</w:t>
      </w:r>
      <w:r w:rsidR="00FF76AB" w:rsidRPr="00FF76AB">
        <w:rPr>
          <w:i/>
        </w:rPr>
        <w:t xml:space="preserve"> </w:t>
      </w:r>
      <w:r w:rsidR="00FF76AB" w:rsidRPr="00AB507D">
        <w:rPr>
          <w:i/>
        </w:rPr>
        <w:t>on Reconsideration</w:t>
      </w:r>
      <w:r w:rsidRPr="00790C36">
        <w:rPr>
          <w:i/>
          <w:szCs w:val="22"/>
        </w:rPr>
        <w:t xml:space="preserve"> </w:t>
      </w:r>
      <w:r>
        <w:rPr>
          <w:szCs w:val="22"/>
        </w:rPr>
        <w:t>in WT Docket No</w:t>
      </w:r>
      <w:r w:rsidRPr="00790C36">
        <w:rPr>
          <w:szCs w:val="22"/>
        </w:rPr>
        <w:t xml:space="preserve">. </w:t>
      </w:r>
      <w:r w:rsidR="000A51ED">
        <w:rPr>
          <w:szCs w:val="22"/>
        </w:rPr>
        <w:t>1</w:t>
      </w:r>
      <w:r w:rsidR="0089649F">
        <w:rPr>
          <w:szCs w:val="22"/>
        </w:rPr>
        <w:t>0</w:t>
      </w:r>
      <w:r w:rsidRPr="00790C36">
        <w:rPr>
          <w:szCs w:val="22"/>
        </w:rPr>
        <w:t>-</w:t>
      </w:r>
      <w:r w:rsidR="007B5107">
        <w:rPr>
          <w:szCs w:val="22"/>
        </w:rPr>
        <w:t>4</w:t>
      </w:r>
      <w:r w:rsidR="0089649F">
        <w:rPr>
          <w:szCs w:val="22"/>
        </w:rPr>
        <w:t>,</w:t>
      </w:r>
      <w:r w:rsidRPr="00790C36">
        <w:rPr>
          <w:szCs w:val="22"/>
        </w:rPr>
        <w:t xml:space="preserve"> </w:t>
      </w:r>
      <w:r>
        <w:rPr>
          <w:szCs w:val="22"/>
        </w:rPr>
        <w:t>the Commission</w:t>
      </w:r>
      <w:r w:rsidRPr="00790C36">
        <w:rPr>
          <w:szCs w:val="22"/>
        </w:rPr>
        <w:t xml:space="preserve"> </w:t>
      </w:r>
      <w:r w:rsidR="00FF76AB">
        <w:rPr>
          <w:szCs w:val="22"/>
        </w:rPr>
        <w:t xml:space="preserve">took the following actions: </w:t>
      </w:r>
      <w:r w:rsidR="00FF76AB" w:rsidRPr="00AB507D">
        <w:t>1) streamline</w:t>
      </w:r>
      <w:r w:rsidR="00FF76AB">
        <w:t>d</w:t>
      </w:r>
      <w:r w:rsidR="00FF76AB" w:rsidRPr="00AB507D">
        <w:t xml:space="preserve"> the equipment certification process by amending certain technical requirements for Wideband Consumer Signal Boosters; 2) strengthen</w:t>
      </w:r>
      <w:r w:rsidR="00FF76AB">
        <w:t>ed</w:t>
      </w:r>
      <w:r w:rsidR="00FF76AB" w:rsidRPr="00AB507D">
        <w:t xml:space="preserve"> the gain and power limits for Provider-Specific Consumer Signal Boosters; 3) amend</w:t>
      </w:r>
      <w:r w:rsidR="00FF76AB">
        <w:t>ed</w:t>
      </w:r>
      <w:r w:rsidR="00FF76AB" w:rsidRPr="00AB507D">
        <w:t xml:space="preserve"> the booster antenna kitting rules for Provider-Sp</w:t>
      </w:r>
      <w:r w:rsidR="00FF76AB">
        <w:t>ecific Consumer Signal Boosters</w:t>
      </w:r>
      <w:r w:rsidR="00FF76AB" w:rsidRPr="00AB507D">
        <w:t>; 4) and require</w:t>
      </w:r>
      <w:r w:rsidR="00FF76AB">
        <w:t>d</w:t>
      </w:r>
      <w:r w:rsidR="00FF76AB" w:rsidRPr="00AB507D">
        <w:t xml:space="preserve"> that Consumer Signal Boosters certified </w:t>
      </w:r>
      <w:r w:rsidR="00F97A44">
        <w:t xml:space="preserve">only </w:t>
      </w:r>
      <w:r w:rsidR="00FF76AB" w:rsidRPr="00AB507D">
        <w:t xml:space="preserve">for fixed operation be labeled to notify consumers that such devices may only be used in fixed, in-building locations. </w:t>
      </w:r>
    </w:p>
    <w:p w:rsidR="004E43FA" w:rsidRDefault="00FF76AB" w:rsidP="009E2184">
      <w:pPr>
        <w:pStyle w:val="ParaNum"/>
        <w:numPr>
          <w:ilvl w:val="0"/>
          <w:numId w:val="0"/>
        </w:numPr>
        <w:ind w:firstLine="720"/>
        <w:jc w:val="both"/>
      </w:pPr>
      <w:r w:rsidRPr="00AB507D">
        <w:t xml:space="preserve"> </w:t>
      </w:r>
      <w:r w:rsidR="004E43FA">
        <w:t xml:space="preserve">These amendments </w:t>
      </w:r>
      <w:r w:rsidR="004E43FA" w:rsidRPr="00AB507D">
        <w:t xml:space="preserve">to </w:t>
      </w:r>
      <w:r w:rsidR="004E43FA">
        <w:t xml:space="preserve">the </w:t>
      </w:r>
      <w:r w:rsidR="004E43FA" w:rsidRPr="00AB507D">
        <w:t xml:space="preserve">rules will facilitate the test procedures and equipment certification process for Wideband Consumer Signal Boosters without diminishing the safeguards in </w:t>
      </w:r>
      <w:r w:rsidR="004E43FA">
        <w:t>the Commission’s</w:t>
      </w:r>
      <w:r w:rsidR="004E43FA" w:rsidRPr="00AB507D">
        <w:t xml:space="preserve"> rules designed to protect wireless networks</w:t>
      </w:r>
      <w:r w:rsidR="004E43FA">
        <w:t>.</w:t>
      </w:r>
      <w:r w:rsidR="00193840">
        <w:t xml:space="preserve"> The</w:t>
      </w:r>
      <w:r w:rsidR="00193840" w:rsidRPr="00AB507D">
        <w:t xml:space="preserve"> rule changes will benefit consumers by decreasing the costs and complexities associated with the manufacture and certification of Wideband Boosters</w:t>
      </w:r>
      <w:r w:rsidR="006C1375">
        <w:t xml:space="preserve">, which in turn may reduce the cost of these devices to consumers, </w:t>
      </w:r>
      <w:r w:rsidR="00193840" w:rsidRPr="00AB507D">
        <w:t xml:space="preserve">while continuing to achieve the objectives of the </w:t>
      </w:r>
      <w:r w:rsidR="00427E41">
        <w:t>Network Protection Standard (</w:t>
      </w:r>
      <w:r w:rsidR="00193840" w:rsidRPr="00AB507D">
        <w:t>NPS</w:t>
      </w:r>
      <w:r w:rsidR="00427E41">
        <w:t>)</w:t>
      </w:r>
      <w:r w:rsidR="00193840">
        <w:t>.</w:t>
      </w:r>
      <w:r w:rsidR="002157ED">
        <w:rPr>
          <w:rStyle w:val="FootnoteReference"/>
        </w:rPr>
        <w:footnoteReference w:id="1"/>
      </w:r>
    </w:p>
    <w:p w:rsidR="00FF76AB" w:rsidRDefault="00FF76AB" w:rsidP="009E2184">
      <w:pPr>
        <w:pStyle w:val="ParaNum"/>
        <w:numPr>
          <w:ilvl w:val="0"/>
          <w:numId w:val="0"/>
        </w:numPr>
        <w:ind w:firstLine="720"/>
        <w:jc w:val="both"/>
      </w:pPr>
      <w:r w:rsidRPr="00AB507D">
        <w:t xml:space="preserve">These changes </w:t>
      </w:r>
      <w:r w:rsidR="007D7E4B">
        <w:t xml:space="preserve">also </w:t>
      </w:r>
      <w:r w:rsidRPr="00AB507D">
        <w:t xml:space="preserve">will ensure consumer access to a wide variety of cost-efficient Consumer Signal Boosters while </w:t>
      </w:r>
      <w:r w:rsidR="00A96BA8">
        <w:t xml:space="preserve">strengthening the technical protections for </w:t>
      </w:r>
      <w:r w:rsidRPr="00AB507D">
        <w:t>the wireless networks.</w:t>
      </w:r>
      <w:r>
        <w:t xml:space="preserve">  </w:t>
      </w:r>
    </w:p>
    <w:p w:rsidR="00DC1E24" w:rsidRDefault="00DC1E24" w:rsidP="009E2184">
      <w:pPr>
        <w:pStyle w:val="ParaNum"/>
        <w:numPr>
          <w:ilvl w:val="0"/>
          <w:numId w:val="0"/>
        </w:numPr>
        <w:ind w:firstLine="720"/>
        <w:jc w:val="both"/>
        <w:rPr>
          <w:szCs w:val="22"/>
        </w:rPr>
      </w:pPr>
    </w:p>
    <w:p w:rsidR="00584892" w:rsidRPr="004B1666" w:rsidRDefault="00584892" w:rsidP="009E2184">
      <w:pPr>
        <w:pStyle w:val="Heading1"/>
        <w:spacing w:after="220"/>
        <w:jc w:val="both"/>
        <w:rPr>
          <w:rFonts w:ascii="Times New Roman" w:hAnsi="Times New Roman"/>
          <w:szCs w:val="22"/>
        </w:rPr>
      </w:pPr>
      <w:bookmarkStart w:id="27" w:name="_Toc103419949"/>
      <w:bookmarkStart w:id="28" w:name="_Toc103420573"/>
      <w:bookmarkStart w:id="29" w:name="_Toc103420715"/>
      <w:bookmarkStart w:id="30" w:name="_Toc103420759"/>
      <w:bookmarkStart w:id="31" w:name="_Toc103420819"/>
      <w:bookmarkStart w:id="32" w:name="_Toc103420866"/>
      <w:bookmarkStart w:id="33" w:name="_Toc103420954"/>
      <w:bookmarkStart w:id="34" w:name="_Toc103421293"/>
      <w:bookmarkStart w:id="35" w:name="_Toc103421411"/>
      <w:bookmarkStart w:id="36" w:name="_Toc103421505"/>
      <w:bookmarkStart w:id="37" w:name="_Toc103488262"/>
      <w:bookmarkStart w:id="38" w:name="_Toc125945574"/>
      <w:bookmarkStart w:id="39" w:name="_Toc153861059"/>
      <w:bookmarkStart w:id="40" w:name="_Toc176072635"/>
      <w:bookmarkStart w:id="41" w:name="_Toc176072761"/>
      <w:bookmarkStart w:id="42" w:name="_Toc176072787"/>
      <w:bookmarkStart w:id="43" w:name="_Toc176072811"/>
      <w:bookmarkStart w:id="44" w:name="_Toc179100554"/>
      <w:bookmarkStart w:id="45" w:name="_Toc179100919"/>
      <w:bookmarkStart w:id="46" w:name="_Toc216065689"/>
      <w:bookmarkStart w:id="47" w:name="_Toc326229720"/>
      <w:bookmarkStart w:id="48" w:name="_Toc326658330"/>
      <w:bookmarkStart w:id="49" w:name="_Toc326746786"/>
      <w:bookmarkStart w:id="50" w:name="_Toc326826052"/>
      <w:bookmarkStart w:id="51" w:name="_Toc399919664"/>
      <w:r w:rsidRPr="004B1666">
        <w:rPr>
          <w:rFonts w:ascii="Times New Roman" w:hAnsi="Times New Roman"/>
          <w:szCs w:val="22"/>
        </w:rPr>
        <w:t>Regulations and Policies That the Commission ADOPTED OR Modified</w:t>
      </w:r>
      <w:bookmarkEnd w:id="27"/>
      <w:bookmarkEnd w:id="28"/>
      <w:bookmarkEnd w:id="29"/>
      <w:bookmarkEnd w:id="30"/>
      <w:bookmarkEnd w:id="31"/>
      <w:bookmarkEnd w:id="32"/>
      <w:bookmarkEnd w:id="33"/>
      <w:bookmarkEnd w:id="34"/>
      <w:bookmarkEnd w:id="35"/>
      <w:bookmarkEnd w:id="36"/>
      <w:bookmarkEnd w:id="37"/>
      <w:bookmarkEnd w:id="38"/>
      <w:r w:rsidRPr="004B1666">
        <w:rPr>
          <w:rFonts w:ascii="Times New Roman" w:hAnsi="Times New Roman"/>
          <w:szCs w:val="22"/>
        </w:rPr>
        <w:t>, including compliance requirements</w:t>
      </w:r>
      <w:bookmarkEnd w:id="39"/>
      <w:bookmarkEnd w:id="40"/>
      <w:bookmarkEnd w:id="41"/>
      <w:bookmarkEnd w:id="42"/>
      <w:bookmarkEnd w:id="43"/>
      <w:bookmarkEnd w:id="44"/>
      <w:bookmarkEnd w:id="45"/>
      <w:bookmarkEnd w:id="46"/>
      <w:bookmarkEnd w:id="47"/>
      <w:bookmarkEnd w:id="48"/>
      <w:bookmarkEnd w:id="49"/>
      <w:bookmarkEnd w:id="50"/>
      <w:bookmarkEnd w:id="51"/>
      <w:r w:rsidRPr="004B1666">
        <w:rPr>
          <w:rFonts w:ascii="Times New Roman" w:hAnsi="Times New Roman"/>
          <w:szCs w:val="22"/>
        </w:rPr>
        <w:t xml:space="preserve"> </w:t>
      </w:r>
    </w:p>
    <w:p w:rsidR="003B38AE" w:rsidRDefault="00584892" w:rsidP="009E2184">
      <w:pPr>
        <w:spacing w:after="220"/>
        <w:ind w:firstLine="720"/>
        <w:jc w:val="both"/>
        <w:rPr>
          <w:szCs w:val="22"/>
        </w:rPr>
      </w:pPr>
      <w:r w:rsidRPr="00D27BE0">
        <w:rPr>
          <w:szCs w:val="22"/>
        </w:rPr>
        <w:t xml:space="preserve">In the </w:t>
      </w:r>
      <w:r w:rsidRPr="00D27BE0">
        <w:rPr>
          <w:i/>
          <w:szCs w:val="22"/>
        </w:rPr>
        <w:t>Order</w:t>
      </w:r>
      <w:r w:rsidRPr="00D27BE0">
        <w:rPr>
          <w:szCs w:val="22"/>
        </w:rPr>
        <w:t xml:space="preserve"> </w:t>
      </w:r>
      <w:r w:rsidR="0029177D" w:rsidRPr="00AB507D">
        <w:rPr>
          <w:i/>
        </w:rPr>
        <w:t>on Reconsideration</w:t>
      </w:r>
      <w:r w:rsidR="004E3513">
        <w:t>,</w:t>
      </w:r>
      <w:r w:rsidR="0029177D" w:rsidRPr="00790C36">
        <w:rPr>
          <w:i/>
          <w:szCs w:val="22"/>
        </w:rPr>
        <w:t xml:space="preserve"> </w:t>
      </w:r>
      <w:r w:rsidRPr="00D27BE0">
        <w:rPr>
          <w:szCs w:val="22"/>
        </w:rPr>
        <w:t>the Commi</w:t>
      </w:r>
      <w:r>
        <w:rPr>
          <w:szCs w:val="22"/>
        </w:rPr>
        <w:t xml:space="preserve">ssion </w:t>
      </w:r>
      <w:r w:rsidR="0023683B">
        <w:rPr>
          <w:szCs w:val="22"/>
        </w:rPr>
        <w:t>modifi</w:t>
      </w:r>
      <w:r w:rsidR="006664E0">
        <w:rPr>
          <w:szCs w:val="22"/>
        </w:rPr>
        <w:t>ed</w:t>
      </w:r>
      <w:r w:rsidR="001533CF">
        <w:rPr>
          <w:szCs w:val="22"/>
        </w:rPr>
        <w:t xml:space="preserve"> </w:t>
      </w:r>
      <w:r w:rsidR="00D74E48">
        <w:rPr>
          <w:szCs w:val="22"/>
        </w:rPr>
        <w:t xml:space="preserve">and adopted </w:t>
      </w:r>
      <w:r w:rsidR="001533CF">
        <w:rPr>
          <w:szCs w:val="22"/>
        </w:rPr>
        <w:t>rules</w:t>
      </w:r>
      <w:r w:rsidR="006664E0">
        <w:rPr>
          <w:szCs w:val="22"/>
        </w:rPr>
        <w:t xml:space="preserve"> </w:t>
      </w:r>
      <w:r w:rsidR="004E3513">
        <w:rPr>
          <w:szCs w:val="22"/>
        </w:rPr>
        <w:t>governing Provider-Specific Consumer Signal Boosters.  The revised and new rules</w:t>
      </w:r>
      <w:r w:rsidR="00DE0F9C">
        <w:rPr>
          <w:szCs w:val="22"/>
        </w:rPr>
        <w:t xml:space="preserve">: </w:t>
      </w:r>
    </w:p>
    <w:p w:rsidR="003B38AE" w:rsidRPr="00AB507D" w:rsidRDefault="003B38AE" w:rsidP="009E2184">
      <w:pPr>
        <w:pStyle w:val="ParaNum"/>
        <w:numPr>
          <w:ilvl w:val="0"/>
          <w:numId w:val="20"/>
        </w:numPr>
        <w:jc w:val="both"/>
      </w:pPr>
      <w:r w:rsidRPr="00AB507D">
        <w:t xml:space="preserve">Require that mobile Provider-Specific Consumer Signal Boosters meet the same noise limits as mobile </w:t>
      </w:r>
      <w:r>
        <w:t>W</w:t>
      </w:r>
      <w:r w:rsidRPr="00AB507D">
        <w:t xml:space="preserve">ideband </w:t>
      </w:r>
      <w:r>
        <w:t>C</w:t>
      </w:r>
      <w:r w:rsidRPr="00AB507D">
        <w:t xml:space="preserve">onsumer </w:t>
      </w:r>
      <w:r>
        <w:t>Signal B</w:t>
      </w:r>
      <w:r w:rsidRPr="00AB507D">
        <w:t>oosters;</w:t>
      </w:r>
    </w:p>
    <w:p w:rsidR="003B38AE" w:rsidRPr="00AB507D" w:rsidRDefault="003B38AE" w:rsidP="009E2184">
      <w:pPr>
        <w:pStyle w:val="ParaNum"/>
        <w:numPr>
          <w:ilvl w:val="0"/>
          <w:numId w:val="20"/>
        </w:numPr>
        <w:jc w:val="both"/>
      </w:pPr>
      <w:r w:rsidRPr="00AB507D">
        <w:t>Require that mobile Provider-Specific Consumer Signal Boosters that are directly connected to the device or that use direct contact coupling (</w:t>
      </w:r>
      <w:r w:rsidRPr="00AB507D">
        <w:rPr>
          <w:i/>
        </w:rPr>
        <w:t>e.g.</w:t>
      </w:r>
      <w:r w:rsidRPr="00AB507D">
        <w:t xml:space="preserve">, cradle-type boosters) meet the same gain limits that apply to similarly connected </w:t>
      </w:r>
      <w:r>
        <w:t>W</w:t>
      </w:r>
      <w:r w:rsidRPr="00AB507D">
        <w:t xml:space="preserve">ideband </w:t>
      </w:r>
      <w:r>
        <w:t>C</w:t>
      </w:r>
      <w:r w:rsidRPr="00AB507D">
        <w:t xml:space="preserve">onsumer </w:t>
      </w:r>
      <w:r>
        <w:t>Signal B</w:t>
      </w:r>
      <w:r w:rsidRPr="00AB507D">
        <w:t>oosters;</w:t>
      </w:r>
      <w:r w:rsidR="00751942">
        <w:t xml:space="preserve"> and</w:t>
      </w:r>
    </w:p>
    <w:p w:rsidR="003B38AE" w:rsidRDefault="003B38AE" w:rsidP="009E2184">
      <w:pPr>
        <w:pStyle w:val="ParaNum"/>
        <w:numPr>
          <w:ilvl w:val="0"/>
          <w:numId w:val="20"/>
        </w:numPr>
        <w:jc w:val="both"/>
      </w:pPr>
      <w:r w:rsidRPr="00AB507D">
        <w:t>Require that the maximum booster gain for mobile Provider-Specific Consumer Signal Boosters that use an inside antenna and that have both automatic gain adjustment based on isolation measurements between booster donor and server antenna and automatic feedback cancellation not exceed 58 dB and 65 dB for frequencies below and above 1 GHz, respectively</w:t>
      </w:r>
      <w:r w:rsidR="00751942">
        <w:t>.</w:t>
      </w:r>
    </w:p>
    <w:p w:rsidR="00B43151" w:rsidRPr="00AB507D" w:rsidRDefault="00B43151" w:rsidP="00B43151">
      <w:pPr>
        <w:pStyle w:val="ParaNum"/>
        <w:numPr>
          <w:ilvl w:val="0"/>
          <w:numId w:val="0"/>
        </w:numPr>
        <w:ind w:firstLine="720"/>
        <w:jc w:val="both"/>
      </w:pPr>
      <w:r w:rsidRPr="00D27BE0">
        <w:rPr>
          <w:szCs w:val="22"/>
        </w:rPr>
        <w:t xml:space="preserve">In the </w:t>
      </w:r>
      <w:r w:rsidRPr="00D27BE0">
        <w:rPr>
          <w:i/>
          <w:szCs w:val="22"/>
        </w:rPr>
        <w:t>Order</w:t>
      </w:r>
      <w:r w:rsidRPr="00D27BE0">
        <w:rPr>
          <w:szCs w:val="22"/>
        </w:rPr>
        <w:t xml:space="preserve"> </w:t>
      </w:r>
      <w:r w:rsidRPr="00AB507D">
        <w:rPr>
          <w:i/>
        </w:rPr>
        <w:t>on Reconsideration</w:t>
      </w:r>
      <w:r w:rsidR="005A202C">
        <w:t>,</w:t>
      </w:r>
      <w:r w:rsidRPr="00790C36">
        <w:rPr>
          <w:i/>
          <w:szCs w:val="22"/>
        </w:rPr>
        <w:t xml:space="preserve"> </w:t>
      </w:r>
      <w:r>
        <w:rPr>
          <w:szCs w:val="22"/>
        </w:rPr>
        <w:t>t</w:t>
      </w:r>
      <w:r>
        <w:t>he Commission also took the following actions:</w:t>
      </w:r>
    </w:p>
    <w:p w:rsidR="003B38AE" w:rsidRPr="00AB507D" w:rsidRDefault="003B38AE" w:rsidP="009E2184">
      <w:pPr>
        <w:pStyle w:val="ParaNum"/>
        <w:numPr>
          <w:ilvl w:val="0"/>
          <w:numId w:val="20"/>
        </w:numPr>
        <w:jc w:val="both"/>
      </w:pPr>
      <w:r w:rsidRPr="00AB507D">
        <w:t>Amend</w:t>
      </w:r>
      <w:r w:rsidR="002B02E0">
        <w:t>ed</w:t>
      </w:r>
      <w:r w:rsidRPr="00AB507D">
        <w:t xml:space="preserve"> the antenna kitting rule for all Provider-Specific Consumer Signal Boosters to be the same as the current antenna kitting rule applicable to </w:t>
      </w:r>
      <w:r>
        <w:t>W</w:t>
      </w:r>
      <w:r w:rsidRPr="00AB507D">
        <w:t xml:space="preserve">ideband </w:t>
      </w:r>
      <w:r>
        <w:t>C</w:t>
      </w:r>
      <w:r w:rsidRPr="00AB507D">
        <w:t xml:space="preserve">onsumer </w:t>
      </w:r>
      <w:r>
        <w:t>Signal B</w:t>
      </w:r>
      <w:r w:rsidRPr="00AB507D">
        <w:t>oosters</w:t>
      </w:r>
      <w:r w:rsidR="00751942">
        <w:t>.</w:t>
      </w:r>
      <w:r w:rsidRPr="00AB507D">
        <w:t xml:space="preserve"> </w:t>
      </w:r>
    </w:p>
    <w:p w:rsidR="003B38AE" w:rsidRDefault="003B38AE" w:rsidP="009E2184">
      <w:pPr>
        <w:pStyle w:val="ParaNum"/>
        <w:widowControl/>
        <w:numPr>
          <w:ilvl w:val="0"/>
          <w:numId w:val="20"/>
        </w:numPr>
        <w:jc w:val="both"/>
      </w:pPr>
      <w:r w:rsidRPr="00AB507D">
        <w:t>Amend</w:t>
      </w:r>
      <w:r w:rsidR="002B02E0">
        <w:t>ed</w:t>
      </w:r>
      <w:r w:rsidRPr="00AB507D">
        <w:t xml:space="preserve"> the booster labeling requirements to require that all consumer boosters, both Provider-Specific and Wideband, certified for fixed, in-building use include language stating: “This device may </w:t>
      </w:r>
      <w:r>
        <w:t>ONLY</w:t>
      </w:r>
      <w:r w:rsidRPr="00AB507D">
        <w:t xml:space="preserve"> be operated in a fixed location for in-building use.”</w:t>
      </w:r>
    </w:p>
    <w:p w:rsidR="00252A34" w:rsidRDefault="0029177D" w:rsidP="00066ADB">
      <w:pPr>
        <w:pStyle w:val="ListParagraph"/>
        <w:numPr>
          <w:ilvl w:val="0"/>
          <w:numId w:val="20"/>
        </w:numPr>
        <w:spacing w:after="220"/>
        <w:jc w:val="both"/>
      </w:pPr>
      <w:r>
        <w:t>R</w:t>
      </w:r>
      <w:r w:rsidR="00DC5DE7" w:rsidRPr="00AB507D">
        <w:t>emove</w:t>
      </w:r>
      <w:r w:rsidR="00DC5DE7">
        <w:t>d</w:t>
      </w:r>
      <w:r w:rsidR="00DC5DE7" w:rsidRPr="00AB507D">
        <w:t xml:space="preserve"> the reference to downlink noise from section 20.21(e)(8)(i)(A)(</w:t>
      </w:r>
      <w:r w:rsidR="00DC5DE7" w:rsidRPr="00BB0786">
        <w:rPr>
          <w:i/>
        </w:rPr>
        <w:t>1</w:t>
      </w:r>
      <w:r w:rsidR="00DC5DE7" w:rsidRPr="00AB507D">
        <w:t>) of  Noise Limits technical requirement for Wideband Consumer Signal Boosters.</w:t>
      </w:r>
      <w:r w:rsidR="00252A34">
        <w:t xml:space="preserve"> </w:t>
      </w:r>
    </w:p>
    <w:p w:rsidR="00066ADB" w:rsidRPr="00AB507D" w:rsidRDefault="00066ADB" w:rsidP="00066ADB">
      <w:pPr>
        <w:pStyle w:val="ListParagraph"/>
        <w:spacing w:after="220"/>
        <w:ind w:left="1440"/>
        <w:jc w:val="both"/>
      </w:pPr>
    </w:p>
    <w:p w:rsidR="0069253E" w:rsidRDefault="002B207B" w:rsidP="00066ADB">
      <w:pPr>
        <w:pStyle w:val="ListParagraph"/>
        <w:numPr>
          <w:ilvl w:val="0"/>
          <w:numId w:val="3"/>
        </w:numPr>
        <w:tabs>
          <w:tab w:val="clear" w:pos="720"/>
          <w:tab w:val="num" w:pos="1440"/>
        </w:tabs>
        <w:spacing w:after="120"/>
        <w:ind w:left="1440"/>
        <w:jc w:val="both"/>
      </w:pPr>
      <w:r>
        <w:t>A</w:t>
      </w:r>
      <w:r w:rsidRPr="00AB507D">
        <w:t>dd</w:t>
      </w:r>
      <w:r>
        <w:t>ed</w:t>
      </w:r>
      <w:r w:rsidRPr="00AB507D">
        <w:t xml:space="preserve"> a reference to downlink noise in section 20.21(e)(8)(i)(H) of </w:t>
      </w:r>
      <w:r w:rsidR="00A954C3">
        <w:t>the</w:t>
      </w:r>
      <w:r w:rsidRPr="00AB507D">
        <w:t xml:space="preserve"> Transmit Power Off Mode requirement for Wideband Consumer Signal Boosters.  </w:t>
      </w:r>
      <w:r w:rsidR="0042136E" w:rsidRPr="00796DE7">
        <w:t xml:space="preserve"> </w:t>
      </w:r>
      <w:bookmarkStart w:id="52" w:name="_Toc345312666"/>
      <w:bookmarkStart w:id="53" w:name="_Toc345319732"/>
      <w:bookmarkStart w:id="54" w:name="_Toc345401261"/>
      <w:bookmarkStart w:id="55" w:name="_Toc345401607"/>
      <w:bookmarkStart w:id="56" w:name="_Toc345410036"/>
      <w:bookmarkStart w:id="57" w:name="_Toc345421331"/>
      <w:bookmarkStart w:id="58" w:name="_Toc345421934"/>
      <w:bookmarkStart w:id="59" w:name="_Toc345490872"/>
      <w:bookmarkStart w:id="60" w:name="_Toc345501485"/>
      <w:bookmarkStart w:id="61" w:name="_Toc345581054"/>
      <w:bookmarkStart w:id="62" w:name="_Toc345590194"/>
      <w:bookmarkStart w:id="63" w:name="_Toc345590640"/>
      <w:bookmarkStart w:id="64" w:name="_Toc346615567"/>
      <w:bookmarkStart w:id="65" w:name="_Toc346620087"/>
      <w:bookmarkStart w:id="66" w:name="_Toc346808890"/>
      <w:bookmarkStart w:id="67" w:name="_Toc347297268"/>
      <w:bookmarkStart w:id="68" w:name="_Toc348724405"/>
      <w:bookmarkStart w:id="69" w:name="_Toc349066682"/>
    </w:p>
    <w:p w:rsidR="00066ADB" w:rsidRDefault="00066ADB" w:rsidP="00066ADB">
      <w:pPr>
        <w:pStyle w:val="ListParagraph"/>
        <w:tabs>
          <w:tab w:val="num" w:pos="1440"/>
        </w:tabs>
        <w:spacing w:after="120"/>
        <w:ind w:left="1440"/>
        <w:jc w:val="both"/>
      </w:pPr>
    </w:p>
    <w:p w:rsidR="002B19BB" w:rsidRDefault="00061925" w:rsidP="009E2184">
      <w:pPr>
        <w:pStyle w:val="ListParagraph"/>
        <w:tabs>
          <w:tab w:val="num" w:pos="1440"/>
        </w:tabs>
        <w:spacing w:after="120"/>
        <w:ind w:left="1440" w:hanging="720"/>
        <w:jc w:val="both"/>
      </w:pPr>
      <w:r>
        <w:t xml:space="preserve">We discuss these </w:t>
      </w:r>
      <w:r w:rsidR="00945594">
        <w:t xml:space="preserve">rule changes and </w:t>
      </w:r>
      <w:r>
        <w:t>compliance re</w:t>
      </w:r>
      <w:r w:rsidR="002502E3">
        <w:t>quirements in more detail below:</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664ED4" w:rsidRDefault="002B19BB" w:rsidP="00066ADB">
      <w:pPr>
        <w:pStyle w:val="ParaNum"/>
        <w:keepLines/>
        <w:numPr>
          <w:ilvl w:val="0"/>
          <w:numId w:val="0"/>
        </w:numPr>
        <w:jc w:val="both"/>
        <w:rPr>
          <w:color w:val="000000"/>
        </w:rPr>
      </w:pPr>
      <w:r>
        <w:rPr>
          <w:i/>
        </w:rPr>
        <w:tab/>
      </w:r>
      <w:r w:rsidR="00AA5668" w:rsidRPr="00AB507D">
        <w:rPr>
          <w:i/>
        </w:rPr>
        <w:t>Noise Limits for Provider-Specific Consumer Signal Boosters</w:t>
      </w:r>
      <w:r w:rsidR="00AA5668" w:rsidRPr="00AB507D">
        <w:t xml:space="preserve">.  </w:t>
      </w:r>
      <w:r w:rsidR="00AA5668">
        <w:t xml:space="preserve">The Commission adopted </w:t>
      </w:r>
      <w:r w:rsidR="00AA5668" w:rsidRPr="00AB507D">
        <w:t>modified, strengthened noise and gain limits for mobile Provider-Specific Consumer Signal Boosters.</w:t>
      </w:r>
      <w:r w:rsidR="00795472">
        <w:t xml:space="preserve"> </w:t>
      </w:r>
      <w:r w:rsidR="002502E3">
        <w:t xml:space="preserve"> </w:t>
      </w:r>
      <w:r w:rsidR="00795472">
        <w:t>T</w:t>
      </w:r>
      <w:r w:rsidR="00795472" w:rsidRPr="00AB507D">
        <w:t xml:space="preserve">he </w:t>
      </w:r>
      <w:r w:rsidR="00F97A44">
        <w:t xml:space="preserve">rules now </w:t>
      </w:r>
      <w:r w:rsidR="00795472" w:rsidRPr="00AB507D">
        <w:t xml:space="preserve">require that all mobile Provider-Specific Consumer Signal Boosters meet the same noise limits as mobile Wideband Consumer Signal Boosters and that mobile Provider-Specific Consumer Signal Boosters that are directly connected to the device </w:t>
      </w:r>
      <w:r w:rsidR="00795472">
        <w:t>or</w:t>
      </w:r>
      <w:r w:rsidR="00795472" w:rsidRPr="00AB507D">
        <w:t xml:space="preserve"> that use direct contact coupling (</w:t>
      </w:r>
      <w:r w:rsidR="00795472" w:rsidRPr="00AB507D">
        <w:rPr>
          <w:i/>
        </w:rPr>
        <w:t>e.g.</w:t>
      </w:r>
      <w:r w:rsidR="00795472" w:rsidRPr="00AB507D">
        <w:t xml:space="preserve">, cradle-type boosters) meet the same gain limits that apply to similarly connected </w:t>
      </w:r>
      <w:r w:rsidR="00795472">
        <w:t>W</w:t>
      </w:r>
      <w:r w:rsidR="00795472" w:rsidRPr="00AB507D">
        <w:t xml:space="preserve">ideband </w:t>
      </w:r>
      <w:r w:rsidR="00795472">
        <w:t>C</w:t>
      </w:r>
      <w:r w:rsidR="00795472" w:rsidRPr="00AB507D">
        <w:t xml:space="preserve">onsumer </w:t>
      </w:r>
      <w:r w:rsidR="00795472">
        <w:t>Signal B</w:t>
      </w:r>
      <w:r w:rsidR="00795472" w:rsidRPr="00AB507D">
        <w:t>oosters</w:t>
      </w:r>
      <w:r w:rsidR="00795472">
        <w:t>.</w:t>
      </w:r>
      <w:r w:rsidR="008B3282">
        <w:t xml:space="preserve"> </w:t>
      </w:r>
      <w:r w:rsidR="008B3282" w:rsidRPr="00AB507D">
        <w:t xml:space="preserve">For mobile Provider-Specific Consumer Signal Boosters that use an inside antenna and that have both automatic gain adjustment based on isolation measurements between booster donor and server antenna and automatic feedback cancellation, the Commission </w:t>
      </w:r>
      <w:r w:rsidR="00DE4025">
        <w:t xml:space="preserve">will </w:t>
      </w:r>
      <w:r w:rsidR="008B3282" w:rsidRPr="00AB507D">
        <w:t>require that the maximum booster gain not exceed 58 dB and 65 dB for frequencies below and above 1 GHz, respectively</w:t>
      </w:r>
      <w:r w:rsidR="008B3282">
        <w:t>.</w:t>
      </w:r>
      <w:r w:rsidR="00487D69">
        <w:t xml:space="preserve"> The </w:t>
      </w:r>
      <w:r w:rsidR="00487D69" w:rsidRPr="00AB507D">
        <w:t>noise and gain limits are reasonable for signal booster manufacturers to implement, while also adequately protecting against interference to wireless networks</w:t>
      </w:r>
      <w:r w:rsidR="00487D69">
        <w:t>.</w:t>
      </w:r>
      <w:r w:rsidR="00EE7416">
        <w:t xml:space="preserve"> </w:t>
      </w:r>
    </w:p>
    <w:p w:rsidR="00F711B2" w:rsidRDefault="002B19BB" w:rsidP="00066ADB">
      <w:pPr>
        <w:pStyle w:val="ParaNum"/>
        <w:numPr>
          <w:ilvl w:val="0"/>
          <w:numId w:val="0"/>
        </w:numPr>
        <w:jc w:val="both"/>
      </w:pPr>
      <w:r>
        <w:rPr>
          <w:i/>
        </w:rPr>
        <w:tab/>
      </w:r>
      <w:r w:rsidR="00F711B2" w:rsidRPr="00AB507D">
        <w:rPr>
          <w:i/>
        </w:rPr>
        <w:t>Antenna Kitting Requirements</w:t>
      </w:r>
      <w:r w:rsidR="00F711B2" w:rsidRPr="00AB507D">
        <w:t xml:space="preserve">.  </w:t>
      </w:r>
      <w:r w:rsidR="00F711B2">
        <w:t xml:space="preserve">The Commission </w:t>
      </w:r>
      <w:r w:rsidR="00F711B2" w:rsidRPr="00AB507D">
        <w:t xml:space="preserve"> amend</w:t>
      </w:r>
      <w:r w:rsidR="00F711B2">
        <w:t>ed</w:t>
      </w:r>
      <w:r w:rsidR="00F711B2" w:rsidRPr="00AB507D">
        <w:t xml:space="preserve"> the rule for mobile Provider-Specific Consumer Signal Boosters to mirror the current antenna kitting rule for Wideband Consumer Signal Boosters by replacing the word “mobile” in section 20.21(e)(9)(i)(H) with the word “all.”</w:t>
      </w:r>
    </w:p>
    <w:p w:rsidR="006634AF" w:rsidRPr="00AB507D" w:rsidRDefault="002B19BB" w:rsidP="00066ADB">
      <w:pPr>
        <w:pStyle w:val="ParaNum"/>
        <w:numPr>
          <w:ilvl w:val="0"/>
          <w:numId w:val="0"/>
        </w:numPr>
        <w:jc w:val="both"/>
      </w:pPr>
      <w:r>
        <w:rPr>
          <w:i/>
        </w:rPr>
        <w:tab/>
      </w:r>
      <w:r w:rsidR="00343655" w:rsidRPr="00AB507D">
        <w:rPr>
          <w:i/>
        </w:rPr>
        <w:t>Labeling Requirements</w:t>
      </w:r>
      <w:r w:rsidR="00343655" w:rsidRPr="00AB507D">
        <w:t xml:space="preserve">.  </w:t>
      </w:r>
      <w:r w:rsidR="006634AF">
        <w:t xml:space="preserve">The Commission implemented labeling requirement  for </w:t>
      </w:r>
      <w:r w:rsidR="006634AF" w:rsidRPr="00AB507D">
        <w:t xml:space="preserve">all fixed Consumer Signal Boosters, both Provider-Specific and Wideband, manufactured or imported on or after one year from the effective date of the rule change </w:t>
      </w:r>
      <w:r w:rsidR="006634AF">
        <w:t xml:space="preserve">that </w:t>
      </w:r>
      <w:r w:rsidR="006634AF" w:rsidRPr="00AB507D">
        <w:t>must include the following advisory (1) in on-line point-of-sale marketing materials, (2) in any print or on-line owner’s manual and installation instructions, (3) on the outside packaging of the device, and (4) on a label affixed to the device: “This device may be operated only in a fixed location for in-building use.”</w:t>
      </w:r>
      <w:r w:rsidR="008D1F45">
        <w:t xml:space="preserve"> The Commission </w:t>
      </w:r>
      <w:r w:rsidR="008D1F45" w:rsidRPr="00AB507D">
        <w:t>recognize</w:t>
      </w:r>
      <w:r w:rsidR="008D1F45">
        <w:t>d</w:t>
      </w:r>
      <w:r w:rsidR="008D1F45" w:rsidRPr="00AB507D">
        <w:t xml:space="preserve"> that </w:t>
      </w:r>
      <w:r w:rsidR="008D1F45">
        <w:t>the</w:t>
      </w:r>
      <w:r w:rsidR="008D1F45" w:rsidRPr="00AB507D">
        <w:t xml:space="preserve"> labeling requirement imposes additional costs on entities that manufacture Consumer Signal Boosters; consistent with </w:t>
      </w:r>
      <w:r w:rsidR="008D1F45">
        <w:t>the</w:t>
      </w:r>
      <w:r w:rsidR="008D1F45" w:rsidRPr="00AB507D">
        <w:t xml:space="preserve"> previous decision in the </w:t>
      </w:r>
      <w:r w:rsidR="008D1F45" w:rsidRPr="00AB507D">
        <w:rPr>
          <w:i/>
        </w:rPr>
        <w:t>Report and Order</w:t>
      </w:r>
      <w:r w:rsidR="008D1F45" w:rsidRPr="00AB507D">
        <w:t xml:space="preserve"> to implement labeling requirements, however, </w:t>
      </w:r>
      <w:r w:rsidR="008D1F45">
        <w:t>the Commission</w:t>
      </w:r>
      <w:r w:rsidR="008D1F45" w:rsidRPr="00AB507D">
        <w:t xml:space="preserve"> </w:t>
      </w:r>
      <w:r w:rsidR="008D1F45">
        <w:t xml:space="preserve">concluded </w:t>
      </w:r>
      <w:r w:rsidR="008D1F45" w:rsidRPr="00AB507D">
        <w:t>that such costs are outweighed by the benefits of ensuring that consumers purchase appropriate devices</w:t>
      </w:r>
      <w:r w:rsidR="008D1F45">
        <w:t>.</w:t>
      </w:r>
      <w:r w:rsidR="0073410C">
        <w:t xml:space="preserve"> </w:t>
      </w:r>
    </w:p>
    <w:p w:rsidR="003F44B6" w:rsidRDefault="004E3513" w:rsidP="00066ADB">
      <w:pPr>
        <w:pStyle w:val="ParaNum"/>
        <w:numPr>
          <w:ilvl w:val="0"/>
          <w:numId w:val="0"/>
        </w:numPr>
        <w:jc w:val="both"/>
      </w:pPr>
      <w:r>
        <w:rPr>
          <w:i/>
        </w:rPr>
        <w:tab/>
      </w:r>
      <w:r w:rsidR="003F44B6" w:rsidRPr="00AB507D">
        <w:t>In addition, a typographical error</w:t>
      </w:r>
      <w:r w:rsidR="003F44B6">
        <w:t xml:space="preserve"> was corrected</w:t>
      </w:r>
      <w:r w:rsidR="003F44B6" w:rsidRPr="00AB507D">
        <w:t xml:space="preserve"> in 47 C.F.R. § 1.1307(b)(1) regarding radio frequency </w:t>
      </w:r>
      <w:r w:rsidR="003F44B6" w:rsidRPr="004C285B">
        <w:t xml:space="preserve">exposure </w:t>
      </w:r>
      <w:r w:rsidR="003F44B6" w:rsidRPr="00AB507D">
        <w:t>labeling requirements for Consumer Signal Boosters.</w:t>
      </w:r>
    </w:p>
    <w:p w:rsidR="00061925" w:rsidRDefault="00061925" w:rsidP="00066ADB">
      <w:pPr>
        <w:pStyle w:val="ParaNum"/>
        <w:numPr>
          <w:ilvl w:val="0"/>
          <w:numId w:val="0"/>
        </w:numPr>
        <w:jc w:val="both"/>
      </w:pPr>
      <w:r>
        <w:rPr>
          <w:i/>
        </w:rPr>
        <w:tab/>
      </w:r>
      <w:r w:rsidRPr="00AB507D">
        <w:rPr>
          <w:i/>
        </w:rPr>
        <w:t>Noise Limit for</w:t>
      </w:r>
      <w:r>
        <w:rPr>
          <w:i/>
        </w:rPr>
        <w:t xml:space="preserve"> Wideband</w:t>
      </w:r>
      <w:r w:rsidRPr="00AB507D">
        <w:rPr>
          <w:i/>
        </w:rPr>
        <w:t xml:space="preserve"> Consumer Signal Boosters</w:t>
      </w:r>
      <w:r w:rsidRPr="00AB507D">
        <w:t>.</w:t>
      </w:r>
      <w:r>
        <w:t xml:space="preserve">  As we mentioned above, the Commission revised a rule to eliminate a noise limit that previously applied to Wideband Consumer Signal Boosters.  In pertinent part, as revised, this rule reads as follows: </w:t>
      </w:r>
      <w:r w:rsidR="002502E3">
        <w:t xml:space="preserve"> </w:t>
      </w:r>
      <w:r>
        <w:t>“</w:t>
      </w:r>
      <w:r w:rsidRPr="00AB507D">
        <w:t>The transmitted noise power in dBm/MHz of consumer boosters at their uplink port shall not exceed -103 dBm/MHz – RSSI.  RSSI (received signal strength indication expressed in negative dB units relative to 1 mW) is the downlink composite received signal power in dBm at the booster donor port for all base stations in the band of operation.</w:t>
      </w:r>
      <w:r>
        <w:t xml:space="preserve">” </w:t>
      </w:r>
      <w:r w:rsidRPr="00AB507D">
        <w:t xml:space="preserve">  </w:t>
      </w:r>
    </w:p>
    <w:p w:rsidR="00061925" w:rsidRDefault="00061925" w:rsidP="00066ADB">
      <w:pPr>
        <w:pStyle w:val="ListParagraph"/>
        <w:spacing w:after="120"/>
        <w:ind w:left="0"/>
        <w:jc w:val="both"/>
      </w:pPr>
      <w:r>
        <w:tab/>
      </w:r>
      <w:r>
        <w:rPr>
          <w:i/>
        </w:rPr>
        <w:t xml:space="preserve">Downlink Gain Requirement.  </w:t>
      </w:r>
      <w:r w:rsidR="00945594">
        <w:t xml:space="preserve">The Commission added </w:t>
      </w:r>
      <w:r w:rsidRPr="00AB507D">
        <w:t xml:space="preserve">a downlink gain requirement to </w:t>
      </w:r>
      <w:r>
        <w:t xml:space="preserve">the </w:t>
      </w:r>
      <w:r w:rsidRPr="00AB507D">
        <w:t>Transmit Power Off Mode rule</w:t>
      </w:r>
      <w:r w:rsidR="00945594">
        <w:t>.  This</w:t>
      </w:r>
      <w:r w:rsidRPr="00AB507D">
        <w:t xml:space="preserve"> will ensure gain equivalency as required by </w:t>
      </w:r>
      <w:r>
        <w:t xml:space="preserve">the </w:t>
      </w:r>
      <w:r w:rsidRPr="00AB507D">
        <w:t xml:space="preserve">Bidirectional Capability rule without creating complications for </w:t>
      </w:r>
      <w:r>
        <w:t xml:space="preserve">the </w:t>
      </w:r>
      <w:r w:rsidRPr="00AB507D">
        <w:t>test procedures.  In addition, it will benefit signal booster manufacturers by setting a floor on the permissible downlink gain when in proximity to one or more base station transmitters (</w:t>
      </w:r>
      <w:r w:rsidRPr="00AB507D">
        <w:rPr>
          <w:i/>
        </w:rPr>
        <w:t>i.e.,</w:t>
      </w:r>
      <w:r w:rsidRPr="00AB507D">
        <w:t xml:space="preserve"> high RSSI levels).</w:t>
      </w:r>
    </w:p>
    <w:p w:rsidR="00DC1E24" w:rsidRPr="00AB507D" w:rsidRDefault="00DC1E24" w:rsidP="00066ADB">
      <w:pPr>
        <w:pStyle w:val="ParaNum"/>
        <w:numPr>
          <w:ilvl w:val="0"/>
          <w:numId w:val="0"/>
        </w:numPr>
        <w:jc w:val="both"/>
      </w:pPr>
    </w:p>
    <w:p w:rsidR="004A054B" w:rsidRPr="00066ADB" w:rsidRDefault="00584892" w:rsidP="00066ADB">
      <w:pPr>
        <w:pStyle w:val="Heading1"/>
        <w:spacing w:after="220"/>
        <w:jc w:val="both"/>
        <w:rPr>
          <w:rFonts w:ascii="Times New Roman" w:hAnsi="Times New Roman"/>
          <w:szCs w:val="22"/>
        </w:rPr>
      </w:pPr>
      <w:bookmarkStart w:id="70" w:name="_Toc103419990"/>
      <w:bookmarkStart w:id="71" w:name="_Toc103420614"/>
      <w:bookmarkStart w:id="72" w:name="_Toc103420756"/>
      <w:bookmarkStart w:id="73" w:name="_Toc103420800"/>
      <w:bookmarkStart w:id="74" w:name="_Toc103420860"/>
      <w:bookmarkStart w:id="75" w:name="_Toc103420907"/>
      <w:bookmarkStart w:id="76" w:name="_Toc103420995"/>
      <w:bookmarkStart w:id="77" w:name="_Toc103421334"/>
      <w:bookmarkStart w:id="78" w:name="_Toc103421422"/>
      <w:bookmarkStart w:id="79" w:name="_Toc103421546"/>
      <w:bookmarkStart w:id="80" w:name="_Toc103488303"/>
      <w:bookmarkStart w:id="81" w:name="_Toc125945586"/>
      <w:bookmarkStart w:id="82" w:name="_Toc176072636"/>
      <w:bookmarkStart w:id="83" w:name="_Toc176072762"/>
      <w:bookmarkStart w:id="84" w:name="_Toc176072788"/>
      <w:bookmarkStart w:id="85" w:name="_Toc176072812"/>
      <w:bookmarkStart w:id="86" w:name="_Toc179100598"/>
      <w:bookmarkStart w:id="87" w:name="_Toc179100963"/>
      <w:bookmarkStart w:id="88" w:name="_Toc216065693"/>
      <w:bookmarkStart w:id="89" w:name="_Toc326229723"/>
      <w:bookmarkStart w:id="90" w:name="_Toc326658333"/>
      <w:bookmarkStart w:id="91" w:name="_Toc326746789"/>
      <w:bookmarkStart w:id="92" w:name="_Toc326826055"/>
      <w:bookmarkStart w:id="93" w:name="_Toc399919665"/>
      <w:r w:rsidRPr="004B1666">
        <w:rPr>
          <w:rFonts w:ascii="Times New Roman" w:hAnsi="Times New Roman"/>
          <w:szCs w:val="22"/>
        </w:rPr>
        <w:t>Recordkeeping Requirements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286AB2" w:rsidRPr="00B00A39">
        <w:t xml:space="preserve"> </w:t>
      </w:r>
    </w:p>
    <w:p w:rsidR="00DC1E24" w:rsidRPr="00066ADB" w:rsidRDefault="00B77859" w:rsidP="00066ADB">
      <w:pPr>
        <w:pStyle w:val="ParaNum"/>
        <w:numPr>
          <w:ilvl w:val="0"/>
          <w:numId w:val="0"/>
        </w:numPr>
        <w:spacing w:after="220"/>
        <w:ind w:firstLine="720"/>
        <w:jc w:val="both"/>
      </w:pPr>
      <w:r w:rsidRPr="00AB507D">
        <w:t>The rule changes adopted in this proceeding will not alter any of the current reporting or recordkeeping requirements</w:t>
      </w:r>
      <w:r w:rsidR="0073410C">
        <w:t xml:space="preserve"> but </w:t>
      </w:r>
      <w:r w:rsidR="0073410C" w:rsidRPr="00AB507D">
        <w:t>should provide small entities with access to the coverage enhancing benefits of signal boosters tha</w:t>
      </w:r>
      <w:r w:rsidR="00066ADB">
        <w:t>t do not harm wireless networks.</w:t>
      </w:r>
    </w:p>
    <w:p w:rsidR="00584892" w:rsidRPr="004B1666" w:rsidRDefault="00584892" w:rsidP="009E2184">
      <w:pPr>
        <w:pStyle w:val="Heading1"/>
        <w:spacing w:after="220"/>
        <w:jc w:val="both"/>
        <w:rPr>
          <w:rFonts w:ascii="Times New Roman" w:hAnsi="Times New Roman"/>
          <w:szCs w:val="22"/>
        </w:rPr>
      </w:pPr>
      <w:bookmarkStart w:id="94" w:name="_Toc176072637"/>
      <w:bookmarkStart w:id="95" w:name="_Toc176072763"/>
      <w:bookmarkStart w:id="96" w:name="_Toc176072789"/>
      <w:bookmarkStart w:id="97" w:name="_Toc176072813"/>
      <w:bookmarkStart w:id="98" w:name="_Toc179100599"/>
      <w:bookmarkStart w:id="99" w:name="_Toc179100964"/>
      <w:bookmarkStart w:id="100" w:name="_Toc216065694"/>
      <w:bookmarkStart w:id="101" w:name="_Toc326229724"/>
      <w:bookmarkStart w:id="102" w:name="_Toc326658334"/>
      <w:bookmarkStart w:id="103" w:name="_Toc326746790"/>
      <w:bookmarkStart w:id="104" w:name="_Toc326826056"/>
      <w:bookmarkStart w:id="105" w:name="_Toc399919666"/>
      <w:r w:rsidRPr="004B1666">
        <w:rPr>
          <w:rFonts w:ascii="Times New Roman" w:hAnsi="Times New Roman"/>
          <w:szCs w:val="22"/>
        </w:rPr>
        <w:t>Weblink</w:t>
      </w:r>
      <w:bookmarkEnd w:id="94"/>
      <w:bookmarkEnd w:id="95"/>
      <w:bookmarkEnd w:id="96"/>
      <w:bookmarkEnd w:id="97"/>
      <w:bookmarkEnd w:id="98"/>
      <w:bookmarkEnd w:id="99"/>
      <w:bookmarkEnd w:id="100"/>
      <w:bookmarkEnd w:id="101"/>
      <w:bookmarkEnd w:id="102"/>
      <w:bookmarkEnd w:id="103"/>
      <w:bookmarkEnd w:id="104"/>
      <w:bookmarkEnd w:id="105"/>
    </w:p>
    <w:p w:rsidR="002430B6" w:rsidRPr="002A3C7E" w:rsidRDefault="00584892" w:rsidP="002A3C7E">
      <w:pPr>
        <w:pStyle w:val="ParaNum"/>
        <w:numPr>
          <w:ilvl w:val="0"/>
          <w:numId w:val="0"/>
        </w:numPr>
        <w:ind w:firstLine="720"/>
        <w:jc w:val="both"/>
        <w:rPr>
          <w:snapToGrid/>
          <w:color w:val="000000"/>
          <w:kern w:val="0"/>
          <w:szCs w:val="22"/>
        </w:rPr>
      </w:pPr>
      <w:r w:rsidRPr="007036A7">
        <w:rPr>
          <w:szCs w:val="22"/>
        </w:rPr>
        <w:t>The</w:t>
      </w:r>
      <w:r>
        <w:rPr>
          <w:i/>
          <w:szCs w:val="22"/>
        </w:rPr>
        <w:t xml:space="preserve"> </w:t>
      </w:r>
      <w:r w:rsidRPr="007036A7">
        <w:rPr>
          <w:i/>
          <w:szCs w:val="22"/>
        </w:rPr>
        <w:t>Order</w:t>
      </w:r>
      <w:r w:rsidR="002430B6">
        <w:rPr>
          <w:i/>
          <w:szCs w:val="22"/>
        </w:rPr>
        <w:t xml:space="preserve"> on Reconsideration and Further Notice of Proposed Rulemaking</w:t>
      </w:r>
      <w:r w:rsidRPr="007036A7">
        <w:rPr>
          <w:szCs w:val="22"/>
        </w:rPr>
        <w:t xml:space="preserve">, FCC </w:t>
      </w:r>
      <w:r>
        <w:rPr>
          <w:szCs w:val="22"/>
        </w:rPr>
        <w:t>1</w:t>
      </w:r>
      <w:r w:rsidR="002430B6">
        <w:rPr>
          <w:szCs w:val="22"/>
        </w:rPr>
        <w:t>4</w:t>
      </w:r>
      <w:r w:rsidRPr="007036A7">
        <w:rPr>
          <w:szCs w:val="22"/>
        </w:rPr>
        <w:t>-</w:t>
      </w:r>
      <w:r w:rsidR="002430B6">
        <w:rPr>
          <w:szCs w:val="22"/>
        </w:rPr>
        <w:t>138</w:t>
      </w:r>
      <w:r w:rsidRPr="007036A7">
        <w:rPr>
          <w:szCs w:val="22"/>
        </w:rPr>
        <w:t xml:space="preserve">, </w:t>
      </w:r>
      <w:r w:rsidR="00157484">
        <w:rPr>
          <w:szCs w:val="22"/>
        </w:rPr>
        <w:t xml:space="preserve">was </w:t>
      </w:r>
      <w:r w:rsidRPr="007036A7">
        <w:rPr>
          <w:szCs w:val="22"/>
        </w:rPr>
        <w:t xml:space="preserve">adopted </w:t>
      </w:r>
      <w:r w:rsidR="002430B6">
        <w:rPr>
          <w:szCs w:val="22"/>
        </w:rPr>
        <w:t>September</w:t>
      </w:r>
      <w:r>
        <w:rPr>
          <w:szCs w:val="22"/>
        </w:rPr>
        <w:t xml:space="preserve"> </w:t>
      </w:r>
      <w:r w:rsidR="002430B6">
        <w:rPr>
          <w:szCs w:val="22"/>
        </w:rPr>
        <w:t>19</w:t>
      </w:r>
      <w:r>
        <w:rPr>
          <w:szCs w:val="22"/>
        </w:rPr>
        <w:t>,</w:t>
      </w:r>
      <w:r w:rsidRPr="007036A7">
        <w:rPr>
          <w:szCs w:val="22"/>
        </w:rPr>
        <w:t xml:space="preserve"> 20</w:t>
      </w:r>
      <w:r>
        <w:rPr>
          <w:szCs w:val="22"/>
        </w:rPr>
        <w:t>1</w:t>
      </w:r>
      <w:r w:rsidR="002430B6">
        <w:rPr>
          <w:szCs w:val="22"/>
        </w:rPr>
        <w:t>4</w:t>
      </w:r>
      <w:r>
        <w:rPr>
          <w:szCs w:val="22"/>
        </w:rPr>
        <w:t xml:space="preserve"> </w:t>
      </w:r>
      <w:r w:rsidRPr="007036A7">
        <w:rPr>
          <w:szCs w:val="22"/>
        </w:rPr>
        <w:t xml:space="preserve">and released </w:t>
      </w:r>
      <w:r w:rsidR="002430B6">
        <w:rPr>
          <w:szCs w:val="22"/>
        </w:rPr>
        <w:t>September</w:t>
      </w:r>
      <w:r>
        <w:rPr>
          <w:szCs w:val="22"/>
        </w:rPr>
        <w:t xml:space="preserve"> </w:t>
      </w:r>
      <w:r w:rsidR="00161FCB">
        <w:rPr>
          <w:szCs w:val="22"/>
        </w:rPr>
        <w:t>2</w:t>
      </w:r>
      <w:r w:rsidR="002430B6">
        <w:rPr>
          <w:szCs w:val="22"/>
        </w:rPr>
        <w:t>3</w:t>
      </w:r>
      <w:r w:rsidR="00161FCB">
        <w:rPr>
          <w:szCs w:val="22"/>
        </w:rPr>
        <w:t>,</w:t>
      </w:r>
      <w:r>
        <w:rPr>
          <w:szCs w:val="22"/>
        </w:rPr>
        <w:t xml:space="preserve"> </w:t>
      </w:r>
      <w:r w:rsidRPr="007036A7">
        <w:rPr>
          <w:szCs w:val="22"/>
        </w:rPr>
        <w:t>20</w:t>
      </w:r>
      <w:r>
        <w:rPr>
          <w:szCs w:val="22"/>
        </w:rPr>
        <w:t>1</w:t>
      </w:r>
      <w:r w:rsidR="002430B6">
        <w:rPr>
          <w:szCs w:val="22"/>
        </w:rPr>
        <w:t>4</w:t>
      </w:r>
      <w:r w:rsidR="00161FCB">
        <w:rPr>
          <w:szCs w:val="22"/>
        </w:rPr>
        <w:t xml:space="preserve">. </w:t>
      </w:r>
      <w:r w:rsidR="00FE490D">
        <w:rPr>
          <w:szCs w:val="22"/>
        </w:rPr>
        <w:t xml:space="preserve"> </w:t>
      </w:r>
      <w:r w:rsidRPr="007036A7">
        <w:rPr>
          <w:szCs w:val="22"/>
        </w:rPr>
        <w:t xml:space="preserve">Final rules adopted in the </w:t>
      </w:r>
      <w:r w:rsidRPr="007036A7">
        <w:rPr>
          <w:i/>
          <w:szCs w:val="22"/>
        </w:rPr>
        <w:t>Order</w:t>
      </w:r>
      <w:r w:rsidRPr="007036A7">
        <w:rPr>
          <w:szCs w:val="22"/>
        </w:rPr>
        <w:t xml:space="preserve"> </w:t>
      </w:r>
      <w:r w:rsidR="002430B6">
        <w:rPr>
          <w:i/>
          <w:szCs w:val="22"/>
        </w:rPr>
        <w:t xml:space="preserve">on Reconsideration </w:t>
      </w:r>
      <w:r w:rsidR="00785962">
        <w:rPr>
          <w:szCs w:val="22"/>
        </w:rPr>
        <w:t>are</w:t>
      </w:r>
      <w:r w:rsidRPr="007036A7">
        <w:rPr>
          <w:szCs w:val="22"/>
        </w:rPr>
        <w:t xml:space="preserve"> effective </w:t>
      </w:r>
      <w:r w:rsidRPr="00D83F50">
        <w:rPr>
          <w:szCs w:val="22"/>
        </w:rPr>
        <w:t xml:space="preserve">on </w:t>
      </w:r>
      <w:r w:rsidR="002A3C7E">
        <w:rPr>
          <w:snapToGrid/>
          <w:color w:val="000000"/>
          <w:kern w:val="0"/>
          <w:szCs w:val="22"/>
        </w:rPr>
        <w:t xml:space="preserve">December 29, </w:t>
      </w:r>
      <w:r w:rsidR="00D83F50" w:rsidRPr="002A3C7E">
        <w:rPr>
          <w:snapToGrid/>
          <w:color w:val="000000"/>
          <w:kern w:val="0"/>
          <w:szCs w:val="22"/>
        </w:rPr>
        <w:t>201</w:t>
      </w:r>
      <w:r w:rsidR="002430B6" w:rsidRPr="002A3C7E">
        <w:rPr>
          <w:snapToGrid/>
          <w:color w:val="000000"/>
          <w:kern w:val="0"/>
          <w:szCs w:val="22"/>
        </w:rPr>
        <w:t>4</w:t>
      </w:r>
      <w:r w:rsidR="00D83F50" w:rsidRPr="002A3C7E">
        <w:rPr>
          <w:snapToGrid/>
          <w:color w:val="000000"/>
          <w:kern w:val="0"/>
          <w:szCs w:val="22"/>
        </w:rPr>
        <w:t xml:space="preserve">, except for </w:t>
      </w:r>
      <w:r w:rsidR="002430B6" w:rsidRPr="002A3C7E">
        <w:rPr>
          <w:snapToGrid/>
          <w:color w:val="000000"/>
          <w:kern w:val="0"/>
          <w:szCs w:val="22"/>
        </w:rPr>
        <w:t xml:space="preserve">47 C.F.R. </w:t>
      </w:r>
      <w:r w:rsidR="00D83F50" w:rsidRPr="002A3C7E">
        <w:rPr>
          <w:snapToGrid/>
          <w:color w:val="000000"/>
          <w:kern w:val="0"/>
          <w:szCs w:val="22"/>
        </w:rPr>
        <w:t xml:space="preserve">§ </w:t>
      </w:r>
      <w:r w:rsidR="002430B6" w:rsidRPr="00AB507D">
        <w:t>20.21(f)(1)(iv)(A)(</w:t>
      </w:r>
      <w:r w:rsidR="00E6048D">
        <w:rPr>
          <w:i/>
        </w:rPr>
        <w:t>2</w:t>
      </w:r>
      <w:r w:rsidR="002430B6" w:rsidRPr="00AB507D">
        <w:t>),</w:t>
      </w:r>
      <w:r w:rsidR="002430B6" w:rsidRPr="002A3C7E">
        <w:rPr>
          <w:b/>
        </w:rPr>
        <w:t xml:space="preserve"> </w:t>
      </w:r>
      <w:r w:rsidR="002430B6" w:rsidRPr="00AB507D">
        <w:t>which contain information collection requirements subject to the Paperwork Reduction Act of 1995, Public Law 104-13, that are not effective until after approval by the Office of Management and Budget.</w:t>
      </w:r>
      <w:r w:rsidR="002430B6">
        <w:t xml:space="preserve">  </w:t>
      </w:r>
      <w:r w:rsidR="002430B6" w:rsidRPr="00AB507D">
        <w:t>The Federal Communications Commission will publish a document in the Federal Register announcing OMB approval and the effective date of these rule revisions.</w:t>
      </w:r>
    </w:p>
    <w:p w:rsidR="002430B6" w:rsidRDefault="002430B6" w:rsidP="009E2184">
      <w:pPr>
        <w:jc w:val="both"/>
        <w:rPr>
          <w:snapToGrid/>
          <w:color w:val="000000"/>
          <w:kern w:val="0"/>
          <w:szCs w:val="22"/>
        </w:rPr>
      </w:pPr>
    </w:p>
    <w:p w:rsidR="006F59FB" w:rsidRDefault="005A5DF7" w:rsidP="009E2184">
      <w:pPr>
        <w:jc w:val="both"/>
        <w:rPr>
          <w:rStyle w:val="Hyperlink"/>
          <w:b/>
          <w:szCs w:val="22"/>
        </w:rPr>
      </w:pPr>
      <w:hyperlink r:id="rId8" w:history="1">
        <w:r w:rsidR="007F1F0E" w:rsidRPr="004740AD">
          <w:rPr>
            <w:rStyle w:val="Hyperlink"/>
            <w:b/>
            <w:szCs w:val="22"/>
          </w:rPr>
          <w:t>http://hraunfoss.fcc.gov/edocs_public/attachmatch/FCC-14-138A1.doc</w:t>
        </w:r>
      </w:hyperlink>
      <w:r w:rsidR="006F59FB">
        <w:rPr>
          <w:rStyle w:val="Hyperlink"/>
          <w:b/>
          <w:szCs w:val="22"/>
        </w:rPr>
        <w:t>x</w:t>
      </w:r>
    </w:p>
    <w:p w:rsidR="00584892" w:rsidRDefault="005A5DF7" w:rsidP="009E2184">
      <w:pPr>
        <w:jc w:val="both"/>
        <w:rPr>
          <w:rStyle w:val="Hyperlink"/>
          <w:b/>
          <w:szCs w:val="22"/>
        </w:rPr>
      </w:pPr>
      <w:hyperlink r:id="rId9" w:history="1">
        <w:r w:rsidR="007F1F0E" w:rsidRPr="004740AD">
          <w:rPr>
            <w:rStyle w:val="Hyperlink"/>
            <w:b/>
            <w:szCs w:val="22"/>
          </w:rPr>
          <w:t>http://hraunfoss.fcc.gov/edocs_public/attachmatch/FCC-14-138A1.pdf</w:t>
        </w:r>
      </w:hyperlink>
    </w:p>
    <w:p w:rsidR="00584892" w:rsidRDefault="005A5DF7" w:rsidP="009E2184">
      <w:pPr>
        <w:jc w:val="both"/>
        <w:rPr>
          <w:b/>
          <w:szCs w:val="22"/>
        </w:rPr>
      </w:pPr>
      <w:hyperlink r:id="rId10" w:history="1">
        <w:r w:rsidR="003A25D4" w:rsidRPr="004740AD">
          <w:rPr>
            <w:rStyle w:val="Hyperlink"/>
            <w:b/>
            <w:szCs w:val="22"/>
          </w:rPr>
          <w:t>http://hraunfoss.fcc.gov/edocs_public/attachmatch/FCC-14-138A1.txt</w:t>
        </w:r>
      </w:hyperlink>
    </w:p>
    <w:sectPr w:rsidR="00584892">
      <w:headerReference w:type="even" r:id="rId11"/>
      <w:headerReference w:type="default" r:id="rId12"/>
      <w:footerReference w:type="even" r:id="rId13"/>
      <w:footerReference w:type="default" r:id="rId14"/>
      <w:headerReference w:type="first" r:id="rId15"/>
      <w:footerReference w:type="first" r:id="rId16"/>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48" w:rsidRDefault="00736B48">
      <w:r>
        <w:separator/>
      </w:r>
    </w:p>
    <w:p w:rsidR="00736B48" w:rsidRDefault="00736B48"/>
    <w:p w:rsidR="00736B48" w:rsidRDefault="00736B48"/>
  </w:endnote>
  <w:endnote w:type="continuationSeparator" w:id="0">
    <w:p w:rsidR="00736B48" w:rsidRDefault="00736B48">
      <w:r>
        <w:continuationSeparator/>
      </w:r>
    </w:p>
    <w:p w:rsidR="00736B48" w:rsidRDefault="00736B48"/>
    <w:p w:rsidR="00736B48" w:rsidRDefault="00736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0" w:rsidRDefault="00D83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A6C">
      <w:rPr>
        <w:rStyle w:val="PageNumber"/>
        <w:noProof/>
      </w:rPr>
      <w:t>2</w:t>
    </w:r>
    <w:r>
      <w:rPr>
        <w:rStyle w:val="PageNumber"/>
      </w:rPr>
      <w:fldChar w:fldCharType="end"/>
    </w:r>
  </w:p>
  <w:p w:rsidR="00D83F50" w:rsidRDefault="00D83F50">
    <w:pPr>
      <w:pStyle w:val="Footer"/>
    </w:pPr>
  </w:p>
  <w:p w:rsidR="00D83F50" w:rsidRDefault="00D83F50"/>
  <w:p w:rsidR="00D83F50" w:rsidRDefault="00D83F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0" w:rsidRDefault="00D83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A6C">
      <w:rPr>
        <w:rStyle w:val="PageNumber"/>
        <w:noProof/>
      </w:rPr>
      <w:t>2</w:t>
    </w:r>
    <w:r>
      <w:rPr>
        <w:rStyle w:val="PageNumber"/>
      </w:rPr>
      <w:fldChar w:fldCharType="end"/>
    </w:r>
  </w:p>
  <w:p w:rsidR="00D83F50" w:rsidRDefault="00D83F50">
    <w:pPr>
      <w:pStyle w:val="Footer"/>
    </w:pPr>
  </w:p>
  <w:p w:rsidR="00D83F50" w:rsidRDefault="00D83F50"/>
  <w:p w:rsidR="00D83F50" w:rsidRDefault="00D83F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6C" w:rsidRDefault="00556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48" w:rsidRDefault="00736B48">
      <w:r>
        <w:separator/>
      </w:r>
    </w:p>
    <w:p w:rsidR="00736B48" w:rsidRDefault="00736B48"/>
    <w:p w:rsidR="00736B48" w:rsidRDefault="00736B48"/>
  </w:footnote>
  <w:footnote w:type="continuationSeparator" w:id="0">
    <w:p w:rsidR="00736B48" w:rsidRDefault="00736B48">
      <w:r>
        <w:continuationSeparator/>
      </w:r>
    </w:p>
    <w:p w:rsidR="00736B48" w:rsidRDefault="00736B48"/>
    <w:p w:rsidR="00736B48" w:rsidRDefault="00736B48"/>
  </w:footnote>
  <w:footnote w:id="1">
    <w:p w:rsidR="002157ED" w:rsidRDefault="002157ED">
      <w:pPr>
        <w:pStyle w:val="FootnoteText"/>
      </w:pPr>
      <w:r>
        <w:rPr>
          <w:rStyle w:val="FootnoteReference"/>
        </w:rPr>
        <w:footnoteRef/>
      </w:r>
      <w:r>
        <w:t xml:space="preserve"> The NPS is </w:t>
      </w:r>
      <w:r w:rsidRPr="00AB507D">
        <w:t xml:space="preserve">a flexible set of requirements </w:t>
      </w:r>
      <w:r>
        <w:t xml:space="preserve">adopted by the Commission </w:t>
      </w:r>
      <w:r w:rsidRPr="00AB507D">
        <w:t xml:space="preserve">for the design and manufacture of Consumer Signal Boosters, which </w:t>
      </w:r>
      <w:r>
        <w:t xml:space="preserve">is </w:t>
      </w:r>
      <w:r w:rsidRPr="00AB507D">
        <w:t>intended to couple signal booster innovation with sufficient safeguards to protect wireless networks from harmful interference.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0" w:rsidRDefault="00D83F50"/>
  <w:p w:rsidR="00D83F50" w:rsidRDefault="00D83F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6C" w:rsidRDefault="00556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50" w:rsidRDefault="005A5DF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1212190" r:id="rId2"/>
      </w:pict>
    </w:r>
    <w:r w:rsidR="00D83F50">
      <w:rPr>
        <w:rFonts w:ascii="CG Times (W1)" w:hAnsi="CG Times (W1)"/>
        <w:sz w:val="28"/>
      </w:rPr>
      <w:t>Federal Communications Commission</w:t>
    </w:r>
  </w:p>
  <w:p w:rsidR="00D83F50" w:rsidRDefault="00D83F50">
    <w:pPr>
      <w:jc w:val="center"/>
      <w:rPr>
        <w:rFonts w:ascii="CG Times (W1)" w:hAnsi="CG Times (W1)"/>
        <w:sz w:val="28"/>
      </w:rPr>
    </w:pPr>
    <w:r>
      <w:rPr>
        <w:rFonts w:ascii="CG Times (W1)" w:hAnsi="CG Times (W1)"/>
        <w:sz w:val="28"/>
      </w:rPr>
      <w:t>Washington, D.C. 20554</w:t>
    </w:r>
  </w:p>
  <w:p w:rsidR="00237AD6" w:rsidRPr="00237AD6" w:rsidRDefault="00237AD6">
    <w:pPr>
      <w:jc w:val="center"/>
      <w:rPr>
        <w:sz w:val="24"/>
        <w:szCs w:val="24"/>
      </w:rPr>
    </w:pPr>
  </w:p>
  <w:p w:rsidR="00237AD6" w:rsidRPr="00237AD6" w:rsidRDefault="00237AD6">
    <w:pPr>
      <w:jc w:val="center"/>
      <w:rPr>
        <w:sz w:val="24"/>
        <w:szCs w:val="24"/>
      </w:rPr>
    </w:pPr>
    <w:r w:rsidRPr="00237AD6">
      <w:rPr>
        <w:sz w:val="24"/>
        <w:szCs w:val="24"/>
      </w:rPr>
      <w:t>April 22, 2015</w:t>
    </w:r>
  </w:p>
  <w:p w:rsidR="00D83F50" w:rsidRDefault="00D83F50">
    <w:pPr>
      <w:pStyle w:val="Header"/>
      <w:jc w:val="center"/>
    </w:pPr>
  </w:p>
  <w:p w:rsidR="00D83F50" w:rsidRPr="00BA054F" w:rsidRDefault="00D83F50">
    <w:pPr>
      <w:pStyle w:val="Header"/>
      <w:jc w:val="center"/>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579"/>
    <w:multiLevelType w:val="hybridMultilevel"/>
    <w:tmpl w:val="609839DA"/>
    <w:lvl w:ilvl="0" w:tplc="04090001">
      <w:start w:val="1"/>
      <w:numFmt w:val="bullet"/>
      <w:lvlText w:val=""/>
      <w:lvlJc w:val="left"/>
      <w:pPr>
        <w:tabs>
          <w:tab w:val="num" w:pos="720"/>
        </w:tabs>
        <w:ind w:left="720" w:hanging="360"/>
      </w:pPr>
      <w:rPr>
        <w:rFonts w:ascii="Symbol" w:hAnsi="Symbol" w:hint="default"/>
      </w:rPr>
    </w:lvl>
    <w:lvl w:ilvl="1" w:tplc="45FC200A">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A7F92"/>
    <w:multiLevelType w:val="hybridMultilevel"/>
    <w:tmpl w:val="9754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78A0C8C"/>
    <w:multiLevelType w:val="hybridMultilevel"/>
    <w:tmpl w:val="0AFCE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B7666F4"/>
    <w:multiLevelType w:val="hybridMultilevel"/>
    <w:tmpl w:val="E960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8E6FA6"/>
    <w:multiLevelType w:val="hybridMultilevel"/>
    <w:tmpl w:val="C208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 w:numId="9">
    <w:abstractNumId w:val="5"/>
  </w:num>
  <w:num w:numId="10">
    <w:abstractNumId w:val="7"/>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1C3C"/>
    <w:rsid w:val="00002D3E"/>
    <w:rsid w:val="00003198"/>
    <w:rsid w:val="00013E57"/>
    <w:rsid w:val="0001759E"/>
    <w:rsid w:val="000218B1"/>
    <w:rsid w:val="000254C9"/>
    <w:rsid w:val="0003246A"/>
    <w:rsid w:val="00046ED8"/>
    <w:rsid w:val="00051B00"/>
    <w:rsid w:val="00061925"/>
    <w:rsid w:val="0006518E"/>
    <w:rsid w:val="00065D01"/>
    <w:rsid w:val="00066ADB"/>
    <w:rsid w:val="00066B48"/>
    <w:rsid w:val="00067683"/>
    <w:rsid w:val="0008131F"/>
    <w:rsid w:val="000823FC"/>
    <w:rsid w:val="00083EF1"/>
    <w:rsid w:val="000845C0"/>
    <w:rsid w:val="000A18B5"/>
    <w:rsid w:val="000A46F2"/>
    <w:rsid w:val="000A51ED"/>
    <w:rsid w:val="000E226B"/>
    <w:rsid w:val="000F4E2C"/>
    <w:rsid w:val="00101090"/>
    <w:rsid w:val="00103CAF"/>
    <w:rsid w:val="00107410"/>
    <w:rsid w:val="001179E0"/>
    <w:rsid w:val="00122619"/>
    <w:rsid w:val="001233CD"/>
    <w:rsid w:val="0013073A"/>
    <w:rsid w:val="001309C6"/>
    <w:rsid w:val="001467D5"/>
    <w:rsid w:val="001533CF"/>
    <w:rsid w:val="001558FB"/>
    <w:rsid w:val="0015702A"/>
    <w:rsid w:val="00157484"/>
    <w:rsid w:val="00161FCB"/>
    <w:rsid w:val="00164BD9"/>
    <w:rsid w:val="00167EAA"/>
    <w:rsid w:val="001735DB"/>
    <w:rsid w:val="001766FE"/>
    <w:rsid w:val="00184D2B"/>
    <w:rsid w:val="00185695"/>
    <w:rsid w:val="00193840"/>
    <w:rsid w:val="001A0962"/>
    <w:rsid w:val="001A4D82"/>
    <w:rsid w:val="001A54AE"/>
    <w:rsid w:val="001B1EA4"/>
    <w:rsid w:val="001B48C6"/>
    <w:rsid w:val="001B5119"/>
    <w:rsid w:val="001C0468"/>
    <w:rsid w:val="001C40D7"/>
    <w:rsid w:val="001C77DD"/>
    <w:rsid w:val="001E1F79"/>
    <w:rsid w:val="001E364B"/>
    <w:rsid w:val="001F67CA"/>
    <w:rsid w:val="00202C66"/>
    <w:rsid w:val="00207B56"/>
    <w:rsid w:val="00214E03"/>
    <w:rsid w:val="002153B2"/>
    <w:rsid w:val="002157ED"/>
    <w:rsid w:val="00220DC4"/>
    <w:rsid w:val="00222F1E"/>
    <w:rsid w:val="002254C6"/>
    <w:rsid w:val="002261EF"/>
    <w:rsid w:val="002343D8"/>
    <w:rsid w:val="00235922"/>
    <w:rsid w:val="00235F96"/>
    <w:rsid w:val="0023683B"/>
    <w:rsid w:val="00237AD6"/>
    <w:rsid w:val="002430B6"/>
    <w:rsid w:val="002502E3"/>
    <w:rsid w:val="00251ED5"/>
    <w:rsid w:val="00252166"/>
    <w:rsid w:val="00252A34"/>
    <w:rsid w:val="00254025"/>
    <w:rsid w:val="00261CAE"/>
    <w:rsid w:val="00266E9B"/>
    <w:rsid w:val="00277102"/>
    <w:rsid w:val="0028476C"/>
    <w:rsid w:val="00286AB2"/>
    <w:rsid w:val="002902E8"/>
    <w:rsid w:val="0029177D"/>
    <w:rsid w:val="002964FF"/>
    <w:rsid w:val="002A1BCF"/>
    <w:rsid w:val="002A3C7E"/>
    <w:rsid w:val="002A52C0"/>
    <w:rsid w:val="002B02E0"/>
    <w:rsid w:val="002B19BB"/>
    <w:rsid w:val="002B207B"/>
    <w:rsid w:val="002B242B"/>
    <w:rsid w:val="002B4126"/>
    <w:rsid w:val="002B72F0"/>
    <w:rsid w:val="002C0684"/>
    <w:rsid w:val="002C31C5"/>
    <w:rsid w:val="002C5484"/>
    <w:rsid w:val="002D05AC"/>
    <w:rsid w:val="002D4965"/>
    <w:rsid w:val="002D75E5"/>
    <w:rsid w:val="002E0DA9"/>
    <w:rsid w:val="002E0F69"/>
    <w:rsid w:val="002E3FD0"/>
    <w:rsid w:val="002F153D"/>
    <w:rsid w:val="002F198C"/>
    <w:rsid w:val="00301833"/>
    <w:rsid w:val="00307688"/>
    <w:rsid w:val="0031000F"/>
    <w:rsid w:val="0031592C"/>
    <w:rsid w:val="00330743"/>
    <w:rsid w:val="003318E0"/>
    <w:rsid w:val="00331B77"/>
    <w:rsid w:val="0033509F"/>
    <w:rsid w:val="0034071F"/>
    <w:rsid w:val="00340A10"/>
    <w:rsid w:val="00343655"/>
    <w:rsid w:val="0037033F"/>
    <w:rsid w:val="003723F5"/>
    <w:rsid w:val="00380296"/>
    <w:rsid w:val="003A12B3"/>
    <w:rsid w:val="003A25D4"/>
    <w:rsid w:val="003B0EFD"/>
    <w:rsid w:val="003B159D"/>
    <w:rsid w:val="003B38AE"/>
    <w:rsid w:val="003C1D33"/>
    <w:rsid w:val="003C1E72"/>
    <w:rsid w:val="003C28A6"/>
    <w:rsid w:val="003D44C1"/>
    <w:rsid w:val="003E1C23"/>
    <w:rsid w:val="003F2E33"/>
    <w:rsid w:val="003F44B6"/>
    <w:rsid w:val="003F4A6C"/>
    <w:rsid w:val="003F55A0"/>
    <w:rsid w:val="00415EDA"/>
    <w:rsid w:val="00420C9E"/>
    <w:rsid w:val="0042136E"/>
    <w:rsid w:val="00427D4F"/>
    <w:rsid w:val="00427E41"/>
    <w:rsid w:val="00441049"/>
    <w:rsid w:val="00442757"/>
    <w:rsid w:val="00446BB5"/>
    <w:rsid w:val="0045360C"/>
    <w:rsid w:val="00455994"/>
    <w:rsid w:val="0046662B"/>
    <w:rsid w:val="00477220"/>
    <w:rsid w:val="00487D69"/>
    <w:rsid w:val="00496FB3"/>
    <w:rsid w:val="004A017A"/>
    <w:rsid w:val="004A054B"/>
    <w:rsid w:val="004A068C"/>
    <w:rsid w:val="004A6117"/>
    <w:rsid w:val="004B1558"/>
    <w:rsid w:val="004C274D"/>
    <w:rsid w:val="004C4D77"/>
    <w:rsid w:val="004E0B7A"/>
    <w:rsid w:val="004E3513"/>
    <w:rsid w:val="004E43FA"/>
    <w:rsid w:val="004E7C56"/>
    <w:rsid w:val="004F588C"/>
    <w:rsid w:val="005004DE"/>
    <w:rsid w:val="00505FAA"/>
    <w:rsid w:val="00517B62"/>
    <w:rsid w:val="005275A0"/>
    <w:rsid w:val="00533590"/>
    <w:rsid w:val="00534E88"/>
    <w:rsid w:val="005416C7"/>
    <w:rsid w:val="0054301C"/>
    <w:rsid w:val="00546B2A"/>
    <w:rsid w:val="005478BB"/>
    <w:rsid w:val="00551AD6"/>
    <w:rsid w:val="00554785"/>
    <w:rsid w:val="00556A6C"/>
    <w:rsid w:val="00562F09"/>
    <w:rsid w:val="00565D50"/>
    <w:rsid w:val="005677FB"/>
    <w:rsid w:val="00572E49"/>
    <w:rsid w:val="00577603"/>
    <w:rsid w:val="00584892"/>
    <w:rsid w:val="00585AE2"/>
    <w:rsid w:val="0059117A"/>
    <w:rsid w:val="00591EE6"/>
    <w:rsid w:val="005961FE"/>
    <w:rsid w:val="005A202C"/>
    <w:rsid w:val="005A28E0"/>
    <w:rsid w:val="005A5DF7"/>
    <w:rsid w:val="005A65DC"/>
    <w:rsid w:val="005B2A96"/>
    <w:rsid w:val="005C7EA7"/>
    <w:rsid w:val="005D2B42"/>
    <w:rsid w:val="005D380C"/>
    <w:rsid w:val="005D3DBB"/>
    <w:rsid w:val="005E2C65"/>
    <w:rsid w:val="005E5604"/>
    <w:rsid w:val="00601C87"/>
    <w:rsid w:val="00606442"/>
    <w:rsid w:val="00610873"/>
    <w:rsid w:val="00610FEE"/>
    <w:rsid w:val="006206C4"/>
    <w:rsid w:val="00622979"/>
    <w:rsid w:val="00624465"/>
    <w:rsid w:val="0063433B"/>
    <w:rsid w:val="0063693F"/>
    <w:rsid w:val="00640727"/>
    <w:rsid w:val="00652294"/>
    <w:rsid w:val="006634AF"/>
    <w:rsid w:val="00664ED4"/>
    <w:rsid w:val="00665124"/>
    <w:rsid w:val="006657E9"/>
    <w:rsid w:val="006664E0"/>
    <w:rsid w:val="00675FC8"/>
    <w:rsid w:val="0069253E"/>
    <w:rsid w:val="00695389"/>
    <w:rsid w:val="006960ED"/>
    <w:rsid w:val="00697DF8"/>
    <w:rsid w:val="006A55EF"/>
    <w:rsid w:val="006A6BD7"/>
    <w:rsid w:val="006A73C6"/>
    <w:rsid w:val="006B2058"/>
    <w:rsid w:val="006B341A"/>
    <w:rsid w:val="006B54D9"/>
    <w:rsid w:val="006B6213"/>
    <w:rsid w:val="006C1375"/>
    <w:rsid w:val="006D0354"/>
    <w:rsid w:val="006D1A14"/>
    <w:rsid w:val="006E1654"/>
    <w:rsid w:val="006E366B"/>
    <w:rsid w:val="006E3F77"/>
    <w:rsid w:val="006E5A15"/>
    <w:rsid w:val="006F3F40"/>
    <w:rsid w:val="006F59FB"/>
    <w:rsid w:val="006F5F33"/>
    <w:rsid w:val="0070653A"/>
    <w:rsid w:val="007148EA"/>
    <w:rsid w:val="00720868"/>
    <w:rsid w:val="00732CCD"/>
    <w:rsid w:val="00733C7A"/>
    <w:rsid w:val="0073410C"/>
    <w:rsid w:val="00734D16"/>
    <w:rsid w:val="0073542B"/>
    <w:rsid w:val="007354D5"/>
    <w:rsid w:val="00736B48"/>
    <w:rsid w:val="007374CA"/>
    <w:rsid w:val="00737D60"/>
    <w:rsid w:val="00751942"/>
    <w:rsid w:val="00774A74"/>
    <w:rsid w:val="00777D3C"/>
    <w:rsid w:val="00785962"/>
    <w:rsid w:val="007864EE"/>
    <w:rsid w:val="00795472"/>
    <w:rsid w:val="00796DE7"/>
    <w:rsid w:val="007A2DFD"/>
    <w:rsid w:val="007A6EF7"/>
    <w:rsid w:val="007A73FD"/>
    <w:rsid w:val="007B05FB"/>
    <w:rsid w:val="007B0BB5"/>
    <w:rsid w:val="007B12FB"/>
    <w:rsid w:val="007B3B74"/>
    <w:rsid w:val="007B4839"/>
    <w:rsid w:val="007B5107"/>
    <w:rsid w:val="007C741B"/>
    <w:rsid w:val="007C7AB6"/>
    <w:rsid w:val="007D1187"/>
    <w:rsid w:val="007D6D40"/>
    <w:rsid w:val="007D7E4B"/>
    <w:rsid w:val="007E5D88"/>
    <w:rsid w:val="007F1F0E"/>
    <w:rsid w:val="007F4231"/>
    <w:rsid w:val="007F5803"/>
    <w:rsid w:val="008047B1"/>
    <w:rsid w:val="00807030"/>
    <w:rsid w:val="008175EC"/>
    <w:rsid w:val="00820341"/>
    <w:rsid w:val="0082493B"/>
    <w:rsid w:val="00835BA6"/>
    <w:rsid w:val="00841231"/>
    <w:rsid w:val="0084237C"/>
    <w:rsid w:val="0084251E"/>
    <w:rsid w:val="0084525E"/>
    <w:rsid w:val="00845BF7"/>
    <w:rsid w:val="008540D8"/>
    <w:rsid w:val="0085608B"/>
    <w:rsid w:val="008602B5"/>
    <w:rsid w:val="00860892"/>
    <w:rsid w:val="008714B2"/>
    <w:rsid w:val="00871CB7"/>
    <w:rsid w:val="00872E02"/>
    <w:rsid w:val="008756BA"/>
    <w:rsid w:val="00875F41"/>
    <w:rsid w:val="00882DED"/>
    <w:rsid w:val="00892F67"/>
    <w:rsid w:val="00894F5D"/>
    <w:rsid w:val="0089649F"/>
    <w:rsid w:val="008B3282"/>
    <w:rsid w:val="008B69CA"/>
    <w:rsid w:val="008C0924"/>
    <w:rsid w:val="008C31FD"/>
    <w:rsid w:val="008C4C70"/>
    <w:rsid w:val="008C5271"/>
    <w:rsid w:val="008C705C"/>
    <w:rsid w:val="008C7DD0"/>
    <w:rsid w:val="008D1F45"/>
    <w:rsid w:val="008E2C3A"/>
    <w:rsid w:val="009021BF"/>
    <w:rsid w:val="0090365E"/>
    <w:rsid w:val="0090409A"/>
    <w:rsid w:val="009137BB"/>
    <w:rsid w:val="00925F55"/>
    <w:rsid w:val="00931341"/>
    <w:rsid w:val="00932CBA"/>
    <w:rsid w:val="0093349E"/>
    <w:rsid w:val="009422B4"/>
    <w:rsid w:val="00942FD2"/>
    <w:rsid w:val="009437CA"/>
    <w:rsid w:val="00945594"/>
    <w:rsid w:val="00945C5A"/>
    <w:rsid w:val="0095238E"/>
    <w:rsid w:val="00955AE6"/>
    <w:rsid w:val="00965229"/>
    <w:rsid w:val="0098116C"/>
    <w:rsid w:val="00981C58"/>
    <w:rsid w:val="00990E38"/>
    <w:rsid w:val="009A1900"/>
    <w:rsid w:val="009A4F20"/>
    <w:rsid w:val="009A633E"/>
    <w:rsid w:val="009A792D"/>
    <w:rsid w:val="009B0866"/>
    <w:rsid w:val="009B1AF0"/>
    <w:rsid w:val="009C4A44"/>
    <w:rsid w:val="009D7437"/>
    <w:rsid w:val="009E2184"/>
    <w:rsid w:val="009E32B3"/>
    <w:rsid w:val="009E664B"/>
    <w:rsid w:val="009F0142"/>
    <w:rsid w:val="009F0AB8"/>
    <w:rsid w:val="009F3301"/>
    <w:rsid w:val="009F4B83"/>
    <w:rsid w:val="009F5DE7"/>
    <w:rsid w:val="009F6AEF"/>
    <w:rsid w:val="00A07601"/>
    <w:rsid w:val="00A10475"/>
    <w:rsid w:val="00A206A2"/>
    <w:rsid w:val="00A24118"/>
    <w:rsid w:val="00A24FC9"/>
    <w:rsid w:val="00A27C81"/>
    <w:rsid w:val="00A37A15"/>
    <w:rsid w:val="00A54340"/>
    <w:rsid w:val="00A57B9C"/>
    <w:rsid w:val="00A61281"/>
    <w:rsid w:val="00A61DB0"/>
    <w:rsid w:val="00A62B7D"/>
    <w:rsid w:val="00A6642E"/>
    <w:rsid w:val="00A700D9"/>
    <w:rsid w:val="00A73122"/>
    <w:rsid w:val="00A736E3"/>
    <w:rsid w:val="00A82090"/>
    <w:rsid w:val="00A91685"/>
    <w:rsid w:val="00A917D4"/>
    <w:rsid w:val="00A95103"/>
    <w:rsid w:val="00A954C3"/>
    <w:rsid w:val="00A96BA8"/>
    <w:rsid w:val="00AA0D10"/>
    <w:rsid w:val="00AA2527"/>
    <w:rsid w:val="00AA5668"/>
    <w:rsid w:val="00AA5CDE"/>
    <w:rsid w:val="00AB176A"/>
    <w:rsid w:val="00AB1C9E"/>
    <w:rsid w:val="00AB2854"/>
    <w:rsid w:val="00AB35C9"/>
    <w:rsid w:val="00AC4360"/>
    <w:rsid w:val="00AD4999"/>
    <w:rsid w:val="00AE01DC"/>
    <w:rsid w:val="00AE1C63"/>
    <w:rsid w:val="00AE4348"/>
    <w:rsid w:val="00AE771F"/>
    <w:rsid w:val="00AE7A83"/>
    <w:rsid w:val="00AE7C58"/>
    <w:rsid w:val="00AF6014"/>
    <w:rsid w:val="00AF7727"/>
    <w:rsid w:val="00B02510"/>
    <w:rsid w:val="00B1017F"/>
    <w:rsid w:val="00B10A54"/>
    <w:rsid w:val="00B215BE"/>
    <w:rsid w:val="00B26604"/>
    <w:rsid w:val="00B33C10"/>
    <w:rsid w:val="00B40AB5"/>
    <w:rsid w:val="00B43151"/>
    <w:rsid w:val="00B47687"/>
    <w:rsid w:val="00B51218"/>
    <w:rsid w:val="00B52B05"/>
    <w:rsid w:val="00B6158E"/>
    <w:rsid w:val="00B62D6E"/>
    <w:rsid w:val="00B709E2"/>
    <w:rsid w:val="00B71553"/>
    <w:rsid w:val="00B73A1F"/>
    <w:rsid w:val="00B77859"/>
    <w:rsid w:val="00B808B7"/>
    <w:rsid w:val="00B819FE"/>
    <w:rsid w:val="00B844C3"/>
    <w:rsid w:val="00B935D5"/>
    <w:rsid w:val="00B937C5"/>
    <w:rsid w:val="00BA08CA"/>
    <w:rsid w:val="00BA1C75"/>
    <w:rsid w:val="00BA660E"/>
    <w:rsid w:val="00BA75E6"/>
    <w:rsid w:val="00BB0786"/>
    <w:rsid w:val="00BB458C"/>
    <w:rsid w:val="00BB655B"/>
    <w:rsid w:val="00BC00A0"/>
    <w:rsid w:val="00BC5C6D"/>
    <w:rsid w:val="00BC6116"/>
    <w:rsid w:val="00BD2CE3"/>
    <w:rsid w:val="00BE69DC"/>
    <w:rsid w:val="00BF1BDD"/>
    <w:rsid w:val="00BF6938"/>
    <w:rsid w:val="00C04A8C"/>
    <w:rsid w:val="00C05288"/>
    <w:rsid w:val="00C064CF"/>
    <w:rsid w:val="00C116D6"/>
    <w:rsid w:val="00C12F01"/>
    <w:rsid w:val="00C13241"/>
    <w:rsid w:val="00C26241"/>
    <w:rsid w:val="00C3305D"/>
    <w:rsid w:val="00C42228"/>
    <w:rsid w:val="00C46FA1"/>
    <w:rsid w:val="00C5136C"/>
    <w:rsid w:val="00C66124"/>
    <w:rsid w:val="00C72748"/>
    <w:rsid w:val="00C8470E"/>
    <w:rsid w:val="00C84873"/>
    <w:rsid w:val="00C849EB"/>
    <w:rsid w:val="00C92F09"/>
    <w:rsid w:val="00C94D0A"/>
    <w:rsid w:val="00C950E9"/>
    <w:rsid w:val="00C95CAE"/>
    <w:rsid w:val="00CB5115"/>
    <w:rsid w:val="00CB6B3E"/>
    <w:rsid w:val="00CC66F0"/>
    <w:rsid w:val="00CC6B7E"/>
    <w:rsid w:val="00CD10FA"/>
    <w:rsid w:val="00CD36E6"/>
    <w:rsid w:val="00CE474D"/>
    <w:rsid w:val="00D023AA"/>
    <w:rsid w:val="00D05B1D"/>
    <w:rsid w:val="00D167C3"/>
    <w:rsid w:val="00D21632"/>
    <w:rsid w:val="00D24A35"/>
    <w:rsid w:val="00D34F62"/>
    <w:rsid w:val="00D4137C"/>
    <w:rsid w:val="00D41700"/>
    <w:rsid w:val="00D5733D"/>
    <w:rsid w:val="00D66988"/>
    <w:rsid w:val="00D66E63"/>
    <w:rsid w:val="00D743DA"/>
    <w:rsid w:val="00D74E48"/>
    <w:rsid w:val="00D81C1A"/>
    <w:rsid w:val="00D82592"/>
    <w:rsid w:val="00D83F50"/>
    <w:rsid w:val="00D95647"/>
    <w:rsid w:val="00D96784"/>
    <w:rsid w:val="00D97280"/>
    <w:rsid w:val="00D97A18"/>
    <w:rsid w:val="00DA106D"/>
    <w:rsid w:val="00DA3DE2"/>
    <w:rsid w:val="00DB22E1"/>
    <w:rsid w:val="00DB6923"/>
    <w:rsid w:val="00DC0DF2"/>
    <w:rsid w:val="00DC1E24"/>
    <w:rsid w:val="00DC4F37"/>
    <w:rsid w:val="00DC5DE7"/>
    <w:rsid w:val="00DD0D0D"/>
    <w:rsid w:val="00DD3106"/>
    <w:rsid w:val="00DE0F9C"/>
    <w:rsid w:val="00DE1B0B"/>
    <w:rsid w:val="00DE331C"/>
    <w:rsid w:val="00DE4025"/>
    <w:rsid w:val="00DF3341"/>
    <w:rsid w:val="00DF6DF3"/>
    <w:rsid w:val="00E127D4"/>
    <w:rsid w:val="00E134E1"/>
    <w:rsid w:val="00E15EBF"/>
    <w:rsid w:val="00E16A19"/>
    <w:rsid w:val="00E21644"/>
    <w:rsid w:val="00E22573"/>
    <w:rsid w:val="00E25B76"/>
    <w:rsid w:val="00E37BDF"/>
    <w:rsid w:val="00E411B7"/>
    <w:rsid w:val="00E563B4"/>
    <w:rsid w:val="00E6040F"/>
    <w:rsid w:val="00E6048D"/>
    <w:rsid w:val="00E750DE"/>
    <w:rsid w:val="00E801EF"/>
    <w:rsid w:val="00E80A70"/>
    <w:rsid w:val="00E86621"/>
    <w:rsid w:val="00E94E18"/>
    <w:rsid w:val="00EB01E5"/>
    <w:rsid w:val="00EB2FBD"/>
    <w:rsid w:val="00EB4E1B"/>
    <w:rsid w:val="00EB74C9"/>
    <w:rsid w:val="00EC27C2"/>
    <w:rsid w:val="00EC2EDB"/>
    <w:rsid w:val="00EC4216"/>
    <w:rsid w:val="00EE5585"/>
    <w:rsid w:val="00EE7416"/>
    <w:rsid w:val="00EF034F"/>
    <w:rsid w:val="00EF4A28"/>
    <w:rsid w:val="00F04E8F"/>
    <w:rsid w:val="00F07ABB"/>
    <w:rsid w:val="00F16190"/>
    <w:rsid w:val="00F265B9"/>
    <w:rsid w:val="00F26622"/>
    <w:rsid w:val="00F26CCE"/>
    <w:rsid w:val="00F30ED2"/>
    <w:rsid w:val="00F36A5F"/>
    <w:rsid w:val="00F403B0"/>
    <w:rsid w:val="00F51D8E"/>
    <w:rsid w:val="00F662BB"/>
    <w:rsid w:val="00F711B2"/>
    <w:rsid w:val="00F7324B"/>
    <w:rsid w:val="00F76DDB"/>
    <w:rsid w:val="00F80240"/>
    <w:rsid w:val="00F815C9"/>
    <w:rsid w:val="00F86CCA"/>
    <w:rsid w:val="00F910B2"/>
    <w:rsid w:val="00F9400D"/>
    <w:rsid w:val="00F9405D"/>
    <w:rsid w:val="00F96623"/>
    <w:rsid w:val="00F97A44"/>
    <w:rsid w:val="00FA36E9"/>
    <w:rsid w:val="00FB6EB5"/>
    <w:rsid w:val="00FC25FD"/>
    <w:rsid w:val="00FC2615"/>
    <w:rsid w:val="00FD1627"/>
    <w:rsid w:val="00FE45A7"/>
    <w:rsid w:val="00FE490D"/>
    <w:rsid w:val="00FF15EE"/>
    <w:rsid w:val="00FF48EC"/>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
    <w:basedOn w:val="Normal"/>
    <w:next w:val="ParaNum"/>
    <w:link w:val="Heading2Char"/>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Char Char,Heading 3 Char Char Char Char,Heading 3 Char2 Char1 Char Char"/>
    <w:basedOn w:val="Normal"/>
    <w:next w:val="ParaNum"/>
    <w:link w:val="Heading3Char1"/>
    <w:qFormat/>
    <w:pPr>
      <w:keepNext/>
      <w:numPr>
        <w:ilvl w:val="2"/>
        <w:numId w:val="1"/>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2 Char Char,UNDERRUBRIK 1-2 Char Char,Heading 2 Char Char1 Char,Heading 2 Char1 Char Char Char1,Heading 2 Char Char1 Char Char Char,Heading 2 Char1 Char Char1,Heading 2 Char Char3 Char Char,Heading 2 Char1 Char Char Char Char"/>
    <w:link w:val="Heading2"/>
    <w:rsid w:val="00565D50"/>
    <w:rPr>
      <w:b/>
      <w:snapToGrid w:val="0"/>
      <w:kern w:val="28"/>
      <w:sz w:val="22"/>
    </w:rPr>
  </w:style>
  <w:style w:type="character" w:customStyle="1" w:styleId="Heading3Char1">
    <w:name w:val="Heading 3 Char1"/>
    <w:aliases w:val="Heading 3 Char Char1,3 Char Char,Titre 3 Char Char,1 Char Char,31 Char Char,Titre 31 Char Char,?? 3 Char Char,3 Char1,Titre 3 Char1,1 Char1,31 Char1,Titre 31 Char1,?? 3 Char1,Heading 3 Char Char Char,Heading 3 Char1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character" w:styleId="CommentReference">
    <w:name w:val="annotation reference"/>
    <w:basedOn w:val="DefaultParagraphFont"/>
    <w:rsid w:val="00945594"/>
    <w:rPr>
      <w:sz w:val="16"/>
      <w:szCs w:val="16"/>
    </w:rPr>
  </w:style>
  <w:style w:type="paragraph" w:styleId="CommentText">
    <w:name w:val="annotation text"/>
    <w:basedOn w:val="Normal"/>
    <w:link w:val="CommentTextChar"/>
    <w:rsid w:val="00945594"/>
    <w:rPr>
      <w:sz w:val="20"/>
    </w:rPr>
  </w:style>
  <w:style w:type="character" w:customStyle="1" w:styleId="CommentTextChar">
    <w:name w:val="Comment Text Char"/>
    <w:basedOn w:val="DefaultParagraphFont"/>
    <w:link w:val="CommentText"/>
    <w:rsid w:val="00945594"/>
    <w:rPr>
      <w:snapToGrid w:val="0"/>
      <w:kern w:val="28"/>
    </w:rPr>
  </w:style>
  <w:style w:type="paragraph" w:styleId="CommentSubject">
    <w:name w:val="annotation subject"/>
    <w:basedOn w:val="CommentText"/>
    <w:next w:val="CommentText"/>
    <w:link w:val="CommentSubjectChar"/>
    <w:rsid w:val="00945594"/>
    <w:rPr>
      <w:b/>
      <w:bCs/>
    </w:rPr>
  </w:style>
  <w:style w:type="character" w:customStyle="1" w:styleId="CommentSubjectChar">
    <w:name w:val="Comment Subject Char"/>
    <w:basedOn w:val="CommentTextChar"/>
    <w:link w:val="CommentSubject"/>
    <w:rsid w:val="0094559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
    <w:basedOn w:val="Normal"/>
    <w:next w:val="ParaNum"/>
    <w:link w:val="Heading2Char"/>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Heading 3 Char1 Char Char,Heading 3 Char Char Char Char,Heading 3 Char2 Char1 Char Char"/>
    <w:basedOn w:val="Normal"/>
    <w:next w:val="ParaNum"/>
    <w:link w:val="Heading3Char1"/>
    <w:qFormat/>
    <w:pPr>
      <w:keepNext/>
      <w:numPr>
        <w:ilvl w:val="2"/>
        <w:numId w:val="1"/>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2 Char Char,UNDERRUBRIK 1-2 Char Char,Heading 2 Char Char1 Char,Heading 2 Char1 Char Char Char1,Heading 2 Char Char1 Char Char Char,Heading 2 Char1 Char Char1,Heading 2 Char Char3 Char Char,Heading 2 Char1 Char Char Char Char"/>
    <w:link w:val="Heading2"/>
    <w:rsid w:val="00565D50"/>
    <w:rPr>
      <w:b/>
      <w:snapToGrid w:val="0"/>
      <w:kern w:val="28"/>
      <w:sz w:val="22"/>
    </w:rPr>
  </w:style>
  <w:style w:type="character" w:customStyle="1" w:styleId="Heading3Char1">
    <w:name w:val="Heading 3 Char1"/>
    <w:aliases w:val="Heading 3 Char Char1,3 Char Char,Titre 3 Char Char,1 Char Char,31 Char Char,Titre 31 Char Char,?? 3 Char Char,3 Char1,Titre 3 Char1,1 Char1,31 Char1,Titre 31 Char1,?? 3 Char1,Heading 3 Char Char Char,Heading 3 Char1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character" w:styleId="CommentReference">
    <w:name w:val="annotation reference"/>
    <w:basedOn w:val="DefaultParagraphFont"/>
    <w:rsid w:val="00945594"/>
    <w:rPr>
      <w:sz w:val="16"/>
      <w:szCs w:val="16"/>
    </w:rPr>
  </w:style>
  <w:style w:type="paragraph" w:styleId="CommentText">
    <w:name w:val="annotation text"/>
    <w:basedOn w:val="Normal"/>
    <w:link w:val="CommentTextChar"/>
    <w:rsid w:val="00945594"/>
    <w:rPr>
      <w:sz w:val="20"/>
    </w:rPr>
  </w:style>
  <w:style w:type="character" w:customStyle="1" w:styleId="CommentTextChar">
    <w:name w:val="Comment Text Char"/>
    <w:basedOn w:val="DefaultParagraphFont"/>
    <w:link w:val="CommentText"/>
    <w:rsid w:val="00945594"/>
    <w:rPr>
      <w:snapToGrid w:val="0"/>
      <w:kern w:val="28"/>
    </w:rPr>
  </w:style>
  <w:style w:type="paragraph" w:styleId="CommentSubject">
    <w:name w:val="annotation subject"/>
    <w:basedOn w:val="CommentText"/>
    <w:next w:val="CommentText"/>
    <w:link w:val="CommentSubjectChar"/>
    <w:rsid w:val="00945594"/>
    <w:rPr>
      <w:b/>
      <w:bCs/>
    </w:rPr>
  </w:style>
  <w:style w:type="character" w:customStyle="1" w:styleId="CommentSubjectChar">
    <w:name w:val="Comment Subject Char"/>
    <w:basedOn w:val="CommentTextChar"/>
    <w:link w:val="CommentSubject"/>
    <w:rsid w:val="0094559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40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9506679">
          <w:marLeft w:val="0"/>
          <w:marRight w:val="0"/>
          <w:marTop w:val="0"/>
          <w:marBottom w:val="0"/>
          <w:divBdr>
            <w:top w:val="none" w:sz="0" w:space="0" w:color="auto"/>
            <w:left w:val="none" w:sz="0" w:space="0" w:color="auto"/>
            <w:bottom w:val="none" w:sz="0" w:space="0" w:color="auto"/>
            <w:right w:val="none" w:sz="0" w:space="0" w:color="auto"/>
          </w:divBdr>
          <w:divsChild>
            <w:div w:id="1347250272">
              <w:marLeft w:val="45"/>
              <w:marRight w:val="45"/>
              <w:marTop w:val="45"/>
              <w:marBottom w:val="45"/>
              <w:divBdr>
                <w:top w:val="none" w:sz="0" w:space="0" w:color="auto"/>
                <w:left w:val="none" w:sz="0" w:space="0" w:color="auto"/>
                <w:bottom w:val="none" w:sz="0" w:space="0" w:color="auto"/>
                <w:right w:val="none" w:sz="0" w:space="0" w:color="auto"/>
              </w:divBdr>
              <w:divsChild>
                <w:div w:id="405760066">
                  <w:marLeft w:val="0"/>
                  <w:marRight w:val="0"/>
                  <w:marTop w:val="0"/>
                  <w:marBottom w:val="0"/>
                  <w:divBdr>
                    <w:top w:val="none" w:sz="0" w:space="0" w:color="auto"/>
                    <w:left w:val="none" w:sz="0" w:space="0" w:color="auto"/>
                    <w:bottom w:val="none" w:sz="0" w:space="0" w:color="auto"/>
                    <w:right w:val="none" w:sz="0" w:space="0" w:color="auto"/>
                  </w:divBdr>
                  <w:divsChild>
                    <w:div w:id="729961785">
                      <w:marLeft w:val="0"/>
                      <w:marRight w:val="0"/>
                      <w:marTop w:val="0"/>
                      <w:marBottom w:val="0"/>
                      <w:divBdr>
                        <w:top w:val="none" w:sz="0" w:space="0" w:color="auto"/>
                        <w:left w:val="none" w:sz="0" w:space="0" w:color="auto"/>
                        <w:bottom w:val="none" w:sz="0" w:space="0" w:color="auto"/>
                        <w:right w:val="none" w:sz="0" w:space="0" w:color="auto"/>
                      </w:divBdr>
                      <w:divsChild>
                        <w:div w:id="218710886">
                          <w:marLeft w:val="0"/>
                          <w:marRight w:val="0"/>
                          <w:marTop w:val="0"/>
                          <w:marBottom w:val="0"/>
                          <w:divBdr>
                            <w:top w:val="none" w:sz="0" w:space="0" w:color="auto"/>
                            <w:left w:val="none" w:sz="0" w:space="0" w:color="auto"/>
                            <w:bottom w:val="none" w:sz="0" w:space="0" w:color="auto"/>
                            <w:right w:val="none" w:sz="0" w:space="0" w:color="auto"/>
                          </w:divBdr>
                          <w:divsChild>
                            <w:div w:id="1260410950">
                              <w:marLeft w:val="0"/>
                              <w:marRight w:val="0"/>
                              <w:marTop w:val="0"/>
                              <w:marBottom w:val="0"/>
                              <w:divBdr>
                                <w:top w:val="none" w:sz="0" w:space="0" w:color="auto"/>
                                <w:left w:val="none" w:sz="0" w:space="0" w:color="auto"/>
                                <w:bottom w:val="none" w:sz="0" w:space="0" w:color="auto"/>
                                <w:right w:val="none" w:sz="0" w:space="0" w:color="auto"/>
                              </w:divBdr>
                            </w:div>
                          </w:divsChild>
                        </w:div>
                        <w:div w:id="671877762">
                          <w:marLeft w:val="0"/>
                          <w:marRight w:val="0"/>
                          <w:marTop w:val="0"/>
                          <w:marBottom w:val="0"/>
                          <w:divBdr>
                            <w:top w:val="none" w:sz="0" w:space="0" w:color="auto"/>
                            <w:left w:val="none" w:sz="0" w:space="0" w:color="auto"/>
                            <w:bottom w:val="none" w:sz="0" w:space="0" w:color="auto"/>
                            <w:right w:val="none" w:sz="0" w:space="0" w:color="auto"/>
                          </w:divBdr>
                          <w:divsChild>
                            <w:div w:id="7968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4-138A1.do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aunfoss.fcc.gov/edocs_public/attachmatch/FCC-14-138A1.txt" TargetMode="External"/><Relationship Id="rId4" Type="http://schemas.openxmlformats.org/officeDocument/2006/relationships/settings" Target="settings.xml"/><Relationship Id="rId9" Type="http://schemas.openxmlformats.org/officeDocument/2006/relationships/hyperlink" Target="http://hraunfoss.fcc.gov/edocs_public/attachmatch/FCC-14-138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8849</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10369</CharactersWithSpaces>
  <SharedDoc>false</SharedDoc>
  <HyperlinkBase> </HyperlinkBase>
  <HLinks>
    <vt:vector size="48" baseType="variant">
      <vt:variant>
        <vt:i4>7405570</vt:i4>
      </vt:variant>
      <vt:variant>
        <vt:i4>36</vt:i4>
      </vt:variant>
      <vt:variant>
        <vt:i4>0</vt:i4>
      </vt:variant>
      <vt:variant>
        <vt:i4>5</vt:i4>
      </vt:variant>
      <vt:variant>
        <vt:lpwstr>http://hraunfoss.fcc.gov/edocs_public/attachmatch/FCC-12-114A1.txt</vt:lpwstr>
      </vt:variant>
      <vt:variant>
        <vt:lpwstr/>
      </vt:variant>
      <vt:variant>
        <vt:i4>6750238</vt:i4>
      </vt:variant>
      <vt:variant>
        <vt:i4>33</vt:i4>
      </vt:variant>
      <vt:variant>
        <vt:i4>0</vt:i4>
      </vt:variant>
      <vt:variant>
        <vt:i4>5</vt:i4>
      </vt:variant>
      <vt:variant>
        <vt:lpwstr>http://hraunfoss.fcc.gov/edocs_public/attachmatch/FCC-12-114A1.pdf</vt:lpwstr>
      </vt:variant>
      <vt:variant>
        <vt:lpwstr/>
      </vt:variant>
      <vt:variant>
        <vt:i4>7733269</vt:i4>
      </vt:variant>
      <vt:variant>
        <vt:i4>30</vt:i4>
      </vt:variant>
      <vt:variant>
        <vt:i4>0</vt:i4>
      </vt:variant>
      <vt:variant>
        <vt:i4>5</vt:i4>
      </vt:variant>
      <vt:variant>
        <vt:lpwstr>http://hraunfoss.fcc.gov/edocs_public/attachmatch/FCC-12-114A1.doc</vt:lpwstr>
      </vt:variant>
      <vt:variant>
        <vt:lpwstr/>
      </vt:variant>
      <vt:variant>
        <vt:i4>1572926</vt:i4>
      </vt:variant>
      <vt:variant>
        <vt:i4>23</vt:i4>
      </vt:variant>
      <vt:variant>
        <vt:i4>0</vt:i4>
      </vt:variant>
      <vt:variant>
        <vt:i4>5</vt:i4>
      </vt:variant>
      <vt:variant>
        <vt:lpwstr/>
      </vt:variant>
      <vt:variant>
        <vt:lpwstr>_Toc337632980</vt:lpwstr>
      </vt:variant>
      <vt:variant>
        <vt:i4>1507390</vt:i4>
      </vt:variant>
      <vt:variant>
        <vt:i4>17</vt:i4>
      </vt:variant>
      <vt:variant>
        <vt:i4>0</vt:i4>
      </vt:variant>
      <vt:variant>
        <vt:i4>5</vt:i4>
      </vt:variant>
      <vt:variant>
        <vt:lpwstr/>
      </vt:variant>
      <vt:variant>
        <vt:lpwstr>_Toc337632979</vt:lpwstr>
      </vt:variant>
      <vt:variant>
        <vt:i4>1507390</vt:i4>
      </vt:variant>
      <vt:variant>
        <vt:i4>11</vt:i4>
      </vt:variant>
      <vt:variant>
        <vt:i4>0</vt:i4>
      </vt:variant>
      <vt:variant>
        <vt:i4>5</vt:i4>
      </vt:variant>
      <vt:variant>
        <vt:lpwstr/>
      </vt:variant>
      <vt:variant>
        <vt:lpwstr>_Toc337632978</vt:lpwstr>
      </vt:variant>
      <vt:variant>
        <vt:i4>1507390</vt:i4>
      </vt:variant>
      <vt:variant>
        <vt:i4>5</vt:i4>
      </vt:variant>
      <vt:variant>
        <vt:i4>0</vt:i4>
      </vt:variant>
      <vt:variant>
        <vt:i4>5</vt:i4>
      </vt:variant>
      <vt:variant>
        <vt:lpwstr/>
      </vt:variant>
      <vt:variant>
        <vt:lpwstr>_Toc337632977</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2015-04-22T16:50:00Z</dcterms:created>
  <dcterms:modified xsi:type="dcterms:W3CDTF">2015-04-22T16:50:00Z</dcterms:modified>
  <cp:category> </cp:category>
  <cp:contentStatus> </cp:contentStatus>
</cp:coreProperties>
</file>