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rsidP="003562C7">
      <w:pPr>
        <w:spacing w:after="0"/>
        <w:rPr>
          <w:sz w:val="22"/>
          <w:szCs w:val="22"/>
        </w:rPr>
      </w:pPr>
      <w:bookmarkStart w:id="0" w:name="_GoBack"/>
      <w:bookmarkEnd w:id="0"/>
    </w:p>
    <w:p w:rsidR="00B51C7F" w:rsidRPr="00B51C7F" w:rsidRDefault="00A41B6F" w:rsidP="0035611F">
      <w:pPr>
        <w:spacing w:after="0"/>
        <w:rPr>
          <w:sz w:val="22"/>
          <w:szCs w:val="22"/>
        </w:rPr>
      </w:pPr>
      <w:r>
        <w:rPr>
          <w:sz w:val="22"/>
          <w:szCs w:val="22"/>
        </w:rPr>
        <w:t>Chris Nierman</w:t>
      </w:r>
      <w:r w:rsidR="008D241E">
        <w:rPr>
          <w:sz w:val="22"/>
          <w:szCs w:val="22"/>
        </w:rPr>
        <w:t>, Esq.</w:t>
      </w:r>
      <w:r w:rsidR="00C02349" w:rsidRPr="00B51C7F">
        <w:rPr>
          <w:sz w:val="22"/>
          <w:szCs w:val="22"/>
        </w:rPr>
        <w:br/>
      </w:r>
      <w:r>
        <w:rPr>
          <w:sz w:val="22"/>
          <w:szCs w:val="22"/>
        </w:rPr>
        <w:t>Senior Counsel, Federal Affairs</w:t>
      </w:r>
    </w:p>
    <w:p w:rsidR="001579AB" w:rsidRDefault="00A41B6F" w:rsidP="0035611F">
      <w:pPr>
        <w:spacing w:after="0"/>
        <w:rPr>
          <w:sz w:val="22"/>
          <w:szCs w:val="22"/>
        </w:rPr>
      </w:pPr>
      <w:r>
        <w:rPr>
          <w:sz w:val="22"/>
          <w:szCs w:val="22"/>
        </w:rPr>
        <w:t>General Communication, Inc.</w:t>
      </w:r>
    </w:p>
    <w:p w:rsidR="001579AB" w:rsidRDefault="00A41B6F" w:rsidP="0035611F">
      <w:pPr>
        <w:spacing w:after="0"/>
        <w:rPr>
          <w:sz w:val="22"/>
          <w:szCs w:val="22"/>
        </w:rPr>
      </w:pPr>
      <w:r>
        <w:rPr>
          <w:sz w:val="22"/>
          <w:szCs w:val="22"/>
        </w:rPr>
        <w:t>1900 L St., N.W., Suite 7</w:t>
      </w:r>
      <w:r w:rsidR="001579AB">
        <w:rPr>
          <w:sz w:val="22"/>
          <w:szCs w:val="22"/>
        </w:rPr>
        <w:t>00</w:t>
      </w:r>
    </w:p>
    <w:p w:rsidR="00C02349" w:rsidRPr="00B51C7F" w:rsidRDefault="00B51C7F" w:rsidP="00B2121D">
      <w:pPr>
        <w:spacing w:after="220"/>
        <w:rPr>
          <w:sz w:val="22"/>
          <w:szCs w:val="22"/>
        </w:rPr>
      </w:pPr>
      <w:r w:rsidRPr="00B51C7F">
        <w:rPr>
          <w:sz w:val="22"/>
          <w:szCs w:val="22"/>
        </w:rPr>
        <w:t>Washington, DC</w:t>
      </w:r>
      <w:r w:rsidR="001579AB">
        <w:rPr>
          <w:sz w:val="22"/>
          <w:szCs w:val="22"/>
        </w:rPr>
        <w:t xml:space="preserve"> 2003</w:t>
      </w:r>
      <w:r w:rsidR="00C02349" w:rsidRPr="00B51C7F">
        <w:rPr>
          <w:sz w:val="22"/>
          <w:szCs w:val="22"/>
        </w:rPr>
        <w:t>6</w:t>
      </w:r>
    </w:p>
    <w:p w:rsidR="005D4B2F" w:rsidRDefault="00EC7B35" w:rsidP="0035611F">
      <w:pPr>
        <w:spacing w:after="0"/>
        <w:ind w:left="990" w:hanging="630"/>
        <w:rPr>
          <w:sz w:val="22"/>
          <w:szCs w:val="22"/>
        </w:rPr>
      </w:pPr>
      <w:r>
        <w:rPr>
          <w:sz w:val="22"/>
          <w:szCs w:val="22"/>
        </w:rPr>
        <w:t>RE:</w:t>
      </w:r>
      <w:r>
        <w:rPr>
          <w:sz w:val="22"/>
          <w:szCs w:val="22"/>
        </w:rPr>
        <w:tab/>
      </w:r>
      <w:r w:rsidR="001579AB">
        <w:rPr>
          <w:sz w:val="22"/>
          <w:szCs w:val="22"/>
        </w:rPr>
        <w:t>Application</w:t>
      </w:r>
      <w:r w:rsidR="00B25D80">
        <w:rPr>
          <w:sz w:val="22"/>
          <w:szCs w:val="22"/>
        </w:rPr>
        <w:t>s</w:t>
      </w:r>
      <w:r w:rsidR="001579AB">
        <w:rPr>
          <w:sz w:val="22"/>
          <w:szCs w:val="22"/>
        </w:rPr>
        <w:t xml:space="preserve"> of </w:t>
      </w:r>
      <w:r w:rsidR="008D241E">
        <w:rPr>
          <w:sz w:val="22"/>
          <w:szCs w:val="22"/>
        </w:rPr>
        <w:t>GCI Communication Corp., AC</w:t>
      </w:r>
      <w:r w:rsidR="0063445A">
        <w:rPr>
          <w:sz w:val="22"/>
          <w:szCs w:val="22"/>
        </w:rPr>
        <w:t>S</w:t>
      </w:r>
      <w:r w:rsidR="008D241E">
        <w:rPr>
          <w:sz w:val="22"/>
          <w:szCs w:val="22"/>
        </w:rPr>
        <w:t xml:space="preserve"> Wireless License Sub, Inc., ACS of Anchorage License Sub Inc.</w:t>
      </w:r>
      <w:r w:rsidR="00C14D4A">
        <w:rPr>
          <w:sz w:val="22"/>
          <w:szCs w:val="22"/>
        </w:rPr>
        <w:t>,</w:t>
      </w:r>
      <w:r w:rsidR="008D241E">
        <w:rPr>
          <w:sz w:val="22"/>
          <w:szCs w:val="22"/>
        </w:rPr>
        <w:t xml:space="preserve"> and Unicom, Inc. </w:t>
      </w:r>
      <w:r w:rsidR="0063445A">
        <w:rPr>
          <w:sz w:val="22"/>
          <w:szCs w:val="22"/>
        </w:rPr>
        <w:t>f</w:t>
      </w:r>
      <w:r w:rsidR="008D241E">
        <w:rPr>
          <w:sz w:val="22"/>
          <w:szCs w:val="22"/>
        </w:rPr>
        <w:t>or Consent T</w:t>
      </w:r>
      <w:r>
        <w:rPr>
          <w:sz w:val="22"/>
          <w:szCs w:val="22"/>
        </w:rPr>
        <w:t xml:space="preserve">o </w:t>
      </w:r>
      <w:r w:rsidR="008D241E">
        <w:rPr>
          <w:sz w:val="22"/>
          <w:szCs w:val="22"/>
        </w:rPr>
        <w:t>Assign</w:t>
      </w:r>
      <w:r>
        <w:rPr>
          <w:sz w:val="22"/>
          <w:szCs w:val="22"/>
        </w:rPr>
        <w:t xml:space="preserve"> Licenses </w:t>
      </w:r>
      <w:r w:rsidR="0063445A">
        <w:rPr>
          <w:sz w:val="22"/>
          <w:szCs w:val="22"/>
        </w:rPr>
        <w:t>t</w:t>
      </w:r>
      <w:r w:rsidR="008D241E">
        <w:rPr>
          <w:sz w:val="22"/>
          <w:szCs w:val="22"/>
        </w:rPr>
        <w:t>o The Alaska Wireless Network, LLC</w:t>
      </w:r>
    </w:p>
    <w:p w:rsidR="004507FC" w:rsidRDefault="00EC7B35" w:rsidP="00B2121D">
      <w:pPr>
        <w:spacing w:after="220"/>
        <w:ind w:left="1440" w:hanging="446"/>
        <w:rPr>
          <w:sz w:val="22"/>
          <w:szCs w:val="22"/>
        </w:rPr>
      </w:pPr>
      <w:r w:rsidRPr="0099447E">
        <w:rPr>
          <w:sz w:val="22"/>
          <w:szCs w:val="22"/>
        </w:rPr>
        <w:t xml:space="preserve">WT Docket No. </w:t>
      </w:r>
      <w:r w:rsidR="008D241E">
        <w:rPr>
          <w:sz w:val="22"/>
          <w:szCs w:val="22"/>
        </w:rPr>
        <w:t>12-187, WC Docket No. 09-197</w:t>
      </w:r>
    </w:p>
    <w:p w:rsidR="004507FC" w:rsidRDefault="00051131" w:rsidP="00B2121D">
      <w:pPr>
        <w:spacing w:after="220"/>
        <w:rPr>
          <w:sz w:val="22"/>
          <w:szCs w:val="22"/>
        </w:rPr>
      </w:pPr>
      <w:r>
        <w:rPr>
          <w:sz w:val="22"/>
          <w:szCs w:val="22"/>
        </w:rPr>
        <w:t>Dear Mr. Nie</w:t>
      </w:r>
      <w:r w:rsidR="008D241E">
        <w:rPr>
          <w:sz w:val="22"/>
          <w:szCs w:val="22"/>
        </w:rPr>
        <w:t>rman</w:t>
      </w:r>
      <w:r w:rsidR="004507FC" w:rsidRPr="00EB191C">
        <w:rPr>
          <w:sz w:val="22"/>
          <w:szCs w:val="22"/>
        </w:rPr>
        <w:t>:</w:t>
      </w:r>
    </w:p>
    <w:p w:rsidR="003D0BAC" w:rsidRDefault="002150EA" w:rsidP="00B2121D">
      <w:pPr>
        <w:spacing w:after="220"/>
        <w:ind w:firstLine="720"/>
        <w:rPr>
          <w:sz w:val="22"/>
          <w:szCs w:val="22"/>
        </w:rPr>
      </w:pPr>
      <w:r>
        <w:rPr>
          <w:sz w:val="22"/>
          <w:szCs w:val="22"/>
        </w:rPr>
        <w:t>You have informed us by letter</w:t>
      </w:r>
      <w:r w:rsidR="006208DB">
        <w:rPr>
          <w:sz w:val="22"/>
          <w:szCs w:val="22"/>
        </w:rPr>
        <w:t>,</w:t>
      </w:r>
      <w:r>
        <w:rPr>
          <w:sz w:val="22"/>
          <w:szCs w:val="22"/>
        </w:rPr>
        <w:t xml:space="preserve"> dated </w:t>
      </w:r>
      <w:r w:rsidR="008D241E">
        <w:rPr>
          <w:sz w:val="22"/>
          <w:szCs w:val="22"/>
        </w:rPr>
        <w:t>March 23, 2015</w:t>
      </w:r>
      <w:r>
        <w:rPr>
          <w:sz w:val="22"/>
          <w:szCs w:val="22"/>
        </w:rPr>
        <w:t xml:space="preserve"> </w:t>
      </w:r>
      <w:r w:rsidR="00AC6767">
        <w:rPr>
          <w:sz w:val="22"/>
          <w:szCs w:val="22"/>
        </w:rPr>
        <w:t>(“Letter”)</w:t>
      </w:r>
      <w:r w:rsidR="006208DB">
        <w:rPr>
          <w:sz w:val="22"/>
          <w:szCs w:val="22"/>
        </w:rPr>
        <w:t>,</w:t>
      </w:r>
      <w:r w:rsidR="00AC6767">
        <w:rPr>
          <w:sz w:val="22"/>
          <w:szCs w:val="22"/>
        </w:rPr>
        <w:t xml:space="preserve"> </w:t>
      </w:r>
      <w:r>
        <w:rPr>
          <w:sz w:val="22"/>
          <w:szCs w:val="22"/>
        </w:rPr>
        <w:t xml:space="preserve">that </w:t>
      </w:r>
      <w:r w:rsidR="00DA26EA">
        <w:rPr>
          <w:sz w:val="22"/>
          <w:szCs w:val="22"/>
        </w:rPr>
        <w:t>ACS Wireless, Inc. (“ACS</w:t>
      </w:r>
      <w:r>
        <w:rPr>
          <w:sz w:val="22"/>
          <w:szCs w:val="22"/>
        </w:rPr>
        <w:t>”) recently has taken certain actions relating to the r</w:t>
      </w:r>
      <w:r w:rsidR="009528E3">
        <w:rPr>
          <w:sz w:val="22"/>
          <w:szCs w:val="22"/>
        </w:rPr>
        <w:t xml:space="preserve">elationship </w:t>
      </w:r>
      <w:r w:rsidR="00DA26EA">
        <w:rPr>
          <w:sz w:val="22"/>
          <w:szCs w:val="22"/>
        </w:rPr>
        <w:t>among</w:t>
      </w:r>
      <w:r w:rsidR="009528E3">
        <w:rPr>
          <w:sz w:val="22"/>
          <w:szCs w:val="22"/>
        </w:rPr>
        <w:t xml:space="preserve"> </w:t>
      </w:r>
      <w:r w:rsidR="00DA26EA">
        <w:rPr>
          <w:sz w:val="22"/>
          <w:szCs w:val="22"/>
        </w:rPr>
        <w:t xml:space="preserve">ACS, GCI Communication, Inc. </w:t>
      </w:r>
      <w:r>
        <w:rPr>
          <w:sz w:val="22"/>
          <w:szCs w:val="22"/>
        </w:rPr>
        <w:t>(“</w:t>
      </w:r>
      <w:r w:rsidR="00DA26EA">
        <w:rPr>
          <w:sz w:val="22"/>
          <w:szCs w:val="22"/>
        </w:rPr>
        <w:t>GCI</w:t>
      </w:r>
      <w:r>
        <w:rPr>
          <w:sz w:val="22"/>
          <w:szCs w:val="22"/>
        </w:rPr>
        <w:t>”)</w:t>
      </w:r>
      <w:r w:rsidR="009528E3">
        <w:rPr>
          <w:sz w:val="22"/>
          <w:szCs w:val="22"/>
        </w:rPr>
        <w:t xml:space="preserve">, </w:t>
      </w:r>
      <w:r w:rsidR="00DA26EA">
        <w:rPr>
          <w:sz w:val="22"/>
          <w:szCs w:val="22"/>
        </w:rPr>
        <w:t>and</w:t>
      </w:r>
      <w:r w:rsidR="00793A2D">
        <w:rPr>
          <w:sz w:val="22"/>
          <w:szCs w:val="22"/>
        </w:rPr>
        <w:t xml:space="preserve"> their then jointly-owned subsidiary, </w:t>
      </w:r>
      <w:r w:rsidR="00DA26EA">
        <w:rPr>
          <w:sz w:val="22"/>
          <w:szCs w:val="22"/>
        </w:rPr>
        <w:t xml:space="preserve">The Alaska Wireless Network, LLC (“AWN”), </w:t>
      </w:r>
      <w:r w:rsidR="009528E3">
        <w:rPr>
          <w:sz w:val="22"/>
          <w:szCs w:val="22"/>
        </w:rPr>
        <w:t xml:space="preserve">which you indicate </w:t>
      </w:r>
      <w:r w:rsidR="006208DB">
        <w:rPr>
          <w:sz w:val="22"/>
          <w:szCs w:val="22"/>
        </w:rPr>
        <w:t>bears</w:t>
      </w:r>
      <w:r w:rsidR="009528E3">
        <w:rPr>
          <w:sz w:val="22"/>
          <w:szCs w:val="22"/>
        </w:rPr>
        <w:t xml:space="preserve"> on commitments made in the above-</w:t>
      </w:r>
      <w:r w:rsidR="003D0BAC">
        <w:rPr>
          <w:sz w:val="22"/>
          <w:szCs w:val="22"/>
        </w:rPr>
        <w:t>captioned</w:t>
      </w:r>
      <w:r w:rsidR="009528E3">
        <w:rPr>
          <w:sz w:val="22"/>
          <w:szCs w:val="22"/>
        </w:rPr>
        <w:t xml:space="preserve"> proceeding</w:t>
      </w:r>
      <w:r w:rsidR="00793A2D">
        <w:rPr>
          <w:sz w:val="22"/>
          <w:szCs w:val="22"/>
        </w:rPr>
        <w:t xml:space="preserve"> (the “Original Transaction”)</w:t>
      </w:r>
      <w:r w:rsidR="009528E3">
        <w:rPr>
          <w:sz w:val="22"/>
          <w:szCs w:val="22"/>
        </w:rPr>
        <w:t xml:space="preserve">.  </w:t>
      </w:r>
      <w:r w:rsidR="001238F6">
        <w:rPr>
          <w:sz w:val="22"/>
          <w:szCs w:val="22"/>
        </w:rPr>
        <w:t xml:space="preserve">As reflected in the Commission’s </w:t>
      </w:r>
      <w:r w:rsidR="001238F6">
        <w:rPr>
          <w:i/>
          <w:sz w:val="22"/>
          <w:szCs w:val="22"/>
        </w:rPr>
        <w:t>Order</w:t>
      </w:r>
      <w:r w:rsidR="001238F6">
        <w:rPr>
          <w:rStyle w:val="FootnoteReference"/>
          <w:sz w:val="22"/>
          <w:szCs w:val="22"/>
        </w:rPr>
        <w:footnoteReference w:id="1"/>
      </w:r>
      <w:r w:rsidR="001238F6">
        <w:rPr>
          <w:i/>
          <w:sz w:val="22"/>
          <w:szCs w:val="22"/>
        </w:rPr>
        <w:t xml:space="preserve"> </w:t>
      </w:r>
      <w:r w:rsidR="00FD2D37">
        <w:rPr>
          <w:sz w:val="22"/>
          <w:szCs w:val="22"/>
        </w:rPr>
        <w:t>regarding</w:t>
      </w:r>
      <w:r w:rsidR="001238F6">
        <w:rPr>
          <w:sz w:val="22"/>
          <w:szCs w:val="22"/>
        </w:rPr>
        <w:t xml:space="preserve"> </w:t>
      </w:r>
      <w:r w:rsidR="006208DB">
        <w:rPr>
          <w:sz w:val="22"/>
          <w:szCs w:val="22"/>
        </w:rPr>
        <w:t>the Original Transaction</w:t>
      </w:r>
      <w:r w:rsidR="001238F6">
        <w:rPr>
          <w:sz w:val="22"/>
          <w:szCs w:val="22"/>
        </w:rPr>
        <w:t xml:space="preserve">, </w:t>
      </w:r>
      <w:r w:rsidR="00934269">
        <w:rPr>
          <w:sz w:val="22"/>
          <w:szCs w:val="22"/>
        </w:rPr>
        <w:t>GCI and ACS</w:t>
      </w:r>
      <w:r w:rsidR="001238F6">
        <w:rPr>
          <w:sz w:val="22"/>
          <w:szCs w:val="22"/>
        </w:rPr>
        <w:t xml:space="preserve"> made </w:t>
      </w:r>
      <w:r w:rsidR="00CF512C">
        <w:rPr>
          <w:sz w:val="22"/>
          <w:szCs w:val="22"/>
        </w:rPr>
        <w:t xml:space="preserve">certain </w:t>
      </w:r>
      <w:r w:rsidR="001238F6">
        <w:rPr>
          <w:sz w:val="22"/>
          <w:szCs w:val="22"/>
        </w:rPr>
        <w:t>commitments</w:t>
      </w:r>
      <w:r w:rsidR="00C14D4A">
        <w:rPr>
          <w:sz w:val="22"/>
          <w:szCs w:val="22"/>
        </w:rPr>
        <w:t>, among which were</w:t>
      </w:r>
      <w:r w:rsidR="001238F6">
        <w:rPr>
          <w:sz w:val="22"/>
          <w:szCs w:val="22"/>
        </w:rPr>
        <w:t xml:space="preserve"> </w:t>
      </w:r>
      <w:r w:rsidR="00E24249">
        <w:rPr>
          <w:sz w:val="22"/>
          <w:szCs w:val="22"/>
        </w:rPr>
        <w:t xml:space="preserve">to </w:t>
      </w:r>
      <w:r w:rsidR="00934269">
        <w:rPr>
          <w:sz w:val="22"/>
          <w:szCs w:val="22"/>
        </w:rPr>
        <w:t>abide by a set of policies and procedures to protect against the disclosure of non-public, commercially sensitive information between GCI and ACS</w:t>
      </w:r>
      <w:r w:rsidR="00535212">
        <w:rPr>
          <w:sz w:val="22"/>
          <w:szCs w:val="22"/>
        </w:rPr>
        <w:t xml:space="preserve"> (the “CSI Policies”)</w:t>
      </w:r>
      <w:r w:rsidR="00C14D4A">
        <w:rPr>
          <w:sz w:val="22"/>
          <w:szCs w:val="22"/>
        </w:rPr>
        <w:t xml:space="preserve">. </w:t>
      </w:r>
      <w:r w:rsidR="00934269" w:rsidRPr="00934269">
        <w:rPr>
          <w:sz w:val="22"/>
          <w:szCs w:val="22"/>
        </w:rPr>
        <w:t xml:space="preserve"> </w:t>
      </w:r>
      <w:r w:rsidR="00C14D4A">
        <w:rPr>
          <w:sz w:val="22"/>
          <w:szCs w:val="22"/>
        </w:rPr>
        <w:t>W</w:t>
      </w:r>
      <w:r w:rsidR="00934269">
        <w:rPr>
          <w:sz w:val="22"/>
          <w:szCs w:val="22"/>
        </w:rPr>
        <w:t>e found that these commitments ameliorated concerns about</w:t>
      </w:r>
      <w:r w:rsidR="00765366" w:rsidRPr="00765366">
        <w:rPr>
          <w:sz w:val="22"/>
          <w:szCs w:val="22"/>
        </w:rPr>
        <w:t xml:space="preserve"> </w:t>
      </w:r>
      <w:r w:rsidR="00765366">
        <w:rPr>
          <w:sz w:val="22"/>
          <w:szCs w:val="22"/>
        </w:rPr>
        <w:t xml:space="preserve">harmful coordinated interaction that could occur as a result of the assignment of various spectrum licenses to the jointly-owned subsidiary, AWN, </w:t>
      </w:r>
      <w:r w:rsidR="00C14D4A">
        <w:rPr>
          <w:sz w:val="22"/>
          <w:szCs w:val="22"/>
        </w:rPr>
        <w:t>and we</w:t>
      </w:r>
      <w:r w:rsidR="008C6F76">
        <w:rPr>
          <w:sz w:val="22"/>
          <w:szCs w:val="22"/>
        </w:rPr>
        <w:t xml:space="preserve"> </w:t>
      </w:r>
      <w:r w:rsidR="00C14D4A">
        <w:rPr>
          <w:sz w:val="22"/>
          <w:szCs w:val="22"/>
        </w:rPr>
        <w:t xml:space="preserve">conditioned our </w:t>
      </w:r>
      <w:r w:rsidR="00FC7430">
        <w:rPr>
          <w:sz w:val="22"/>
          <w:szCs w:val="22"/>
        </w:rPr>
        <w:t>consent</w:t>
      </w:r>
      <w:r w:rsidR="00793A2D" w:rsidRPr="00793A2D">
        <w:rPr>
          <w:sz w:val="22"/>
          <w:szCs w:val="22"/>
        </w:rPr>
        <w:t xml:space="preserve"> </w:t>
      </w:r>
      <w:r w:rsidR="00793A2D">
        <w:rPr>
          <w:sz w:val="22"/>
          <w:szCs w:val="22"/>
        </w:rPr>
        <w:t>accordingly</w:t>
      </w:r>
      <w:r w:rsidR="00FC7430">
        <w:rPr>
          <w:sz w:val="22"/>
          <w:szCs w:val="22"/>
        </w:rPr>
        <w:t>.</w:t>
      </w:r>
      <w:r w:rsidR="00E24249">
        <w:rPr>
          <w:rStyle w:val="FootnoteReference"/>
          <w:sz w:val="22"/>
          <w:szCs w:val="22"/>
        </w:rPr>
        <w:footnoteReference w:id="2"/>
      </w:r>
      <w:r w:rsidR="00CF512C">
        <w:rPr>
          <w:sz w:val="22"/>
          <w:szCs w:val="22"/>
        </w:rPr>
        <w:t xml:space="preserve">  </w:t>
      </w:r>
      <w:r w:rsidR="00535212">
        <w:rPr>
          <w:sz w:val="22"/>
          <w:szCs w:val="22"/>
        </w:rPr>
        <w:t xml:space="preserve">Your Letter requests that, in light of </w:t>
      </w:r>
      <w:r w:rsidR="005A0EBE">
        <w:rPr>
          <w:sz w:val="22"/>
          <w:szCs w:val="22"/>
        </w:rPr>
        <w:t xml:space="preserve">ACS </w:t>
      </w:r>
      <w:r w:rsidR="00793A2D">
        <w:rPr>
          <w:sz w:val="22"/>
          <w:szCs w:val="22"/>
        </w:rPr>
        <w:t xml:space="preserve">having divested itself of its interest in </w:t>
      </w:r>
      <w:r w:rsidR="0063445A">
        <w:rPr>
          <w:sz w:val="22"/>
          <w:szCs w:val="22"/>
        </w:rPr>
        <w:t>AWN</w:t>
      </w:r>
      <w:r w:rsidR="00535212">
        <w:rPr>
          <w:sz w:val="22"/>
          <w:szCs w:val="22"/>
        </w:rPr>
        <w:t>, the Wireless Telecommunications Bureau conclude that GCI and AWN need no longer comply with the CSI Policies</w:t>
      </w:r>
      <w:r w:rsidR="005B0306">
        <w:rPr>
          <w:sz w:val="22"/>
          <w:szCs w:val="22"/>
        </w:rPr>
        <w:t>.</w:t>
      </w:r>
      <w:r w:rsidR="00B25D80">
        <w:rPr>
          <w:rStyle w:val="FootnoteReference"/>
          <w:sz w:val="22"/>
          <w:szCs w:val="22"/>
        </w:rPr>
        <w:footnoteReference w:id="3"/>
      </w:r>
      <w:r w:rsidR="008C6F76">
        <w:rPr>
          <w:sz w:val="22"/>
          <w:szCs w:val="22"/>
        </w:rPr>
        <w:t xml:space="preserve">  For the reasons explained below, we grant this request.</w:t>
      </w:r>
    </w:p>
    <w:p w:rsidR="003D0BAC" w:rsidRDefault="00793A2D" w:rsidP="00B2121D">
      <w:pPr>
        <w:spacing w:after="220"/>
        <w:ind w:firstLine="720"/>
        <w:rPr>
          <w:sz w:val="22"/>
          <w:szCs w:val="22"/>
        </w:rPr>
      </w:pPr>
      <w:r>
        <w:rPr>
          <w:sz w:val="22"/>
          <w:szCs w:val="22"/>
        </w:rPr>
        <w:t>In the Original Transaction, p</w:t>
      </w:r>
      <w:r w:rsidR="00775AC9">
        <w:rPr>
          <w:sz w:val="22"/>
          <w:szCs w:val="22"/>
        </w:rPr>
        <w:t>ursuant to sections 214(a) and 310(d) of the Communications Act</w:t>
      </w:r>
      <w:r>
        <w:rPr>
          <w:sz w:val="22"/>
          <w:szCs w:val="22"/>
        </w:rPr>
        <w:t xml:space="preserve"> of 1934, as amended</w:t>
      </w:r>
      <w:r w:rsidR="00775AC9">
        <w:rPr>
          <w:sz w:val="22"/>
          <w:szCs w:val="22"/>
        </w:rPr>
        <w:t xml:space="preserve">, we </w:t>
      </w:r>
      <w:r>
        <w:rPr>
          <w:sz w:val="22"/>
          <w:szCs w:val="22"/>
        </w:rPr>
        <w:t xml:space="preserve">were </w:t>
      </w:r>
      <w:r w:rsidR="00775AC9">
        <w:rPr>
          <w:sz w:val="22"/>
          <w:szCs w:val="22"/>
        </w:rPr>
        <w:t xml:space="preserve">required to consider whether a proposed </w:t>
      </w:r>
      <w:r w:rsidR="005A0EBE">
        <w:rPr>
          <w:sz w:val="22"/>
          <w:szCs w:val="22"/>
        </w:rPr>
        <w:t>assignment</w:t>
      </w:r>
      <w:r w:rsidR="00775AC9">
        <w:rPr>
          <w:sz w:val="22"/>
          <w:szCs w:val="22"/>
        </w:rPr>
        <w:t xml:space="preserve"> of licenses and authorizations would serve the public interest, convenience, and necessity.</w:t>
      </w:r>
      <w:r w:rsidR="00775AC9">
        <w:rPr>
          <w:rStyle w:val="FootnoteReference"/>
          <w:sz w:val="22"/>
          <w:szCs w:val="22"/>
        </w:rPr>
        <w:footnoteReference w:id="4"/>
      </w:r>
      <w:r w:rsidR="00775AC9">
        <w:rPr>
          <w:sz w:val="22"/>
          <w:szCs w:val="22"/>
        </w:rPr>
        <w:t xml:space="preserve">  </w:t>
      </w:r>
      <w:r w:rsidR="004278F7">
        <w:rPr>
          <w:sz w:val="22"/>
          <w:szCs w:val="22"/>
        </w:rPr>
        <w:t>GCI and ACS had proposed to assign substantially all of their spectrum licenses and wireless infrastructure to a joint venture</w:t>
      </w:r>
      <w:r>
        <w:rPr>
          <w:sz w:val="22"/>
          <w:szCs w:val="22"/>
        </w:rPr>
        <w:t xml:space="preserve"> company</w:t>
      </w:r>
      <w:r w:rsidR="004278F7">
        <w:rPr>
          <w:sz w:val="22"/>
          <w:szCs w:val="22"/>
        </w:rPr>
        <w:t>, AWN</w:t>
      </w:r>
      <w:r w:rsidR="00BD7B8C">
        <w:rPr>
          <w:sz w:val="22"/>
          <w:szCs w:val="22"/>
        </w:rPr>
        <w:t>, which then would develop and sell wholesale wireless service to both GCI and ACS</w:t>
      </w:r>
      <w:r w:rsidR="004278F7">
        <w:rPr>
          <w:sz w:val="22"/>
          <w:szCs w:val="22"/>
        </w:rPr>
        <w:t>.</w:t>
      </w:r>
      <w:r w:rsidR="004278F7">
        <w:rPr>
          <w:rStyle w:val="FootnoteReference"/>
          <w:sz w:val="22"/>
          <w:szCs w:val="22"/>
        </w:rPr>
        <w:footnoteReference w:id="5"/>
      </w:r>
      <w:r w:rsidR="004278F7">
        <w:rPr>
          <w:sz w:val="22"/>
          <w:szCs w:val="22"/>
        </w:rPr>
        <w:t xml:space="preserve">  </w:t>
      </w:r>
      <w:r w:rsidR="007A4DA6">
        <w:rPr>
          <w:sz w:val="22"/>
          <w:szCs w:val="22"/>
        </w:rPr>
        <w:t>In our review of the proposed</w:t>
      </w:r>
      <w:r w:rsidR="006208DB">
        <w:rPr>
          <w:sz w:val="22"/>
          <w:szCs w:val="22"/>
        </w:rPr>
        <w:t xml:space="preserve"> transaction</w:t>
      </w:r>
      <w:r w:rsidR="007A4DA6">
        <w:rPr>
          <w:sz w:val="22"/>
          <w:szCs w:val="22"/>
        </w:rPr>
        <w:t xml:space="preserve">, </w:t>
      </w:r>
      <w:r w:rsidR="005A0EBE">
        <w:rPr>
          <w:sz w:val="22"/>
          <w:szCs w:val="22"/>
        </w:rPr>
        <w:t>we had significant concerns about competitive harms arising in Alaska because</w:t>
      </w:r>
      <w:r w:rsidR="00500519">
        <w:rPr>
          <w:sz w:val="22"/>
          <w:szCs w:val="22"/>
        </w:rPr>
        <w:t xml:space="preserve"> GCI and ACS</w:t>
      </w:r>
      <w:r w:rsidR="007A4DA6">
        <w:rPr>
          <w:sz w:val="22"/>
          <w:szCs w:val="22"/>
        </w:rPr>
        <w:t xml:space="preserve"> </w:t>
      </w:r>
      <w:r w:rsidR="00FD2D37">
        <w:rPr>
          <w:sz w:val="22"/>
          <w:szCs w:val="22"/>
        </w:rPr>
        <w:t>were the only two major Alaska</w:t>
      </w:r>
      <w:r w:rsidR="00500519">
        <w:rPr>
          <w:sz w:val="22"/>
          <w:szCs w:val="22"/>
        </w:rPr>
        <w:t>-</w:t>
      </w:r>
      <w:r w:rsidR="00C14D4A">
        <w:rPr>
          <w:sz w:val="22"/>
          <w:szCs w:val="22"/>
        </w:rPr>
        <w:t xml:space="preserve">based mobile wireless providers, leaving </w:t>
      </w:r>
      <w:r w:rsidR="00500519">
        <w:rPr>
          <w:sz w:val="22"/>
          <w:szCs w:val="22"/>
        </w:rPr>
        <w:t xml:space="preserve">AT&amp;T </w:t>
      </w:r>
      <w:r w:rsidR="00C14D4A">
        <w:rPr>
          <w:sz w:val="22"/>
          <w:szCs w:val="22"/>
        </w:rPr>
        <w:t>as</w:t>
      </w:r>
      <w:r w:rsidR="00500519">
        <w:rPr>
          <w:sz w:val="22"/>
          <w:szCs w:val="22"/>
        </w:rPr>
        <w:t xml:space="preserve"> the sole remaining major provider of mobile services to Alas</w:t>
      </w:r>
      <w:r w:rsidR="00961BA9">
        <w:rPr>
          <w:sz w:val="22"/>
          <w:szCs w:val="22"/>
        </w:rPr>
        <w:t>kan</w:t>
      </w:r>
      <w:r w:rsidR="00C14D4A">
        <w:rPr>
          <w:sz w:val="22"/>
          <w:szCs w:val="22"/>
        </w:rPr>
        <w:t xml:space="preserve"> consumers.</w:t>
      </w:r>
      <w:r w:rsidR="00500519">
        <w:rPr>
          <w:rStyle w:val="FootnoteReference"/>
          <w:sz w:val="22"/>
          <w:szCs w:val="22"/>
        </w:rPr>
        <w:footnoteReference w:id="6"/>
      </w:r>
      <w:r w:rsidR="00500519">
        <w:rPr>
          <w:sz w:val="22"/>
          <w:szCs w:val="22"/>
        </w:rPr>
        <w:t xml:space="preserve"> </w:t>
      </w:r>
      <w:r w:rsidR="00C14D4A">
        <w:rPr>
          <w:sz w:val="22"/>
          <w:szCs w:val="22"/>
        </w:rPr>
        <w:t xml:space="preserve"> Moreover, the reduced number of providers </w:t>
      </w:r>
      <w:r w:rsidR="00961BA9">
        <w:rPr>
          <w:sz w:val="22"/>
          <w:szCs w:val="22"/>
        </w:rPr>
        <w:t>could have increased the potential for coordinated interaction</w:t>
      </w:r>
      <w:r w:rsidR="00BD7B8C">
        <w:rPr>
          <w:sz w:val="22"/>
          <w:szCs w:val="22"/>
        </w:rPr>
        <w:t xml:space="preserve"> between the </w:t>
      </w:r>
      <w:r w:rsidR="00BD7B8C">
        <w:rPr>
          <w:sz w:val="22"/>
          <w:szCs w:val="22"/>
        </w:rPr>
        <w:lastRenderedPageBreak/>
        <w:t>retail operations of GCI and ACS</w:t>
      </w:r>
      <w:r w:rsidR="00961BA9">
        <w:rPr>
          <w:sz w:val="22"/>
          <w:szCs w:val="22"/>
        </w:rPr>
        <w:t>.</w:t>
      </w:r>
      <w:r w:rsidR="00961BA9">
        <w:rPr>
          <w:rStyle w:val="FootnoteReference"/>
          <w:sz w:val="22"/>
          <w:szCs w:val="22"/>
        </w:rPr>
        <w:footnoteReference w:id="7"/>
      </w:r>
      <w:r w:rsidR="00961BA9">
        <w:rPr>
          <w:sz w:val="22"/>
          <w:szCs w:val="22"/>
        </w:rPr>
        <w:t xml:space="preserve">  </w:t>
      </w:r>
      <w:r w:rsidR="00500519">
        <w:rPr>
          <w:sz w:val="22"/>
          <w:szCs w:val="22"/>
        </w:rPr>
        <w:t xml:space="preserve">We concluded that specific contractual provisions governing the relationships among GCI, ACS, and AWN were key to evaluating the proposed </w:t>
      </w:r>
      <w:r w:rsidR="00BD7B8C">
        <w:rPr>
          <w:sz w:val="22"/>
          <w:szCs w:val="22"/>
        </w:rPr>
        <w:t>joint venture</w:t>
      </w:r>
      <w:r w:rsidR="00500519">
        <w:rPr>
          <w:sz w:val="22"/>
          <w:szCs w:val="22"/>
        </w:rPr>
        <w:t>,</w:t>
      </w:r>
      <w:r w:rsidR="00961BA9">
        <w:rPr>
          <w:rStyle w:val="FootnoteReference"/>
          <w:sz w:val="22"/>
          <w:szCs w:val="22"/>
        </w:rPr>
        <w:footnoteReference w:id="8"/>
      </w:r>
      <w:r w:rsidR="00961BA9">
        <w:rPr>
          <w:sz w:val="22"/>
          <w:szCs w:val="22"/>
        </w:rPr>
        <w:t xml:space="preserve"> </w:t>
      </w:r>
      <w:r w:rsidR="00F20552">
        <w:rPr>
          <w:sz w:val="22"/>
          <w:szCs w:val="22"/>
        </w:rPr>
        <w:t xml:space="preserve">and </w:t>
      </w:r>
      <w:r w:rsidR="00C14D4A">
        <w:rPr>
          <w:sz w:val="22"/>
          <w:szCs w:val="22"/>
        </w:rPr>
        <w:t xml:space="preserve">we </w:t>
      </w:r>
      <w:r w:rsidR="00F20552">
        <w:rPr>
          <w:sz w:val="22"/>
          <w:szCs w:val="22"/>
        </w:rPr>
        <w:t xml:space="preserve">ultimately found that certain commitments made by GCI and ACS ameliorated the </w:t>
      </w:r>
      <w:r w:rsidR="0067718A">
        <w:rPr>
          <w:sz w:val="22"/>
          <w:szCs w:val="22"/>
        </w:rPr>
        <w:t>potential for</w:t>
      </w:r>
      <w:r w:rsidR="00F20552">
        <w:rPr>
          <w:sz w:val="22"/>
          <w:szCs w:val="22"/>
        </w:rPr>
        <w:t xml:space="preserve"> harmful coordinated action.</w:t>
      </w:r>
      <w:r w:rsidR="00F20552">
        <w:rPr>
          <w:rStyle w:val="FootnoteReference"/>
          <w:sz w:val="22"/>
          <w:szCs w:val="22"/>
        </w:rPr>
        <w:footnoteReference w:id="9"/>
      </w:r>
      <w:r w:rsidR="00F20552">
        <w:rPr>
          <w:sz w:val="22"/>
          <w:szCs w:val="22"/>
        </w:rPr>
        <w:t xml:space="preserve">  </w:t>
      </w:r>
      <w:r w:rsidR="00BD7B8C">
        <w:rPr>
          <w:sz w:val="22"/>
          <w:szCs w:val="22"/>
        </w:rPr>
        <w:t>In particular, GCI and ACS agreed to abide by the CSI Policies</w:t>
      </w:r>
      <w:r w:rsidR="001C13D8">
        <w:rPr>
          <w:sz w:val="22"/>
          <w:szCs w:val="22"/>
        </w:rPr>
        <w:t xml:space="preserve"> to protect against the potential disclosure of non-public, commercially sensitive information between GCI and ACS,</w:t>
      </w:r>
      <w:r w:rsidR="001C13D8">
        <w:rPr>
          <w:rStyle w:val="FootnoteReference"/>
          <w:sz w:val="22"/>
          <w:szCs w:val="22"/>
        </w:rPr>
        <w:footnoteReference w:id="10"/>
      </w:r>
      <w:r w:rsidR="001C13D8">
        <w:rPr>
          <w:sz w:val="22"/>
          <w:szCs w:val="22"/>
        </w:rPr>
        <w:t xml:space="preserve"> and th</w:t>
      </w:r>
      <w:r w:rsidR="00EB5D17">
        <w:rPr>
          <w:sz w:val="22"/>
          <w:szCs w:val="22"/>
        </w:rPr>
        <w:t>e</w:t>
      </w:r>
      <w:r w:rsidR="001C13D8">
        <w:rPr>
          <w:sz w:val="22"/>
          <w:szCs w:val="22"/>
        </w:rPr>
        <w:t>se</w:t>
      </w:r>
      <w:r w:rsidR="00035294">
        <w:rPr>
          <w:sz w:val="22"/>
          <w:szCs w:val="22"/>
        </w:rPr>
        <w:t xml:space="preserve"> CSI Policies</w:t>
      </w:r>
      <w:r w:rsidR="001C13D8">
        <w:rPr>
          <w:sz w:val="22"/>
          <w:szCs w:val="22"/>
        </w:rPr>
        <w:t xml:space="preserve"> are memorialized in the AWN Joint Operating Agreement.</w:t>
      </w:r>
      <w:r w:rsidR="001C13D8">
        <w:rPr>
          <w:rStyle w:val="FootnoteReference"/>
          <w:sz w:val="22"/>
          <w:szCs w:val="22"/>
        </w:rPr>
        <w:footnoteReference w:id="11"/>
      </w:r>
      <w:r w:rsidR="00EB5D17">
        <w:rPr>
          <w:sz w:val="22"/>
          <w:szCs w:val="22"/>
        </w:rPr>
        <w:t xml:space="preserve">  </w:t>
      </w:r>
      <w:r w:rsidR="00BF1D7F">
        <w:rPr>
          <w:sz w:val="22"/>
          <w:szCs w:val="22"/>
        </w:rPr>
        <w:t xml:space="preserve">The </w:t>
      </w:r>
      <w:r w:rsidR="00BF1D7F">
        <w:rPr>
          <w:i/>
          <w:sz w:val="22"/>
          <w:szCs w:val="22"/>
        </w:rPr>
        <w:t xml:space="preserve">Order </w:t>
      </w:r>
      <w:r w:rsidR="00BF1D7F">
        <w:rPr>
          <w:sz w:val="22"/>
          <w:szCs w:val="22"/>
        </w:rPr>
        <w:t xml:space="preserve">treats </w:t>
      </w:r>
      <w:r w:rsidR="00035294">
        <w:rPr>
          <w:sz w:val="22"/>
          <w:szCs w:val="22"/>
        </w:rPr>
        <w:t>this commitment among others</w:t>
      </w:r>
      <w:r w:rsidR="00BF1D7F">
        <w:rPr>
          <w:sz w:val="22"/>
          <w:szCs w:val="22"/>
        </w:rPr>
        <w:t xml:space="preserve"> as conditions </w:t>
      </w:r>
      <w:r w:rsidR="00984C70">
        <w:rPr>
          <w:sz w:val="22"/>
          <w:szCs w:val="22"/>
        </w:rPr>
        <w:t>of</w:t>
      </w:r>
      <w:r w:rsidR="00BF1D7F">
        <w:rPr>
          <w:sz w:val="22"/>
          <w:szCs w:val="22"/>
        </w:rPr>
        <w:t xml:space="preserve"> </w:t>
      </w:r>
      <w:r w:rsidR="00A55996">
        <w:rPr>
          <w:sz w:val="22"/>
          <w:szCs w:val="22"/>
        </w:rPr>
        <w:t>consent to</w:t>
      </w:r>
      <w:r w:rsidR="00BF1D7F">
        <w:rPr>
          <w:sz w:val="22"/>
          <w:szCs w:val="22"/>
        </w:rPr>
        <w:t xml:space="preserve"> the </w:t>
      </w:r>
      <w:r w:rsidR="00EB5D17">
        <w:rPr>
          <w:sz w:val="22"/>
          <w:szCs w:val="22"/>
        </w:rPr>
        <w:t>AWN joint venture</w:t>
      </w:r>
      <w:r w:rsidR="00BF1D7F">
        <w:rPr>
          <w:sz w:val="22"/>
          <w:szCs w:val="22"/>
        </w:rPr>
        <w:t>.</w:t>
      </w:r>
      <w:r w:rsidR="00D30B86">
        <w:rPr>
          <w:rStyle w:val="FootnoteReference"/>
          <w:sz w:val="22"/>
          <w:szCs w:val="22"/>
        </w:rPr>
        <w:footnoteReference w:id="12"/>
      </w:r>
    </w:p>
    <w:p w:rsidR="0035611F" w:rsidRDefault="00BF1D7F" w:rsidP="00B2121D">
      <w:pPr>
        <w:spacing w:after="220"/>
        <w:ind w:firstLine="720"/>
        <w:rPr>
          <w:sz w:val="22"/>
          <w:szCs w:val="22"/>
        </w:rPr>
      </w:pPr>
      <w:r>
        <w:rPr>
          <w:sz w:val="22"/>
          <w:szCs w:val="22"/>
        </w:rPr>
        <w:t xml:space="preserve">Your Letter </w:t>
      </w:r>
      <w:r w:rsidR="006208DB">
        <w:rPr>
          <w:sz w:val="22"/>
          <w:szCs w:val="22"/>
        </w:rPr>
        <w:t xml:space="preserve">represents </w:t>
      </w:r>
      <w:r w:rsidR="00984C70">
        <w:rPr>
          <w:sz w:val="22"/>
          <w:szCs w:val="22"/>
        </w:rPr>
        <w:t>tha</w:t>
      </w:r>
      <w:r w:rsidR="00EB5D17">
        <w:rPr>
          <w:sz w:val="22"/>
          <w:szCs w:val="22"/>
        </w:rPr>
        <w:t xml:space="preserve">t ACS </w:t>
      </w:r>
      <w:r w:rsidR="00035294">
        <w:rPr>
          <w:sz w:val="22"/>
          <w:szCs w:val="22"/>
        </w:rPr>
        <w:t xml:space="preserve">now </w:t>
      </w:r>
      <w:r w:rsidR="00EB5D17">
        <w:rPr>
          <w:sz w:val="22"/>
          <w:szCs w:val="22"/>
        </w:rPr>
        <w:t>has exited the retail wireless business through the sale of its retail wireless customers to GCI</w:t>
      </w:r>
      <w:r>
        <w:rPr>
          <w:sz w:val="22"/>
          <w:szCs w:val="22"/>
        </w:rPr>
        <w:t>.</w:t>
      </w:r>
      <w:r>
        <w:rPr>
          <w:rStyle w:val="FootnoteReference"/>
          <w:sz w:val="22"/>
          <w:szCs w:val="22"/>
        </w:rPr>
        <w:footnoteReference w:id="13"/>
      </w:r>
      <w:r>
        <w:rPr>
          <w:sz w:val="22"/>
          <w:szCs w:val="22"/>
        </w:rPr>
        <w:t xml:space="preserve">  The Letter also </w:t>
      </w:r>
      <w:r w:rsidR="00CE164B">
        <w:rPr>
          <w:sz w:val="22"/>
          <w:szCs w:val="22"/>
        </w:rPr>
        <w:t xml:space="preserve">represents </w:t>
      </w:r>
      <w:r>
        <w:rPr>
          <w:sz w:val="22"/>
          <w:szCs w:val="22"/>
        </w:rPr>
        <w:t>that</w:t>
      </w:r>
      <w:r w:rsidR="006D2399">
        <w:rPr>
          <w:sz w:val="22"/>
          <w:szCs w:val="22"/>
        </w:rPr>
        <w:t xml:space="preserve"> ACS has </w:t>
      </w:r>
      <w:r w:rsidR="006208DB">
        <w:rPr>
          <w:sz w:val="22"/>
          <w:szCs w:val="22"/>
        </w:rPr>
        <w:t xml:space="preserve">divested </w:t>
      </w:r>
      <w:r w:rsidR="006D2399">
        <w:rPr>
          <w:sz w:val="22"/>
          <w:szCs w:val="22"/>
        </w:rPr>
        <w:t xml:space="preserve">its interest in AWN, which now is a single member LLC </w:t>
      </w:r>
      <w:r w:rsidR="006208DB">
        <w:rPr>
          <w:sz w:val="22"/>
          <w:szCs w:val="22"/>
        </w:rPr>
        <w:t xml:space="preserve">wholly </w:t>
      </w:r>
      <w:r w:rsidR="006D2399">
        <w:rPr>
          <w:sz w:val="22"/>
          <w:szCs w:val="22"/>
        </w:rPr>
        <w:t>owned and controlled by GCI.</w:t>
      </w:r>
      <w:r w:rsidR="00A12340">
        <w:rPr>
          <w:rStyle w:val="FootnoteReference"/>
          <w:sz w:val="22"/>
          <w:szCs w:val="22"/>
        </w:rPr>
        <w:footnoteReference w:id="14"/>
      </w:r>
      <w:r w:rsidR="00B41C19">
        <w:rPr>
          <w:sz w:val="22"/>
          <w:szCs w:val="22"/>
        </w:rPr>
        <w:t xml:space="preserve">  The Letter </w:t>
      </w:r>
      <w:r w:rsidR="00D86AB5">
        <w:rPr>
          <w:sz w:val="22"/>
          <w:szCs w:val="22"/>
        </w:rPr>
        <w:t>additionally</w:t>
      </w:r>
      <w:r w:rsidR="00B41C19">
        <w:rPr>
          <w:sz w:val="22"/>
          <w:szCs w:val="22"/>
        </w:rPr>
        <w:t xml:space="preserve"> </w:t>
      </w:r>
      <w:r w:rsidR="00CE164B">
        <w:rPr>
          <w:sz w:val="22"/>
          <w:szCs w:val="22"/>
        </w:rPr>
        <w:t xml:space="preserve">states </w:t>
      </w:r>
      <w:r w:rsidR="006D2399">
        <w:rPr>
          <w:sz w:val="22"/>
          <w:szCs w:val="22"/>
        </w:rPr>
        <w:t>that ACS no longer is a member of AWN, has no members on AWN’s Board, has no ongoing involvement with AWN, and neither provides nor has access to non-public commercially sensitive information through AWN</w:t>
      </w:r>
      <w:r w:rsidR="00B41C19">
        <w:rPr>
          <w:sz w:val="22"/>
          <w:szCs w:val="22"/>
        </w:rPr>
        <w:t>.</w:t>
      </w:r>
      <w:r w:rsidR="00137C5B">
        <w:rPr>
          <w:rStyle w:val="FootnoteReference"/>
          <w:sz w:val="22"/>
          <w:szCs w:val="22"/>
        </w:rPr>
        <w:footnoteReference w:id="15"/>
      </w:r>
      <w:r w:rsidR="006D2399">
        <w:rPr>
          <w:sz w:val="22"/>
          <w:szCs w:val="22"/>
        </w:rPr>
        <w:t xml:space="preserve">  Your Letter concludes that, because GCI and ACS no longer are retail wireless service competitors and because ACS will not gain access t</w:t>
      </w:r>
      <w:r w:rsidR="00035294">
        <w:rPr>
          <w:sz w:val="22"/>
          <w:szCs w:val="22"/>
        </w:rPr>
        <w:t>o information via the AWN Board</w:t>
      </w:r>
      <w:r w:rsidR="006D2399">
        <w:rPr>
          <w:sz w:val="22"/>
          <w:szCs w:val="22"/>
        </w:rPr>
        <w:t xml:space="preserve"> </w:t>
      </w:r>
      <w:r w:rsidR="00035294">
        <w:rPr>
          <w:sz w:val="22"/>
          <w:szCs w:val="22"/>
        </w:rPr>
        <w:t>(</w:t>
      </w:r>
      <w:r w:rsidR="006D2399">
        <w:rPr>
          <w:sz w:val="22"/>
          <w:szCs w:val="22"/>
        </w:rPr>
        <w:t xml:space="preserve">and </w:t>
      </w:r>
      <w:r w:rsidR="006D2399">
        <w:rPr>
          <w:i/>
          <w:sz w:val="22"/>
          <w:szCs w:val="22"/>
        </w:rPr>
        <w:t>vice versa</w:t>
      </w:r>
      <w:r w:rsidR="00035294">
        <w:rPr>
          <w:sz w:val="22"/>
          <w:szCs w:val="22"/>
        </w:rPr>
        <w:t>)</w:t>
      </w:r>
      <w:r w:rsidR="006D2399">
        <w:rPr>
          <w:sz w:val="22"/>
          <w:szCs w:val="22"/>
        </w:rPr>
        <w:t xml:space="preserve">, the underlying reason for the CSI Policies no longer </w:t>
      </w:r>
      <w:r w:rsidR="00035294">
        <w:rPr>
          <w:sz w:val="22"/>
          <w:szCs w:val="22"/>
        </w:rPr>
        <w:t>is present</w:t>
      </w:r>
      <w:r w:rsidR="006D2399">
        <w:rPr>
          <w:sz w:val="22"/>
          <w:szCs w:val="22"/>
        </w:rPr>
        <w:t>.</w:t>
      </w:r>
      <w:r w:rsidR="006D2399">
        <w:rPr>
          <w:rStyle w:val="FootnoteReference"/>
          <w:sz w:val="22"/>
          <w:szCs w:val="22"/>
        </w:rPr>
        <w:footnoteReference w:id="16"/>
      </w:r>
    </w:p>
    <w:p w:rsidR="001F3FB8" w:rsidRDefault="006D2399" w:rsidP="00B2121D">
      <w:pPr>
        <w:spacing w:after="220"/>
        <w:ind w:firstLine="720"/>
        <w:rPr>
          <w:sz w:val="22"/>
          <w:szCs w:val="22"/>
        </w:rPr>
      </w:pPr>
      <w:r>
        <w:rPr>
          <w:sz w:val="22"/>
          <w:szCs w:val="22"/>
        </w:rPr>
        <w:t>GCI and AWN</w:t>
      </w:r>
      <w:r w:rsidR="00D86AB5">
        <w:rPr>
          <w:sz w:val="22"/>
          <w:szCs w:val="22"/>
        </w:rPr>
        <w:t xml:space="preserve"> reque</w:t>
      </w:r>
      <w:r>
        <w:rPr>
          <w:sz w:val="22"/>
          <w:szCs w:val="22"/>
        </w:rPr>
        <w:t>st</w:t>
      </w:r>
      <w:r w:rsidR="00D86AB5">
        <w:rPr>
          <w:sz w:val="22"/>
          <w:szCs w:val="22"/>
        </w:rPr>
        <w:t xml:space="preserve"> in the Letter that, given these changes in circumstances, </w:t>
      </w:r>
      <w:r>
        <w:rPr>
          <w:sz w:val="22"/>
          <w:szCs w:val="22"/>
        </w:rPr>
        <w:t xml:space="preserve">GCI and AWN no longer </w:t>
      </w:r>
      <w:r w:rsidR="00FD2D37">
        <w:rPr>
          <w:sz w:val="22"/>
          <w:szCs w:val="22"/>
        </w:rPr>
        <w:t xml:space="preserve">should </w:t>
      </w:r>
      <w:r w:rsidR="00035294">
        <w:rPr>
          <w:sz w:val="22"/>
          <w:szCs w:val="22"/>
        </w:rPr>
        <w:t xml:space="preserve">be required to </w:t>
      </w:r>
      <w:r>
        <w:rPr>
          <w:sz w:val="22"/>
          <w:szCs w:val="22"/>
        </w:rPr>
        <w:t>comply with the CSI Policies</w:t>
      </w:r>
      <w:r w:rsidR="00D86AB5">
        <w:rPr>
          <w:sz w:val="22"/>
          <w:szCs w:val="22"/>
        </w:rPr>
        <w:t>.</w:t>
      </w:r>
      <w:r w:rsidR="00D86AB5">
        <w:rPr>
          <w:rStyle w:val="FootnoteReference"/>
          <w:sz w:val="22"/>
          <w:szCs w:val="22"/>
        </w:rPr>
        <w:footnoteReference w:id="17"/>
      </w:r>
      <w:r w:rsidR="00D86AB5">
        <w:rPr>
          <w:sz w:val="22"/>
          <w:szCs w:val="22"/>
        </w:rPr>
        <w:t xml:space="preserve">  Because the </w:t>
      </w:r>
      <w:r w:rsidR="000203F0">
        <w:rPr>
          <w:sz w:val="22"/>
          <w:szCs w:val="22"/>
        </w:rPr>
        <w:t xml:space="preserve">pertinent </w:t>
      </w:r>
      <w:r w:rsidR="0035611F">
        <w:rPr>
          <w:sz w:val="22"/>
          <w:szCs w:val="22"/>
        </w:rPr>
        <w:t>base</w:t>
      </w:r>
      <w:r w:rsidR="00D86AB5">
        <w:rPr>
          <w:sz w:val="22"/>
          <w:szCs w:val="22"/>
        </w:rPr>
        <w:t xml:space="preserve">s for these conditions as they relate to </w:t>
      </w:r>
      <w:r>
        <w:rPr>
          <w:sz w:val="22"/>
          <w:szCs w:val="22"/>
        </w:rPr>
        <w:t>the CSI Policies</w:t>
      </w:r>
      <w:r w:rsidR="00D86AB5">
        <w:rPr>
          <w:sz w:val="22"/>
          <w:szCs w:val="22"/>
        </w:rPr>
        <w:t xml:space="preserve"> no longer are present given </w:t>
      </w:r>
      <w:r w:rsidR="00035294">
        <w:rPr>
          <w:sz w:val="22"/>
          <w:szCs w:val="22"/>
        </w:rPr>
        <w:t>ACS’s</w:t>
      </w:r>
      <w:r w:rsidR="00D86AB5">
        <w:rPr>
          <w:sz w:val="22"/>
          <w:szCs w:val="22"/>
        </w:rPr>
        <w:t xml:space="preserve"> </w:t>
      </w:r>
      <w:r w:rsidR="006208DB">
        <w:rPr>
          <w:sz w:val="22"/>
          <w:szCs w:val="22"/>
        </w:rPr>
        <w:t xml:space="preserve">divestiture </w:t>
      </w:r>
      <w:r w:rsidR="0063445A">
        <w:rPr>
          <w:sz w:val="22"/>
          <w:szCs w:val="22"/>
        </w:rPr>
        <w:t xml:space="preserve">of its </w:t>
      </w:r>
      <w:r w:rsidR="00035294">
        <w:rPr>
          <w:sz w:val="22"/>
          <w:szCs w:val="22"/>
        </w:rPr>
        <w:t>own</w:t>
      </w:r>
      <w:r w:rsidR="00E53248">
        <w:rPr>
          <w:sz w:val="22"/>
          <w:szCs w:val="22"/>
        </w:rPr>
        <w:t>er</w:t>
      </w:r>
      <w:r w:rsidR="0063445A">
        <w:rPr>
          <w:sz w:val="22"/>
          <w:szCs w:val="22"/>
        </w:rPr>
        <w:t>ship interest in</w:t>
      </w:r>
      <w:r w:rsidR="00035294">
        <w:rPr>
          <w:sz w:val="22"/>
          <w:szCs w:val="22"/>
        </w:rPr>
        <w:t xml:space="preserve"> AWN and its </w:t>
      </w:r>
      <w:r w:rsidR="0063445A">
        <w:rPr>
          <w:sz w:val="22"/>
          <w:szCs w:val="22"/>
        </w:rPr>
        <w:t xml:space="preserve">exit </w:t>
      </w:r>
      <w:r>
        <w:rPr>
          <w:sz w:val="22"/>
          <w:szCs w:val="22"/>
        </w:rPr>
        <w:t>as a retail wireless service competitor</w:t>
      </w:r>
      <w:r w:rsidR="00D86AB5">
        <w:rPr>
          <w:sz w:val="22"/>
          <w:szCs w:val="22"/>
        </w:rPr>
        <w:t xml:space="preserve">, we grant the request and </w:t>
      </w:r>
      <w:r>
        <w:rPr>
          <w:sz w:val="22"/>
          <w:szCs w:val="22"/>
        </w:rPr>
        <w:t xml:space="preserve">hereby </w:t>
      </w:r>
      <w:r w:rsidR="00D86AB5">
        <w:rPr>
          <w:sz w:val="22"/>
          <w:szCs w:val="22"/>
        </w:rPr>
        <w:t xml:space="preserve">remove the </w:t>
      </w:r>
      <w:r>
        <w:rPr>
          <w:sz w:val="22"/>
          <w:szCs w:val="22"/>
        </w:rPr>
        <w:t>CSI Policies</w:t>
      </w:r>
      <w:r w:rsidR="0035611F">
        <w:rPr>
          <w:sz w:val="22"/>
          <w:szCs w:val="22"/>
        </w:rPr>
        <w:t xml:space="preserve"> condition.  </w:t>
      </w:r>
      <w:r w:rsidR="000203F0">
        <w:rPr>
          <w:sz w:val="22"/>
          <w:szCs w:val="22"/>
        </w:rPr>
        <w:t xml:space="preserve">The remaining conditions specified in the </w:t>
      </w:r>
      <w:r w:rsidR="000203F0">
        <w:rPr>
          <w:i/>
          <w:sz w:val="22"/>
          <w:szCs w:val="22"/>
        </w:rPr>
        <w:t>Order</w:t>
      </w:r>
      <w:r w:rsidR="000203F0">
        <w:rPr>
          <w:sz w:val="22"/>
          <w:szCs w:val="22"/>
        </w:rPr>
        <w:t xml:space="preserve"> shall remain in effect to the extent specified therein.</w:t>
      </w:r>
      <w:r w:rsidR="000203F0">
        <w:rPr>
          <w:rStyle w:val="FootnoteReference"/>
          <w:sz w:val="22"/>
          <w:szCs w:val="22"/>
        </w:rPr>
        <w:footnoteReference w:id="18"/>
      </w:r>
    </w:p>
    <w:p w:rsidR="002F0D09" w:rsidRDefault="001F3FB8" w:rsidP="00B2121D">
      <w:pPr>
        <w:spacing w:after="220"/>
        <w:ind w:firstLine="720"/>
        <w:rPr>
          <w:sz w:val="22"/>
          <w:szCs w:val="22"/>
        </w:rPr>
      </w:pPr>
      <w:r>
        <w:rPr>
          <w:sz w:val="22"/>
          <w:szCs w:val="22"/>
        </w:rPr>
        <w:t>This action is taken under delegated authority pursuant to section 0.331 of the Commission’s rules, 47 C.F.R. § 0.331.</w:t>
      </w:r>
    </w:p>
    <w:p w:rsidR="000B5725" w:rsidRDefault="000B5725" w:rsidP="000B5725">
      <w:pPr>
        <w:widowControl w:val="0"/>
        <w:spacing w:after="0"/>
        <w:ind w:left="4680"/>
        <w:rPr>
          <w:sz w:val="22"/>
          <w:szCs w:val="22"/>
        </w:rPr>
      </w:pPr>
    </w:p>
    <w:p w:rsidR="001F3FB8" w:rsidRDefault="002F0D09" w:rsidP="000B5725">
      <w:pPr>
        <w:widowControl w:val="0"/>
        <w:spacing w:after="0"/>
        <w:ind w:left="4680"/>
        <w:rPr>
          <w:sz w:val="22"/>
          <w:szCs w:val="22"/>
        </w:rPr>
      </w:pPr>
      <w:r>
        <w:rPr>
          <w:sz w:val="22"/>
          <w:szCs w:val="22"/>
        </w:rPr>
        <w:t>Sincerely,</w:t>
      </w:r>
    </w:p>
    <w:p w:rsidR="000B5725" w:rsidRDefault="000B5725" w:rsidP="000B5725">
      <w:pPr>
        <w:widowControl w:val="0"/>
        <w:spacing w:after="0"/>
        <w:ind w:left="4680"/>
        <w:rPr>
          <w:sz w:val="22"/>
          <w:szCs w:val="22"/>
        </w:rPr>
      </w:pPr>
    </w:p>
    <w:p w:rsidR="000B5725" w:rsidRDefault="000B5725" w:rsidP="000B5725">
      <w:pPr>
        <w:widowControl w:val="0"/>
        <w:spacing w:after="0"/>
        <w:ind w:left="4680"/>
        <w:rPr>
          <w:sz w:val="22"/>
          <w:szCs w:val="22"/>
        </w:rPr>
      </w:pPr>
    </w:p>
    <w:p w:rsidR="000B5725" w:rsidRDefault="000B5725" w:rsidP="000B5725">
      <w:pPr>
        <w:widowControl w:val="0"/>
        <w:spacing w:after="0"/>
        <w:ind w:left="4680"/>
        <w:rPr>
          <w:sz w:val="22"/>
          <w:szCs w:val="22"/>
        </w:rPr>
      </w:pPr>
    </w:p>
    <w:p w:rsidR="00984C70" w:rsidRDefault="001F3FB8" w:rsidP="000B5725">
      <w:pPr>
        <w:spacing w:after="0"/>
        <w:ind w:left="4680"/>
        <w:rPr>
          <w:sz w:val="22"/>
          <w:szCs w:val="22"/>
        </w:rPr>
      </w:pPr>
      <w:r>
        <w:rPr>
          <w:sz w:val="22"/>
          <w:szCs w:val="22"/>
        </w:rPr>
        <w:lastRenderedPageBreak/>
        <w:t xml:space="preserve">Roger </w:t>
      </w:r>
      <w:r w:rsidR="00137BD3">
        <w:rPr>
          <w:sz w:val="22"/>
          <w:szCs w:val="22"/>
        </w:rPr>
        <w:t xml:space="preserve">C. </w:t>
      </w:r>
      <w:r>
        <w:rPr>
          <w:sz w:val="22"/>
          <w:szCs w:val="22"/>
        </w:rPr>
        <w:t>Sherman</w:t>
      </w:r>
    </w:p>
    <w:p w:rsidR="002F0D09" w:rsidRPr="004507FC" w:rsidRDefault="001F3FB8" w:rsidP="0035611F">
      <w:pPr>
        <w:spacing w:after="0"/>
        <w:ind w:left="4680"/>
        <w:rPr>
          <w:sz w:val="22"/>
          <w:szCs w:val="22"/>
        </w:rPr>
      </w:pPr>
      <w:r>
        <w:rPr>
          <w:sz w:val="22"/>
          <w:szCs w:val="22"/>
        </w:rPr>
        <w:t xml:space="preserve">Chief, </w:t>
      </w:r>
      <w:r w:rsidR="002F0D09">
        <w:rPr>
          <w:sz w:val="22"/>
          <w:szCs w:val="22"/>
        </w:rPr>
        <w:t>Wireless Telecommunications Bureau</w:t>
      </w:r>
    </w:p>
    <w:sectPr w:rsidR="002F0D09" w:rsidRPr="004507FC" w:rsidSect="00137B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900" w:left="1440" w:header="6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A8" w:rsidRDefault="00693BA8">
      <w:r>
        <w:separator/>
      </w:r>
    </w:p>
  </w:endnote>
  <w:endnote w:type="continuationSeparator" w:id="0">
    <w:p w:rsidR="00693BA8" w:rsidRDefault="0069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5" w:rsidRDefault="00283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5" w:rsidRDefault="00283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5" w:rsidRDefault="00283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A8" w:rsidRDefault="00693BA8" w:rsidP="0035611F">
      <w:pPr>
        <w:spacing w:after="0"/>
      </w:pPr>
      <w:r>
        <w:separator/>
      </w:r>
    </w:p>
  </w:footnote>
  <w:footnote w:type="continuationSeparator" w:id="0">
    <w:p w:rsidR="00693BA8" w:rsidRDefault="00693BA8">
      <w:r>
        <w:continuationSeparator/>
      </w:r>
    </w:p>
  </w:footnote>
  <w:footnote w:id="1">
    <w:p w:rsidR="001238F6" w:rsidRPr="001238F6" w:rsidRDefault="001238F6" w:rsidP="001238F6">
      <w:pPr>
        <w:pStyle w:val="FootnoteText"/>
      </w:pPr>
      <w:r>
        <w:rPr>
          <w:rStyle w:val="FootnoteReference"/>
        </w:rPr>
        <w:footnoteRef/>
      </w:r>
      <w:r>
        <w:t xml:space="preserve"> </w:t>
      </w:r>
      <w:r w:rsidR="00880246" w:rsidRPr="00880246">
        <w:t>Applications of GCI Communication Corp., AC</w:t>
      </w:r>
      <w:r w:rsidR="0063445A">
        <w:t>S</w:t>
      </w:r>
      <w:r w:rsidR="00880246" w:rsidRPr="00880246">
        <w:t xml:space="preserve"> Wireless License Sub, Inc., ACS of Anchorage License Sub Inc. and Unicom, Inc. </w:t>
      </w:r>
      <w:r w:rsidR="0063445A">
        <w:t>f</w:t>
      </w:r>
      <w:r w:rsidR="00880246" w:rsidRPr="00880246">
        <w:t xml:space="preserve">or Consent To Assign Licenses </w:t>
      </w:r>
      <w:r w:rsidR="0063445A">
        <w:t>t</w:t>
      </w:r>
      <w:r w:rsidR="00880246" w:rsidRPr="00880246">
        <w:t>o The Alaska Wireless Network, LLC</w:t>
      </w:r>
      <w:r w:rsidRPr="00880246">
        <w:t>,</w:t>
      </w:r>
      <w:r>
        <w:t xml:space="preserve"> </w:t>
      </w:r>
      <w:r>
        <w:rPr>
          <w:i/>
        </w:rPr>
        <w:t>Memorandum Opinion and Order</w:t>
      </w:r>
      <w:r w:rsidR="00880246">
        <w:rPr>
          <w:i/>
        </w:rPr>
        <w:t xml:space="preserve"> and Declaratory Ruling</w:t>
      </w:r>
      <w:r>
        <w:t xml:space="preserve">, </w:t>
      </w:r>
      <w:r w:rsidR="00934269" w:rsidRPr="00934269">
        <w:t>28</w:t>
      </w:r>
      <w:r w:rsidRPr="00934269">
        <w:t xml:space="preserve"> FCC Rcd </w:t>
      </w:r>
      <w:r w:rsidR="00880246" w:rsidRPr="00934269">
        <w:t>10433 (2013</w:t>
      </w:r>
      <w:r w:rsidRPr="00934269">
        <w:t>)</w:t>
      </w:r>
      <w:r>
        <w:t xml:space="preserve"> (“</w:t>
      </w:r>
      <w:r>
        <w:rPr>
          <w:i/>
        </w:rPr>
        <w:t>Order</w:t>
      </w:r>
      <w:r>
        <w:t>”).</w:t>
      </w:r>
    </w:p>
  </w:footnote>
  <w:footnote w:id="2">
    <w:p w:rsidR="00E24249" w:rsidRPr="00E24249" w:rsidRDefault="00E24249" w:rsidP="00CF512C">
      <w:pPr>
        <w:pStyle w:val="FootnoteText"/>
      </w:pPr>
      <w:r>
        <w:rPr>
          <w:rStyle w:val="FootnoteReference"/>
        </w:rPr>
        <w:footnoteRef/>
      </w:r>
      <w:r>
        <w:t xml:space="preserve"> </w:t>
      </w:r>
      <w:r>
        <w:rPr>
          <w:i/>
        </w:rPr>
        <w:t>Order</w:t>
      </w:r>
      <w:r>
        <w:t xml:space="preserve">, </w:t>
      </w:r>
      <w:r w:rsidR="00765366">
        <w:t>28</w:t>
      </w:r>
      <w:r>
        <w:t xml:space="preserve"> FCC Rcd at </w:t>
      </w:r>
      <w:r w:rsidR="00765366">
        <w:t>10462-63</w:t>
      </w:r>
      <w:r w:rsidR="00FC7430">
        <w:t xml:space="preserve">, </w:t>
      </w:r>
      <w:r w:rsidR="00765366">
        <w:t>10465</w:t>
      </w:r>
      <w:r>
        <w:t xml:space="preserve"> ¶</w:t>
      </w:r>
      <w:r w:rsidR="00FC7430">
        <w:t>¶</w:t>
      </w:r>
      <w:r w:rsidR="00CF512C">
        <w:t xml:space="preserve"> </w:t>
      </w:r>
      <w:r w:rsidR="00765366">
        <w:t>71</w:t>
      </w:r>
      <w:r w:rsidR="00FC7430">
        <w:t xml:space="preserve">, </w:t>
      </w:r>
      <w:r w:rsidR="00765366">
        <w:t>77</w:t>
      </w:r>
      <w:r>
        <w:t>.</w:t>
      </w:r>
    </w:p>
  </w:footnote>
  <w:footnote w:id="3">
    <w:p w:rsidR="00B25D80" w:rsidRDefault="00B25D80">
      <w:pPr>
        <w:pStyle w:val="FootnoteText"/>
      </w:pPr>
      <w:r>
        <w:rPr>
          <w:rStyle w:val="FootnoteReference"/>
        </w:rPr>
        <w:footnoteRef/>
      </w:r>
      <w:r>
        <w:t xml:space="preserve"> Letter at 2.</w:t>
      </w:r>
    </w:p>
  </w:footnote>
  <w:footnote w:id="4">
    <w:p w:rsidR="00775AC9" w:rsidRDefault="00775AC9" w:rsidP="00775AC9">
      <w:pPr>
        <w:pStyle w:val="FootnoteText"/>
      </w:pPr>
      <w:r>
        <w:rPr>
          <w:rStyle w:val="FootnoteReference"/>
        </w:rPr>
        <w:footnoteRef/>
      </w:r>
      <w:r>
        <w:t xml:space="preserve"> 47 U.S.C. §§ 214(a), 310(d).</w:t>
      </w:r>
    </w:p>
  </w:footnote>
  <w:footnote w:id="5">
    <w:p w:rsidR="004278F7" w:rsidRPr="004278F7" w:rsidRDefault="004278F7">
      <w:pPr>
        <w:pStyle w:val="FootnoteText"/>
      </w:pPr>
      <w:r>
        <w:rPr>
          <w:rStyle w:val="FootnoteReference"/>
        </w:rPr>
        <w:footnoteRef/>
      </w:r>
      <w:r>
        <w:t xml:space="preserve"> </w:t>
      </w:r>
      <w:r>
        <w:rPr>
          <w:i/>
        </w:rPr>
        <w:t>Order</w:t>
      </w:r>
      <w:r>
        <w:t>, 28 FCC Rcd at 10436 ¶ 9.</w:t>
      </w:r>
    </w:p>
  </w:footnote>
  <w:footnote w:id="6">
    <w:p w:rsidR="00500519" w:rsidRPr="00500519" w:rsidRDefault="00500519">
      <w:pPr>
        <w:pStyle w:val="FootnoteText"/>
      </w:pPr>
      <w:r>
        <w:rPr>
          <w:rStyle w:val="FootnoteReference"/>
        </w:rPr>
        <w:footnoteRef/>
      </w:r>
      <w:r>
        <w:t xml:space="preserve"> </w:t>
      </w:r>
      <w:r>
        <w:rPr>
          <w:i/>
        </w:rPr>
        <w:t>Order</w:t>
      </w:r>
      <w:r>
        <w:t>, 28 FCC Rcd at 10434 ¶ 2.</w:t>
      </w:r>
    </w:p>
  </w:footnote>
  <w:footnote w:id="7">
    <w:p w:rsidR="00961BA9" w:rsidRPr="00961BA9" w:rsidRDefault="00961BA9">
      <w:pPr>
        <w:pStyle w:val="FootnoteText"/>
      </w:pPr>
      <w:r>
        <w:rPr>
          <w:rStyle w:val="FootnoteReference"/>
        </w:rPr>
        <w:footnoteRef/>
      </w:r>
      <w:r>
        <w:t xml:space="preserve"> </w:t>
      </w:r>
      <w:r>
        <w:rPr>
          <w:i/>
        </w:rPr>
        <w:t>Order</w:t>
      </w:r>
      <w:r w:rsidR="00F20552">
        <w:t>, 28 FCC Rcd at 10460-62 ¶¶ 65-</w:t>
      </w:r>
      <w:r>
        <w:t>70.</w:t>
      </w:r>
    </w:p>
  </w:footnote>
  <w:footnote w:id="8">
    <w:p w:rsidR="00961BA9" w:rsidRPr="00961BA9" w:rsidRDefault="00961BA9">
      <w:pPr>
        <w:pStyle w:val="FootnoteText"/>
      </w:pPr>
      <w:r>
        <w:rPr>
          <w:rStyle w:val="FootnoteReference"/>
        </w:rPr>
        <w:footnoteRef/>
      </w:r>
      <w:r>
        <w:t xml:space="preserve"> </w:t>
      </w:r>
      <w:r>
        <w:rPr>
          <w:i/>
        </w:rPr>
        <w:t>Order</w:t>
      </w:r>
      <w:r>
        <w:t>, 28 FCC Rcd at 10434 ¶ 2.</w:t>
      </w:r>
    </w:p>
  </w:footnote>
  <w:footnote w:id="9">
    <w:p w:rsidR="00F20552" w:rsidRPr="00F20552" w:rsidRDefault="00F20552">
      <w:pPr>
        <w:pStyle w:val="FootnoteText"/>
      </w:pPr>
      <w:r>
        <w:rPr>
          <w:rStyle w:val="FootnoteReference"/>
        </w:rPr>
        <w:footnoteRef/>
      </w:r>
      <w:r>
        <w:t xml:space="preserve"> </w:t>
      </w:r>
      <w:r>
        <w:rPr>
          <w:i/>
        </w:rPr>
        <w:t>Order</w:t>
      </w:r>
      <w:r>
        <w:t>, 28 FCC Rcd at 10462-63 ¶ 71.</w:t>
      </w:r>
    </w:p>
  </w:footnote>
  <w:footnote w:id="10">
    <w:p w:rsidR="001C13D8" w:rsidRDefault="001C13D8">
      <w:pPr>
        <w:pStyle w:val="FootnoteText"/>
      </w:pPr>
      <w:r>
        <w:rPr>
          <w:rStyle w:val="FootnoteReference"/>
        </w:rPr>
        <w:footnoteRef/>
      </w:r>
      <w:r>
        <w:t xml:space="preserve"> </w:t>
      </w:r>
      <w:r>
        <w:rPr>
          <w:i/>
        </w:rPr>
        <w:t>Order</w:t>
      </w:r>
      <w:r>
        <w:t>, 28 FCC Rcd at 10462-63 ¶ 71.</w:t>
      </w:r>
    </w:p>
  </w:footnote>
  <w:footnote w:id="11">
    <w:p w:rsidR="001C13D8" w:rsidRPr="001C13D8" w:rsidRDefault="001C13D8">
      <w:pPr>
        <w:pStyle w:val="FootnoteText"/>
      </w:pPr>
      <w:r>
        <w:rPr>
          <w:rStyle w:val="FootnoteReference"/>
        </w:rPr>
        <w:footnoteRef/>
      </w:r>
      <w:r>
        <w:t xml:space="preserve"> Specifically, the CSI Policies are set forth in Exhibit L to th</w:t>
      </w:r>
      <w:r w:rsidR="00035294">
        <w:t>e AWN Joint Operating Agreement (</w:t>
      </w:r>
      <w:r>
        <w:t xml:space="preserve">publicly available </w:t>
      </w:r>
      <w:r w:rsidR="00035294">
        <w:t>in</w:t>
      </w:r>
      <w:r>
        <w:t xml:space="preserve"> Letter from Carl Northrop, John Nakahata, counsel for GCI, Karen Brinkmann, counsel for ACS Wireless, and Bonnie Paskvan, General Counsel, AWN, to Marlene H. Dortch, Secretary, FCC, WT Docket No. 12-187, July 2, 2013</w:t>
      </w:r>
      <w:r w:rsidR="00035294">
        <w:t>)</w:t>
      </w:r>
      <w:r>
        <w:t>.</w:t>
      </w:r>
    </w:p>
  </w:footnote>
  <w:footnote w:id="12">
    <w:p w:rsidR="00D30B86" w:rsidRPr="00D30B86" w:rsidRDefault="00D30B86" w:rsidP="00BF1D7F">
      <w:pPr>
        <w:pStyle w:val="FootnoteText"/>
        <w:rPr>
          <w:i/>
        </w:rPr>
      </w:pPr>
      <w:r>
        <w:rPr>
          <w:rStyle w:val="FootnoteReference"/>
        </w:rPr>
        <w:footnoteRef/>
      </w:r>
      <w:r>
        <w:t xml:space="preserve"> </w:t>
      </w:r>
      <w:r w:rsidR="00BF1D7F">
        <w:rPr>
          <w:i/>
        </w:rPr>
        <w:t>Order</w:t>
      </w:r>
      <w:r w:rsidR="00BF1D7F">
        <w:t xml:space="preserve">, </w:t>
      </w:r>
      <w:r w:rsidR="00EB5D17">
        <w:t>28</w:t>
      </w:r>
      <w:r w:rsidR="00BF1D7F">
        <w:t xml:space="preserve"> FCC Rcd at </w:t>
      </w:r>
      <w:r w:rsidR="00EB5D17">
        <w:t>10465, 10484</w:t>
      </w:r>
      <w:r w:rsidR="00BF1D7F">
        <w:t xml:space="preserve"> ¶¶ </w:t>
      </w:r>
      <w:r w:rsidR="00EB5D17">
        <w:t>77, 140</w:t>
      </w:r>
      <w:r w:rsidR="00BF1D7F">
        <w:t>.</w:t>
      </w:r>
    </w:p>
  </w:footnote>
  <w:footnote w:id="13">
    <w:p w:rsidR="00BF1D7F" w:rsidRDefault="00BF1D7F" w:rsidP="00A12340">
      <w:pPr>
        <w:pStyle w:val="FootnoteText"/>
      </w:pPr>
      <w:r>
        <w:rPr>
          <w:rStyle w:val="FootnoteReference"/>
        </w:rPr>
        <w:footnoteRef/>
      </w:r>
      <w:r>
        <w:t xml:space="preserve"> Letter at </w:t>
      </w:r>
      <w:r w:rsidR="006D2399">
        <w:t>1</w:t>
      </w:r>
      <w:r>
        <w:t>.</w:t>
      </w:r>
    </w:p>
  </w:footnote>
  <w:footnote w:id="14">
    <w:p w:rsidR="00A12340" w:rsidRPr="0099447E" w:rsidRDefault="00A12340" w:rsidP="00A12340">
      <w:pPr>
        <w:pStyle w:val="FootnoteText"/>
      </w:pPr>
      <w:r>
        <w:rPr>
          <w:rStyle w:val="FootnoteReference"/>
        </w:rPr>
        <w:footnoteRef/>
      </w:r>
      <w:r>
        <w:t xml:space="preserve"> Letter at </w:t>
      </w:r>
      <w:r w:rsidR="006D2399">
        <w:t>1-2</w:t>
      </w:r>
      <w:r w:rsidR="0099447E">
        <w:t>.</w:t>
      </w:r>
    </w:p>
  </w:footnote>
  <w:footnote w:id="15">
    <w:p w:rsidR="00137C5B" w:rsidRDefault="00137C5B" w:rsidP="00137C5B">
      <w:pPr>
        <w:pStyle w:val="FootnoteText"/>
      </w:pPr>
      <w:r>
        <w:rPr>
          <w:rStyle w:val="FootnoteReference"/>
        </w:rPr>
        <w:footnoteRef/>
      </w:r>
      <w:r>
        <w:t xml:space="preserve"> Letter at 2.</w:t>
      </w:r>
    </w:p>
  </w:footnote>
  <w:footnote w:id="16">
    <w:p w:rsidR="006D2399" w:rsidRDefault="006D2399">
      <w:pPr>
        <w:pStyle w:val="FootnoteText"/>
      </w:pPr>
      <w:r>
        <w:rPr>
          <w:rStyle w:val="FootnoteReference"/>
        </w:rPr>
        <w:footnoteRef/>
      </w:r>
      <w:r>
        <w:t xml:space="preserve"> Letter at 2.</w:t>
      </w:r>
    </w:p>
  </w:footnote>
  <w:footnote w:id="17">
    <w:p w:rsidR="00D86AB5" w:rsidRDefault="00D86AB5">
      <w:pPr>
        <w:pStyle w:val="FootnoteText"/>
      </w:pPr>
      <w:r>
        <w:rPr>
          <w:rStyle w:val="FootnoteReference"/>
        </w:rPr>
        <w:footnoteRef/>
      </w:r>
      <w:r>
        <w:t xml:space="preserve"> Letter at 2.</w:t>
      </w:r>
    </w:p>
  </w:footnote>
  <w:footnote w:id="18">
    <w:p w:rsidR="000203F0" w:rsidRPr="000203F0" w:rsidRDefault="000203F0">
      <w:pPr>
        <w:pStyle w:val="FootnoteText"/>
      </w:pPr>
      <w:r>
        <w:rPr>
          <w:rStyle w:val="FootnoteReference"/>
        </w:rPr>
        <w:footnoteRef/>
      </w:r>
      <w:r>
        <w:t xml:space="preserve"> </w:t>
      </w:r>
      <w:r>
        <w:rPr>
          <w:i/>
        </w:rPr>
        <w:t>Order</w:t>
      </w:r>
      <w:r>
        <w:t xml:space="preserve">, </w:t>
      </w:r>
      <w:r w:rsidR="006D2399">
        <w:t>28</w:t>
      </w:r>
      <w:r>
        <w:t xml:space="preserve"> FCC Rcd at </w:t>
      </w:r>
      <w:r w:rsidR="006D2399">
        <w:t>10484</w:t>
      </w:r>
      <w:r>
        <w:t xml:space="preserve"> ¶ </w:t>
      </w:r>
      <w:r w:rsidR="006D2399">
        <w:t>140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F5" w:rsidRDefault="00283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F" w:rsidRPr="0035611F" w:rsidRDefault="00CD5D1C" w:rsidP="0035611F">
    <w:pPr>
      <w:pStyle w:val="Header"/>
      <w:spacing w:after="0"/>
      <w:jc w:val="right"/>
      <w:rPr>
        <w:sz w:val="22"/>
        <w:szCs w:val="22"/>
      </w:rPr>
    </w:pPr>
    <w:r w:rsidRPr="00CD5D1C">
      <w:rPr>
        <w:sz w:val="22"/>
        <w:szCs w:val="22"/>
      </w:rPr>
      <w:t>April</w:t>
    </w:r>
    <w:r w:rsidR="0035611F" w:rsidRPr="00CD5D1C">
      <w:rPr>
        <w:sz w:val="22"/>
        <w:szCs w:val="22"/>
      </w:rPr>
      <w:t xml:space="preserve"> </w:t>
    </w:r>
    <w:r w:rsidRPr="00CD5D1C">
      <w:rPr>
        <w:sz w:val="22"/>
        <w:szCs w:val="22"/>
      </w:rPr>
      <w:t>23</w:t>
    </w:r>
    <w:r w:rsidR="008D241E" w:rsidRPr="00CD5D1C">
      <w:rPr>
        <w:sz w:val="22"/>
        <w:szCs w:val="22"/>
      </w:rPr>
      <w:t>, 2015</w:t>
    </w:r>
  </w:p>
  <w:p w:rsidR="0035611F" w:rsidRPr="0035611F" w:rsidRDefault="0035611F" w:rsidP="0035611F">
    <w:pPr>
      <w:pStyle w:val="Header"/>
      <w:spacing w:after="0"/>
      <w:jc w:val="right"/>
      <w:rPr>
        <w:sz w:val="22"/>
        <w:szCs w:val="22"/>
      </w:rPr>
    </w:pPr>
    <w:r w:rsidRPr="0035611F">
      <w:rPr>
        <w:sz w:val="22"/>
        <w:szCs w:val="22"/>
      </w:rPr>
      <w:t xml:space="preserve">Page </w:t>
    </w:r>
    <w:r w:rsidRPr="0035611F">
      <w:rPr>
        <w:sz w:val="22"/>
        <w:szCs w:val="22"/>
      </w:rPr>
      <w:fldChar w:fldCharType="begin"/>
    </w:r>
    <w:r w:rsidRPr="0035611F">
      <w:rPr>
        <w:sz w:val="22"/>
        <w:szCs w:val="22"/>
      </w:rPr>
      <w:instrText xml:space="preserve"> PAGE   \* MERGEFORMAT </w:instrText>
    </w:r>
    <w:r w:rsidRPr="0035611F">
      <w:rPr>
        <w:sz w:val="22"/>
        <w:szCs w:val="22"/>
      </w:rPr>
      <w:fldChar w:fldCharType="separate"/>
    </w:r>
    <w:r w:rsidR="00A02F71">
      <w:rPr>
        <w:noProof/>
        <w:sz w:val="22"/>
        <w:szCs w:val="22"/>
      </w:rPr>
      <w:t>2</w:t>
    </w:r>
    <w:r w:rsidRPr="0035611F">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32" w:rsidRDefault="00A02F71" w:rsidP="0035611F">
    <w:pPr>
      <w:pStyle w:val="Header"/>
      <w:tabs>
        <w:tab w:val="clear" w:pos="4320"/>
        <w:tab w:val="clear" w:pos="8640"/>
      </w:tabs>
      <w:spacing w:before="360" w:after="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1286184" r:id="rId2"/>
      </w:pict>
    </w:r>
    <w:r w:rsidR="00BD7E32">
      <w:rPr>
        <w:rFonts w:ascii="CG Times (W1)" w:hAnsi="CG Times (W1)"/>
        <w:sz w:val="28"/>
      </w:rPr>
      <w:t>Federal Communications Commission</w:t>
    </w:r>
  </w:p>
  <w:p w:rsidR="00BD7E32" w:rsidRDefault="00BD7E32" w:rsidP="0035611F">
    <w:pPr>
      <w:spacing w:after="0"/>
      <w:jc w:val="center"/>
    </w:pPr>
    <w:r>
      <w:rPr>
        <w:rFonts w:ascii="CG Times (W1)" w:hAnsi="CG Times (W1)"/>
        <w:sz w:val="28"/>
      </w:rPr>
      <w:t>Washington, D.C. 20554</w:t>
    </w:r>
  </w:p>
  <w:p w:rsidR="00BD7E32" w:rsidRDefault="00BD7E32" w:rsidP="0035611F">
    <w:pPr>
      <w:pStyle w:val="Header"/>
      <w:tabs>
        <w:tab w:val="clear" w:pos="4320"/>
      </w:tabs>
      <w:spacing w:after="0"/>
      <w:jc w:val="center"/>
      <w:rPr>
        <w:sz w:val="22"/>
      </w:rPr>
    </w:pPr>
  </w:p>
  <w:p w:rsidR="00BD7E32" w:rsidRPr="001579AB" w:rsidRDefault="00BD7E32" w:rsidP="0035611F">
    <w:pPr>
      <w:tabs>
        <w:tab w:val="right" w:pos="9360"/>
      </w:tabs>
      <w:suppressAutoHyphens/>
      <w:spacing w:after="0" w:line="227" w:lineRule="auto"/>
      <w:jc w:val="right"/>
      <w:outlineLvl w:val="0"/>
      <w:rPr>
        <w:sz w:val="22"/>
      </w:rPr>
    </w:pPr>
    <w:r>
      <w:rPr>
        <w:sz w:val="22"/>
      </w:rPr>
      <w:tab/>
    </w:r>
    <w:r w:rsidRPr="001579AB">
      <w:rPr>
        <w:spacing w:val="-2"/>
        <w:sz w:val="22"/>
        <w:szCs w:val="22"/>
      </w:rPr>
      <w:t>DA</w:t>
    </w:r>
    <w:r w:rsidR="000B5725">
      <w:rPr>
        <w:spacing w:val="-2"/>
        <w:sz w:val="22"/>
        <w:szCs w:val="22"/>
      </w:rPr>
      <w:t xml:space="preserve"> 15</w:t>
    </w:r>
    <w:r w:rsidRPr="001579AB">
      <w:rPr>
        <w:spacing w:val="-2"/>
        <w:sz w:val="22"/>
        <w:szCs w:val="22"/>
      </w:rPr>
      <w:t>-</w:t>
    </w:r>
    <w:r w:rsidR="000B5725">
      <w:rPr>
        <w:spacing w:val="-2"/>
        <w:sz w:val="22"/>
        <w:szCs w:val="22"/>
      </w:rPr>
      <w:t>490</w:t>
    </w:r>
  </w:p>
  <w:p w:rsidR="00BD7E32" w:rsidRPr="0035611F" w:rsidRDefault="00137BD3" w:rsidP="0035611F">
    <w:pPr>
      <w:pStyle w:val="Header"/>
      <w:tabs>
        <w:tab w:val="clear" w:pos="4320"/>
      </w:tabs>
      <w:spacing w:after="0"/>
      <w:jc w:val="center"/>
      <w:rPr>
        <w:sz w:val="22"/>
        <w:szCs w:val="22"/>
      </w:rPr>
    </w:pPr>
    <w:r w:rsidRPr="00137BD3">
      <w:rPr>
        <w:sz w:val="22"/>
        <w:szCs w:val="22"/>
      </w:rPr>
      <w:t>April 23</w:t>
    </w:r>
    <w:r w:rsidR="00A41B6F" w:rsidRPr="00137BD3">
      <w:rPr>
        <w:sz w:val="22"/>
        <w:szCs w:val="22"/>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D9"/>
    <w:rsid w:val="00010F80"/>
    <w:rsid w:val="000203F0"/>
    <w:rsid w:val="00035294"/>
    <w:rsid w:val="000427E9"/>
    <w:rsid w:val="00051131"/>
    <w:rsid w:val="000838B9"/>
    <w:rsid w:val="00092851"/>
    <w:rsid w:val="000B5725"/>
    <w:rsid w:val="001238F6"/>
    <w:rsid w:val="0013745B"/>
    <w:rsid w:val="00137BD3"/>
    <w:rsid w:val="00137C5B"/>
    <w:rsid w:val="001579AB"/>
    <w:rsid w:val="001A74EA"/>
    <w:rsid w:val="001C13D8"/>
    <w:rsid w:val="001C571C"/>
    <w:rsid w:val="001F3FB8"/>
    <w:rsid w:val="00204CE3"/>
    <w:rsid w:val="0021379D"/>
    <w:rsid w:val="002150EA"/>
    <w:rsid w:val="002669C5"/>
    <w:rsid w:val="00282E2B"/>
    <w:rsid w:val="002834F5"/>
    <w:rsid w:val="002A5A59"/>
    <w:rsid w:val="002B54DB"/>
    <w:rsid w:val="002F0D09"/>
    <w:rsid w:val="0035611F"/>
    <w:rsid w:val="003562C7"/>
    <w:rsid w:val="00364892"/>
    <w:rsid w:val="003B715C"/>
    <w:rsid w:val="003D0BAC"/>
    <w:rsid w:val="003F6FFC"/>
    <w:rsid w:val="004278F7"/>
    <w:rsid w:val="00442FB6"/>
    <w:rsid w:val="004507FC"/>
    <w:rsid w:val="00452E66"/>
    <w:rsid w:val="00475DD9"/>
    <w:rsid w:val="004D05C3"/>
    <w:rsid w:val="004D3B53"/>
    <w:rsid w:val="00500519"/>
    <w:rsid w:val="005232AF"/>
    <w:rsid w:val="00535212"/>
    <w:rsid w:val="00535CFC"/>
    <w:rsid w:val="005369FC"/>
    <w:rsid w:val="00546C85"/>
    <w:rsid w:val="00573360"/>
    <w:rsid w:val="0058553E"/>
    <w:rsid w:val="00595CCC"/>
    <w:rsid w:val="005A0EBE"/>
    <w:rsid w:val="005B0306"/>
    <w:rsid w:val="005D4B2F"/>
    <w:rsid w:val="005F0A4A"/>
    <w:rsid w:val="006208DB"/>
    <w:rsid w:val="00631B26"/>
    <w:rsid w:val="0063445A"/>
    <w:rsid w:val="0067718A"/>
    <w:rsid w:val="00693BA8"/>
    <w:rsid w:val="006959EC"/>
    <w:rsid w:val="006C2966"/>
    <w:rsid w:val="006D2399"/>
    <w:rsid w:val="006D5FDF"/>
    <w:rsid w:val="0070040D"/>
    <w:rsid w:val="00720D10"/>
    <w:rsid w:val="00745EFC"/>
    <w:rsid w:val="00765366"/>
    <w:rsid w:val="00775AC9"/>
    <w:rsid w:val="007874B0"/>
    <w:rsid w:val="00793A2D"/>
    <w:rsid w:val="007A4DA6"/>
    <w:rsid w:val="007E29B8"/>
    <w:rsid w:val="007E75EF"/>
    <w:rsid w:val="0081540F"/>
    <w:rsid w:val="0086420F"/>
    <w:rsid w:val="00880246"/>
    <w:rsid w:val="00897BD9"/>
    <w:rsid w:val="008B3FBA"/>
    <w:rsid w:val="008C50CD"/>
    <w:rsid w:val="008C6F76"/>
    <w:rsid w:val="008D241E"/>
    <w:rsid w:val="00903C20"/>
    <w:rsid w:val="00934269"/>
    <w:rsid w:val="00945B49"/>
    <w:rsid w:val="009528E3"/>
    <w:rsid w:val="00961BA9"/>
    <w:rsid w:val="00970D2B"/>
    <w:rsid w:val="00980E3D"/>
    <w:rsid w:val="00984C70"/>
    <w:rsid w:val="0099447E"/>
    <w:rsid w:val="00995CD5"/>
    <w:rsid w:val="009D4DDF"/>
    <w:rsid w:val="00A02F71"/>
    <w:rsid w:val="00A12340"/>
    <w:rsid w:val="00A41B6F"/>
    <w:rsid w:val="00A55996"/>
    <w:rsid w:val="00AA0E55"/>
    <w:rsid w:val="00AC5C5F"/>
    <w:rsid w:val="00AC6767"/>
    <w:rsid w:val="00B2121D"/>
    <w:rsid w:val="00B25D80"/>
    <w:rsid w:val="00B41C19"/>
    <w:rsid w:val="00B51C7F"/>
    <w:rsid w:val="00B56222"/>
    <w:rsid w:val="00B758EB"/>
    <w:rsid w:val="00B956AC"/>
    <w:rsid w:val="00B97227"/>
    <w:rsid w:val="00BD1EC4"/>
    <w:rsid w:val="00BD7B8C"/>
    <w:rsid w:val="00BD7E32"/>
    <w:rsid w:val="00BF1D7F"/>
    <w:rsid w:val="00C02349"/>
    <w:rsid w:val="00C14D4A"/>
    <w:rsid w:val="00CD5D1C"/>
    <w:rsid w:val="00CE164B"/>
    <w:rsid w:val="00CF512C"/>
    <w:rsid w:val="00D30B86"/>
    <w:rsid w:val="00D30C84"/>
    <w:rsid w:val="00D85484"/>
    <w:rsid w:val="00D86AB5"/>
    <w:rsid w:val="00DA26EA"/>
    <w:rsid w:val="00DD72A9"/>
    <w:rsid w:val="00DE5C01"/>
    <w:rsid w:val="00E10F19"/>
    <w:rsid w:val="00E153A3"/>
    <w:rsid w:val="00E24249"/>
    <w:rsid w:val="00E53248"/>
    <w:rsid w:val="00EA7C72"/>
    <w:rsid w:val="00EB5D17"/>
    <w:rsid w:val="00EC7B35"/>
    <w:rsid w:val="00ED6889"/>
    <w:rsid w:val="00F10D6D"/>
    <w:rsid w:val="00F17BA9"/>
    <w:rsid w:val="00F20552"/>
    <w:rsid w:val="00FC39B4"/>
    <w:rsid w:val="00FC51A0"/>
    <w:rsid w:val="00FC7430"/>
    <w:rsid w:val="00FD10A7"/>
    <w:rsid w:val="00FD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5232AF"/>
  </w:style>
  <w:style w:type="character" w:customStyle="1" w:styleId="FootnoteTextChar">
    <w:name w:val="Footnote Text Char"/>
    <w:basedOn w:val="DefaultParagraphFont"/>
    <w:link w:val="FootnoteText"/>
    <w:uiPriority w:val="99"/>
    <w:semiHidden/>
    <w:rsid w:val="005232AF"/>
  </w:style>
  <w:style w:type="character" w:styleId="FootnoteReference">
    <w:name w:val="footnote reference"/>
    <w:basedOn w:val="DefaultParagraphFont"/>
    <w:uiPriority w:val="99"/>
    <w:semiHidden/>
    <w:unhideWhenUsed/>
    <w:rsid w:val="005232AF"/>
    <w:rPr>
      <w:vertAlign w:val="superscript"/>
    </w:rPr>
  </w:style>
  <w:style w:type="paragraph" w:styleId="BalloonText">
    <w:name w:val="Balloon Text"/>
    <w:basedOn w:val="Normal"/>
    <w:link w:val="BalloonTextChar"/>
    <w:uiPriority w:val="99"/>
    <w:semiHidden/>
    <w:unhideWhenUsed/>
    <w:rsid w:val="0058553E"/>
    <w:rPr>
      <w:rFonts w:ascii="Tahoma" w:hAnsi="Tahoma" w:cs="Tahoma"/>
      <w:sz w:val="16"/>
      <w:szCs w:val="16"/>
    </w:rPr>
  </w:style>
  <w:style w:type="character" w:customStyle="1" w:styleId="BalloonTextChar">
    <w:name w:val="Balloon Text Char"/>
    <w:basedOn w:val="DefaultParagraphFont"/>
    <w:link w:val="BalloonText"/>
    <w:uiPriority w:val="99"/>
    <w:semiHidden/>
    <w:rsid w:val="0058553E"/>
    <w:rPr>
      <w:rFonts w:ascii="Tahoma" w:hAnsi="Tahoma" w:cs="Tahoma"/>
      <w:sz w:val="16"/>
      <w:szCs w:val="16"/>
    </w:rPr>
  </w:style>
  <w:style w:type="character" w:styleId="CommentReference">
    <w:name w:val="annotation reference"/>
    <w:basedOn w:val="DefaultParagraphFont"/>
    <w:uiPriority w:val="99"/>
    <w:semiHidden/>
    <w:unhideWhenUsed/>
    <w:rsid w:val="00B25D80"/>
    <w:rPr>
      <w:sz w:val="16"/>
      <w:szCs w:val="16"/>
    </w:rPr>
  </w:style>
  <w:style w:type="paragraph" w:styleId="CommentText">
    <w:name w:val="annotation text"/>
    <w:basedOn w:val="Normal"/>
    <w:link w:val="CommentTextChar"/>
    <w:uiPriority w:val="99"/>
    <w:semiHidden/>
    <w:unhideWhenUsed/>
    <w:rsid w:val="00B25D80"/>
  </w:style>
  <w:style w:type="character" w:customStyle="1" w:styleId="CommentTextChar">
    <w:name w:val="Comment Text Char"/>
    <w:basedOn w:val="DefaultParagraphFont"/>
    <w:link w:val="CommentText"/>
    <w:uiPriority w:val="99"/>
    <w:semiHidden/>
    <w:rsid w:val="00B25D80"/>
  </w:style>
  <w:style w:type="paragraph" w:styleId="CommentSubject">
    <w:name w:val="annotation subject"/>
    <w:basedOn w:val="CommentText"/>
    <w:next w:val="CommentText"/>
    <w:link w:val="CommentSubjectChar"/>
    <w:uiPriority w:val="99"/>
    <w:semiHidden/>
    <w:unhideWhenUsed/>
    <w:rsid w:val="00B25D80"/>
    <w:rPr>
      <w:b/>
      <w:bCs/>
    </w:rPr>
  </w:style>
  <w:style w:type="character" w:customStyle="1" w:styleId="CommentSubjectChar">
    <w:name w:val="Comment Subject Char"/>
    <w:basedOn w:val="CommentTextChar"/>
    <w:link w:val="CommentSubject"/>
    <w:uiPriority w:val="99"/>
    <w:semiHidden/>
    <w:rsid w:val="00B25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5232AF"/>
  </w:style>
  <w:style w:type="character" w:customStyle="1" w:styleId="FootnoteTextChar">
    <w:name w:val="Footnote Text Char"/>
    <w:basedOn w:val="DefaultParagraphFont"/>
    <w:link w:val="FootnoteText"/>
    <w:uiPriority w:val="99"/>
    <w:semiHidden/>
    <w:rsid w:val="005232AF"/>
  </w:style>
  <w:style w:type="character" w:styleId="FootnoteReference">
    <w:name w:val="footnote reference"/>
    <w:basedOn w:val="DefaultParagraphFont"/>
    <w:uiPriority w:val="99"/>
    <w:semiHidden/>
    <w:unhideWhenUsed/>
    <w:rsid w:val="005232AF"/>
    <w:rPr>
      <w:vertAlign w:val="superscript"/>
    </w:rPr>
  </w:style>
  <w:style w:type="paragraph" w:styleId="BalloonText">
    <w:name w:val="Balloon Text"/>
    <w:basedOn w:val="Normal"/>
    <w:link w:val="BalloonTextChar"/>
    <w:uiPriority w:val="99"/>
    <w:semiHidden/>
    <w:unhideWhenUsed/>
    <w:rsid w:val="0058553E"/>
    <w:rPr>
      <w:rFonts w:ascii="Tahoma" w:hAnsi="Tahoma" w:cs="Tahoma"/>
      <w:sz w:val="16"/>
      <w:szCs w:val="16"/>
    </w:rPr>
  </w:style>
  <w:style w:type="character" w:customStyle="1" w:styleId="BalloonTextChar">
    <w:name w:val="Balloon Text Char"/>
    <w:basedOn w:val="DefaultParagraphFont"/>
    <w:link w:val="BalloonText"/>
    <w:uiPriority w:val="99"/>
    <w:semiHidden/>
    <w:rsid w:val="0058553E"/>
    <w:rPr>
      <w:rFonts w:ascii="Tahoma" w:hAnsi="Tahoma" w:cs="Tahoma"/>
      <w:sz w:val="16"/>
      <w:szCs w:val="16"/>
    </w:rPr>
  </w:style>
  <w:style w:type="character" w:styleId="CommentReference">
    <w:name w:val="annotation reference"/>
    <w:basedOn w:val="DefaultParagraphFont"/>
    <w:uiPriority w:val="99"/>
    <w:semiHidden/>
    <w:unhideWhenUsed/>
    <w:rsid w:val="00B25D80"/>
    <w:rPr>
      <w:sz w:val="16"/>
      <w:szCs w:val="16"/>
    </w:rPr>
  </w:style>
  <w:style w:type="paragraph" w:styleId="CommentText">
    <w:name w:val="annotation text"/>
    <w:basedOn w:val="Normal"/>
    <w:link w:val="CommentTextChar"/>
    <w:uiPriority w:val="99"/>
    <w:semiHidden/>
    <w:unhideWhenUsed/>
    <w:rsid w:val="00B25D80"/>
  </w:style>
  <w:style w:type="character" w:customStyle="1" w:styleId="CommentTextChar">
    <w:name w:val="Comment Text Char"/>
    <w:basedOn w:val="DefaultParagraphFont"/>
    <w:link w:val="CommentText"/>
    <w:uiPriority w:val="99"/>
    <w:semiHidden/>
    <w:rsid w:val="00B25D80"/>
  </w:style>
  <w:style w:type="paragraph" w:styleId="CommentSubject">
    <w:name w:val="annotation subject"/>
    <w:basedOn w:val="CommentText"/>
    <w:next w:val="CommentText"/>
    <w:link w:val="CommentSubjectChar"/>
    <w:uiPriority w:val="99"/>
    <w:semiHidden/>
    <w:unhideWhenUsed/>
    <w:rsid w:val="00B25D80"/>
    <w:rPr>
      <w:b/>
      <w:bCs/>
    </w:rPr>
  </w:style>
  <w:style w:type="character" w:customStyle="1" w:styleId="CommentSubjectChar">
    <w:name w:val="Comment Subject Char"/>
    <w:basedOn w:val="CommentTextChar"/>
    <w:link w:val="CommentSubject"/>
    <w:uiPriority w:val="99"/>
    <w:semiHidden/>
    <w:rsid w:val="00B25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720</Words>
  <Characters>3937</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2001-03-11T14:36:00Z</cp:lastPrinted>
  <dcterms:created xsi:type="dcterms:W3CDTF">2015-04-23T13:23:00Z</dcterms:created>
  <dcterms:modified xsi:type="dcterms:W3CDTF">2015-04-23T13:23:00Z</dcterms:modified>
  <cp:category> </cp:category>
  <cp:contentStatus> </cp:contentStatus>
</cp:coreProperties>
</file>