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527698">
        <w:rPr>
          <w:sz w:val="24"/>
        </w:rPr>
        <w:t>15-491</w:t>
      </w:r>
    </w:p>
    <w:p w:rsidR="00AC1B59" w:rsidRDefault="001E0ABE" w:rsidP="00AC1B59">
      <w:pPr>
        <w:spacing w:before="60"/>
        <w:jc w:val="right"/>
        <w:rPr>
          <w:sz w:val="24"/>
        </w:rPr>
      </w:pPr>
      <w:r>
        <w:rPr>
          <w:sz w:val="24"/>
        </w:rPr>
        <w:t xml:space="preserve">April </w:t>
      </w:r>
      <w:r w:rsidR="00B6242B">
        <w:rPr>
          <w:sz w:val="24"/>
        </w:rPr>
        <w:t>27</w:t>
      </w:r>
      <w:r w:rsidR="00AC1B59">
        <w:rPr>
          <w:sz w:val="24"/>
        </w:rPr>
        <w:t>, 201</w:t>
      </w:r>
      <w:r w:rsidR="00CB7CCD">
        <w:rPr>
          <w:sz w:val="24"/>
        </w:rPr>
        <w:t>5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 w:rsidR="00B6242B">
        <w:rPr>
          <w:b/>
          <w:sz w:val="24"/>
          <w:szCs w:val="24"/>
        </w:rPr>
        <w:t xml:space="preserve"> FOUR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B6242B" w:rsidP="00BA3561">
      <w:pPr>
        <w:suppressAutoHyphens/>
        <w:rPr>
          <w:sz w:val="24"/>
          <w:szCs w:val="24"/>
        </w:rPr>
      </w:pPr>
      <w:r>
        <w:rPr>
          <w:sz w:val="24"/>
          <w:szCs w:val="24"/>
        </w:rPr>
        <w:t>Informal Working Group 4 (IWG-4</w:t>
      </w:r>
      <w:r w:rsidR="002B7E97" w:rsidRPr="00AC41A4">
        <w:rPr>
          <w:sz w:val="24"/>
          <w:szCs w:val="24"/>
        </w:rPr>
        <w:t>)</w:t>
      </w:r>
      <w:r w:rsidR="002B7E97" w:rsidRPr="00F5315E">
        <w:rPr>
          <w:sz w:val="24"/>
          <w:szCs w:val="24"/>
        </w:rPr>
        <w:t xml:space="preserve"> </w:t>
      </w:r>
      <w:r w:rsidR="00BA3561" w:rsidRPr="00462C6E">
        <w:rPr>
          <w:sz w:val="24"/>
          <w:szCs w:val="24"/>
        </w:rPr>
        <w:t>of the Advisory Committee for the 2015 World</w:t>
      </w:r>
      <w:r w:rsidR="00462C6E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 xml:space="preserve">Radiocommunication Conference (WRC-15) </w:t>
      </w:r>
      <w:r>
        <w:rPr>
          <w:sz w:val="24"/>
          <w:szCs w:val="24"/>
        </w:rPr>
        <w:t>has</w:t>
      </w:r>
      <w:r w:rsidR="00BA3561" w:rsidRPr="00BA3561">
        <w:rPr>
          <w:sz w:val="24"/>
          <w:szCs w:val="24"/>
        </w:rPr>
        <w:t xml:space="preserve"> scheduled </w:t>
      </w:r>
      <w:r>
        <w:rPr>
          <w:sz w:val="24"/>
          <w:szCs w:val="24"/>
        </w:rPr>
        <w:t xml:space="preserve">a </w:t>
      </w:r>
      <w:r w:rsidR="00BA3561" w:rsidRPr="00BA3561">
        <w:rPr>
          <w:sz w:val="24"/>
          <w:szCs w:val="24"/>
        </w:rPr>
        <w:t xml:space="preserve">meeting as set forth below. </w:t>
      </w:r>
      <w:r w:rsidR="00433C8B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The</w:t>
      </w:r>
      <w:r w:rsidR="00312311">
        <w:rPr>
          <w:sz w:val="24"/>
          <w:szCs w:val="24"/>
        </w:rPr>
        <w:t xml:space="preserve"> </w:t>
      </w:r>
      <w:r w:rsidR="00BA3561" w:rsidRPr="005654FD">
        <w:rPr>
          <w:sz w:val="24"/>
          <w:szCs w:val="24"/>
        </w:rPr>
        <w:t>meeting</w:t>
      </w:r>
      <w:r>
        <w:rPr>
          <w:sz w:val="24"/>
          <w:szCs w:val="24"/>
        </w:rPr>
        <w:t xml:space="preserve"> i</w:t>
      </w:r>
      <w:r w:rsidR="000E4145" w:rsidRPr="00AC41A4">
        <w:rPr>
          <w:sz w:val="24"/>
          <w:szCs w:val="24"/>
        </w:rPr>
        <w:t>s</w:t>
      </w:r>
      <w:r w:rsidR="00BA3561" w:rsidRPr="005654FD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 OF INFORMAL WORKING GROUP</w:t>
      </w:r>
      <w:r w:rsidR="0069709E">
        <w:rPr>
          <w:rFonts w:ascii="Times New Roman" w:hAnsi="Times New Roman"/>
          <w:b/>
          <w:szCs w:val="24"/>
          <w:u w:val="none"/>
        </w:rPr>
        <w:t xml:space="preserve"> 4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69709E" w:rsidRDefault="0069709E" w:rsidP="0069709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69709E" w:rsidRDefault="0069709E" w:rsidP="0069709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69709E" w:rsidRDefault="0069709E" w:rsidP="0069709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69709E" w:rsidRDefault="0069709E" w:rsidP="0069709E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hyperlink r:id="rId17" w:history="1">
        <w:r w:rsidRPr="00216C30">
          <w:rPr>
            <w:rStyle w:val="Hyperlink"/>
            <w:rFonts w:ascii="Times New Roman" w:hAnsi="Times New Roman"/>
          </w:rPr>
          <w:t>sbaruch@newwavespectrum.com</w:t>
        </w:r>
      </w:hyperlink>
      <w:r>
        <w:rPr>
          <w:rFonts w:ascii="Times New Roman" w:hAnsi="Times New Roman"/>
          <w:u w:val="none"/>
        </w:rPr>
        <w:t>, telephone:  240-</w:t>
      </w:r>
      <w:r w:rsidRPr="000909BA">
        <w:rPr>
          <w:rFonts w:ascii="Times New Roman" w:hAnsi="Times New Roman"/>
          <w:u w:val="none"/>
        </w:rPr>
        <w:t>476</w:t>
      </w:r>
      <w:r>
        <w:rPr>
          <w:rFonts w:ascii="Times New Roman" w:hAnsi="Times New Roman"/>
          <w:u w:val="none"/>
        </w:rPr>
        <w:t>-</w:t>
      </w:r>
      <w:r w:rsidRPr="000909BA">
        <w:rPr>
          <w:rFonts w:ascii="Times New Roman" w:hAnsi="Times New Roman"/>
          <w:u w:val="none"/>
        </w:rPr>
        <w:t>2600</w:t>
      </w:r>
    </w:p>
    <w:p w:rsidR="0069709E" w:rsidRPr="007828A1" w:rsidRDefault="0069709E" w:rsidP="0069709E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18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69709E" w:rsidRDefault="0069709E" w:rsidP="0069709E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69709E" w:rsidRDefault="0069709E" w:rsidP="0069709E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69709E" w:rsidRDefault="0069709E" w:rsidP="0069709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69709E" w:rsidRDefault="0069709E" w:rsidP="0069709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69709E" w:rsidRDefault="0069709E" w:rsidP="0069709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69709E" w:rsidRDefault="0069709E" w:rsidP="0069709E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69709E" w:rsidRPr="00EF2445" w:rsidRDefault="0069709E" w:rsidP="0069709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Date</w:t>
      </w:r>
      <w:r w:rsidRPr="00EF2445">
        <w:rPr>
          <w:rFonts w:ascii="Times New Roman" w:hAnsi="Times New Roman"/>
          <w:u w:val="none"/>
        </w:rPr>
        <w:t>:</w:t>
      </w:r>
      <w:r w:rsidRPr="00EF2445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Monday</w:t>
      </w:r>
      <w:r w:rsidRPr="00EF2445"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  <w:u w:val="none"/>
        </w:rPr>
        <w:t>May 4, 2015</w:t>
      </w:r>
    </w:p>
    <w:p w:rsidR="0069709E" w:rsidRPr="0077778B" w:rsidRDefault="0069709E" w:rsidP="0069709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>
        <w:rPr>
          <w:rFonts w:ascii="Times New Roman" w:hAnsi="Times New Roman"/>
          <w:u w:val="none"/>
        </w:rPr>
        <w:t>:</w:t>
      </w:r>
      <w:r>
        <w:rPr>
          <w:rFonts w:ascii="Times New Roman" w:hAnsi="Times New Roman"/>
          <w:u w:val="none"/>
        </w:rPr>
        <w:tab/>
        <w:t>11:00 a.m. to 12:30 p.m. (E</w:t>
      </w:r>
      <w:r w:rsidRPr="0077778B">
        <w:rPr>
          <w:rFonts w:ascii="Times New Roman" w:hAnsi="Times New Roman"/>
          <w:u w:val="none"/>
        </w:rPr>
        <w:t>T)</w:t>
      </w:r>
    </w:p>
    <w:p w:rsidR="0069709E" w:rsidRPr="00012830" w:rsidRDefault="0069709E" w:rsidP="0069709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 </w:t>
      </w:r>
      <w:r w:rsidR="004B3479" w:rsidRPr="00012830">
        <w:rPr>
          <w:rFonts w:ascii="Times New Roman" w:hAnsi="Times New Roman"/>
          <w:u w:val="none"/>
        </w:rPr>
        <w:t>888-</w:t>
      </w:r>
      <w:r w:rsidR="009B1F1F" w:rsidRPr="00012830">
        <w:rPr>
          <w:rFonts w:ascii="Times New Roman" w:hAnsi="Times New Roman"/>
          <w:u w:val="none"/>
        </w:rPr>
        <w:t xml:space="preserve">858-2144 </w:t>
      </w:r>
      <w:r w:rsidRPr="00012830">
        <w:rPr>
          <w:rFonts w:ascii="Times New Roman" w:hAnsi="Times New Roman"/>
          <w:u w:val="none"/>
        </w:rPr>
        <w:t xml:space="preserve">or </w:t>
      </w:r>
      <w:r w:rsidR="00012830" w:rsidRPr="00012830">
        <w:rPr>
          <w:rFonts w:ascii="Times New Roman" w:hAnsi="Times New Roman"/>
          <w:u w:val="none"/>
        </w:rPr>
        <w:t>646-746-3008</w:t>
      </w:r>
    </w:p>
    <w:p w:rsidR="0069709E" w:rsidRPr="009B1F1F" w:rsidRDefault="0069709E" w:rsidP="0069709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9B1F1F" w:rsidRPr="009B1F1F">
        <w:rPr>
          <w:rFonts w:ascii="Times New Roman" w:hAnsi="Times New Roman"/>
          <w:u w:val="none"/>
        </w:rPr>
        <w:t>8672480</w:t>
      </w:r>
    </w:p>
    <w:p w:rsidR="0069709E" w:rsidRPr="0069709E" w:rsidRDefault="0069709E" w:rsidP="0069709E">
      <w:pPr>
        <w:pStyle w:val="Subtitle"/>
        <w:tabs>
          <w:tab w:val="left" w:pos="3060"/>
        </w:tabs>
        <w:rPr>
          <w:rFonts w:ascii="Times New Roman" w:hAnsi="Times New Roman"/>
          <w:highlight w:val="yellow"/>
          <w:u w:val="none"/>
        </w:rPr>
      </w:pPr>
    </w:p>
    <w:p w:rsidR="0069709E" w:rsidRPr="0069709E" w:rsidRDefault="0069709E" w:rsidP="0069709E">
      <w:pPr>
        <w:pStyle w:val="Subtitle"/>
        <w:tabs>
          <w:tab w:val="left" w:pos="3060"/>
        </w:tabs>
        <w:rPr>
          <w:rFonts w:ascii="Times New Roman" w:hAnsi="Times New Roman"/>
          <w:highlight w:val="yellow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C8" w:rsidRDefault="00AC4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C8" w:rsidRDefault="00AC4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C8" w:rsidRDefault="00AC4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C8" w:rsidRDefault="00AC4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2830"/>
    <w:rsid w:val="000152DB"/>
    <w:rsid w:val="00023120"/>
    <w:rsid w:val="00043C02"/>
    <w:rsid w:val="00071C94"/>
    <w:rsid w:val="00084B8D"/>
    <w:rsid w:val="000909BA"/>
    <w:rsid w:val="000B19FA"/>
    <w:rsid w:val="000E4145"/>
    <w:rsid w:val="000E483C"/>
    <w:rsid w:val="000F42FF"/>
    <w:rsid w:val="00101215"/>
    <w:rsid w:val="0011151D"/>
    <w:rsid w:val="00115401"/>
    <w:rsid w:val="00155CD1"/>
    <w:rsid w:val="001E0ABE"/>
    <w:rsid w:val="001F0B6C"/>
    <w:rsid w:val="001F7973"/>
    <w:rsid w:val="002026CB"/>
    <w:rsid w:val="00245A7D"/>
    <w:rsid w:val="002917F4"/>
    <w:rsid w:val="00291F18"/>
    <w:rsid w:val="002B7E97"/>
    <w:rsid w:val="002C20ED"/>
    <w:rsid w:val="002D0CA7"/>
    <w:rsid w:val="002E2531"/>
    <w:rsid w:val="002E35A7"/>
    <w:rsid w:val="002F29D2"/>
    <w:rsid w:val="00300064"/>
    <w:rsid w:val="003019E5"/>
    <w:rsid w:val="00304D89"/>
    <w:rsid w:val="00305439"/>
    <w:rsid w:val="00312311"/>
    <w:rsid w:val="00321B09"/>
    <w:rsid w:val="003439A4"/>
    <w:rsid w:val="00365966"/>
    <w:rsid w:val="00376419"/>
    <w:rsid w:val="00383AF4"/>
    <w:rsid w:val="003957D6"/>
    <w:rsid w:val="003A7DE7"/>
    <w:rsid w:val="003C2AB1"/>
    <w:rsid w:val="003C2BB3"/>
    <w:rsid w:val="003C6F69"/>
    <w:rsid w:val="003E1246"/>
    <w:rsid w:val="00420E33"/>
    <w:rsid w:val="00433461"/>
    <w:rsid w:val="00433C8B"/>
    <w:rsid w:val="00436838"/>
    <w:rsid w:val="00444F55"/>
    <w:rsid w:val="00462C6E"/>
    <w:rsid w:val="00473C8D"/>
    <w:rsid w:val="00491E8F"/>
    <w:rsid w:val="00494A7F"/>
    <w:rsid w:val="004A00B0"/>
    <w:rsid w:val="004A3632"/>
    <w:rsid w:val="004B282F"/>
    <w:rsid w:val="004B3479"/>
    <w:rsid w:val="004B7B32"/>
    <w:rsid w:val="004C7E9B"/>
    <w:rsid w:val="004D43AD"/>
    <w:rsid w:val="004E05FA"/>
    <w:rsid w:val="004E1CEF"/>
    <w:rsid w:val="005054BF"/>
    <w:rsid w:val="005136BB"/>
    <w:rsid w:val="00520DAC"/>
    <w:rsid w:val="00527698"/>
    <w:rsid w:val="00563F18"/>
    <w:rsid w:val="005654FD"/>
    <w:rsid w:val="00583A1B"/>
    <w:rsid w:val="00597E0C"/>
    <w:rsid w:val="005C0259"/>
    <w:rsid w:val="005C307F"/>
    <w:rsid w:val="005E6BC8"/>
    <w:rsid w:val="005F18BA"/>
    <w:rsid w:val="00603F29"/>
    <w:rsid w:val="006048E0"/>
    <w:rsid w:val="00604F31"/>
    <w:rsid w:val="00642E61"/>
    <w:rsid w:val="00675C1B"/>
    <w:rsid w:val="00690C4C"/>
    <w:rsid w:val="006925E4"/>
    <w:rsid w:val="00694E72"/>
    <w:rsid w:val="0069709E"/>
    <w:rsid w:val="006B0393"/>
    <w:rsid w:val="006B350F"/>
    <w:rsid w:val="006B3547"/>
    <w:rsid w:val="006B479B"/>
    <w:rsid w:val="006D069E"/>
    <w:rsid w:val="007014F0"/>
    <w:rsid w:val="00720A28"/>
    <w:rsid w:val="00730430"/>
    <w:rsid w:val="00733E47"/>
    <w:rsid w:val="00756122"/>
    <w:rsid w:val="0077778B"/>
    <w:rsid w:val="007828A1"/>
    <w:rsid w:val="007A3C25"/>
    <w:rsid w:val="007B0EF2"/>
    <w:rsid w:val="007D17F1"/>
    <w:rsid w:val="007D4F47"/>
    <w:rsid w:val="00805396"/>
    <w:rsid w:val="00826446"/>
    <w:rsid w:val="00872ED3"/>
    <w:rsid w:val="0088202D"/>
    <w:rsid w:val="00883046"/>
    <w:rsid w:val="008933C9"/>
    <w:rsid w:val="0089625C"/>
    <w:rsid w:val="008F6710"/>
    <w:rsid w:val="00922EE4"/>
    <w:rsid w:val="00932F70"/>
    <w:rsid w:val="009B1F1F"/>
    <w:rsid w:val="009F04D2"/>
    <w:rsid w:val="00A054DF"/>
    <w:rsid w:val="00A122E4"/>
    <w:rsid w:val="00A51969"/>
    <w:rsid w:val="00A57D71"/>
    <w:rsid w:val="00A65F89"/>
    <w:rsid w:val="00A804A7"/>
    <w:rsid w:val="00A8264C"/>
    <w:rsid w:val="00A90951"/>
    <w:rsid w:val="00A959D0"/>
    <w:rsid w:val="00AB0782"/>
    <w:rsid w:val="00AB2B2A"/>
    <w:rsid w:val="00AC1B59"/>
    <w:rsid w:val="00AC41A4"/>
    <w:rsid w:val="00AC4CC8"/>
    <w:rsid w:val="00AD25E2"/>
    <w:rsid w:val="00AD30BE"/>
    <w:rsid w:val="00AE6EBE"/>
    <w:rsid w:val="00AF32F3"/>
    <w:rsid w:val="00B05EE5"/>
    <w:rsid w:val="00B55465"/>
    <w:rsid w:val="00B55AC4"/>
    <w:rsid w:val="00B6242B"/>
    <w:rsid w:val="00B6459E"/>
    <w:rsid w:val="00B779FD"/>
    <w:rsid w:val="00B95F8F"/>
    <w:rsid w:val="00BA3561"/>
    <w:rsid w:val="00BA79F6"/>
    <w:rsid w:val="00C13197"/>
    <w:rsid w:val="00C167F9"/>
    <w:rsid w:val="00C2515A"/>
    <w:rsid w:val="00C77B4E"/>
    <w:rsid w:val="00C87210"/>
    <w:rsid w:val="00CA0932"/>
    <w:rsid w:val="00CA257F"/>
    <w:rsid w:val="00CB7CCD"/>
    <w:rsid w:val="00D84234"/>
    <w:rsid w:val="00D90F47"/>
    <w:rsid w:val="00D93EA4"/>
    <w:rsid w:val="00DD0A05"/>
    <w:rsid w:val="00E20F54"/>
    <w:rsid w:val="00E354F6"/>
    <w:rsid w:val="00E502EA"/>
    <w:rsid w:val="00E60F24"/>
    <w:rsid w:val="00E73EBB"/>
    <w:rsid w:val="00EE1E15"/>
    <w:rsid w:val="00EF2445"/>
    <w:rsid w:val="00F56CC1"/>
    <w:rsid w:val="00F6134D"/>
    <w:rsid w:val="00F71C7F"/>
    <w:rsid w:val="00F73839"/>
    <w:rsid w:val="00F8167C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908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ladson@wiltshiregrann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baruch@newwavespectr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1634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1880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2015-04-24T16:47:00Z</dcterms:created>
  <dcterms:modified xsi:type="dcterms:W3CDTF">2015-04-24T16:47:00Z</dcterms:modified>
  <cp:category> </cp:category>
  <cp:contentStatus> </cp:contentStatus>
</cp:coreProperties>
</file>