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822E4" w:rsidRPr="00643C73" w:rsidRDefault="001822E4" w:rsidP="00D1255E">
      <w:pPr>
        <w:spacing w:after="120"/>
        <w:jc w:val="right"/>
        <w:rPr>
          <w:b/>
          <w:szCs w:val="22"/>
        </w:rPr>
      </w:pPr>
      <w:r w:rsidRPr="00643C73">
        <w:rPr>
          <w:b/>
          <w:szCs w:val="22"/>
        </w:rPr>
        <w:lastRenderedPageBreak/>
        <w:t>DA</w:t>
      </w:r>
      <w:r w:rsidR="00853BD6" w:rsidRPr="00643C73">
        <w:rPr>
          <w:b/>
          <w:szCs w:val="22"/>
        </w:rPr>
        <w:t xml:space="preserve"> </w:t>
      </w:r>
      <w:r w:rsidR="0080727F">
        <w:rPr>
          <w:b/>
          <w:szCs w:val="22"/>
        </w:rPr>
        <w:t>1</w:t>
      </w:r>
      <w:r w:rsidR="00EB4504">
        <w:rPr>
          <w:b/>
          <w:szCs w:val="22"/>
        </w:rPr>
        <w:t>5</w:t>
      </w:r>
      <w:r w:rsidR="00190F29">
        <w:rPr>
          <w:b/>
          <w:szCs w:val="22"/>
        </w:rPr>
        <w:t>-496</w:t>
      </w:r>
    </w:p>
    <w:p w:rsidR="001822E4" w:rsidRPr="00FA61EE" w:rsidRDefault="00A51AB9" w:rsidP="00D1255E">
      <w:pPr>
        <w:spacing w:after="120"/>
        <w:jc w:val="right"/>
        <w:rPr>
          <w:b/>
          <w:szCs w:val="22"/>
        </w:rPr>
      </w:pPr>
      <w:r>
        <w:rPr>
          <w:b/>
          <w:szCs w:val="22"/>
        </w:rPr>
        <w:t>Rel</w:t>
      </w:r>
      <w:r w:rsidR="005D12B4">
        <w:rPr>
          <w:b/>
          <w:szCs w:val="22"/>
        </w:rPr>
        <w:t>eased: April 28</w:t>
      </w:r>
      <w:r w:rsidR="00FB0750">
        <w:rPr>
          <w:b/>
          <w:szCs w:val="22"/>
        </w:rPr>
        <w:t>, 2015</w:t>
      </w:r>
    </w:p>
    <w:p w:rsidR="001822E4" w:rsidRPr="001643E6" w:rsidRDefault="001822E4" w:rsidP="001822E4">
      <w:pPr>
        <w:jc w:val="right"/>
        <w:rPr>
          <w:szCs w:val="22"/>
        </w:rPr>
      </w:pPr>
    </w:p>
    <w:p w:rsidR="00B478F1" w:rsidRDefault="0080727F" w:rsidP="00B478F1">
      <w:pPr>
        <w:jc w:val="center"/>
        <w:rPr>
          <w:b/>
          <w:szCs w:val="22"/>
        </w:rPr>
      </w:pPr>
      <w:r>
        <w:rPr>
          <w:b/>
          <w:szCs w:val="22"/>
        </w:rPr>
        <w:t xml:space="preserve">COMMENT DATES SET ON </w:t>
      </w:r>
      <w:r w:rsidR="0073217C">
        <w:rPr>
          <w:b/>
          <w:szCs w:val="22"/>
        </w:rPr>
        <w:t xml:space="preserve">FRONTIER COMMUNICATIONS </w:t>
      </w:r>
      <w:r w:rsidR="001822E4">
        <w:rPr>
          <w:b/>
          <w:szCs w:val="22"/>
        </w:rPr>
        <w:t>COMPLIANCE PLAN</w:t>
      </w:r>
    </w:p>
    <w:p w:rsidR="001822E4" w:rsidRDefault="001822E4" w:rsidP="00B478F1">
      <w:pPr>
        <w:jc w:val="center"/>
        <w:rPr>
          <w:b/>
          <w:szCs w:val="22"/>
        </w:rPr>
      </w:pPr>
      <w:r>
        <w:rPr>
          <w:b/>
          <w:szCs w:val="22"/>
        </w:rPr>
        <w:t xml:space="preserve"> FOR FORBEARANCE RELIEF FROM COST ASSIGNMENT RULES</w:t>
      </w:r>
    </w:p>
    <w:p w:rsidR="00B478F1" w:rsidRPr="001643E6" w:rsidRDefault="00B478F1" w:rsidP="00B478F1">
      <w:pPr>
        <w:jc w:val="center"/>
        <w:rPr>
          <w:b/>
          <w:szCs w:val="22"/>
        </w:rPr>
      </w:pPr>
    </w:p>
    <w:p w:rsidR="007D3761" w:rsidRPr="00D1255E" w:rsidRDefault="001822E4" w:rsidP="007D3761">
      <w:pPr>
        <w:jc w:val="center"/>
        <w:rPr>
          <w:b/>
          <w:szCs w:val="22"/>
        </w:rPr>
      </w:pPr>
      <w:r w:rsidRPr="00D1255E">
        <w:rPr>
          <w:b/>
          <w:szCs w:val="22"/>
        </w:rPr>
        <w:t>WC Docket Nos. 12-61, 07-204, 07-21</w:t>
      </w:r>
    </w:p>
    <w:p w:rsidR="00AE01C6" w:rsidRDefault="00AE01C6" w:rsidP="007D3761">
      <w:pPr>
        <w:rPr>
          <w:b/>
          <w:szCs w:val="22"/>
        </w:rPr>
      </w:pPr>
    </w:p>
    <w:p w:rsidR="001822E4" w:rsidRPr="001643E6" w:rsidRDefault="0049459A" w:rsidP="00A01555">
      <w:pPr>
        <w:rPr>
          <w:b/>
          <w:szCs w:val="22"/>
        </w:rPr>
      </w:pPr>
      <w:r>
        <w:rPr>
          <w:b/>
          <w:szCs w:val="22"/>
        </w:rPr>
        <w:t xml:space="preserve">Comments Due:  </w:t>
      </w:r>
      <w:r w:rsidR="005D12B4">
        <w:rPr>
          <w:b/>
          <w:szCs w:val="22"/>
        </w:rPr>
        <w:t>May 28</w:t>
      </w:r>
      <w:r w:rsidR="004E0357">
        <w:rPr>
          <w:b/>
          <w:szCs w:val="22"/>
        </w:rPr>
        <w:t xml:space="preserve">, </w:t>
      </w:r>
      <w:r w:rsidR="004041A8">
        <w:rPr>
          <w:b/>
          <w:szCs w:val="22"/>
        </w:rPr>
        <w:t>2015</w:t>
      </w:r>
    </w:p>
    <w:p w:rsidR="001822E4" w:rsidRPr="001643E6" w:rsidRDefault="0049459A" w:rsidP="00EB4504">
      <w:pPr>
        <w:spacing w:after="240"/>
        <w:rPr>
          <w:b/>
          <w:szCs w:val="22"/>
        </w:rPr>
      </w:pPr>
      <w:r>
        <w:rPr>
          <w:b/>
          <w:szCs w:val="22"/>
        </w:rPr>
        <w:t xml:space="preserve">Reply Comments Due:  </w:t>
      </w:r>
      <w:r w:rsidR="0060268D">
        <w:rPr>
          <w:b/>
          <w:szCs w:val="22"/>
        </w:rPr>
        <w:t>June 12</w:t>
      </w:r>
      <w:r w:rsidR="004E0357">
        <w:rPr>
          <w:b/>
          <w:szCs w:val="22"/>
        </w:rPr>
        <w:t>, 2</w:t>
      </w:r>
      <w:r w:rsidR="00D80900">
        <w:rPr>
          <w:b/>
          <w:szCs w:val="22"/>
        </w:rPr>
        <w:t>015</w:t>
      </w:r>
    </w:p>
    <w:p w:rsidR="001822E4" w:rsidRDefault="001822E4" w:rsidP="001822E4">
      <w:pPr>
        <w:spacing w:before="120" w:after="240"/>
        <w:rPr>
          <w:szCs w:val="22"/>
        </w:rPr>
      </w:pPr>
      <w:r w:rsidRPr="001643E6">
        <w:rPr>
          <w:szCs w:val="22"/>
        </w:rPr>
        <w:tab/>
      </w:r>
      <w:r>
        <w:rPr>
          <w:szCs w:val="22"/>
        </w:rPr>
        <w:t>On May 1</w:t>
      </w:r>
      <w:r w:rsidR="00E82BE6">
        <w:rPr>
          <w:szCs w:val="22"/>
        </w:rPr>
        <w:t>7</w:t>
      </w:r>
      <w:r>
        <w:rPr>
          <w:szCs w:val="22"/>
        </w:rPr>
        <w:t>, 2013, the Commission conditionally granted forbearance to price cap carriers from a set of rules that generally require carriers to assign costs to build and maintain the network</w:t>
      </w:r>
      <w:r w:rsidR="00EB4504">
        <w:rPr>
          <w:szCs w:val="22"/>
        </w:rPr>
        <w:t>,</w:t>
      </w:r>
      <w:r>
        <w:rPr>
          <w:szCs w:val="22"/>
        </w:rPr>
        <w:t xml:space="preserve"> and revenues from services provided</w:t>
      </w:r>
      <w:r w:rsidR="00EB4504">
        <w:rPr>
          <w:szCs w:val="22"/>
        </w:rPr>
        <w:t>,</w:t>
      </w:r>
      <w:r>
        <w:rPr>
          <w:szCs w:val="22"/>
        </w:rPr>
        <w:t xml:space="preserve"> to specific categories (called the “Cost Assignment Rules”).</w:t>
      </w:r>
      <w:r>
        <w:rPr>
          <w:rStyle w:val="FootnoteReference"/>
          <w:szCs w:val="22"/>
        </w:rPr>
        <w:footnoteReference w:id="1"/>
      </w:r>
      <w:r>
        <w:rPr>
          <w:szCs w:val="22"/>
        </w:rPr>
        <w:t xml:space="preserve">  </w:t>
      </w:r>
      <w:r w:rsidR="00EB4504">
        <w:rPr>
          <w:szCs w:val="22"/>
        </w:rPr>
        <w:t>For each price cap carrier, t</w:t>
      </w:r>
      <w:r>
        <w:rPr>
          <w:szCs w:val="22"/>
        </w:rPr>
        <w:t xml:space="preserve">he grant was expressly conditioned on, among other things, the Wireline Competition Bureau’s approval of a compliance plan describing in detail how the price cap carrier would continue to fulfill its statutory and regulatory obligations, as well as the other </w:t>
      </w:r>
      <w:r w:rsidR="00C0181B">
        <w:rPr>
          <w:szCs w:val="22"/>
        </w:rPr>
        <w:t xml:space="preserve">forbearance </w:t>
      </w:r>
      <w:r>
        <w:rPr>
          <w:szCs w:val="22"/>
        </w:rPr>
        <w:t>conditions.</w:t>
      </w:r>
      <w:r>
        <w:rPr>
          <w:rStyle w:val="FootnoteReference"/>
          <w:szCs w:val="22"/>
        </w:rPr>
        <w:footnoteReference w:id="2"/>
      </w:r>
      <w:r>
        <w:rPr>
          <w:szCs w:val="22"/>
        </w:rPr>
        <w:t xml:space="preserve">  </w:t>
      </w:r>
      <w:r w:rsidR="0080727F">
        <w:rPr>
          <w:szCs w:val="22"/>
        </w:rPr>
        <w:t>On</w:t>
      </w:r>
      <w:r w:rsidR="0073217C">
        <w:rPr>
          <w:szCs w:val="22"/>
        </w:rPr>
        <w:t xml:space="preserve"> March 15</w:t>
      </w:r>
      <w:r w:rsidRPr="001643E6">
        <w:rPr>
          <w:szCs w:val="22"/>
        </w:rPr>
        <w:t xml:space="preserve">, </w:t>
      </w:r>
      <w:r w:rsidR="00360A1F">
        <w:rPr>
          <w:szCs w:val="22"/>
        </w:rPr>
        <w:t xml:space="preserve">2015, </w:t>
      </w:r>
      <w:r w:rsidR="0073217C">
        <w:rPr>
          <w:szCs w:val="22"/>
        </w:rPr>
        <w:t xml:space="preserve">Frontier Communications </w:t>
      </w:r>
      <w:r w:rsidR="00360A1F">
        <w:rPr>
          <w:szCs w:val="22"/>
        </w:rPr>
        <w:t xml:space="preserve">Corporation </w:t>
      </w:r>
      <w:r w:rsidRPr="001643E6">
        <w:rPr>
          <w:szCs w:val="22"/>
        </w:rPr>
        <w:t xml:space="preserve">filed a </w:t>
      </w:r>
      <w:r>
        <w:rPr>
          <w:szCs w:val="22"/>
        </w:rPr>
        <w:t>copy of its compliance plan in WC Docket 12-61.</w:t>
      </w:r>
      <w:r w:rsidRPr="001643E6">
        <w:rPr>
          <w:rStyle w:val="FootnoteReference"/>
          <w:szCs w:val="22"/>
        </w:rPr>
        <w:footnoteReference w:id="3"/>
      </w:r>
      <w:r w:rsidRPr="001643E6">
        <w:rPr>
          <w:szCs w:val="22"/>
        </w:rPr>
        <w:t xml:space="preserve">   </w:t>
      </w:r>
    </w:p>
    <w:p w:rsidR="001822E4" w:rsidRDefault="001822E4" w:rsidP="001822E4">
      <w:pPr>
        <w:ind w:firstLine="720"/>
      </w:pPr>
      <w:r>
        <w:t>Pursuant to section 1.419 of the Commission’s rules, 47 C</w:t>
      </w:r>
      <w:r w:rsidR="007F588D">
        <w:t>.</w:t>
      </w:r>
      <w:r>
        <w:t>F</w:t>
      </w:r>
      <w:r w:rsidR="007F588D">
        <w:t>.</w:t>
      </w:r>
      <w:r>
        <w:t>R</w:t>
      </w:r>
      <w:r w:rsidR="007F588D">
        <w:t>.</w:t>
      </w:r>
      <w:r>
        <w:t xml:space="preserve"> § 1.419, interested parties may file comments and reply comments on or before </w:t>
      </w:r>
      <w:r w:rsidR="00E74C80">
        <w:t xml:space="preserve">the </w:t>
      </w:r>
      <w:r w:rsidR="004D1078">
        <w:t xml:space="preserve">respective </w:t>
      </w:r>
      <w:r>
        <w:t xml:space="preserve">dates indicated </w:t>
      </w:r>
      <w:r w:rsidR="00E82BE6">
        <w:t>above</w:t>
      </w:r>
      <w:r>
        <w:t xml:space="preserve">.  Comments </w:t>
      </w:r>
      <w:r w:rsidR="004D1078">
        <w:t xml:space="preserve">and reply comments may </w:t>
      </w:r>
      <w:r>
        <w:t xml:space="preserve">be filed </w:t>
      </w:r>
      <w:r w:rsidR="00EB4504">
        <w:t xml:space="preserve">by paper or by </w:t>
      </w:r>
      <w:r>
        <w:t>using the Commission’s Electron</w:t>
      </w:r>
      <w:r w:rsidR="00FF5E1C">
        <w:t>ic Comment Filing System (ECFS).</w:t>
      </w:r>
      <w:r w:rsidR="004D1078">
        <w:rPr>
          <w:rStyle w:val="FootnoteReference"/>
        </w:rPr>
        <w:footnoteReference w:id="4"/>
      </w:r>
      <w:r w:rsidR="00FF5E1C">
        <w:t xml:space="preserve"> </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hyperlink r:id="rId15" w:history="1">
          <w:r w:rsidR="0060268D">
            <w:rPr>
              <w:rStyle w:val="Hyperlink"/>
            </w:rPr>
            <w:t>http://apps.fcc.gov/ecfs</w:t>
          </w:r>
        </w:hyperlink>
        <w:r w:rsidR="0060268D">
          <w:rPr>
            <w:rStyle w:val="Hyperlink"/>
          </w:rPr>
          <w:t xml:space="preserve"> </w:t>
        </w:r>
        <w:r>
          <w:rPr>
            <w:rStyle w:val="Hyperlink"/>
          </w:rPr>
          <w:t>/</w:t>
        </w:r>
      </w:hyperlink>
      <w:r>
        <w:t xml:space="preserve">.  </w:t>
      </w:r>
    </w:p>
    <w:p w:rsidR="001822E4" w:rsidRDefault="001822E4" w:rsidP="001822E4"/>
    <w:p w:rsidR="001822E4" w:rsidRDefault="001822E4" w:rsidP="00D1255E">
      <w:pPr>
        <w:numPr>
          <w:ilvl w:val="0"/>
          <w:numId w:val="13"/>
        </w:numPr>
      </w:pPr>
      <w:r>
        <w:t xml:space="preserve">Paper Filers:  Parties who choose to file by paper must file an original and one copy of each filing.  </w:t>
      </w:r>
      <w:r w:rsidR="003858D1">
        <w:t>Because</w:t>
      </w:r>
      <w:r>
        <w:t xml:space="preserve"> more than one docket number appears in the caption of this proceeding, filers must submit two additional copies for each additional docket number.</w:t>
      </w:r>
      <w:r w:rsidR="0080087E">
        <w:t xml:space="preserve">  </w:t>
      </w:r>
      <w:r>
        <w:t xml:space="preserve">Filings can be sent by hand or messenger delivery, by commercial overnight courier, or by first-class or overnight U.S. </w:t>
      </w:r>
      <w:r>
        <w:lastRenderedPageBreak/>
        <w:t>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6"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1255E">
        <w:rPr>
          <w:iCs/>
        </w:rPr>
        <w:t>e.g</w:t>
      </w:r>
      <w:r>
        <w:rPr>
          <w:i/>
          <w:iCs/>
        </w:rPr>
        <w:t>.</w:t>
      </w:r>
      <w:r>
        <w:t xml:space="preserve">, .doc, .xml, .ppt, searchable .pdf).  Participants in this proceeding should familiarize themselves with the Commission’s </w:t>
      </w:r>
      <w:r>
        <w:rPr>
          <w:i/>
          <w:iCs/>
        </w:rPr>
        <w:t xml:space="preserve">ex parte </w:t>
      </w:r>
      <w:r>
        <w:t>rules.</w:t>
      </w:r>
    </w:p>
    <w:p w:rsidR="00D53220" w:rsidRDefault="001822E4" w:rsidP="00D53220">
      <w:pPr>
        <w:spacing w:before="120" w:after="240"/>
        <w:rPr>
          <w:szCs w:val="22"/>
        </w:rPr>
      </w:pPr>
      <w:r>
        <w:rPr>
          <w:szCs w:val="22"/>
        </w:rPr>
        <w:tab/>
        <w:t>For additional information, please contact</w:t>
      </w:r>
      <w:r w:rsidR="00A20719">
        <w:rPr>
          <w:szCs w:val="22"/>
        </w:rPr>
        <w:t xml:space="preserve"> Amy Goodman</w:t>
      </w:r>
      <w:r>
        <w:rPr>
          <w:szCs w:val="22"/>
        </w:rPr>
        <w:t xml:space="preserve">, Wireline Competition Bureau, Pricing Policy Division, at (202) 418-1520 or via e-mail at </w:t>
      </w:r>
      <w:hyperlink r:id="rId17" w:history="1">
        <w:r w:rsidR="00A51AB9" w:rsidRPr="00586AD5">
          <w:rPr>
            <w:rStyle w:val="Hyperlink"/>
            <w:szCs w:val="22"/>
          </w:rPr>
          <w:t>Amy.Goodman@fcc.gov</w:t>
        </w:r>
      </w:hyperlink>
      <w:r>
        <w:rPr>
          <w:szCs w:val="22"/>
        </w:rPr>
        <w:t>.</w:t>
      </w:r>
      <w:r w:rsidR="00D53220">
        <w:rPr>
          <w:szCs w:val="22"/>
        </w:rPr>
        <w:t xml:space="preserve"> </w:t>
      </w:r>
    </w:p>
    <w:p w:rsidR="00602577" w:rsidRDefault="001822E4" w:rsidP="00703E49">
      <w:pPr>
        <w:spacing w:before="120" w:after="240"/>
        <w:jc w:val="center"/>
        <w:rPr>
          <w:sz w:val="24"/>
        </w:rPr>
      </w:pPr>
      <w:r w:rsidRPr="00D34B16">
        <w:rPr>
          <w:b/>
          <w:szCs w:val="22"/>
        </w:rPr>
        <w:t>- FCC -</w:t>
      </w:r>
    </w:p>
    <w:sectPr w:rsidR="00602577" w:rsidSect="00AA0C94">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D3" w:rsidRDefault="004C0CD3">
      <w:r>
        <w:separator/>
      </w:r>
    </w:p>
  </w:endnote>
  <w:endnote w:type="continuationSeparator" w:id="0">
    <w:p w:rsidR="004C0CD3" w:rsidRDefault="004C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E" w:rsidRDefault="0017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80727F" w:rsidRDefault="00CB1F1D">
        <w:pPr>
          <w:pStyle w:val="Footer"/>
          <w:jc w:val="center"/>
        </w:pPr>
        <w:r>
          <w:fldChar w:fldCharType="begin"/>
        </w:r>
        <w:r>
          <w:instrText xml:space="preserve"> PAGE   \* MERGEFORMAT </w:instrText>
        </w:r>
        <w:r>
          <w:fldChar w:fldCharType="separate"/>
        </w:r>
        <w:r w:rsidR="00265D28">
          <w:rPr>
            <w:noProof/>
          </w:rPr>
          <w:t>2</w:t>
        </w:r>
        <w:r>
          <w:rPr>
            <w:noProof/>
          </w:rPr>
          <w:fldChar w:fldCharType="end"/>
        </w:r>
      </w:p>
    </w:sdtContent>
  </w:sdt>
  <w:p w:rsidR="0080727F" w:rsidRDefault="0080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E" w:rsidRDefault="0017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D3" w:rsidRDefault="004C0CD3">
      <w:r>
        <w:separator/>
      </w:r>
    </w:p>
  </w:footnote>
  <w:footnote w:type="continuationSeparator" w:id="0">
    <w:p w:rsidR="004C0CD3" w:rsidRDefault="004C0CD3">
      <w:r>
        <w:continuationSeparator/>
      </w:r>
    </w:p>
  </w:footnote>
  <w:footnote w:id="1">
    <w:p w:rsidR="0080727F" w:rsidRPr="006D5F30" w:rsidRDefault="0080727F" w:rsidP="001822E4">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E71C4E">
        <w:rPr>
          <w:sz w:val="20"/>
        </w:rPr>
        <w:t xml:space="preserve">§ 160(c) </w:t>
      </w:r>
      <w:r w:rsidRPr="00E71C4E">
        <w:rPr>
          <w:i/>
          <w:sz w:val="20"/>
        </w:rPr>
        <w:t>from Enforcement of Certain Legacy</w:t>
      </w:r>
      <w:r w:rsidR="00330C9F">
        <w:rPr>
          <w:i/>
          <w:sz w:val="20"/>
        </w:rPr>
        <w:t xml:space="preserve"> Telecommunications Regulations, </w:t>
      </w:r>
      <w:r w:rsidRPr="00E71C4E">
        <w:rPr>
          <w:sz w:val="20"/>
        </w:rPr>
        <w:t>WC Docket No. 12-</w:t>
      </w:r>
      <w:r w:rsidR="00330C9F">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w:t>
      </w:r>
      <w:r w:rsidR="006D5F30">
        <w:rPr>
          <w:sz w:val="20"/>
        </w:rPr>
        <w:t xml:space="preserve">, </w:t>
      </w:r>
      <w:r w:rsidR="003858D1">
        <w:rPr>
          <w:i/>
          <w:sz w:val="20"/>
        </w:rPr>
        <w:t xml:space="preserve">pet. for </w:t>
      </w:r>
      <w:r w:rsidR="005F7A91" w:rsidRPr="005F7A91">
        <w:rPr>
          <w:i/>
          <w:sz w:val="20"/>
        </w:rPr>
        <w:t>rev</w:t>
      </w:r>
      <w:r w:rsidR="003858D1">
        <w:rPr>
          <w:i/>
          <w:sz w:val="20"/>
        </w:rPr>
        <w:t>iew</w:t>
      </w:r>
      <w:r w:rsidR="005F7A91" w:rsidRPr="005F7A91">
        <w:rPr>
          <w:i/>
          <w:sz w:val="20"/>
        </w:rPr>
        <w:t xml:space="preserve"> denied</w:t>
      </w:r>
      <w:r w:rsidR="003858D1">
        <w:rPr>
          <w:i/>
          <w:sz w:val="20"/>
        </w:rPr>
        <w:t xml:space="preserve"> sub nom.</w:t>
      </w:r>
      <w:r w:rsidR="005F7A91" w:rsidRPr="005F7A91">
        <w:rPr>
          <w:i/>
          <w:sz w:val="20"/>
        </w:rPr>
        <w:t xml:space="preserve"> Verizon v. FCC</w:t>
      </w:r>
      <w:r w:rsidR="005F7A91">
        <w:rPr>
          <w:sz w:val="20"/>
        </w:rPr>
        <w:t>, 770 F.3d 961 (D.C. Cir. 2014).</w:t>
      </w:r>
    </w:p>
  </w:footnote>
  <w:footnote w:id="2">
    <w:p w:rsidR="0080727F" w:rsidRPr="00D34B16" w:rsidRDefault="0080727F" w:rsidP="001822E4">
      <w:pPr>
        <w:pStyle w:val="FootnoteText"/>
        <w:rPr>
          <w:sz w:val="20"/>
        </w:rPr>
      </w:pPr>
      <w:r w:rsidRPr="00D34B16">
        <w:rPr>
          <w:rStyle w:val="FootnoteReference"/>
          <w:sz w:val="20"/>
        </w:rPr>
        <w:footnoteRef/>
      </w:r>
      <w:r w:rsidRPr="00D34B16">
        <w:rPr>
          <w:sz w:val="20"/>
        </w:rPr>
        <w:t xml:space="preserve"> </w:t>
      </w:r>
      <w:r w:rsidR="003858D1">
        <w:rPr>
          <w:i/>
          <w:sz w:val="20"/>
        </w:rPr>
        <w:t>Id</w:t>
      </w:r>
      <w:r w:rsidR="003858D1">
        <w:rPr>
          <w:sz w:val="20"/>
        </w:rPr>
        <w:t>.</w:t>
      </w:r>
      <w:r w:rsidRPr="00D34B16">
        <w:rPr>
          <w:sz w:val="20"/>
        </w:rPr>
        <w:t xml:space="preserve"> at 7651-54</w:t>
      </w:r>
      <w:r w:rsidR="00475F1E">
        <w:rPr>
          <w:sz w:val="20"/>
        </w:rPr>
        <w:t xml:space="preserve">, paras. </w:t>
      </w:r>
      <w:r w:rsidR="001F1FE5">
        <w:rPr>
          <w:sz w:val="20"/>
        </w:rPr>
        <w:t>42-51</w:t>
      </w:r>
      <w:r w:rsidRPr="00D34B16">
        <w:rPr>
          <w:sz w:val="20"/>
        </w:rPr>
        <w:t>.</w:t>
      </w:r>
    </w:p>
  </w:footnote>
  <w:footnote w:id="3">
    <w:p w:rsidR="0080727F" w:rsidRPr="00D34B16" w:rsidRDefault="0080727F" w:rsidP="001822E4">
      <w:pPr>
        <w:pStyle w:val="FootnoteText"/>
        <w:rPr>
          <w:sz w:val="20"/>
        </w:rPr>
      </w:pPr>
      <w:r w:rsidRPr="00D34B16">
        <w:rPr>
          <w:rStyle w:val="FootnoteReference"/>
          <w:sz w:val="20"/>
        </w:rPr>
        <w:footnoteRef/>
      </w:r>
      <w:r>
        <w:rPr>
          <w:sz w:val="20"/>
        </w:rPr>
        <w:t xml:space="preserve"> Letter from</w:t>
      </w:r>
      <w:r w:rsidR="00360A1F">
        <w:rPr>
          <w:sz w:val="20"/>
        </w:rPr>
        <w:t xml:space="preserve"> AJ Burton,</w:t>
      </w:r>
      <w:r w:rsidRPr="00D34B16">
        <w:rPr>
          <w:sz w:val="20"/>
        </w:rPr>
        <w:t xml:space="preserve"> </w:t>
      </w:r>
      <w:r w:rsidR="00360A1F">
        <w:rPr>
          <w:sz w:val="20"/>
        </w:rPr>
        <w:t>Director, Federal Regulatory Affairs</w:t>
      </w:r>
      <w:r>
        <w:rPr>
          <w:sz w:val="20"/>
        </w:rPr>
        <w:t xml:space="preserve">, </w:t>
      </w:r>
      <w:r w:rsidR="00360A1F">
        <w:rPr>
          <w:sz w:val="20"/>
        </w:rPr>
        <w:t xml:space="preserve">Frontier Communications Corporation, </w:t>
      </w:r>
      <w:r>
        <w:rPr>
          <w:sz w:val="20"/>
        </w:rPr>
        <w:t>t</w:t>
      </w:r>
      <w:r w:rsidRPr="00D34B16">
        <w:rPr>
          <w:sz w:val="20"/>
        </w:rPr>
        <w:t xml:space="preserve">o Julie Veach, Chief, Wireline Competition Bureau, </w:t>
      </w:r>
      <w:r w:rsidR="00E82BE6" w:rsidRPr="00D34B16">
        <w:rPr>
          <w:sz w:val="20"/>
        </w:rPr>
        <w:t>F</w:t>
      </w:r>
      <w:r w:rsidR="00C71CF8">
        <w:rPr>
          <w:sz w:val="20"/>
        </w:rPr>
        <w:t>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sidR="00891CD2">
        <w:rPr>
          <w:sz w:val="20"/>
        </w:rPr>
        <w:t>61, 07-204, 07-21 (filed</w:t>
      </w:r>
      <w:r w:rsidR="00360A1F">
        <w:rPr>
          <w:sz w:val="20"/>
        </w:rPr>
        <w:t xml:space="preserve"> March 15, 2015</w:t>
      </w:r>
      <w:r w:rsidRPr="00D34B16">
        <w:rPr>
          <w:sz w:val="20"/>
        </w:rPr>
        <w:t>).</w:t>
      </w:r>
    </w:p>
  </w:footnote>
  <w:footnote w:id="4">
    <w:p w:rsidR="004D1078" w:rsidRDefault="004D1078">
      <w:pPr>
        <w:pStyle w:val="FootnoteText"/>
      </w:pPr>
      <w:r>
        <w:rPr>
          <w:rStyle w:val="FootnoteReference"/>
        </w:rPr>
        <w:footnoteRef/>
      </w:r>
      <w:r>
        <w:t xml:space="preserve"> </w:t>
      </w:r>
      <w:r w:rsidRPr="004D1078">
        <w:rPr>
          <w:i/>
          <w:sz w:val="20"/>
        </w:rPr>
        <w:t>See Electronic Filing of Documents in Rulemaking Proceedings</w:t>
      </w:r>
      <w:r w:rsidRPr="004D1078">
        <w:rPr>
          <w:sz w:val="20"/>
        </w:rPr>
        <w:t xml:space="preserve">, </w:t>
      </w:r>
      <w:r>
        <w:rPr>
          <w:sz w:val="20"/>
        </w:rPr>
        <w:t xml:space="preserve">63 FR 24121 </w:t>
      </w:r>
      <w:r w:rsidRPr="004D1078">
        <w:rPr>
          <w:sz w:val="20"/>
        </w:rPr>
        <w:t>(1998).</w:t>
      </w:r>
    </w:p>
  </w:footnote>
  <w:footnote w:id="5">
    <w:p w:rsidR="0080727F" w:rsidRPr="00D34B16" w:rsidRDefault="0080727F"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80727F" w:rsidRPr="00E169D5" w:rsidRDefault="0080727F"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E" w:rsidRDefault="00174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15E" w:rsidRDefault="00174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7F" w:rsidRPr="005222DF" w:rsidRDefault="0080727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3CC4663A" wp14:editId="5592A63F">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80727F" w:rsidRDefault="00ED2CD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6009D4B" wp14:editId="109F415B">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89B0451" wp14:editId="7E018378">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B1D8FF4" wp14:editId="582832C5">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12EF7"/>
    <w:rsid w:val="000451C8"/>
    <w:rsid w:val="0008275B"/>
    <w:rsid w:val="00111EC3"/>
    <w:rsid w:val="0011337C"/>
    <w:rsid w:val="00115DC3"/>
    <w:rsid w:val="00160DB7"/>
    <w:rsid w:val="001663ED"/>
    <w:rsid w:val="001666E6"/>
    <w:rsid w:val="0017415E"/>
    <w:rsid w:val="001822E4"/>
    <w:rsid w:val="00190F29"/>
    <w:rsid w:val="00197612"/>
    <w:rsid w:val="001C7C5A"/>
    <w:rsid w:val="001D0470"/>
    <w:rsid w:val="001D6125"/>
    <w:rsid w:val="001E0D2C"/>
    <w:rsid w:val="001F1A7C"/>
    <w:rsid w:val="001F1FE5"/>
    <w:rsid w:val="00203D72"/>
    <w:rsid w:val="0020738C"/>
    <w:rsid w:val="002403C5"/>
    <w:rsid w:val="00256A6B"/>
    <w:rsid w:val="00265D28"/>
    <w:rsid w:val="00277A6A"/>
    <w:rsid w:val="002A10E2"/>
    <w:rsid w:val="002A290F"/>
    <w:rsid w:val="002F5676"/>
    <w:rsid w:val="00330C9F"/>
    <w:rsid w:val="003348C6"/>
    <w:rsid w:val="00335675"/>
    <w:rsid w:val="00360A1F"/>
    <w:rsid w:val="003858D1"/>
    <w:rsid w:val="003A64C6"/>
    <w:rsid w:val="003A674D"/>
    <w:rsid w:val="003D0B89"/>
    <w:rsid w:val="003F0FD6"/>
    <w:rsid w:val="004041A8"/>
    <w:rsid w:val="004409CC"/>
    <w:rsid w:val="00470BDC"/>
    <w:rsid w:val="0047568B"/>
    <w:rsid w:val="00475F1E"/>
    <w:rsid w:val="0049459A"/>
    <w:rsid w:val="004950C5"/>
    <w:rsid w:val="004C0CD3"/>
    <w:rsid w:val="004C1DD3"/>
    <w:rsid w:val="004D1078"/>
    <w:rsid w:val="004E0357"/>
    <w:rsid w:val="004E4AFE"/>
    <w:rsid w:val="004E68B9"/>
    <w:rsid w:val="004F5138"/>
    <w:rsid w:val="004F5E66"/>
    <w:rsid w:val="004F64F2"/>
    <w:rsid w:val="005068EF"/>
    <w:rsid w:val="005222DF"/>
    <w:rsid w:val="00565678"/>
    <w:rsid w:val="005D12B4"/>
    <w:rsid w:val="005F7A91"/>
    <w:rsid w:val="00602577"/>
    <w:rsid w:val="0060268D"/>
    <w:rsid w:val="0063608D"/>
    <w:rsid w:val="00642E49"/>
    <w:rsid w:val="00643C73"/>
    <w:rsid w:val="00651C6A"/>
    <w:rsid w:val="00665215"/>
    <w:rsid w:val="006A1E08"/>
    <w:rsid w:val="006A254E"/>
    <w:rsid w:val="006D1EE1"/>
    <w:rsid w:val="006D2FB9"/>
    <w:rsid w:val="006D5F30"/>
    <w:rsid w:val="006D7C1F"/>
    <w:rsid w:val="006E052A"/>
    <w:rsid w:val="006F3ACA"/>
    <w:rsid w:val="00703E49"/>
    <w:rsid w:val="00710386"/>
    <w:rsid w:val="0071069F"/>
    <w:rsid w:val="007143C9"/>
    <w:rsid w:val="00720870"/>
    <w:rsid w:val="0073217C"/>
    <w:rsid w:val="007634F3"/>
    <w:rsid w:val="00763B21"/>
    <w:rsid w:val="00764D8D"/>
    <w:rsid w:val="00770BB2"/>
    <w:rsid w:val="0078381D"/>
    <w:rsid w:val="00790979"/>
    <w:rsid w:val="00791DA7"/>
    <w:rsid w:val="007B21E7"/>
    <w:rsid w:val="007B7648"/>
    <w:rsid w:val="007C47FF"/>
    <w:rsid w:val="007D3761"/>
    <w:rsid w:val="007D50BF"/>
    <w:rsid w:val="007D77C1"/>
    <w:rsid w:val="007F588D"/>
    <w:rsid w:val="0080087E"/>
    <w:rsid w:val="008056EE"/>
    <w:rsid w:val="0080727F"/>
    <w:rsid w:val="00831B41"/>
    <w:rsid w:val="00845E18"/>
    <w:rsid w:val="00853BD6"/>
    <w:rsid w:val="00891CD2"/>
    <w:rsid w:val="0089474E"/>
    <w:rsid w:val="008C4E77"/>
    <w:rsid w:val="008D409A"/>
    <w:rsid w:val="008F1821"/>
    <w:rsid w:val="009012B1"/>
    <w:rsid w:val="0091217D"/>
    <w:rsid w:val="009154CF"/>
    <w:rsid w:val="00932507"/>
    <w:rsid w:val="00944924"/>
    <w:rsid w:val="00950E3B"/>
    <w:rsid w:val="00966DAB"/>
    <w:rsid w:val="00970A3D"/>
    <w:rsid w:val="009C3FBB"/>
    <w:rsid w:val="009F7906"/>
    <w:rsid w:val="00A01555"/>
    <w:rsid w:val="00A20719"/>
    <w:rsid w:val="00A51AB9"/>
    <w:rsid w:val="00A60BAA"/>
    <w:rsid w:val="00A62451"/>
    <w:rsid w:val="00A758CB"/>
    <w:rsid w:val="00A7730A"/>
    <w:rsid w:val="00AA0C94"/>
    <w:rsid w:val="00AA170A"/>
    <w:rsid w:val="00AC03EF"/>
    <w:rsid w:val="00AE01C6"/>
    <w:rsid w:val="00B423A3"/>
    <w:rsid w:val="00B478F1"/>
    <w:rsid w:val="00BB60D6"/>
    <w:rsid w:val="00BE2095"/>
    <w:rsid w:val="00C0181B"/>
    <w:rsid w:val="00C700B0"/>
    <w:rsid w:val="00C71CF8"/>
    <w:rsid w:val="00C7494E"/>
    <w:rsid w:val="00C81F06"/>
    <w:rsid w:val="00CA57E6"/>
    <w:rsid w:val="00CB1F1D"/>
    <w:rsid w:val="00CE6462"/>
    <w:rsid w:val="00CE6942"/>
    <w:rsid w:val="00CF758F"/>
    <w:rsid w:val="00D1255E"/>
    <w:rsid w:val="00D22AA9"/>
    <w:rsid w:val="00D26C99"/>
    <w:rsid w:val="00D322FE"/>
    <w:rsid w:val="00D53220"/>
    <w:rsid w:val="00D60EFF"/>
    <w:rsid w:val="00D65D3C"/>
    <w:rsid w:val="00D661EE"/>
    <w:rsid w:val="00D80900"/>
    <w:rsid w:val="00E1035F"/>
    <w:rsid w:val="00E269BC"/>
    <w:rsid w:val="00E26B17"/>
    <w:rsid w:val="00E4338B"/>
    <w:rsid w:val="00E70356"/>
    <w:rsid w:val="00E74C80"/>
    <w:rsid w:val="00E82BE6"/>
    <w:rsid w:val="00EA4D7A"/>
    <w:rsid w:val="00EB4504"/>
    <w:rsid w:val="00ED2CDD"/>
    <w:rsid w:val="00ED7EE9"/>
    <w:rsid w:val="00EE25DD"/>
    <w:rsid w:val="00EE570B"/>
    <w:rsid w:val="00EE5745"/>
    <w:rsid w:val="00EF0BCE"/>
    <w:rsid w:val="00F0272A"/>
    <w:rsid w:val="00F25E35"/>
    <w:rsid w:val="00F27E83"/>
    <w:rsid w:val="00F30873"/>
    <w:rsid w:val="00F50453"/>
    <w:rsid w:val="00F75B42"/>
    <w:rsid w:val="00F814DF"/>
    <w:rsid w:val="00FB0750"/>
    <w:rsid w:val="00FF5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my.Goodman@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fcc.gov/ecf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4122</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2015-04-28T16:55:00Z</dcterms:created>
  <dcterms:modified xsi:type="dcterms:W3CDTF">2015-04-28T16:55:00Z</dcterms:modified>
  <cp:category> </cp:category>
  <cp:contentStatus> </cp:contentStatus>
</cp:coreProperties>
</file>