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6CE75" w14:textId="77777777" w:rsidR="001E64BD" w:rsidRDefault="001E64BD">
      <w:pPr>
        <w:spacing w:after="120"/>
        <w:jc w:val="right"/>
        <w:rPr>
          <w:b/>
          <w:color w:val="000000"/>
          <w:szCs w:val="22"/>
        </w:rPr>
      </w:pPr>
      <w:bookmarkStart w:id="0" w:name="_GoBack"/>
      <w:bookmarkEnd w:id="0"/>
    </w:p>
    <w:p w14:paraId="608B6885" w14:textId="698C5C19" w:rsidR="001E64BD" w:rsidRDefault="00277723">
      <w:pPr>
        <w:spacing w:after="120"/>
        <w:jc w:val="right"/>
        <w:outlineLvl w:val="0"/>
        <w:rPr>
          <w:b/>
          <w:color w:val="000000"/>
          <w:szCs w:val="22"/>
        </w:rPr>
      </w:pPr>
      <w:r>
        <w:rPr>
          <w:b/>
          <w:color w:val="000000"/>
          <w:szCs w:val="22"/>
        </w:rPr>
        <w:t>DA 15</w:t>
      </w:r>
      <w:r w:rsidR="00615C25">
        <w:rPr>
          <w:b/>
          <w:color w:val="000000"/>
          <w:szCs w:val="22"/>
        </w:rPr>
        <w:t>-</w:t>
      </w:r>
      <w:r w:rsidR="004610F9">
        <w:rPr>
          <w:b/>
          <w:color w:val="000000"/>
          <w:szCs w:val="22"/>
        </w:rPr>
        <w:t>509</w:t>
      </w:r>
    </w:p>
    <w:p w14:paraId="5F35A6A2" w14:textId="1CD45021" w:rsidR="001E64BD" w:rsidRDefault="008E35CA">
      <w:pPr>
        <w:jc w:val="right"/>
        <w:outlineLvl w:val="0"/>
        <w:rPr>
          <w:b/>
          <w:color w:val="000000"/>
          <w:szCs w:val="22"/>
        </w:rPr>
      </w:pPr>
      <w:r>
        <w:rPr>
          <w:b/>
          <w:color w:val="000000"/>
          <w:szCs w:val="22"/>
        </w:rPr>
        <w:t xml:space="preserve">Released:  </w:t>
      </w:r>
      <w:r w:rsidR="00BE3907">
        <w:rPr>
          <w:b/>
          <w:color w:val="000000"/>
          <w:szCs w:val="22"/>
        </w:rPr>
        <w:t>April 29</w:t>
      </w:r>
      <w:r w:rsidR="00277723">
        <w:rPr>
          <w:b/>
          <w:color w:val="000000"/>
          <w:szCs w:val="22"/>
        </w:rPr>
        <w:t>, 2015</w:t>
      </w:r>
    </w:p>
    <w:p w14:paraId="28467968" w14:textId="77777777" w:rsidR="001E64BD" w:rsidRDefault="001E64BD">
      <w:pPr>
        <w:jc w:val="right"/>
        <w:rPr>
          <w:b/>
          <w:color w:val="000000"/>
          <w:szCs w:val="22"/>
        </w:rPr>
      </w:pPr>
    </w:p>
    <w:p w14:paraId="5FF911DC" w14:textId="11E1C303" w:rsidR="00E24255" w:rsidRDefault="00615C25" w:rsidP="003553C4">
      <w:pPr>
        <w:jc w:val="center"/>
        <w:rPr>
          <w:b/>
          <w:color w:val="000000"/>
          <w:szCs w:val="22"/>
        </w:rPr>
      </w:pPr>
      <w:r>
        <w:rPr>
          <w:b/>
          <w:color w:val="000000"/>
          <w:szCs w:val="22"/>
        </w:rPr>
        <w:t xml:space="preserve">WIRELINE COMPETITION BUREAU </w:t>
      </w:r>
      <w:r w:rsidR="00A53377">
        <w:rPr>
          <w:b/>
          <w:color w:val="000000"/>
          <w:szCs w:val="22"/>
        </w:rPr>
        <w:t xml:space="preserve">ANNOUNCES </w:t>
      </w:r>
      <w:r w:rsidR="000D3830">
        <w:rPr>
          <w:b/>
          <w:color w:val="000000"/>
          <w:szCs w:val="22"/>
        </w:rPr>
        <w:t xml:space="preserve">CONNECT AMERICA </w:t>
      </w:r>
      <w:r w:rsidR="003E66DB">
        <w:rPr>
          <w:b/>
          <w:color w:val="000000"/>
          <w:szCs w:val="22"/>
        </w:rPr>
        <w:t xml:space="preserve">PHASE II </w:t>
      </w:r>
      <w:r w:rsidR="00A53377">
        <w:rPr>
          <w:b/>
          <w:color w:val="000000"/>
          <w:szCs w:val="22"/>
        </w:rPr>
        <w:t xml:space="preserve">SUPPORT AMOUNTS </w:t>
      </w:r>
      <w:r w:rsidR="000D3830">
        <w:rPr>
          <w:b/>
          <w:color w:val="000000"/>
          <w:szCs w:val="22"/>
        </w:rPr>
        <w:t xml:space="preserve">OFFERED TO PRICE CAP CARRIERS </w:t>
      </w:r>
    </w:p>
    <w:p w14:paraId="32AC5B7B" w14:textId="5795C228" w:rsidR="00153C59" w:rsidRDefault="00156A03" w:rsidP="003553C4">
      <w:pPr>
        <w:jc w:val="center"/>
        <w:rPr>
          <w:b/>
          <w:color w:val="000000"/>
          <w:szCs w:val="22"/>
        </w:rPr>
      </w:pPr>
      <w:r>
        <w:rPr>
          <w:b/>
          <w:color w:val="000000"/>
          <w:szCs w:val="22"/>
        </w:rPr>
        <w:t xml:space="preserve">TO </w:t>
      </w:r>
      <w:r w:rsidR="00E24255">
        <w:rPr>
          <w:b/>
          <w:color w:val="000000"/>
          <w:szCs w:val="22"/>
        </w:rPr>
        <w:t xml:space="preserve">EXPAND RURAL </w:t>
      </w:r>
      <w:r>
        <w:rPr>
          <w:b/>
          <w:color w:val="000000"/>
          <w:szCs w:val="22"/>
        </w:rPr>
        <w:t>BROADBAND</w:t>
      </w:r>
    </w:p>
    <w:p w14:paraId="193E4937" w14:textId="77777777" w:rsidR="001E64BD" w:rsidRDefault="001E64BD">
      <w:pPr>
        <w:pStyle w:val="BodyText"/>
        <w:spacing w:after="0"/>
        <w:jc w:val="center"/>
        <w:rPr>
          <w:b/>
          <w:color w:val="000000"/>
          <w:szCs w:val="22"/>
        </w:rPr>
      </w:pPr>
    </w:p>
    <w:p w14:paraId="058B7A0F" w14:textId="77777777" w:rsidR="001E64BD" w:rsidRDefault="00615C25">
      <w:pPr>
        <w:jc w:val="center"/>
        <w:outlineLvl w:val="0"/>
        <w:rPr>
          <w:b/>
          <w:color w:val="000000"/>
          <w:szCs w:val="22"/>
        </w:rPr>
      </w:pPr>
      <w:r>
        <w:rPr>
          <w:b/>
          <w:color w:val="000000"/>
          <w:szCs w:val="22"/>
        </w:rPr>
        <w:t>WC Docket No. 10-90</w:t>
      </w:r>
    </w:p>
    <w:p w14:paraId="52D631F8" w14:textId="77777777" w:rsidR="001E64BD" w:rsidRDefault="001E64BD">
      <w:pPr>
        <w:ind w:firstLine="720"/>
      </w:pPr>
    </w:p>
    <w:p w14:paraId="70BFB64E" w14:textId="1C322D7B" w:rsidR="00A925CF" w:rsidRPr="00891A99" w:rsidRDefault="00156A03" w:rsidP="00891A99">
      <w:pPr>
        <w:spacing w:after="200"/>
        <w:ind w:firstLine="720"/>
        <w:rPr>
          <w:szCs w:val="22"/>
        </w:rPr>
      </w:pPr>
      <w:bookmarkStart w:id="1" w:name="_Ref370974314"/>
      <w:r>
        <w:t xml:space="preserve">Today, the Wireline Competition Bureau (Bureau) announces </w:t>
      </w:r>
      <w:r w:rsidR="006C4F95">
        <w:t xml:space="preserve">the offers of model-based </w:t>
      </w:r>
      <w:r>
        <w:t xml:space="preserve">Phase II Connect </w:t>
      </w:r>
      <w:r w:rsidRPr="00891A99">
        <w:rPr>
          <w:szCs w:val="22"/>
        </w:rPr>
        <w:t xml:space="preserve">America </w:t>
      </w:r>
      <w:r w:rsidR="006C4F95" w:rsidRPr="00891A99">
        <w:rPr>
          <w:szCs w:val="22"/>
        </w:rPr>
        <w:t xml:space="preserve">support </w:t>
      </w:r>
      <w:r w:rsidRPr="00891A99">
        <w:rPr>
          <w:szCs w:val="22"/>
        </w:rPr>
        <w:t xml:space="preserve">to price cap carriers to </w:t>
      </w:r>
      <w:r w:rsidR="006941EE" w:rsidRPr="00891A99">
        <w:rPr>
          <w:szCs w:val="22"/>
        </w:rPr>
        <w:t xml:space="preserve">fund the deployment of voice and broadband-capable networks in </w:t>
      </w:r>
      <w:r w:rsidRPr="00891A99">
        <w:rPr>
          <w:szCs w:val="22"/>
        </w:rPr>
        <w:t>their service territories</w:t>
      </w:r>
      <w:r w:rsidR="0045103B" w:rsidRPr="00891A99">
        <w:rPr>
          <w:szCs w:val="22"/>
        </w:rPr>
        <w:t>.</w:t>
      </w:r>
      <w:r w:rsidR="004772E5" w:rsidRPr="00891A99">
        <w:rPr>
          <w:rStyle w:val="FootnoteReference"/>
          <w:szCs w:val="22"/>
        </w:rPr>
        <w:footnoteReference w:id="2"/>
      </w:r>
      <w:r w:rsidR="0045103B" w:rsidRPr="00891A99">
        <w:rPr>
          <w:szCs w:val="22"/>
        </w:rPr>
        <w:t xml:space="preserve">  </w:t>
      </w:r>
      <w:r w:rsidR="00343129" w:rsidRPr="00891A99">
        <w:rPr>
          <w:szCs w:val="22"/>
        </w:rPr>
        <w:t xml:space="preserve">The total amount of </w:t>
      </w:r>
      <w:r w:rsidR="007F7489" w:rsidRPr="00891A99">
        <w:rPr>
          <w:szCs w:val="22"/>
        </w:rPr>
        <w:t xml:space="preserve">the </w:t>
      </w:r>
      <w:r w:rsidR="00891A99">
        <w:rPr>
          <w:szCs w:val="22"/>
        </w:rPr>
        <w:t xml:space="preserve">model-based </w:t>
      </w:r>
      <w:r w:rsidR="007F7489" w:rsidRPr="00891A99">
        <w:rPr>
          <w:szCs w:val="22"/>
        </w:rPr>
        <w:t xml:space="preserve">offer </w:t>
      </w:r>
      <w:r w:rsidR="00343129" w:rsidRPr="00891A99">
        <w:rPr>
          <w:szCs w:val="22"/>
        </w:rPr>
        <w:t>is $1.675 billion</w:t>
      </w:r>
      <w:r w:rsidR="007F7489" w:rsidRPr="00891A99">
        <w:rPr>
          <w:szCs w:val="22"/>
        </w:rPr>
        <w:t xml:space="preserve"> annually,</w:t>
      </w:r>
      <w:r w:rsidR="00343129" w:rsidRPr="00891A99">
        <w:rPr>
          <w:szCs w:val="22"/>
        </w:rPr>
        <w:t xml:space="preserve"> for six calendar years (2015-2020).</w:t>
      </w:r>
      <w:r w:rsidR="00343129" w:rsidRPr="00891A99">
        <w:rPr>
          <w:rStyle w:val="FootnoteReference"/>
          <w:szCs w:val="22"/>
        </w:rPr>
        <w:footnoteReference w:id="3"/>
      </w:r>
      <w:r w:rsidR="00343129" w:rsidRPr="00891A99">
        <w:rPr>
          <w:szCs w:val="22"/>
        </w:rPr>
        <w:t xml:space="preserve">  </w:t>
      </w:r>
      <w:r w:rsidR="006941EE" w:rsidRPr="00891A99">
        <w:rPr>
          <w:szCs w:val="22"/>
        </w:rPr>
        <w:t xml:space="preserve">The carriers have until August </w:t>
      </w:r>
      <w:r w:rsidR="007F4E3C">
        <w:rPr>
          <w:szCs w:val="22"/>
        </w:rPr>
        <w:t>27</w:t>
      </w:r>
      <w:r w:rsidR="006941EE" w:rsidRPr="00891A99">
        <w:rPr>
          <w:szCs w:val="22"/>
        </w:rPr>
        <w:t>, 2015 (120 days) to decide whether t</w:t>
      </w:r>
      <w:r w:rsidR="000B70AF" w:rsidRPr="00891A99">
        <w:rPr>
          <w:szCs w:val="22"/>
        </w:rPr>
        <w:t>o accept the offer</w:t>
      </w:r>
      <w:r w:rsidR="00F05E60">
        <w:rPr>
          <w:szCs w:val="22"/>
        </w:rPr>
        <w:t>s</w:t>
      </w:r>
      <w:r w:rsidR="000B70AF" w:rsidRPr="00891A99">
        <w:rPr>
          <w:szCs w:val="22"/>
        </w:rPr>
        <w:t xml:space="preserve"> </w:t>
      </w:r>
      <w:r w:rsidR="006941EE" w:rsidRPr="00891A99">
        <w:rPr>
          <w:szCs w:val="22"/>
        </w:rPr>
        <w:t>on a state-by-state basis.</w:t>
      </w:r>
      <w:r w:rsidR="0045103B" w:rsidRPr="00891A99">
        <w:rPr>
          <w:szCs w:val="22"/>
        </w:rPr>
        <w:t xml:space="preserve">  </w:t>
      </w:r>
    </w:p>
    <w:p w14:paraId="62E0212E" w14:textId="42899E50" w:rsidR="00156A03" w:rsidRDefault="0045103B" w:rsidP="007058D0">
      <w:pPr>
        <w:spacing w:after="200"/>
        <w:ind w:firstLine="720"/>
      </w:pPr>
      <w:r w:rsidRPr="00891A99">
        <w:rPr>
          <w:szCs w:val="22"/>
        </w:rPr>
        <w:t xml:space="preserve">The </w:t>
      </w:r>
      <w:r w:rsidR="00F05E60">
        <w:rPr>
          <w:szCs w:val="22"/>
        </w:rPr>
        <w:t xml:space="preserve">Bureau hereby adopts </w:t>
      </w:r>
      <w:r w:rsidRPr="00891A99">
        <w:rPr>
          <w:szCs w:val="22"/>
        </w:rPr>
        <w:t>the Co</w:t>
      </w:r>
      <w:r w:rsidR="00F05E60">
        <w:rPr>
          <w:szCs w:val="22"/>
        </w:rPr>
        <w:t>nnect</w:t>
      </w:r>
      <w:r w:rsidRPr="00891A99">
        <w:rPr>
          <w:szCs w:val="22"/>
        </w:rPr>
        <w:t xml:space="preserve"> America Cost Model (CAM v4.</w:t>
      </w:r>
      <w:r w:rsidR="00343129" w:rsidRPr="00891A99">
        <w:rPr>
          <w:szCs w:val="22"/>
        </w:rPr>
        <w:t>3</w:t>
      </w:r>
      <w:r w:rsidRPr="00891A99">
        <w:rPr>
          <w:szCs w:val="22"/>
        </w:rPr>
        <w:t>)</w:t>
      </w:r>
      <w:r w:rsidR="00825526" w:rsidRPr="00891A99">
        <w:rPr>
          <w:szCs w:val="22"/>
        </w:rPr>
        <w:t>, which</w:t>
      </w:r>
      <w:r w:rsidRPr="00891A99">
        <w:rPr>
          <w:szCs w:val="22"/>
        </w:rPr>
        <w:t xml:space="preserve"> incorporat</w:t>
      </w:r>
      <w:r w:rsidR="00825526" w:rsidRPr="00891A99">
        <w:rPr>
          <w:szCs w:val="22"/>
        </w:rPr>
        <w:t>es</w:t>
      </w:r>
      <w:r w:rsidRPr="00891A99">
        <w:rPr>
          <w:szCs w:val="22"/>
        </w:rPr>
        <w:t xml:space="preserve"> the results of the Phase II challenge process</w:t>
      </w:r>
      <w:r w:rsidR="00825526" w:rsidRPr="00891A99">
        <w:rPr>
          <w:szCs w:val="22"/>
        </w:rPr>
        <w:t xml:space="preserve"> and other decisions made by the Commission regarding the offer of support</w:t>
      </w:r>
      <w:r w:rsidR="00F05E60">
        <w:rPr>
          <w:szCs w:val="22"/>
        </w:rPr>
        <w:t>,</w:t>
      </w:r>
      <w:r w:rsidR="00343129" w:rsidRPr="00891A99">
        <w:rPr>
          <w:rStyle w:val="FootnoteReference"/>
          <w:szCs w:val="22"/>
        </w:rPr>
        <w:footnoteReference w:id="4"/>
      </w:r>
      <w:r w:rsidR="00F05E60">
        <w:rPr>
          <w:szCs w:val="22"/>
        </w:rPr>
        <w:t xml:space="preserve"> as its final model for purposes of making the offer of </w:t>
      </w:r>
      <w:r w:rsidR="00F05E60">
        <w:rPr>
          <w:szCs w:val="22"/>
        </w:rPr>
        <w:lastRenderedPageBreak/>
        <w:t>model-based support to price cap carriers.</w:t>
      </w:r>
      <w:r w:rsidR="00825526" w:rsidRPr="00891A99">
        <w:rPr>
          <w:szCs w:val="22"/>
        </w:rPr>
        <w:t xml:space="preserve"> </w:t>
      </w:r>
      <w:r w:rsidR="00891A99">
        <w:rPr>
          <w:szCs w:val="22"/>
        </w:rPr>
        <w:t xml:space="preserve"> </w:t>
      </w:r>
      <w:r w:rsidR="008D03E1" w:rsidRPr="00891A99">
        <w:rPr>
          <w:szCs w:val="22"/>
        </w:rPr>
        <w:t xml:space="preserve">Summary information regarding the </w:t>
      </w:r>
      <w:r w:rsidR="007F7489" w:rsidRPr="00891A99">
        <w:rPr>
          <w:szCs w:val="22"/>
        </w:rPr>
        <w:t>amount offered to</w:t>
      </w:r>
      <w:r w:rsidR="007F7489">
        <w:t xml:space="preserve"> each carrier </w:t>
      </w:r>
      <w:r w:rsidR="008D03E1">
        <w:t xml:space="preserve">is provided in the Appendix to this Public Notice.  </w:t>
      </w:r>
      <w:r w:rsidR="00825526">
        <w:t xml:space="preserve">The Bureau is releasing a list of eligible census blocks </w:t>
      </w:r>
      <w:r>
        <w:t>and the number of loc</w:t>
      </w:r>
      <w:r w:rsidR="00326F2E">
        <w:t>ations eligible for the offer of</w:t>
      </w:r>
      <w:r>
        <w:t xml:space="preserve"> model-based support</w:t>
      </w:r>
      <w:r w:rsidR="00825526">
        <w:t xml:space="preserve"> in each census block</w:t>
      </w:r>
      <w:r>
        <w:t>.</w:t>
      </w:r>
      <w:r w:rsidR="007A22C2">
        <w:rPr>
          <w:rStyle w:val="FootnoteReference"/>
        </w:rPr>
        <w:footnoteReference w:id="5"/>
      </w:r>
      <w:r w:rsidR="007A22C2">
        <w:t xml:space="preserve">  In addition, a map showing the areas eligible for the offer of support </w:t>
      </w:r>
      <w:r w:rsidR="00825526">
        <w:t xml:space="preserve">will shortly be </w:t>
      </w:r>
      <w:r w:rsidR="007A22C2">
        <w:t xml:space="preserve">available on the Commission’s </w:t>
      </w:r>
      <w:r w:rsidR="00A758DC">
        <w:t>web page.</w:t>
      </w:r>
      <w:r w:rsidR="00A758DC">
        <w:rPr>
          <w:rStyle w:val="FootnoteReference"/>
        </w:rPr>
        <w:footnoteReference w:id="6"/>
      </w:r>
    </w:p>
    <w:p w14:paraId="2428D125" w14:textId="187A3D21" w:rsidR="00400C8D" w:rsidRDefault="00400C8D" w:rsidP="007058D0">
      <w:pPr>
        <w:spacing w:after="200"/>
        <w:ind w:firstLine="720"/>
      </w:pPr>
      <w:r w:rsidRPr="00832F63">
        <w:t xml:space="preserve">In the </w:t>
      </w:r>
      <w:r w:rsidRPr="00832F63">
        <w:rPr>
          <w:i/>
        </w:rPr>
        <w:t>USF/ICC Transformation Order</w:t>
      </w:r>
      <w:r w:rsidRPr="00832F63">
        <w:t>, the Commission comprehensively reformed the high-cost program within the universal service fund</w:t>
      </w:r>
      <w:r w:rsidR="006C4F95">
        <w:t xml:space="preserve">, creating the Connect America Fund </w:t>
      </w:r>
      <w:r w:rsidRPr="00832F63">
        <w:t>to focus support on networks capable of providing voice and broadband services.</w:t>
      </w:r>
      <w:r w:rsidRPr="00832F63">
        <w:rPr>
          <w:rStyle w:val="FootnoteReference"/>
        </w:rPr>
        <w:footnoteReference w:id="7"/>
      </w:r>
      <w:r>
        <w:t xml:space="preserve">  </w:t>
      </w:r>
      <w:r w:rsidRPr="00832F63">
        <w:t>The Commission concluded that s</w:t>
      </w:r>
      <w:r w:rsidRPr="002245DF">
        <w:t>upport in price cap areas would be provided through a combination of “a new forward-looking model of the cost of constructing modern multi-purpose networks” and a competitive bidding process.</w:t>
      </w:r>
      <w:r w:rsidR="00AC0EC4">
        <w:rPr>
          <w:rStyle w:val="FootnoteReference"/>
        </w:rPr>
        <w:footnoteReference w:id="8"/>
      </w:r>
      <w:r>
        <w:t xml:space="preserve">  I</w:t>
      </w:r>
      <w:r w:rsidRPr="00832F63">
        <w:t>n those states where the price cap carrier declines the offer of support, support recipients</w:t>
      </w:r>
      <w:r>
        <w:t xml:space="preserve"> will be </w:t>
      </w:r>
      <w:r w:rsidRPr="00832F63">
        <w:t>determine</w:t>
      </w:r>
      <w:r>
        <w:t xml:space="preserve">d in </w:t>
      </w:r>
      <w:r w:rsidRPr="00400C8D">
        <w:t>the Phase II competitive bidding process</w:t>
      </w:r>
      <w:r w:rsidRPr="00832F63">
        <w:t>.</w:t>
      </w:r>
    </w:p>
    <w:p w14:paraId="7C94ED23" w14:textId="61783324" w:rsidR="00131A20" w:rsidRDefault="009F6E0B" w:rsidP="00A925CF">
      <w:pPr>
        <w:spacing w:after="200"/>
        <w:ind w:firstLine="720"/>
      </w:pPr>
      <w:r>
        <w:t>To accept the support amount for a state, a carrier must submi</w:t>
      </w:r>
      <w:r w:rsidR="00EA57EE">
        <w:t xml:space="preserve">t a letter signed by an officer </w:t>
      </w:r>
      <w:r>
        <w:t>of the company declaring that the carrier accepts the support amount and commits to satisfy the service obligations for Phase II.</w:t>
      </w:r>
      <w:r w:rsidR="00ED51DA">
        <w:t xml:space="preserve">  </w:t>
      </w:r>
      <w:r w:rsidR="006C6012">
        <w:t xml:space="preserve">The Commission has concluded that carriers electing Phase II support will receive the full amount of Phase II support for 2015.  </w:t>
      </w:r>
      <w:r w:rsidR="00120BC4">
        <w:t xml:space="preserve">For carriers for whom model-based support in a given state is greater than Phase I support, the letter should also </w:t>
      </w:r>
      <w:r w:rsidR="00131A20">
        <w:t xml:space="preserve">indicate whether they </w:t>
      </w:r>
      <w:r w:rsidR="006C6012">
        <w:t xml:space="preserve">are </w:t>
      </w:r>
      <w:r w:rsidR="00131A20">
        <w:t>electing to defer th</w:t>
      </w:r>
      <w:r w:rsidR="00120BC4">
        <w:t>e</w:t>
      </w:r>
      <w:r w:rsidR="00131A20">
        <w:t xml:space="preserve"> lump sum payment </w:t>
      </w:r>
      <w:r w:rsidR="00120BC4">
        <w:t xml:space="preserve">for prior months </w:t>
      </w:r>
      <w:r w:rsidR="00131A20">
        <w:t>un</w:t>
      </w:r>
      <w:r w:rsidR="008D03E1">
        <w:t>til</w:t>
      </w:r>
      <w:r w:rsidR="00131A20">
        <w:t xml:space="preserve"> calendar year 2016.</w:t>
      </w:r>
      <w:r w:rsidR="00131A20">
        <w:rPr>
          <w:rStyle w:val="FootnoteReference"/>
        </w:rPr>
        <w:footnoteReference w:id="9"/>
      </w:r>
      <w:r w:rsidR="00131A20">
        <w:t xml:space="preserve"> </w:t>
      </w:r>
    </w:p>
    <w:p w14:paraId="388BA4C4" w14:textId="62785517" w:rsidR="00713AB8" w:rsidRDefault="00C813FD" w:rsidP="00A925CF">
      <w:pPr>
        <w:spacing w:after="200"/>
        <w:ind w:firstLine="720"/>
      </w:pPr>
      <w:r>
        <w:t xml:space="preserve">Carriers should submit letters </w:t>
      </w:r>
      <w:r w:rsidR="00A925CF">
        <w:t>to the email box established for this purpose</w:t>
      </w:r>
      <w:r w:rsidR="005F2EE5">
        <w:t>:</w:t>
      </w:r>
      <w:r w:rsidR="00A925CF">
        <w:t xml:space="preserve"> </w:t>
      </w:r>
      <w:hyperlink r:id="rId8" w:history="1">
        <w:r w:rsidR="005F6BB2" w:rsidRPr="005F6BB2">
          <w:rPr>
            <w:rStyle w:val="Hyperlink"/>
          </w:rPr>
          <w:t>ConnectAmerica@fcc.gov</w:t>
        </w:r>
      </w:hyperlink>
      <w:r w:rsidR="00CD0917">
        <w:t xml:space="preserve">.  </w:t>
      </w:r>
      <w:r w:rsidR="00922CD4">
        <w:t>After the Bureau has reviewed the acceptances</w:t>
      </w:r>
      <w:r w:rsidR="00E24255">
        <w:t xml:space="preserve"> to confirm facial completeness</w:t>
      </w:r>
      <w:r w:rsidR="00922CD4">
        <w:t>, it will make the acceptance letters publicly available in the Commission’s Electronic Comment Filing System (ECFS)</w:t>
      </w:r>
      <w:r w:rsidR="00120BC4">
        <w:t xml:space="preserve"> and issue a Public Notice authorizing the Universal Service Administrative Company to disburse funds</w:t>
      </w:r>
      <w:r w:rsidR="00922CD4">
        <w:t xml:space="preserve">.  </w:t>
      </w:r>
      <w:r w:rsidR="009F6E0B">
        <w:t>A carrier may elect to decline funding for a given state by submitting a letter signed by an officer of the company noting it does not accept Phase II support for that state.  Alternatively, if a carrier fails to submit any election letter by the close of the 120-day election period, it will be dee</w:t>
      </w:r>
      <w:r w:rsidR="00922CD4">
        <w:t xml:space="preserve">med to have declined support.  </w:t>
      </w:r>
    </w:p>
    <w:bookmarkEnd w:id="1"/>
    <w:p w14:paraId="46CDD6C5" w14:textId="272E740E" w:rsidR="001E64BD" w:rsidRDefault="00CD0917" w:rsidP="004772E5">
      <w:pPr>
        <w:spacing w:after="200"/>
        <w:ind w:firstLine="720"/>
      </w:pPr>
      <w:r>
        <w:t xml:space="preserve">For additional information on this proceeding, contact Katie King </w:t>
      </w:r>
      <w:r w:rsidR="004772E5">
        <w:t>(</w:t>
      </w:r>
      <w:hyperlink r:id="rId9" w:history="1">
        <w:r w:rsidR="005F6BB2" w:rsidRPr="005B2A56">
          <w:rPr>
            <w:rStyle w:val="Hyperlink"/>
          </w:rPr>
          <w:t>Katie.King@fcc.gov</w:t>
        </w:r>
      </w:hyperlink>
      <w:r w:rsidR="00891A99">
        <w:t>)</w:t>
      </w:r>
      <w:r w:rsidR="004772E5">
        <w:t xml:space="preserve"> of the Wireline Competition Bureau, Telecommunications Access Policy Division</w:t>
      </w:r>
      <w:r w:rsidR="00891A99">
        <w:t>,</w:t>
      </w:r>
      <w:r w:rsidR="004772E5">
        <w:t xml:space="preserve"> </w:t>
      </w:r>
      <w:r w:rsidR="00615C25">
        <w:t>(202) 418-7400.</w:t>
      </w:r>
    </w:p>
    <w:p w14:paraId="56F25D02" w14:textId="77777777" w:rsidR="00775FC2" w:rsidRDefault="00CA6FBE" w:rsidP="005C12FB">
      <w:pPr>
        <w:jc w:val="center"/>
        <w:rPr>
          <w:b/>
          <w:szCs w:val="24"/>
        </w:rPr>
        <w:sectPr w:rsidR="00775FC2" w:rsidSect="00CA6FBE">
          <w:headerReference w:type="even" r:id="rId10"/>
          <w:headerReference w:type="default" r:id="rId11"/>
          <w:footerReference w:type="even" r:id="rId12"/>
          <w:footerReference w:type="default" r:id="rId13"/>
          <w:headerReference w:type="first" r:id="rId14"/>
          <w:footerReference w:type="first" r:id="rId15"/>
          <w:pgSz w:w="12240" w:h="15840" w:code="1"/>
          <w:pgMar w:top="1440" w:right="1890" w:bottom="720" w:left="1440" w:header="720" w:footer="720" w:gutter="0"/>
          <w:cols w:space="720"/>
          <w:titlePg/>
          <w:docGrid w:linePitch="299"/>
        </w:sectPr>
      </w:pPr>
      <w:r>
        <w:rPr>
          <w:b/>
          <w:szCs w:val="24"/>
        </w:rPr>
        <w:t>–</w:t>
      </w:r>
      <w:r w:rsidR="00615C25">
        <w:rPr>
          <w:b/>
          <w:szCs w:val="24"/>
        </w:rPr>
        <w:t xml:space="preserve"> FCC –</w:t>
      </w:r>
    </w:p>
    <w:p w14:paraId="70EE8ADB" w14:textId="77777777" w:rsidR="00511AC9" w:rsidRDefault="00511AC9" w:rsidP="00511AC9">
      <w:pPr>
        <w:jc w:val="center"/>
        <w:rPr>
          <w:b/>
          <w:szCs w:val="24"/>
        </w:rPr>
      </w:pPr>
      <w:r>
        <w:rPr>
          <w:b/>
          <w:szCs w:val="24"/>
        </w:rPr>
        <w:t>APPENDIX</w:t>
      </w:r>
    </w:p>
    <w:p w14:paraId="5DFB42E1" w14:textId="6747DA0E" w:rsidR="00775FC2" w:rsidRPr="00775FC2" w:rsidRDefault="00775FC2" w:rsidP="00511AC9">
      <w:pPr>
        <w:jc w:val="center"/>
        <w:rPr>
          <w:b/>
          <w:szCs w:val="24"/>
        </w:rPr>
      </w:pPr>
      <w:r w:rsidRPr="00775FC2">
        <w:rPr>
          <w:b/>
          <w:szCs w:val="22"/>
        </w:rPr>
        <w:t xml:space="preserve">Model-Based Support Offers by </w:t>
      </w:r>
      <w:r>
        <w:rPr>
          <w:b/>
          <w:szCs w:val="22"/>
        </w:rPr>
        <w:t xml:space="preserve">Price Cap </w:t>
      </w:r>
      <w:r>
        <w:rPr>
          <w:b/>
        </w:rPr>
        <w:t>C</w:t>
      </w:r>
      <w:r w:rsidRPr="00775FC2">
        <w:rPr>
          <w:b/>
        </w:rPr>
        <w:t>arrier</w:t>
      </w:r>
    </w:p>
    <w:p w14:paraId="0A51E1EF" w14:textId="77777777" w:rsidR="00511AC9" w:rsidRDefault="00511AC9" w:rsidP="00511AC9">
      <w:pPr>
        <w:jc w:val="center"/>
        <w:rPr>
          <w:b/>
          <w:szCs w:val="24"/>
        </w:rPr>
      </w:pPr>
    </w:p>
    <w:tbl>
      <w:tblPr>
        <w:tblStyle w:val="TableGrid"/>
        <w:tblW w:w="0" w:type="auto"/>
        <w:tblLook w:val="04A0" w:firstRow="1" w:lastRow="0" w:firstColumn="1" w:lastColumn="0" w:noHBand="0" w:noVBand="1"/>
      </w:tblPr>
      <w:tblGrid>
        <w:gridCol w:w="3042"/>
        <w:gridCol w:w="3042"/>
        <w:gridCol w:w="3042"/>
      </w:tblGrid>
      <w:tr w:rsidR="00511AC9" w14:paraId="4012C41F" w14:textId="77777777" w:rsidTr="000A2B78">
        <w:tc>
          <w:tcPr>
            <w:tcW w:w="3042" w:type="dxa"/>
          </w:tcPr>
          <w:p w14:paraId="0255474C" w14:textId="77777777" w:rsidR="00511AC9" w:rsidRDefault="00511AC9" w:rsidP="000A2B78">
            <w:pPr>
              <w:jc w:val="center"/>
              <w:rPr>
                <w:b/>
                <w:szCs w:val="24"/>
              </w:rPr>
            </w:pPr>
          </w:p>
          <w:p w14:paraId="1C9CEE4D" w14:textId="77777777" w:rsidR="00511AC9" w:rsidRDefault="00511AC9" w:rsidP="000A2B78">
            <w:pPr>
              <w:jc w:val="center"/>
              <w:rPr>
                <w:b/>
                <w:szCs w:val="24"/>
              </w:rPr>
            </w:pPr>
          </w:p>
          <w:p w14:paraId="4B6EC296" w14:textId="77777777" w:rsidR="00511AC9" w:rsidRDefault="00511AC9" w:rsidP="000A2B78">
            <w:pPr>
              <w:jc w:val="center"/>
              <w:rPr>
                <w:b/>
                <w:szCs w:val="24"/>
              </w:rPr>
            </w:pPr>
          </w:p>
          <w:p w14:paraId="732BD153" w14:textId="77777777" w:rsidR="00511AC9" w:rsidRDefault="00511AC9" w:rsidP="000A2B78">
            <w:pPr>
              <w:jc w:val="center"/>
              <w:rPr>
                <w:b/>
                <w:szCs w:val="24"/>
              </w:rPr>
            </w:pPr>
            <w:r w:rsidRPr="0054667A">
              <w:rPr>
                <w:b/>
                <w:szCs w:val="24"/>
              </w:rPr>
              <w:t>Price Cap Carrier</w:t>
            </w:r>
          </w:p>
        </w:tc>
        <w:tc>
          <w:tcPr>
            <w:tcW w:w="3042" w:type="dxa"/>
          </w:tcPr>
          <w:p w14:paraId="730A5F60" w14:textId="77777777" w:rsidR="00511AC9" w:rsidRDefault="00511AC9" w:rsidP="000A2B78">
            <w:pPr>
              <w:jc w:val="center"/>
              <w:rPr>
                <w:b/>
                <w:szCs w:val="24"/>
              </w:rPr>
            </w:pPr>
            <w:r w:rsidRPr="0054667A">
              <w:rPr>
                <w:b/>
                <w:szCs w:val="24"/>
              </w:rPr>
              <w:t>Total Number of Price Cap Locations in Census Blocks Subject to Offer of Model-Based Phase II Funding</w:t>
            </w:r>
          </w:p>
        </w:tc>
        <w:tc>
          <w:tcPr>
            <w:tcW w:w="3042" w:type="dxa"/>
          </w:tcPr>
          <w:p w14:paraId="6FF9DA63" w14:textId="77777777" w:rsidR="00511AC9" w:rsidRDefault="00511AC9" w:rsidP="000A2B78">
            <w:pPr>
              <w:jc w:val="center"/>
              <w:rPr>
                <w:b/>
                <w:szCs w:val="24"/>
              </w:rPr>
            </w:pPr>
          </w:p>
          <w:p w14:paraId="5F3BF330" w14:textId="77777777" w:rsidR="00511AC9" w:rsidRDefault="00511AC9" w:rsidP="000A2B78">
            <w:pPr>
              <w:jc w:val="center"/>
              <w:rPr>
                <w:b/>
                <w:szCs w:val="24"/>
              </w:rPr>
            </w:pPr>
          </w:p>
          <w:p w14:paraId="19ED4F95" w14:textId="1FCE274F" w:rsidR="00511AC9" w:rsidRDefault="00511AC9" w:rsidP="000A2B78">
            <w:pPr>
              <w:jc w:val="center"/>
              <w:rPr>
                <w:b/>
                <w:szCs w:val="24"/>
              </w:rPr>
            </w:pPr>
            <w:r w:rsidRPr="0054667A">
              <w:rPr>
                <w:b/>
                <w:szCs w:val="24"/>
              </w:rPr>
              <w:t xml:space="preserve">Offer of </w:t>
            </w:r>
            <w:r w:rsidR="00450DF4">
              <w:rPr>
                <w:b/>
                <w:szCs w:val="24"/>
              </w:rPr>
              <w:t xml:space="preserve">Annual </w:t>
            </w:r>
            <w:r w:rsidRPr="0054667A">
              <w:rPr>
                <w:b/>
                <w:szCs w:val="24"/>
              </w:rPr>
              <w:t>Support to Price Cap  Carrier</w:t>
            </w:r>
          </w:p>
        </w:tc>
      </w:tr>
      <w:tr w:rsidR="00511AC9" w14:paraId="31EBB452" w14:textId="77777777" w:rsidTr="000A2B78">
        <w:tc>
          <w:tcPr>
            <w:tcW w:w="3042" w:type="dxa"/>
          </w:tcPr>
          <w:p w14:paraId="2AFAAD8F" w14:textId="77777777" w:rsidR="00511AC9" w:rsidRDefault="00511AC9" w:rsidP="000A2B78">
            <w:pPr>
              <w:rPr>
                <w:szCs w:val="24"/>
              </w:rPr>
            </w:pPr>
            <w:r w:rsidRPr="00AB5043">
              <w:rPr>
                <w:szCs w:val="24"/>
              </w:rPr>
              <w:t>AT&amp;T</w:t>
            </w:r>
          </w:p>
          <w:p w14:paraId="6DE107AF" w14:textId="77777777" w:rsidR="00511AC9" w:rsidRPr="00AB5043" w:rsidRDefault="00511AC9" w:rsidP="000A2B78">
            <w:pPr>
              <w:rPr>
                <w:szCs w:val="24"/>
              </w:rPr>
            </w:pPr>
          </w:p>
        </w:tc>
        <w:tc>
          <w:tcPr>
            <w:tcW w:w="3042" w:type="dxa"/>
          </w:tcPr>
          <w:p w14:paraId="6CF0C260" w14:textId="77777777" w:rsidR="00511AC9" w:rsidRDefault="00511AC9" w:rsidP="000A2B78">
            <w:pPr>
              <w:jc w:val="right"/>
              <w:rPr>
                <w:szCs w:val="24"/>
              </w:rPr>
            </w:pPr>
          </w:p>
          <w:p w14:paraId="6B5DDC2D" w14:textId="77777777" w:rsidR="00511AC9" w:rsidRPr="00AB5043" w:rsidRDefault="00511AC9" w:rsidP="000A2B78">
            <w:pPr>
              <w:jc w:val="right"/>
              <w:rPr>
                <w:szCs w:val="24"/>
              </w:rPr>
            </w:pPr>
            <w:r>
              <w:rPr>
                <w:szCs w:val="24"/>
              </w:rPr>
              <w:t>1,265,036</w:t>
            </w:r>
          </w:p>
        </w:tc>
        <w:tc>
          <w:tcPr>
            <w:tcW w:w="3042" w:type="dxa"/>
          </w:tcPr>
          <w:p w14:paraId="0AD49B91" w14:textId="77777777" w:rsidR="00511AC9" w:rsidRDefault="00511AC9" w:rsidP="000A2B78">
            <w:pPr>
              <w:jc w:val="right"/>
              <w:rPr>
                <w:szCs w:val="24"/>
              </w:rPr>
            </w:pPr>
          </w:p>
          <w:p w14:paraId="1960CED6" w14:textId="77777777" w:rsidR="00511AC9" w:rsidRPr="00AB5043" w:rsidRDefault="00511AC9" w:rsidP="000A2B78">
            <w:pPr>
              <w:jc w:val="right"/>
              <w:rPr>
                <w:szCs w:val="24"/>
              </w:rPr>
            </w:pPr>
            <w:r>
              <w:rPr>
                <w:szCs w:val="24"/>
              </w:rPr>
              <w:t>$493,973,534</w:t>
            </w:r>
          </w:p>
        </w:tc>
      </w:tr>
      <w:tr w:rsidR="00511AC9" w14:paraId="74AD7A3C" w14:textId="77777777" w:rsidTr="000A2B78">
        <w:tc>
          <w:tcPr>
            <w:tcW w:w="3042" w:type="dxa"/>
          </w:tcPr>
          <w:p w14:paraId="3A7179B1" w14:textId="77777777" w:rsidR="00511AC9" w:rsidRDefault="00511AC9" w:rsidP="000A2B78">
            <w:pPr>
              <w:rPr>
                <w:szCs w:val="24"/>
              </w:rPr>
            </w:pPr>
            <w:r w:rsidRPr="00AB5043">
              <w:rPr>
                <w:szCs w:val="24"/>
              </w:rPr>
              <w:t>CINCINNATI BELL</w:t>
            </w:r>
          </w:p>
          <w:p w14:paraId="2E565537" w14:textId="77777777" w:rsidR="00511AC9" w:rsidRPr="00AB5043" w:rsidRDefault="00511AC9" w:rsidP="000A2B78">
            <w:pPr>
              <w:rPr>
                <w:szCs w:val="24"/>
              </w:rPr>
            </w:pPr>
          </w:p>
        </w:tc>
        <w:tc>
          <w:tcPr>
            <w:tcW w:w="3042" w:type="dxa"/>
          </w:tcPr>
          <w:p w14:paraId="410FF79F" w14:textId="77777777" w:rsidR="00511AC9" w:rsidRDefault="00511AC9" w:rsidP="000A2B78">
            <w:pPr>
              <w:jc w:val="right"/>
              <w:rPr>
                <w:szCs w:val="24"/>
              </w:rPr>
            </w:pPr>
          </w:p>
          <w:p w14:paraId="1C9B6408" w14:textId="77777777" w:rsidR="00511AC9" w:rsidRPr="00AB5043" w:rsidRDefault="00511AC9" w:rsidP="000A2B78">
            <w:pPr>
              <w:jc w:val="right"/>
              <w:rPr>
                <w:szCs w:val="24"/>
              </w:rPr>
            </w:pPr>
            <w:r>
              <w:rPr>
                <w:szCs w:val="24"/>
              </w:rPr>
              <w:t>7,084</w:t>
            </w:r>
          </w:p>
        </w:tc>
        <w:tc>
          <w:tcPr>
            <w:tcW w:w="3042" w:type="dxa"/>
          </w:tcPr>
          <w:p w14:paraId="10595582" w14:textId="77777777" w:rsidR="00511AC9" w:rsidRDefault="00511AC9" w:rsidP="000A2B78">
            <w:pPr>
              <w:jc w:val="right"/>
              <w:rPr>
                <w:szCs w:val="24"/>
              </w:rPr>
            </w:pPr>
          </w:p>
          <w:p w14:paraId="4E322475" w14:textId="77777777" w:rsidR="00511AC9" w:rsidRPr="00AB5043" w:rsidRDefault="00511AC9" w:rsidP="000A2B78">
            <w:pPr>
              <w:jc w:val="right"/>
              <w:rPr>
                <w:szCs w:val="24"/>
              </w:rPr>
            </w:pPr>
            <w:r>
              <w:rPr>
                <w:szCs w:val="24"/>
              </w:rPr>
              <w:t>$2,229,130</w:t>
            </w:r>
          </w:p>
        </w:tc>
      </w:tr>
      <w:tr w:rsidR="00511AC9" w14:paraId="7C8ABABB" w14:textId="77777777" w:rsidTr="000A2B78">
        <w:tc>
          <w:tcPr>
            <w:tcW w:w="3042" w:type="dxa"/>
          </w:tcPr>
          <w:p w14:paraId="3E3758EB" w14:textId="77777777" w:rsidR="00511AC9" w:rsidRDefault="00511AC9" w:rsidP="000A2B78">
            <w:pPr>
              <w:rPr>
                <w:szCs w:val="24"/>
              </w:rPr>
            </w:pPr>
            <w:r w:rsidRPr="00AB5043">
              <w:rPr>
                <w:szCs w:val="24"/>
              </w:rPr>
              <w:t>C</w:t>
            </w:r>
            <w:r>
              <w:rPr>
                <w:szCs w:val="24"/>
              </w:rPr>
              <w:t>EN</w:t>
            </w:r>
            <w:r w:rsidRPr="00AB5043">
              <w:rPr>
                <w:szCs w:val="24"/>
              </w:rPr>
              <w:t>TURYLINK</w:t>
            </w:r>
          </w:p>
          <w:p w14:paraId="6C5AF26E" w14:textId="77777777" w:rsidR="00511AC9" w:rsidRPr="00AB5043" w:rsidRDefault="00511AC9" w:rsidP="000A2B78">
            <w:pPr>
              <w:rPr>
                <w:szCs w:val="24"/>
              </w:rPr>
            </w:pPr>
          </w:p>
        </w:tc>
        <w:tc>
          <w:tcPr>
            <w:tcW w:w="3042" w:type="dxa"/>
          </w:tcPr>
          <w:p w14:paraId="7813559A" w14:textId="77777777" w:rsidR="00511AC9" w:rsidRDefault="00511AC9" w:rsidP="000A2B78">
            <w:pPr>
              <w:jc w:val="right"/>
              <w:rPr>
                <w:szCs w:val="24"/>
              </w:rPr>
            </w:pPr>
          </w:p>
          <w:p w14:paraId="18C7E7AA" w14:textId="77777777" w:rsidR="00511AC9" w:rsidRPr="00AB5043" w:rsidRDefault="00511AC9" w:rsidP="000A2B78">
            <w:pPr>
              <w:jc w:val="right"/>
              <w:rPr>
                <w:szCs w:val="24"/>
              </w:rPr>
            </w:pPr>
            <w:r>
              <w:rPr>
                <w:szCs w:val="24"/>
              </w:rPr>
              <w:t>1,190,016</w:t>
            </w:r>
          </w:p>
        </w:tc>
        <w:tc>
          <w:tcPr>
            <w:tcW w:w="3042" w:type="dxa"/>
          </w:tcPr>
          <w:p w14:paraId="480F1BD4" w14:textId="77777777" w:rsidR="00511AC9" w:rsidRDefault="00511AC9" w:rsidP="000A2B78">
            <w:pPr>
              <w:jc w:val="right"/>
              <w:rPr>
                <w:szCs w:val="24"/>
              </w:rPr>
            </w:pPr>
          </w:p>
          <w:p w14:paraId="06AB8144" w14:textId="77777777" w:rsidR="00511AC9" w:rsidRPr="00163730" w:rsidRDefault="00511AC9" w:rsidP="000A2B78">
            <w:pPr>
              <w:jc w:val="right"/>
              <w:rPr>
                <w:szCs w:val="24"/>
              </w:rPr>
            </w:pPr>
            <w:r>
              <w:rPr>
                <w:szCs w:val="24"/>
              </w:rPr>
              <w:t>$514,334,045</w:t>
            </w:r>
          </w:p>
        </w:tc>
      </w:tr>
      <w:tr w:rsidR="00511AC9" w14:paraId="4194C879" w14:textId="77777777" w:rsidTr="000A2B78">
        <w:tc>
          <w:tcPr>
            <w:tcW w:w="3042" w:type="dxa"/>
          </w:tcPr>
          <w:p w14:paraId="712A9E81" w14:textId="77777777" w:rsidR="00511AC9" w:rsidRPr="00AB5043" w:rsidRDefault="00511AC9" w:rsidP="000A2B78">
            <w:pPr>
              <w:rPr>
                <w:szCs w:val="24"/>
              </w:rPr>
            </w:pPr>
            <w:r>
              <w:rPr>
                <w:szCs w:val="24"/>
              </w:rPr>
              <w:t>CONSOLIDATED COMMUNICATIONS</w:t>
            </w:r>
          </w:p>
        </w:tc>
        <w:tc>
          <w:tcPr>
            <w:tcW w:w="3042" w:type="dxa"/>
          </w:tcPr>
          <w:p w14:paraId="0B0F9D66" w14:textId="77777777" w:rsidR="00511AC9" w:rsidRDefault="00511AC9" w:rsidP="000A2B78">
            <w:pPr>
              <w:jc w:val="right"/>
              <w:rPr>
                <w:szCs w:val="24"/>
              </w:rPr>
            </w:pPr>
          </w:p>
          <w:p w14:paraId="71160022" w14:textId="77777777" w:rsidR="00511AC9" w:rsidRPr="00163730" w:rsidRDefault="00511AC9" w:rsidP="000A2B78">
            <w:pPr>
              <w:jc w:val="right"/>
              <w:rPr>
                <w:szCs w:val="24"/>
              </w:rPr>
            </w:pPr>
            <w:r>
              <w:rPr>
                <w:szCs w:val="24"/>
              </w:rPr>
              <w:t>24,698</w:t>
            </w:r>
          </w:p>
        </w:tc>
        <w:tc>
          <w:tcPr>
            <w:tcW w:w="3042" w:type="dxa"/>
          </w:tcPr>
          <w:p w14:paraId="74100D63" w14:textId="77777777" w:rsidR="00511AC9" w:rsidRDefault="00511AC9" w:rsidP="000A2B78">
            <w:pPr>
              <w:jc w:val="right"/>
              <w:rPr>
                <w:szCs w:val="24"/>
              </w:rPr>
            </w:pPr>
          </w:p>
          <w:p w14:paraId="26DE84AE" w14:textId="77777777" w:rsidR="00511AC9" w:rsidRPr="00163730" w:rsidRDefault="00511AC9" w:rsidP="000A2B78">
            <w:pPr>
              <w:jc w:val="right"/>
              <w:rPr>
                <w:szCs w:val="24"/>
              </w:rPr>
            </w:pPr>
            <w:r>
              <w:rPr>
                <w:szCs w:val="24"/>
              </w:rPr>
              <w:t>$13,922,480</w:t>
            </w:r>
          </w:p>
        </w:tc>
      </w:tr>
      <w:tr w:rsidR="00511AC9" w14:paraId="1F626001" w14:textId="77777777" w:rsidTr="000A2B78">
        <w:tc>
          <w:tcPr>
            <w:tcW w:w="3042" w:type="dxa"/>
          </w:tcPr>
          <w:p w14:paraId="03DBABD1" w14:textId="77777777" w:rsidR="00511AC9" w:rsidRPr="00AB5043" w:rsidRDefault="00511AC9" w:rsidP="000A2B78">
            <w:pPr>
              <w:tabs>
                <w:tab w:val="left" w:pos="766"/>
                <w:tab w:val="center" w:pos="1413"/>
              </w:tabs>
              <w:rPr>
                <w:szCs w:val="24"/>
              </w:rPr>
            </w:pPr>
            <w:r>
              <w:rPr>
                <w:szCs w:val="24"/>
              </w:rPr>
              <w:t>FAIRPOINT COMMUNICATIONS</w:t>
            </w:r>
          </w:p>
        </w:tc>
        <w:tc>
          <w:tcPr>
            <w:tcW w:w="3042" w:type="dxa"/>
          </w:tcPr>
          <w:p w14:paraId="1D5B2CF2" w14:textId="77777777" w:rsidR="00511AC9" w:rsidRDefault="00511AC9" w:rsidP="000A2B78">
            <w:pPr>
              <w:jc w:val="right"/>
              <w:rPr>
                <w:szCs w:val="24"/>
              </w:rPr>
            </w:pPr>
          </w:p>
          <w:p w14:paraId="4DD80659" w14:textId="77777777" w:rsidR="00511AC9" w:rsidRPr="00163730" w:rsidRDefault="00511AC9" w:rsidP="000A2B78">
            <w:pPr>
              <w:jc w:val="right"/>
              <w:rPr>
                <w:szCs w:val="24"/>
              </w:rPr>
            </w:pPr>
            <w:r>
              <w:rPr>
                <w:szCs w:val="24"/>
              </w:rPr>
              <w:t>106,380</w:t>
            </w:r>
          </w:p>
        </w:tc>
        <w:tc>
          <w:tcPr>
            <w:tcW w:w="3042" w:type="dxa"/>
          </w:tcPr>
          <w:p w14:paraId="73785447" w14:textId="77777777" w:rsidR="00511AC9" w:rsidRDefault="00511AC9" w:rsidP="000A2B78">
            <w:pPr>
              <w:jc w:val="right"/>
              <w:rPr>
                <w:szCs w:val="24"/>
              </w:rPr>
            </w:pPr>
          </w:p>
          <w:p w14:paraId="6A4620BA" w14:textId="77777777" w:rsidR="00511AC9" w:rsidRPr="00163730" w:rsidRDefault="00511AC9" w:rsidP="000A2B78">
            <w:pPr>
              <w:jc w:val="right"/>
              <w:rPr>
                <w:szCs w:val="24"/>
              </w:rPr>
            </w:pPr>
            <w:r>
              <w:rPr>
                <w:szCs w:val="24"/>
              </w:rPr>
              <w:t>$38,193,437</w:t>
            </w:r>
          </w:p>
        </w:tc>
      </w:tr>
      <w:tr w:rsidR="00511AC9" w14:paraId="13C22118" w14:textId="77777777" w:rsidTr="000A2B78">
        <w:tc>
          <w:tcPr>
            <w:tcW w:w="3042" w:type="dxa"/>
          </w:tcPr>
          <w:p w14:paraId="1C09D770" w14:textId="77777777" w:rsidR="00511AC9" w:rsidRPr="00AB5043" w:rsidRDefault="00511AC9" w:rsidP="000A2B78">
            <w:pPr>
              <w:rPr>
                <w:szCs w:val="24"/>
              </w:rPr>
            </w:pPr>
            <w:r>
              <w:rPr>
                <w:szCs w:val="24"/>
              </w:rPr>
              <w:t>FRONTIER COMMUNICATIONS</w:t>
            </w:r>
          </w:p>
        </w:tc>
        <w:tc>
          <w:tcPr>
            <w:tcW w:w="3042" w:type="dxa"/>
          </w:tcPr>
          <w:p w14:paraId="409AABB2" w14:textId="77777777" w:rsidR="00511AC9" w:rsidRDefault="00511AC9" w:rsidP="000A2B78">
            <w:pPr>
              <w:jc w:val="right"/>
              <w:rPr>
                <w:szCs w:val="24"/>
              </w:rPr>
            </w:pPr>
          </w:p>
          <w:p w14:paraId="08B99480" w14:textId="77777777" w:rsidR="00511AC9" w:rsidRPr="00163730" w:rsidRDefault="00511AC9" w:rsidP="000A2B78">
            <w:pPr>
              <w:jc w:val="right"/>
              <w:rPr>
                <w:szCs w:val="24"/>
              </w:rPr>
            </w:pPr>
            <w:r>
              <w:rPr>
                <w:szCs w:val="24"/>
              </w:rPr>
              <w:t>659, 587</w:t>
            </w:r>
          </w:p>
        </w:tc>
        <w:tc>
          <w:tcPr>
            <w:tcW w:w="3042" w:type="dxa"/>
          </w:tcPr>
          <w:p w14:paraId="528294E4" w14:textId="77777777" w:rsidR="00511AC9" w:rsidRDefault="00511AC9" w:rsidP="000A2B78">
            <w:pPr>
              <w:jc w:val="right"/>
              <w:rPr>
                <w:szCs w:val="24"/>
              </w:rPr>
            </w:pPr>
          </w:p>
          <w:p w14:paraId="7696D6FA" w14:textId="77777777" w:rsidR="00511AC9" w:rsidRPr="00163730" w:rsidRDefault="00511AC9" w:rsidP="000A2B78">
            <w:pPr>
              <w:jc w:val="right"/>
              <w:rPr>
                <w:szCs w:val="24"/>
              </w:rPr>
            </w:pPr>
            <w:r>
              <w:rPr>
                <w:szCs w:val="24"/>
              </w:rPr>
              <w:t>$283,401,855</w:t>
            </w:r>
          </w:p>
        </w:tc>
      </w:tr>
      <w:tr w:rsidR="00511AC9" w14:paraId="3993474A" w14:textId="77777777" w:rsidTr="000A2B78">
        <w:tc>
          <w:tcPr>
            <w:tcW w:w="3042" w:type="dxa"/>
          </w:tcPr>
          <w:p w14:paraId="197C5B54" w14:textId="77777777" w:rsidR="00511AC9" w:rsidRDefault="00511AC9" w:rsidP="000A2B78">
            <w:pPr>
              <w:rPr>
                <w:szCs w:val="24"/>
              </w:rPr>
            </w:pPr>
            <w:r>
              <w:rPr>
                <w:szCs w:val="24"/>
              </w:rPr>
              <w:t>HAWAIIAN TELCOM</w:t>
            </w:r>
          </w:p>
          <w:p w14:paraId="52C8758A" w14:textId="77777777" w:rsidR="00511AC9" w:rsidRPr="00AB5043" w:rsidRDefault="00511AC9" w:rsidP="000A2B78">
            <w:pPr>
              <w:rPr>
                <w:szCs w:val="24"/>
              </w:rPr>
            </w:pPr>
          </w:p>
        </w:tc>
        <w:tc>
          <w:tcPr>
            <w:tcW w:w="3042" w:type="dxa"/>
          </w:tcPr>
          <w:p w14:paraId="6F5208AB" w14:textId="77777777" w:rsidR="00511AC9" w:rsidRDefault="00511AC9" w:rsidP="000A2B78">
            <w:pPr>
              <w:jc w:val="right"/>
              <w:rPr>
                <w:b/>
                <w:szCs w:val="24"/>
              </w:rPr>
            </w:pPr>
          </w:p>
          <w:p w14:paraId="39238AA6" w14:textId="77777777" w:rsidR="00511AC9" w:rsidRPr="00163730" w:rsidRDefault="00511AC9" w:rsidP="000A2B78">
            <w:pPr>
              <w:jc w:val="right"/>
              <w:rPr>
                <w:szCs w:val="24"/>
              </w:rPr>
            </w:pPr>
            <w:r w:rsidRPr="00163730">
              <w:rPr>
                <w:szCs w:val="24"/>
              </w:rPr>
              <w:t>11,081</w:t>
            </w:r>
          </w:p>
        </w:tc>
        <w:tc>
          <w:tcPr>
            <w:tcW w:w="3042" w:type="dxa"/>
          </w:tcPr>
          <w:p w14:paraId="238AC5F8" w14:textId="77777777" w:rsidR="00511AC9" w:rsidRDefault="00511AC9" w:rsidP="000A2B78">
            <w:pPr>
              <w:jc w:val="right"/>
              <w:rPr>
                <w:szCs w:val="24"/>
              </w:rPr>
            </w:pPr>
          </w:p>
          <w:p w14:paraId="1DD96F65" w14:textId="77777777" w:rsidR="00511AC9" w:rsidRPr="00163730" w:rsidRDefault="00511AC9" w:rsidP="000A2B78">
            <w:pPr>
              <w:jc w:val="right"/>
              <w:rPr>
                <w:szCs w:val="24"/>
              </w:rPr>
            </w:pPr>
            <w:r>
              <w:rPr>
                <w:szCs w:val="24"/>
              </w:rPr>
              <w:t>$4,424,319</w:t>
            </w:r>
          </w:p>
        </w:tc>
      </w:tr>
      <w:tr w:rsidR="00511AC9" w14:paraId="53D47506" w14:textId="77777777" w:rsidTr="000A2B78">
        <w:tc>
          <w:tcPr>
            <w:tcW w:w="3042" w:type="dxa"/>
          </w:tcPr>
          <w:p w14:paraId="6222B44D" w14:textId="77777777" w:rsidR="00511AC9" w:rsidRDefault="00511AC9" w:rsidP="000A2B78">
            <w:pPr>
              <w:rPr>
                <w:szCs w:val="24"/>
              </w:rPr>
            </w:pPr>
            <w:r>
              <w:rPr>
                <w:szCs w:val="24"/>
              </w:rPr>
              <w:t>MICRONESIAN TELECOM</w:t>
            </w:r>
          </w:p>
          <w:p w14:paraId="686BE6AE" w14:textId="77777777" w:rsidR="00511AC9" w:rsidRPr="00AB5043" w:rsidRDefault="00511AC9" w:rsidP="000A2B78">
            <w:pPr>
              <w:rPr>
                <w:szCs w:val="24"/>
              </w:rPr>
            </w:pPr>
          </w:p>
        </w:tc>
        <w:tc>
          <w:tcPr>
            <w:tcW w:w="3042" w:type="dxa"/>
          </w:tcPr>
          <w:p w14:paraId="0E7D92F5" w14:textId="77777777" w:rsidR="00511AC9" w:rsidRDefault="00511AC9" w:rsidP="000A2B78">
            <w:pPr>
              <w:jc w:val="right"/>
              <w:rPr>
                <w:szCs w:val="24"/>
              </w:rPr>
            </w:pPr>
          </w:p>
          <w:p w14:paraId="027B6A25" w14:textId="77777777" w:rsidR="00511AC9" w:rsidRPr="00163730" w:rsidRDefault="00511AC9" w:rsidP="000A2B78">
            <w:pPr>
              <w:jc w:val="right"/>
              <w:rPr>
                <w:szCs w:val="24"/>
              </w:rPr>
            </w:pPr>
            <w:r>
              <w:rPr>
                <w:szCs w:val="24"/>
              </w:rPr>
              <w:t>11,143</w:t>
            </w:r>
          </w:p>
        </w:tc>
        <w:tc>
          <w:tcPr>
            <w:tcW w:w="3042" w:type="dxa"/>
          </w:tcPr>
          <w:p w14:paraId="53A3B634" w14:textId="77777777" w:rsidR="00511AC9" w:rsidRDefault="00511AC9" w:rsidP="000A2B78">
            <w:pPr>
              <w:jc w:val="right"/>
              <w:rPr>
                <w:szCs w:val="24"/>
              </w:rPr>
            </w:pPr>
          </w:p>
          <w:p w14:paraId="4A91BB8A" w14:textId="77777777" w:rsidR="00511AC9" w:rsidRPr="00163730" w:rsidRDefault="00511AC9" w:rsidP="000A2B78">
            <w:pPr>
              <w:jc w:val="right"/>
              <w:rPr>
                <w:szCs w:val="24"/>
              </w:rPr>
            </w:pPr>
            <w:r>
              <w:rPr>
                <w:szCs w:val="24"/>
              </w:rPr>
              <w:t>$2,627,177</w:t>
            </w:r>
          </w:p>
        </w:tc>
      </w:tr>
      <w:tr w:rsidR="00511AC9" w14:paraId="0F95D73D" w14:textId="77777777" w:rsidTr="000A2B78">
        <w:tc>
          <w:tcPr>
            <w:tcW w:w="3042" w:type="dxa"/>
          </w:tcPr>
          <w:p w14:paraId="189A437E" w14:textId="77777777" w:rsidR="00511AC9" w:rsidRDefault="00511AC9" w:rsidP="000A2B78">
            <w:pPr>
              <w:rPr>
                <w:szCs w:val="24"/>
              </w:rPr>
            </w:pPr>
            <w:r>
              <w:rPr>
                <w:szCs w:val="24"/>
              </w:rPr>
              <w:t>VERIZON</w:t>
            </w:r>
          </w:p>
          <w:p w14:paraId="711C0A38" w14:textId="77777777" w:rsidR="00511AC9" w:rsidRPr="00AB5043" w:rsidRDefault="00511AC9" w:rsidP="000A2B78">
            <w:pPr>
              <w:rPr>
                <w:szCs w:val="24"/>
              </w:rPr>
            </w:pPr>
          </w:p>
        </w:tc>
        <w:tc>
          <w:tcPr>
            <w:tcW w:w="3042" w:type="dxa"/>
          </w:tcPr>
          <w:p w14:paraId="5BC0F131" w14:textId="77777777" w:rsidR="00511AC9" w:rsidRDefault="00511AC9" w:rsidP="000A2B78">
            <w:pPr>
              <w:jc w:val="right"/>
              <w:rPr>
                <w:szCs w:val="24"/>
              </w:rPr>
            </w:pPr>
          </w:p>
          <w:p w14:paraId="13F1BF8B" w14:textId="77777777" w:rsidR="00511AC9" w:rsidRPr="00163730" w:rsidRDefault="00511AC9" w:rsidP="000A2B78">
            <w:pPr>
              <w:jc w:val="right"/>
              <w:rPr>
                <w:szCs w:val="24"/>
              </w:rPr>
            </w:pPr>
            <w:r>
              <w:rPr>
                <w:szCs w:val="24"/>
              </w:rPr>
              <w:t>387,470</w:t>
            </w:r>
          </w:p>
        </w:tc>
        <w:tc>
          <w:tcPr>
            <w:tcW w:w="3042" w:type="dxa"/>
          </w:tcPr>
          <w:p w14:paraId="3C4DE9B3" w14:textId="77777777" w:rsidR="00511AC9" w:rsidRDefault="00511AC9" w:rsidP="000A2B78">
            <w:pPr>
              <w:jc w:val="right"/>
              <w:rPr>
                <w:szCs w:val="24"/>
              </w:rPr>
            </w:pPr>
          </w:p>
          <w:p w14:paraId="140B4655" w14:textId="77777777" w:rsidR="00511AC9" w:rsidRPr="00163730" w:rsidRDefault="00511AC9" w:rsidP="000A2B78">
            <w:pPr>
              <w:jc w:val="right"/>
              <w:rPr>
                <w:szCs w:val="24"/>
              </w:rPr>
            </w:pPr>
            <w:r>
              <w:rPr>
                <w:szCs w:val="24"/>
              </w:rPr>
              <w:t>$143,924,996</w:t>
            </w:r>
          </w:p>
        </w:tc>
      </w:tr>
      <w:tr w:rsidR="00511AC9" w14:paraId="11245CE5" w14:textId="77777777" w:rsidTr="000A2B78">
        <w:tc>
          <w:tcPr>
            <w:tcW w:w="3042" w:type="dxa"/>
          </w:tcPr>
          <w:p w14:paraId="026F0705" w14:textId="77777777" w:rsidR="00511AC9" w:rsidRPr="00AB5043" w:rsidRDefault="00511AC9" w:rsidP="000A2B78">
            <w:pPr>
              <w:rPr>
                <w:szCs w:val="24"/>
              </w:rPr>
            </w:pPr>
            <w:r>
              <w:rPr>
                <w:szCs w:val="24"/>
              </w:rPr>
              <w:t>WINDSTREAM COMMUNICATIONS</w:t>
            </w:r>
          </w:p>
        </w:tc>
        <w:tc>
          <w:tcPr>
            <w:tcW w:w="3042" w:type="dxa"/>
          </w:tcPr>
          <w:p w14:paraId="786D05B5" w14:textId="77777777" w:rsidR="00511AC9" w:rsidRDefault="00511AC9" w:rsidP="000A2B78">
            <w:pPr>
              <w:jc w:val="right"/>
              <w:rPr>
                <w:szCs w:val="24"/>
              </w:rPr>
            </w:pPr>
          </w:p>
          <w:p w14:paraId="0980E81F" w14:textId="77777777" w:rsidR="00511AC9" w:rsidRPr="00163730" w:rsidRDefault="00511AC9" w:rsidP="000A2B78">
            <w:pPr>
              <w:jc w:val="right"/>
              <w:rPr>
                <w:szCs w:val="24"/>
              </w:rPr>
            </w:pPr>
            <w:r>
              <w:rPr>
                <w:szCs w:val="24"/>
              </w:rPr>
              <w:t>413,345</w:t>
            </w:r>
          </w:p>
        </w:tc>
        <w:tc>
          <w:tcPr>
            <w:tcW w:w="3042" w:type="dxa"/>
          </w:tcPr>
          <w:p w14:paraId="31559EF1" w14:textId="77777777" w:rsidR="00511AC9" w:rsidRDefault="00511AC9" w:rsidP="000A2B78">
            <w:pPr>
              <w:jc w:val="right"/>
              <w:rPr>
                <w:szCs w:val="24"/>
              </w:rPr>
            </w:pPr>
          </w:p>
          <w:p w14:paraId="3CBF4770" w14:textId="77777777" w:rsidR="00511AC9" w:rsidRPr="00163730" w:rsidRDefault="00511AC9" w:rsidP="000A2B78">
            <w:pPr>
              <w:jc w:val="right"/>
              <w:rPr>
                <w:szCs w:val="24"/>
              </w:rPr>
            </w:pPr>
            <w:r>
              <w:rPr>
                <w:szCs w:val="24"/>
              </w:rPr>
              <w:t>$178,779,068</w:t>
            </w:r>
          </w:p>
        </w:tc>
      </w:tr>
    </w:tbl>
    <w:p w14:paraId="3B0C826D" w14:textId="77777777" w:rsidR="00511AC9" w:rsidRPr="005C12FB" w:rsidRDefault="00511AC9" w:rsidP="00511AC9">
      <w:pPr>
        <w:jc w:val="center"/>
        <w:rPr>
          <w:b/>
          <w:szCs w:val="24"/>
        </w:rPr>
      </w:pPr>
    </w:p>
    <w:p w14:paraId="678390F9" w14:textId="77777777" w:rsidR="001E64BD" w:rsidRPr="005C12FB" w:rsidRDefault="001E64BD" w:rsidP="005C12FB">
      <w:pPr>
        <w:jc w:val="center"/>
        <w:rPr>
          <w:b/>
          <w:szCs w:val="24"/>
        </w:rPr>
      </w:pPr>
    </w:p>
    <w:sectPr w:rsidR="001E64BD" w:rsidRPr="005C12FB" w:rsidSect="00CA6FBE">
      <w:headerReference w:type="first" r:id="rId16"/>
      <w:footerReference w:type="first" r:id="rId17"/>
      <w:pgSz w:w="12240" w:h="15840" w:code="1"/>
      <w:pgMar w:top="1440" w:right="189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C0DF4" w14:textId="77777777" w:rsidR="0040095E" w:rsidRDefault="0040095E">
      <w:r>
        <w:separator/>
      </w:r>
    </w:p>
  </w:endnote>
  <w:endnote w:type="continuationSeparator" w:id="0">
    <w:p w14:paraId="5876FE8A" w14:textId="77777777" w:rsidR="0040095E" w:rsidRDefault="0040095E">
      <w:r>
        <w:continuationSeparator/>
      </w:r>
    </w:p>
  </w:endnote>
  <w:endnote w:type="continuationNotice" w:id="1">
    <w:p w14:paraId="4476F76F" w14:textId="77777777" w:rsidR="0040095E" w:rsidRDefault="00400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FCD6"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2966CD" w14:textId="77777777" w:rsidR="001E64BD" w:rsidRDefault="001E6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ACA5A" w14:textId="77777777" w:rsidR="001E64BD" w:rsidRDefault="00615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5B62">
      <w:rPr>
        <w:rStyle w:val="PageNumber"/>
        <w:noProof/>
      </w:rPr>
      <w:t>2</w:t>
    </w:r>
    <w:r>
      <w:rPr>
        <w:rStyle w:val="PageNumber"/>
      </w:rPr>
      <w:fldChar w:fldCharType="end"/>
    </w:r>
  </w:p>
  <w:p w14:paraId="1971CC18" w14:textId="77777777" w:rsidR="001E64BD" w:rsidRDefault="001E6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11B0" w14:textId="69B4F8E2" w:rsidR="00723715" w:rsidRDefault="00723715">
    <w:pPr>
      <w:pStyle w:val="Footer"/>
      <w:jc w:val="center"/>
    </w:pPr>
  </w:p>
  <w:p w14:paraId="2FDAC234" w14:textId="77777777" w:rsidR="00723715" w:rsidRDefault="007237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22766"/>
      <w:docPartObj>
        <w:docPartGallery w:val="Page Numbers (Bottom of Page)"/>
        <w:docPartUnique/>
      </w:docPartObj>
    </w:sdtPr>
    <w:sdtEndPr>
      <w:rPr>
        <w:noProof/>
      </w:rPr>
    </w:sdtEndPr>
    <w:sdtContent>
      <w:p w14:paraId="02885092" w14:textId="77777777" w:rsidR="00723715" w:rsidRDefault="00723715">
        <w:pPr>
          <w:pStyle w:val="Footer"/>
          <w:jc w:val="center"/>
        </w:pPr>
        <w:r>
          <w:fldChar w:fldCharType="begin"/>
        </w:r>
        <w:r>
          <w:instrText xml:space="preserve"> PAGE   \* MERGEFORMAT </w:instrText>
        </w:r>
        <w:r>
          <w:fldChar w:fldCharType="separate"/>
        </w:r>
        <w:r w:rsidR="00985B62">
          <w:rPr>
            <w:noProof/>
          </w:rPr>
          <w:t>3</w:t>
        </w:r>
        <w:r>
          <w:rPr>
            <w:noProof/>
          </w:rPr>
          <w:fldChar w:fldCharType="end"/>
        </w:r>
      </w:p>
    </w:sdtContent>
  </w:sdt>
  <w:p w14:paraId="4287AFE7" w14:textId="77777777" w:rsidR="00723715" w:rsidRDefault="00723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D9E84" w14:textId="77777777" w:rsidR="0040095E" w:rsidRDefault="0040095E">
      <w:r>
        <w:separator/>
      </w:r>
    </w:p>
  </w:footnote>
  <w:footnote w:type="continuationSeparator" w:id="0">
    <w:p w14:paraId="1B4847D9" w14:textId="77777777" w:rsidR="0040095E" w:rsidRDefault="0040095E">
      <w:pPr>
        <w:rPr>
          <w:sz w:val="20"/>
        </w:rPr>
      </w:pPr>
      <w:r>
        <w:rPr>
          <w:sz w:val="20"/>
        </w:rPr>
        <w:t xml:space="preserve">(Continued from previous page) </w:t>
      </w:r>
      <w:r>
        <w:rPr>
          <w:sz w:val="20"/>
        </w:rPr>
        <w:separator/>
      </w:r>
    </w:p>
  </w:footnote>
  <w:footnote w:type="continuationNotice" w:id="1">
    <w:p w14:paraId="728AB929" w14:textId="77777777" w:rsidR="0040095E" w:rsidRDefault="0040095E">
      <w:pPr>
        <w:jc w:val="right"/>
        <w:rPr>
          <w:sz w:val="20"/>
        </w:rPr>
      </w:pPr>
      <w:r>
        <w:rPr>
          <w:sz w:val="20"/>
        </w:rPr>
        <w:t>(continued…)</w:t>
      </w:r>
    </w:p>
  </w:footnote>
  <w:footnote w:id="2">
    <w:p w14:paraId="1DBD4195" w14:textId="5B761D4B" w:rsidR="004772E5" w:rsidRPr="005521D8" w:rsidRDefault="004772E5" w:rsidP="00891A99">
      <w:pPr>
        <w:pStyle w:val="FootnoteText"/>
        <w:spacing w:after="120"/>
        <w:rPr>
          <w:sz w:val="20"/>
        </w:rPr>
      </w:pPr>
      <w:r w:rsidRPr="004772E5">
        <w:rPr>
          <w:rStyle w:val="FootnoteReference"/>
          <w:sz w:val="20"/>
        </w:rPr>
        <w:footnoteRef/>
      </w:r>
      <w:r w:rsidRPr="004772E5">
        <w:rPr>
          <w:sz w:val="20"/>
        </w:rPr>
        <w:t xml:space="preserve"> </w:t>
      </w:r>
      <w:r w:rsidR="00792319" w:rsidRPr="00ED51DA">
        <w:rPr>
          <w:sz w:val="20"/>
        </w:rPr>
        <w:t xml:space="preserve">The offer of model-based support is targeted to census blocks lacking </w:t>
      </w:r>
      <w:r w:rsidR="00102520">
        <w:rPr>
          <w:sz w:val="20"/>
        </w:rPr>
        <w:t xml:space="preserve">unsubsidized </w:t>
      </w:r>
      <w:r w:rsidR="00792319" w:rsidRPr="00ED51DA">
        <w:rPr>
          <w:sz w:val="20"/>
        </w:rPr>
        <w:t>competitors offering service at speeds of less than 4 Mbps downstream/1 Mbps upstream, where the cost of providing service e</w:t>
      </w:r>
      <w:r w:rsidR="00792319">
        <w:rPr>
          <w:sz w:val="20"/>
        </w:rPr>
        <w:t xml:space="preserve">xceeds $52.50 but is less than $198.60.  </w:t>
      </w:r>
    </w:p>
  </w:footnote>
  <w:footnote w:id="3">
    <w:p w14:paraId="66B5748B" w14:textId="5A9C8882" w:rsidR="00343129" w:rsidRPr="0037203E" w:rsidRDefault="00343129" w:rsidP="00891A99">
      <w:pPr>
        <w:pStyle w:val="FootnoteText"/>
        <w:spacing w:after="120"/>
      </w:pPr>
      <w:r>
        <w:rPr>
          <w:rStyle w:val="FootnoteReference"/>
        </w:rPr>
        <w:footnoteRef/>
      </w:r>
      <w:r>
        <w:rPr>
          <w:sz w:val="20"/>
        </w:rPr>
        <w:t xml:space="preserve"> The Bureau previously estimated the budget for the offer of model-based support would be approximately $1.782 billion.  </w:t>
      </w:r>
      <w:r>
        <w:rPr>
          <w:i/>
          <w:sz w:val="20"/>
        </w:rPr>
        <w:t xml:space="preserve">See </w:t>
      </w:r>
      <w:r w:rsidRPr="00832F63">
        <w:rPr>
          <w:i/>
        </w:rPr>
        <w:t xml:space="preserve">Connect America </w:t>
      </w:r>
      <w:r w:rsidRPr="00C3448E">
        <w:rPr>
          <w:i/>
          <w:sz w:val="20"/>
        </w:rPr>
        <w:t>Fund et al.</w:t>
      </w:r>
      <w:r w:rsidRPr="00C3448E">
        <w:rPr>
          <w:sz w:val="20"/>
        </w:rPr>
        <w:t>, WC Docket No. 10-90 et al., Report and Order, 29 FCC Rcd 3964</w:t>
      </w:r>
      <w:r>
        <w:rPr>
          <w:sz w:val="20"/>
        </w:rPr>
        <w:t xml:space="preserve">, 4034-35, para. 169 </w:t>
      </w:r>
      <w:r w:rsidRPr="00C3448E">
        <w:rPr>
          <w:sz w:val="20"/>
        </w:rPr>
        <w:t>(Wireline Comp. Bur. 2014) (</w:t>
      </w:r>
      <w:r w:rsidRPr="00C3448E">
        <w:rPr>
          <w:i/>
          <w:sz w:val="20"/>
        </w:rPr>
        <w:t>CAM Inputs Order</w:t>
      </w:r>
      <w:r w:rsidRPr="00C3448E">
        <w:rPr>
          <w:sz w:val="20"/>
        </w:rPr>
        <w:t>)</w:t>
      </w:r>
      <w:r>
        <w:rPr>
          <w:sz w:val="20"/>
        </w:rPr>
        <w:t xml:space="preserve">.  The amount the Commission offers today does not include $72 million in support for </w:t>
      </w:r>
      <w:r w:rsidR="007F7489">
        <w:rPr>
          <w:sz w:val="20"/>
        </w:rPr>
        <w:t xml:space="preserve">those non-contiguous </w:t>
      </w:r>
      <w:r>
        <w:rPr>
          <w:sz w:val="20"/>
        </w:rPr>
        <w:t xml:space="preserve">carriers that notified the Bureau that they are interested in receiving Phase II frozen support in lieu of model-based support.  </w:t>
      </w:r>
      <w:r>
        <w:rPr>
          <w:i/>
          <w:sz w:val="20"/>
        </w:rPr>
        <w:t>See Connect America Fund et al.,</w:t>
      </w:r>
      <w:r w:rsidRPr="00400C8D">
        <w:rPr>
          <w:i/>
          <w:sz w:val="20"/>
        </w:rPr>
        <w:t xml:space="preserve"> </w:t>
      </w:r>
      <w:r w:rsidRPr="00400C8D">
        <w:rPr>
          <w:sz w:val="20"/>
        </w:rPr>
        <w:t>WC Docket Nos. 10-90 et al</w:t>
      </w:r>
      <w:r>
        <w:rPr>
          <w:sz w:val="20"/>
        </w:rPr>
        <w:t xml:space="preserve">., Report and Order, 29 </w:t>
      </w:r>
      <w:r w:rsidRPr="00326FCA">
        <w:rPr>
          <w:sz w:val="20"/>
        </w:rPr>
        <w:t>FCC Rcd 15</w:t>
      </w:r>
      <w:r>
        <w:rPr>
          <w:sz w:val="20"/>
        </w:rPr>
        <w:t>644, 15661-15663, paras. 45-49</w:t>
      </w:r>
      <w:r w:rsidRPr="00326FCA">
        <w:rPr>
          <w:sz w:val="20"/>
        </w:rPr>
        <w:t xml:space="preserve"> (2014)</w:t>
      </w:r>
      <w:r>
        <w:rPr>
          <w:sz w:val="20"/>
        </w:rPr>
        <w:t xml:space="preserve"> (</w:t>
      </w:r>
      <w:r>
        <w:rPr>
          <w:i/>
          <w:sz w:val="20"/>
        </w:rPr>
        <w:t>December 2014 Connect America Order</w:t>
      </w:r>
      <w:r>
        <w:rPr>
          <w:sz w:val="20"/>
        </w:rPr>
        <w:t>)</w:t>
      </w:r>
      <w:r w:rsidR="00F05E60">
        <w:rPr>
          <w:sz w:val="20"/>
        </w:rPr>
        <w:t xml:space="preserve">; Letter from Karen Brinkman, Counsel to Alaska Communications Systems, to Marlene H. Dortch, Secretary, FCC, WC Docket No. 10-90 (filed Jan. 2, 2015); Letter from Russell M. Blau, Counsel to Virgin Islands Telephone Corporation d/b/a Innovative Communications, to Marlene H. Dortch, Secretary, FCC, WC Docket No. 10-90 (filed Dec. 29, 2014); Letter from Thomas J. Navin, Counsel to Puerto Rico Telephone Company, Inc., to Marlene H. Dortch, Secretary, FCC, WC Docket No. 10-90 (filed Dec. 22, 2014).  </w:t>
      </w:r>
      <w:r>
        <w:rPr>
          <w:sz w:val="20"/>
        </w:rPr>
        <w:t xml:space="preserve">The amount also does not include </w:t>
      </w:r>
      <w:r w:rsidR="00040E3D">
        <w:rPr>
          <w:sz w:val="20"/>
        </w:rPr>
        <w:t xml:space="preserve">the model-calculated </w:t>
      </w:r>
      <w:r>
        <w:rPr>
          <w:sz w:val="20"/>
        </w:rPr>
        <w:t xml:space="preserve">support </w:t>
      </w:r>
      <w:r w:rsidR="00040E3D">
        <w:rPr>
          <w:sz w:val="20"/>
        </w:rPr>
        <w:t xml:space="preserve">($35 million) </w:t>
      </w:r>
      <w:r>
        <w:rPr>
          <w:sz w:val="20"/>
        </w:rPr>
        <w:t xml:space="preserve">associated with census blocks </w:t>
      </w:r>
      <w:r w:rsidR="00040E3D">
        <w:rPr>
          <w:sz w:val="20"/>
        </w:rPr>
        <w:t>included in non-winning rural broadband experiment applications submitted in category one, which</w:t>
      </w:r>
      <w:r>
        <w:rPr>
          <w:sz w:val="20"/>
        </w:rPr>
        <w:t xml:space="preserve"> the Commission has determined will instead be eligible for the Connect America Phase II competitive bidding process.  </w:t>
      </w:r>
      <w:r w:rsidR="00040E3D">
        <w:rPr>
          <w:i/>
          <w:sz w:val="20"/>
        </w:rPr>
        <w:t xml:space="preserve">See </w:t>
      </w:r>
      <w:r w:rsidR="00450DF4">
        <w:rPr>
          <w:i/>
          <w:sz w:val="20"/>
        </w:rPr>
        <w:t>December 2014 Connect America Order</w:t>
      </w:r>
      <w:r w:rsidR="00450DF4">
        <w:rPr>
          <w:sz w:val="20"/>
        </w:rPr>
        <w:t xml:space="preserve">, 29 FCC Rcd </w:t>
      </w:r>
      <w:r w:rsidR="004379B0">
        <w:rPr>
          <w:sz w:val="20"/>
        </w:rPr>
        <w:t xml:space="preserve">at </w:t>
      </w:r>
      <w:r w:rsidR="00040E3D">
        <w:rPr>
          <w:sz w:val="20"/>
        </w:rPr>
        <w:t>15675, para. 84.</w:t>
      </w:r>
    </w:p>
  </w:footnote>
  <w:footnote w:id="4">
    <w:p w14:paraId="6BF13AD9" w14:textId="6E996EFF" w:rsidR="00343129" w:rsidRDefault="00343129" w:rsidP="00891A99">
      <w:pPr>
        <w:pStyle w:val="FootnoteText"/>
        <w:spacing w:after="120"/>
      </w:pPr>
      <w:r>
        <w:rPr>
          <w:rStyle w:val="FootnoteReference"/>
        </w:rPr>
        <w:footnoteRef/>
      </w:r>
      <w:r>
        <w:t xml:space="preserve"> </w:t>
      </w:r>
      <w:r>
        <w:rPr>
          <w:sz w:val="20"/>
        </w:rPr>
        <w:t xml:space="preserve">As directed by the Commission, the Bureau removed otherwise eligible Phase II census blocks with provisionally selected bids in the rural broadband experiments, census blocks included in non-winning rural broadband experiment applications submitted in category one, and  census blocks served by subsidized providers offering service at speeds of 4 </w:t>
      </w:r>
      <w:r w:rsidRPr="00ED51DA">
        <w:rPr>
          <w:sz w:val="20"/>
        </w:rPr>
        <w:t>Mbps downstream/1 Mbps upstream</w:t>
      </w:r>
      <w:r>
        <w:rPr>
          <w:sz w:val="20"/>
        </w:rPr>
        <w:t xml:space="preserve"> or above.  </w:t>
      </w:r>
      <w:r w:rsidRPr="00972F59">
        <w:rPr>
          <w:i/>
          <w:sz w:val="20"/>
        </w:rPr>
        <w:t>See Connect America Fund; ETC Annual Reports and Certification</w:t>
      </w:r>
      <w:r w:rsidRPr="00972F59">
        <w:rPr>
          <w:sz w:val="20"/>
        </w:rPr>
        <w:t>, WC Docket Nos. 10-90, 14-58, Report and Order and Further Notice of Proposed Rulemaking, 29 FCC Rcd 8769</w:t>
      </w:r>
      <w:r>
        <w:rPr>
          <w:sz w:val="20"/>
        </w:rPr>
        <w:t>, 8777, para. 18</w:t>
      </w:r>
      <w:r w:rsidRPr="00972F59">
        <w:rPr>
          <w:sz w:val="20"/>
        </w:rPr>
        <w:t xml:space="preserve"> (2014) (</w:t>
      </w:r>
      <w:r w:rsidRPr="00972F59">
        <w:rPr>
          <w:i/>
          <w:sz w:val="20"/>
        </w:rPr>
        <w:t>Rural Broadband Experiments Order</w:t>
      </w:r>
      <w:r w:rsidRPr="00972F59">
        <w:rPr>
          <w:sz w:val="20"/>
        </w:rPr>
        <w:t>)</w:t>
      </w:r>
      <w:r w:rsidR="00040E3D">
        <w:rPr>
          <w:sz w:val="20"/>
        </w:rPr>
        <w:t xml:space="preserve">; </w:t>
      </w:r>
      <w:r w:rsidR="00040E3D">
        <w:rPr>
          <w:i/>
          <w:sz w:val="20"/>
        </w:rPr>
        <w:t>December 2014 Connect America Order</w:t>
      </w:r>
      <w:r w:rsidR="00040E3D">
        <w:rPr>
          <w:sz w:val="20"/>
        </w:rPr>
        <w:t xml:space="preserve">, 29 </w:t>
      </w:r>
      <w:r w:rsidR="00040E3D" w:rsidRPr="00326FCA">
        <w:rPr>
          <w:sz w:val="20"/>
        </w:rPr>
        <w:t xml:space="preserve">FCC Rcd </w:t>
      </w:r>
      <w:r w:rsidR="004379B0">
        <w:rPr>
          <w:sz w:val="20"/>
        </w:rPr>
        <w:t xml:space="preserve">at </w:t>
      </w:r>
      <w:r w:rsidR="00040E3D" w:rsidRPr="00326FCA">
        <w:rPr>
          <w:sz w:val="20"/>
        </w:rPr>
        <w:t>15</w:t>
      </w:r>
      <w:r w:rsidR="00040E3D">
        <w:rPr>
          <w:sz w:val="20"/>
        </w:rPr>
        <w:t>644, para. 73</w:t>
      </w:r>
      <w:r>
        <w:rPr>
          <w:sz w:val="20"/>
        </w:rPr>
        <w:t>.</w:t>
      </w:r>
    </w:p>
  </w:footnote>
  <w:footnote w:id="5">
    <w:p w14:paraId="0A4C0F2E" w14:textId="6AE0D032" w:rsidR="007A22C2" w:rsidRPr="00A758DC" w:rsidRDefault="007A22C2" w:rsidP="00985B62">
      <w:pPr>
        <w:pStyle w:val="FootnoteText"/>
        <w:spacing w:after="120"/>
        <w:rPr>
          <w:sz w:val="20"/>
        </w:rPr>
      </w:pPr>
      <w:r w:rsidRPr="00A758DC">
        <w:rPr>
          <w:rStyle w:val="FootnoteReference"/>
          <w:sz w:val="20"/>
        </w:rPr>
        <w:footnoteRef/>
      </w:r>
      <w:r w:rsidRPr="00A758DC">
        <w:rPr>
          <w:sz w:val="20"/>
        </w:rPr>
        <w:t xml:space="preserve"> </w:t>
      </w:r>
      <w:r w:rsidR="00326FCA">
        <w:rPr>
          <w:sz w:val="20"/>
        </w:rPr>
        <w:t xml:space="preserve">The </w:t>
      </w:r>
      <w:r w:rsidR="004A0187">
        <w:rPr>
          <w:sz w:val="20"/>
        </w:rPr>
        <w:t xml:space="preserve">final </w:t>
      </w:r>
      <w:r w:rsidR="00326FCA">
        <w:rPr>
          <w:sz w:val="20"/>
        </w:rPr>
        <w:t>model results</w:t>
      </w:r>
      <w:r w:rsidR="007F4E3C">
        <w:rPr>
          <w:sz w:val="20"/>
        </w:rPr>
        <w:t xml:space="preserve"> </w:t>
      </w:r>
      <w:r w:rsidR="00985B62">
        <w:rPr>
          <w:sz w:val="20"/>
        </w:rPr>
        <w:t>are a</w:t>
      </w:r>
      <w:r w:rsidR="00985B62" w:rsidRPr="00A758DC">
        <w:rPr>
          <w:sz w:val="20"/>
        </w:rPr>
        <w:t xml:space="preserve">vailable at </w:t>
      </w:r>
      <w:hyperlink r:id="rId1" w:history="1">
        <w:r w:rsidR="00985B62" w:rsidRPr="00E8623C">
          <w:rPr>
            <w:rStyle w:val="Hyperlink"/>
            <w:sz w:val="20"/>
          </w:rPr>
          <w:t>http://www.fcc.gov/wcb/CAM_4.3_Results_Final_042915.xlsx</w:t>
        </w:r>
      </w:hyperlink>
      <w:r w:rsidR="00985B62">
        <w:rPr>
          <w:sz w:val="20"/>
        </w:rPr>
        <w:t xml:space="preserve">, and a </w:t>
      </w:r>
      <w:r w:rsidR="007F4E3C">
        <w:rPr>
          <w:sz w:val="20"/>
        </w:rPr>
        <w:t>list of eligible census blocks</w:t>
      </w:r>
      <w:r w:rsidR="00326FCA">
        <w:rPr>
          <w:sz w:val="20"/>
        </w:rPr>
        <w:t xml:space="preserve"> </w:t>
      </w:r>
      <w:r w:rsidR="00985B62">
        <w:rPr>
          <w:sz w:val="20"/>
        </w:rPr>
        <w:t xml:space="preserve">is </w:t>
      </w:r>
      <w:r w:rsidR="00326FCA">
        <w:rPr>
          <w:sz w:val="20"/>
        </w:rPr>
        <w:t>a</w:t>
      </w:r>
      <w:r w:rsidR="00326FCA" w:rsidRPr="00A758DC">
        <w:rPr>
          <w:sz w:val="20"/>
        </w:rPr>
        <w:t>vailable at</w:t>
      </w:r>
      <w:r w:rsidR="00985B62">
        <w:t xml:space="preserve"> </w:t>
      </w:r>
      <w:hyperlink r:id="rId2" w:history="1">
        <w:r w:rsidR="00985B62" w:rsidRPr="00E8623C">
          <w:rPr>
            <w:rStyle w:val="Hyperlink"/>
            <w:sz w:val="20"/>
          </w:rPr>
          <w:t>http://www.fcc.gov/wcb/CAM43_Supported_Locations.zip</w:t>
        </w:r>
      </w:hyperlink>
      <w:r w:rsidR="00326FCA" w:rsidRPr="00985B62">
        <w:rPr>
          <w:sz w:val="20"/>
        </w:rPr>
        <w:t>.</w:t>
      </w:r>
      <w:r w:rsidR="00985B62">
        <w:rPr>
          <w:sz w:val="20"/>
        </w:rPr>
        <w:t xml:space="preserve">  </w:t>
      </w:r>
      <w:r w:rsidR="00A758DC">
        <w:rPr>
          <w:i/>
          <w:sz w:val="20"/>
        </w:rPr>
        <w:t xml:space="preserve">See </w:t>
      </w:r>
      <w:r w:rsidR="00326FCA">
        <w:rPr>
          <w:i/>
          <w:sz w:val="20"/>
        </w:rPr>
        <w:t xml:space="preserve">also </w:t>
      </w:r>
      <w:r w:rsidR="00A758DC">
        <w:rPr>
          <w:i/>
          <w:sz w:val="20"/>
        </w:rPr>
        <w:t xml:space="preserve">Connect America Fund, Connect </w:t>
      </w:r>
      <w:r w:rsidR="00A758DC" w:rsidRPr="00985B62">
        <w:rPr>
          <w:sz w:val="20"/>
        </w:rPr>
        <w:t>America</w:t>
      </w:r>
      <w:r w:rsidR="00A758DC">
        <w:rPr>
          <w:i/>
          <w:sz w:val="20"/>
        </w:rPr>
        <w:t xml:space="preserve"> Phase II Challenge Process</w:t>
      </w:r>
      <w:r w:rsidR="00AC0EC4">
        <w:rPr>
          <w:sz w:val="20"/>
        </w:rPr>
        <w:t>, WC Docket Nos. 10-90, 14-93, Order, DA 15-383 (Wireline Comp. Bur. rel. Mar. 30, 2015)</w:t>
      </w:r>
      <w:r w:rsidR="00326FCA">
        <w:rPr>
          <w:sz w:val="20"/>
        </w:rPr>
        <w:t>.</w:t>
      </w:r>
      <w:r w:rsidR="00AC0EC4">
        <w:rPr>
          <w:sz w:val="20"/>
        </w:rPr>
        <w:t xml:space="preserve">  </w:t>
      </w:r>
    </w:p>
  </w:footnote>
  <w:footnote w:id="6">
    <w:p w14:paraId="4D36EED8" w14:textId="411646B4" w:rsidR="00BE3907" w:rsidRPr="00A758DC" w:rsidRDefault="00A758DC" w:rsidP="00891A99">
      <w:pPr>
        <w:pStyle w:val="FootnoteText"/>
        <w:spacing w:after="120"/>
        <w:rPr>
          <w:sz w:val="20"/>
        </w:rPr>
      </w:pPr>
      <w:r w:rsidRPr="00A758DC">
        <w:rPr>
          <w:rStyle w:val="FootnoteReference"/>
          <w:sz w:val="20"/>
        </w:rPr>
        <w:footnoteRef/>
      </w:r>
      <w:r w:rsidRPr="00A758DC">
        <w:rPr>
          <w:sz w:val="20"/>
        </w:rPr>
        <w:t xml:space="preserve"> Available at </w:t>
      </w:r>
      <w:hyperlink r:id="rId3" w:history="1">
        <w:r w:rsidR="00BE3907" w:rsidRPr="002A6ED3">
          <w:rPr>
            <w:rStyle w:val="Hyperlink"/>
            <w:sz w:val="20"/>
          </w:rPr>
          <w:t>http://www.fcc.gov/encyclopedia/price-cap-resources</w:t>
        </w:r>
      </w:hyperlink>
      <w:r w:rsidR="00BE3907">
        <w:rPr>
          <w:sz w:val="20"/>
        </w:rPr>
        <w:t>.</w:t>
      </w:r>
    </w:p>
  </w:footnote>
  <w:footnote w:id="7">
    <w:p w14:paraId="1EEFBEEB" w14:textId="1812BB3C" w:rsidR="00400C8D" w:rsidRPr="00AC0EC4" w:rsidRDefault="00400C8D" w:rsidP="00891A99">
      <w:pPr>
        <w:pStyle w:val="FootnoteText"/>
        <w:spacing w:after="120"/>
        <w:rPr>
          <w:sz w:val="20"/>
        </w:rPr>
      </w:pPr>
      <w:r w:rsidRPr="00400C8D">
        <w:rPr>
          <w:rStyle w:val="FootnoteReference"/>
          <w:sz w:val="20"/>
        </w:rPr>
        <w:footnoteRef/>
      </w:r>
      <w:r w:rsidRPr="00400C8D">
        <w:rPr>
          <w:sz w:val="20"/>
        </w:rPr>
        <w:t xml:space="preserve"> </w:t>
      </w:r>
      <w:r w:rsidR="00C813FD">
        <w:rPr>
          <w:i/>
          <w:sz w:val="20"/>
        </w:rPr>
        <w:t>See Connect America Fund et al.,</w:t>
      </w:r>
      <w:r w:rsidRPr="00400C8D">
        <w:rPr>
          <w:i/>
          <w:sz w:val="20"/>
        </w:rPr>
        <w:t xml:space="preserve"> </w:t>
      </w:r>
      <w:r w:rsidRPr="00400C8D">
        <w:rPr>
          <w:sz w:val="20"/>
        </w:rPr>
        <w:t>WC Docket Nos. 10-90 et al., Report and Order and Further Notice of Proposed Rulemaking, 26 FCC Rcd 17663 (2011) (</w:t>
      </w:r>
      <w:r w:rsidRPr="00400C8D">
        <w:rPr>
          <w:i/>
          <w:sz w:val="20"/>
        </w:rPr>
        <w:t>USF/ICC Transformation Order</w:t>
      </w:r>
      <w:r w:rsidRPr="00400C8D">
        <w:rPr>
          <w:sz w:val="20"/>
        </w:rPr>
        <w:t>)</w:t>
      </w:r>
      <w:r w:rsidR="00F248D6">
        <w:rPr>
          <w:sz w:val="20"/>
        </w:rPr>
        <w:t>,</w:t>
      </w:r>
      <w:r w:rsidRPr="00400C8D">
        <w:rPr>
          <w:sz w:val="20"/>
        </w:rPr>
        <w:t xml:space="preserve"> </w:t>
      </w:r>
      <w:r w:rsidR="00F248D6">
        <w:rPr>
          <w:i/>
          <w:iCs/>
          <w:sz w:val="20"/>
        </w:rPr>
        <w:t>aff’d sub nom</w:t>
      </w:r>
      <w:r w:rsidR="00BE3907">
        <w:rPr>
          <w:i/>
          <w:iCs/>
          <w:sz w:val="20"/>
        </w:rPr>
        <w:t>.</w:t>
      </w:r>
      <w:r w:rsidRPr="00400C8D">
        <w:rPr>
          <w:i/>
          <w:iCs/>
          <w:sz w:val="20"/>
        </w:rPr>
        <w:t>, In re: FCC 11-161</w:t>
      </w:r>
      <w:r w:rsidRPr="00400C8D">
        <w:rPr>
          <w:sz w:val="20"/>
        </w:rPr>
        <w:t>, 7</w:t>
      </w:r>
      <w:r w:rsidR="00AC0EC4">
        <w:rPr>
          <w:sz w:val="20"/>
        </w:rPr>
        <w:t>53 F.3d 1015 (10th Cir. 2014)</w:t>
      </w:r>
      <w:r w:rsidR="005F6BB2">
        <w:rPr>
          <w:sz w:val="20"/>
        </w:rPr>
        <w:t>.</w:t>
      </w:r>
    </w:p>
  </w:footnote>
  <w:footnote w:id="8">
    <w:p w14:paraId="60D8F20F" w14:textId="66466FB0" w:rsidR="00AC0EC4" w:rsidRPr="00AC0EC4" w:rsidRDefault="00AC0EC4" w:rsidP="00891A99">
      <w:pPr>
        <w:pStyle w:val="FootnoteText"/>
        <w:spacing w:after="120"/>
        <w:rPr>
          <w:sz w:val="20"/>
        </w:rPr>
      </w:pPr>
      <w:r w:rsidRPr="00AC0EC4">
        <w:rPr>
          <w:rStyle w:val="FootnoteReference"/>
          <w:sz w:val="20"/>
        </w:rPr>
        <w:footnoteRef/>
      </w:r>
      <w:r w:rsidRPr="00AC0EC4">
        <w:rPr>
          <w:sz w:val="20"/>
        </w:rPr>
        <w:t xml:space="preserve"> </w:t>
      </w:r>
      <w:r>
        <w:rPr>
          <w:i/>
          <w:sz w:val="20"/>
        </w:rPr>
        <w:t>Id</w:t>
      </w:r>
      <w:r>
        <w:rPr>
          <w:sz w:val="20"/>
        </w:rPr>
        <w:t>. at 17725, para. 156.</w:t>
      </w:r>
    </w:p>
  </w:footnote>
  <w:footnote w:id="9">
    <w:p w14:paraId="14E9C8DF" w14:textId="65690F97" w:rsidR="00131A20" w:rsidRDefault="00131A20" w:rsidP="00891A99">
      <w:pPr>
        <w:pStyle w:val="FootnoteText"/>
        <w:spacing w:after="120"/>
      </w:pPr>
      <w:r>
        <w:rPr>
          <w:rStyle w:val="FootnoteReference"/>
        </w:rPr>
        <w:footnoteRef/>
      </w:r>
      <w:r>
        <w:t xml:space="preserve"> </w:t>
      </w:r>
      <w:r w:rsidR="006F2EAE" w:rsidRPr="00ED51DA">
        <w:rPr>
          <w:i/>
          <w:sz w:val="20"/>
        </w:rPr>
        <w:t>December 2014 Connect America Order</w:t>
      </w:r>
      <w:r w:rsidR="00402A5D">
        <w:rPr>
          <w:sz w:val="20"/>
        </w:rPr>
        <w:t>, 29 FCC Rcd at 15678</w:t>
      </w:r>
      <w:r w:rsidR="006F2EAE" w:rsidRPr="00ED51DA">
        <w:rPr>
          <w:sz w:val="20"/>
        </w:rPr>
        <w:t>, para.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C06A3" w14:textId="77777777" w:rsidR="00791DAA" w:rsidRDefault="00791D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9F99" w14:textId="77777777" w:rsidR="00791DAA" w:rsidRDefault="00791D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8AE8" w14:textId="77777777"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44227194" wp14:editId="786C254F">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14:paraId="75B8B533" w14:textId="77777777" w:rsidR="001E64BD" w:rsidRDefault="00615C25">
                    <w:pPr>
                      <w:rPr>
                        <w:rFonts w:ascii="Arial" w:hAnsi="Arial"/>
                        <w:b/>
                        <w:sz w:val="20"/>
                      </w:rPr>
                    </w:pPr>
                    <w:r>
                      <w:rPr>
                        <w:rFonts w:ascii="Arial" w:hAnsi="Arial"/>
                        <w:b/>
                        <w:sz w:val="20"/>
                      </w:rPr>
                      <w:t>Federal Communications Commission</w:t>
                    </w:r>
                  </w:p>
                  <w:p w14:paraId="4A0C6A86" w14:textId="77777777" w:rsidR="001E64BD" w:rsidRDefault="00615C25">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595F8067" w14:textId="77777777" w:rsidR="001E64BD" w:rsidRDefault="00615C25">
                    <w:pPr>
                      <w:rPr>
                        <w:rFonts w:ascii="Arial" w:hAnsi="Arial"/>
                      </w:rPr>
                    </w:pPr>
                    <w:r>
                      <w:rPr>
                        <w:rFonts w:ascii="Arial" w:hAnsi="Arial"/>
                        <w:b/>
                        <w:sz w:val="20"/>
                      </w:rPr>
                      <w:t>Washington, D.C. 20554</w:t>
                    </w:r>
                  </w:p>
                </w:txbxContent>
              </v:textbox>
            </v:shape>
          </w:pict>
        </mc:Fallback>
      </mc:AlternateContent>
    </w:r>
    <w:r w:rsidR="00615C25">
      <w:rPr>
        <w:noProof/>
      </w:rPr>
      <w:drawing>
        <wp:anchor distT="0" distB="0" distL="114300" distR="114300" simplePos="0" relativeHeight="251658752" behindDoc="0" locked="0" layoutInCell="0" allowOverlap="1" wp14:anchorId="67E05323" wp14:editId="23E26745">
          <wp:simplePos x="0" y="0"/>
          <wp:positionH relativeFrom="column">
            <wp:posOffset>30480</wp:posOffset>
          </wp:positionH>
          <wp:positionV relativeFrom="paragraph">
            <wp:posOffset>107950</wp:posOffset>
          </wp:positionV>
          <wp:extent cx="530225" cy="530225"/>
          <wp:effectExtent l="0" t="0" r="3175" b="3175"/>
          <wp:wrapTopAndBottom/>
          <wp:docPr id="8"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615C25">
      <w:rPr>
        <w:rFonts w:ascii="Arial" w:hAnsi="Arial" w:cs="Arial"/>
        <w:b/>
        <w:kern w:val="28"/>
        <w:sz w:val="96"/>
      </w:rPr>
      <w:t>PUBLIC NOTICE</w:t>
    </w:r>
  </w:p>
  <w:p w14:paraId="0F49A334" w14:textId="77777777" w:rsidR="001E64BD" w:rsidRDefault="007B3F64">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3FA077B7" wp14:editId="0A1D836C">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2" w:name="_Hlt233824"/>
                          <w:r>
                            <w:rPr>
                              <w:rFonts w:ascii="Arial" w:hAnsi="Arial"/>
                              <w:b/>
                              <w:sz w:val="16"/>
                            </w:rPr>
                            <w:t>h</w:t>
                          </w:r>
                          <w:bookmarkEnd w:id="2"/>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14:paraId="5660C71F" w14:textId="77777777" w:rsidR="001E64BD" w:rsidRDefault="00615C25">
                    <w:pPr>
                      <w:spacing w:before="40"/>
                      <w:jc w:val="right"/>
                      <w:rPr>
                        <w:rFonts w:ascii="Arial" w:hAnsi="Arial"/>
                        <w:b/>
                        <w:sz w:val="16"/>
                      </w:rPr>
                    </w:pPr>
                    <w:r>
                      <w:rPr>
                        <w:rFonts w:ascii="Arial" w:hAnsi="Arial"/>
                        <w:b/>
                        <w:sz w:val="16"/>
                      </w:rPr>
                      <w:t>News Media Information 202 / 418-0513</w:t>
                    </w:r>
                  </w:p>
                  <w:p w14:paraId="59C3C12F" w14:textId="77777777" w:rsidR="001E64BD" w:rsidRDefault="00615C25">
                    <w:pPr>
                      <w:jc w:val="right"/>
                      <w:rPr>
                        <w:rFonts w:ascii="Arial" w:hAnsi="Arial"/>
                        <w:b/>
                        <w:sz w:val="16"/>
                      </w:rPr>
                    </w:pPr>
                    <w:r>
                      <w:rPr>
                        <w:rFonts w:ascii="Arial" w:hAnsi="Arial"/>
                        <w:b/>
                        <w:sz w:val="16"/>
                      </w:rPr>
                      <w:t xml:space="preserve">Internet: </w:t>
                    </w:r>
                    <w:bookmarkStart w:id="3" w:name="_Hlt233824"/>
                    <w:r>
                      <w:rPr>
                        <w:rFonts w:ascii="Arial" w:hAnsi="Arial"/>
                        <w:b/>
                        <w:sz w:val="16"/>
                      </w:rPr>
                      <w:t>h</w:t>
                    </w:r>
                    <w:bookmarkEnd w:id="3"/>
                    <w:r>
                      <w:rPr>
                        <w:rFonts w:ascii="Arial" w:hAnsi="Arial"/>
                        <w:b/>
                        <w:sz w:val="16"/>
                      </w:rPr>
                      <w:t>ttp://www.fcc.gov</w:t>
                    </w:r>
                  </w:p>
                  <w:p w14:paraId="45D70882" w14:textId="77777777" w:rsidR="001E64BD" w:rsidRDefault="00615C25">
                    <w:pPr>
                      <w:jc w:val="right"/>
                      <w:rPr>
                        <w:rFonts w:ascii="Arial" w:hAnsi="Arial"/>
                        <w:b/>
                        <w:sz w:val="16"/>
                      </w:rPr>
                    </w:pPr>
                    <w:r>
                      <w:rPr>
                        <w:rFonts w:ascii="Arial" w:hAnsi="Arial"/>
                        <w:b/>
                        <w:sz w:val="16"/>
                      </w:rPr>
                      <w:t>TTY: 1-888-835-5322</w:t>
                    </w:r>
                  </w:p>
                  <w:p w14:paraId="656E344C" w14:textId="77777777" w:rsidR="001E64BD" w:rsidRDefault="001E64BD">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97471" w14:textId="551064B5" w:rsidR="00775FC2" w:rsidRPr="00775FC2" w:rsidRDefault="00723715" w:rsidP="00775FC2">
    <w:pPr>
      <w:pStyle w:val="Header"/>
    </w:pPr>
    <w:r>
      <w:t>DA 15-</w:t>
    </w:r>
    <w:r w:rsidR="004610F9">
      <w:t>509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61ED9"/>
    <w:multiLevelType w:val="hybridMultilevel"/>
    <w:tmpl w:val="5B402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C6109"/>
    <w:multiLevelType w:val="hybridMultilevel"/>
    <w:tmpl w:val="CE2AA8F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2">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4">
    <w:nsid w:val="61182925"/>
    <w:multiLevelType w:val="singleLevel"/>
    <w:tmpl w:val="A9EE9842"/>
    <w:lvl w:ilvl="0">
      <w:start w:val="1"/>
      <w:numFmt w:val="decimal"/>
      <w:lvlText w:val="%1."/>
      <w:lvlJc w:val="left"/>
      <w:pPr>
        <w:tabs>
          <w:tab w:val="num" w:pos="1080"/>
        </w:tabs>
        <w:ind w:left="0" w:firstLine="720"/>
      </w:pPr>
    </w:lvl>
  </w:abstractNum>
  <w:abstractNum w:abstractNumId="15">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6">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
  </w:num>
  <w:num w:numId="8">
    <w:abstractNumId w:val="0"/>
  </w:num>
  <w:num w:numId="9">
    <w:abstractNumId w:val="2"/>
  </w:num>
  <w:num w:numId="10">
    <w:abstractNumId w:val="1"/>
  </w:num>
  <w:num w:numId="11">
    <w:abstractNumId w:val="11"/>
    <w:lvlOverride w:ilvl="0">
      <w:startOverride w:val="1"/>
    </w:lvlOverride>
  </w:num>
  <w:num w:numId="12">
    <w:abstractNumId w:val="3"/>
  </w:num>
  <w:num w:numId="13">
    <w:abstractNumId w:val="16"/>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4BD"/>
    <w:rsid w:val="000009F6"/>
    <w:rsid w:val="00000F8B"/>
    <w:rsid w:val="00001E09"/>
    <w:rsid w:val="00005554"/>
    <w:rsid w:val="000205B7"/>
    <w:rsid w:val="00030865"/>
    <w:rsid w:val="000372E1"/>
    <w:rsid w:val="00040E3D"/>
    <w:rsid w:val="00041840"/>
    <w:rsid w:val="00066D9E"/>
    <w:rsid w:val="00074BDE"/>
    <w:rsid w:val="0008414D"/>
    <w:rsid w:val="000906DA"/>
    <w:rsid w:val="00090C12"/>
    <w:rsid w:val="00094983"/>
    <w:rsid w:val="000A4683"/>
    <w:rsid w:val="000A598E"/>
    <w:rsid w:val="000B250E"/>
    <w:rsid w:val="000B6F0C"/>
    <w:rsid w:val="000B70AF"/>
    <w:rsid w:val="000C1D4D"/>
    <w:rsid w:val="000C71D8"/>
    <w:rsid w:val="000D3830"/>
    <w:rsid w:val="000E2E93"/>
    <w:rsid w:val="000E5C17"/>
    <w:rsid w:val="000F6118"/>
    <w:rsid w:val="000F768E"/>
    <w:rsid w:val="00102520"/>
    <w:rsid w:val="00111C8D"/>
    <w:rsid w:val="00112318"/>
    <w:rsid w:val="00112BBF"/>
    <w:rsid w:val="00120BC4"/>
    <w:rsid w:val="00122B23"/>
    <w:rsid w:val="00131A20"/>
    <w:rsid w:val="00134E99"/>
    <w:rsid w:val="001437B2"/>
    <w:rsid w:val="0014680E"/>
    <w:rsid w:val="00153C59"/>
    <w:rsid w:val="00156A03"/>
    <w:rsid w:val="001713B7"/>
    <w:rsid w:val="00180270"/>
    <w:rsid w:val="001853FA"/>
    <w:rsid w:val="001922FA"/>
    <w:rsid w:val="001950D6"/>
    <w:rsid w:val="001B6706"/>
    <w:rsid w:val="001C3186"/>
    <w:rsid w:val="001D26CC"/>
    <w:rsid w:val="001D4724"/>
    <w:rsid w:val="001E64BD"/>
    <w:rsid w:val="001F5E3D"/>
    <w:rsid w:val="00202A1F"/>
    <w:rsid w:val="00206F33"/>
    <w:rsid w:val="00213360"/>
    <w:rsid w:val="00215869"/>
    <w:rsid w:val="00220438"/>
    <w:rsid w:val="00220ABB"/>
    <w:rsid w:val="0022207F"/>
    <w:rsid w:val="002244A3"/>
    <w:rsid w:val="002328A9"/>
    <w:rsid w:val="002333F8"/>
    <w:rsid w:val="002425B9"/>
    <w:rsid w:val="002439CE"/>
    <w:rsid w:val="00245529"/>
    <w:rsid w:val="00266C3C"/>
    <w:rsid w:val="002705E9"/>
    <w:rsid w:val="00271C70"/>
    <w:rsid w:val="00272CD0"/>
    <w:rsid w:val="00277723"/>
    <w:rsid w:val="00277A9B"/>
    <w:rsid w:val="002960A9"/>
    <w:rsid w:val="00297AC3"/>
    <w:rsid w:val="002A4496"/>
    <w:rsid w:val="002B7F12"/>
    <w:rsid w:val="002C1125"/>
    <w:rsid w:val="002E0CD4"/>
    <w:rsid w:val="002E1331"/>
    <w:rsid w:val="002E4C16"/>
    <w:rsid w:val="002F2A19"/>
    <w:rsid w:val="002F4503"/>
    <w:rsid w:val="002F5DB2"/>
    <w:rsid w:val="003066D6"/>
    <w:rsid w:val="003108ED"/>
    <w:rsid w:val="00313939"/>
    <w:rsid w:val="00314C7D"/>
    <w:rsid w:val="00315D16"/>
    <w:rsid w:val="00322B13"/>
    <w:rsid w:val="00326F2E"/>
    <w:rsid w:val="00326FCA"/>
    <w:rsid w:val="00336AD5"/>
    <w:rsid w:val="00336B0C"/>
    <w:rsid w:val="00343129"/>
    <w:rsid w:val="00346F19"/>
    <w:rsid w:val="00351375"/>
    <w:rsid w:val="0035249E"/>
    <w:rsid w:val="003553C4"/>
    <w:rsid w:val="003600D7"/>
    <w:rsid w:val="00361D7E"/>
    <w:rsid w:val="003651E4"/>
    <w:rsid w:val="0037203E"/>
    <w:rsid w:val="0037293C"/>
    <w:rsid w:val="003765A4"/>
    <w:rsid w:val="00386D09"/>
    <w:rsid w:val="00395C42"/>
    <w:rsid w:val="003A764F"/>
    <w:rsid w:val="003B31D2"/>
    <w:rsid w:val="003B76FA"/>
    <w:rsid w:val="003C379F"/>
    <w:rsid w:val="003C4504"/>
    <w:rsid w:val="003C60B2"/>
    <w:rsid w:val="003D4D59"/>
    <w:rsid w:val="003D5990"/>
    <w:rsid w:val="003D5EDB"/>
    <w:rsid w:val="003D6FBD"/>
    <w:rsid w:val="003E263E"/>
    <w:rsid w:val="003E66DB"/>
    <w:rsid w:val="003F5AF1"/>
    <w:rsid w:val="0040095E"/>
    <w:rsid w:val="00400C8D"/>
    <w:rsid w:val="00401E0C"/>
    <w:rsid w:val="00401E2A"/>
    <w:rsid w:val="00402A5D"/>
    <w:rsid w:val="0040478B"/>
    <w:rsid w:val="00410284"/>
    <w:rsid w:val="00433C02"/>
    <w:rsid w:val="00436D73"/>
    <w:rsid w:val="004379B0"/>
    <w:rsid w:val="00440E29"/>
    <w:rsid w:val="00442F5E"/>
    <w:rsid w:val="00450897"/>
    <w:rsid w:val="00450DF4"/>
    <w:rsid w:val="0045103B"/>
    <w:rsid w:val="004610F9"/>
    <w:rsid w:val="00461AC5"/>
    <w:rsid w:val="004772E5"/>
    <w:rsid w:val="004831DF"/>
    <w:rsid w:val="00494262"/>
    <w:rsid w:val="004A0187"/>
    <w:rsid w:val="004A36E0"/>
    <w:rsid w:val="004A3B75"/>
    <w:rsid w:val="004A4170"/>
    <w:rsid w:val="004A77A8"/>
    <w:rsid w:val="004B1861"/>
    <w:rsid w:val="004B3445"/>
    <w:rsid w:val="004B60CD"/>
    <w:rsid w:val="004B7A5D"/>
    <w:rsid w:val="004C3779"/>
    <w:rsid w:val="004C61B9"/>
    <w:rsid w:val="004D1C15"/>
    <w:rsid w:val="004D2B67"/>
    <w:rsid w:val="004D2C12"/>
    <w:rsid w:val="004D5328"/>
    <w:rsid w:val="004E33D9"/>
    <w:rsid w:val="004E53AF"/>
    <w:rsid w:val="00502B7F"/>
    <w:rsid w:val="00506AAC"/>
    <w:rsid w:val="00511AC9"/>
    <w:rsid w:val="005128A7"/>
    <w:rsid w:val="00514AC9"/>
    <w:rsid w:val="00523F93"/>
    <w:rsid w:val="005357AB"/>
    <w:rsid w:val="005521D8"/>
    <w:rsid w:val="00553329"/>
    <w:rsid w:val="005658ED"/>
    <w:rsid w:val="00586562"/>
    <w:rsid w:val="005A052E"/>
    <w:rsid w:val="005A3B1F"/>
    <w:rsid w:val="005C12FB"/>
    <w:rsid w:val="005D03D2"/>
    <w:rsid w:val="005D3313"/>
    <w:rsid w:val="005F077C"/>
    <w:rsid w:val="005F2EE5"/>
    <w:rsid w:val="005F3BB4"/>
    <w:rsid w:val="005F6BB2"/>
    <w:rsid w:val="006052CD"/>
    <w:rsid w:val="00613F8D"/>
    <w:rsid w:val="00615C25"/>
    <w:rsid w:val="006269E7"/>
    <w:rsid w:val="00631F63"/>
    <w:rsid w:val="0064172A"/>
    <w:rsid w:val="0064404C"/>
    <w:rsid w:val="00647233"/>
    <w:rsid w:val="00647285"/>
    <w:rsid w:val="00654DDE"/>
    <w:rsid w:val="00657FF9"/>
    <w:rsid w:val="00660524"/>
    <w:rsid w:val="00660F04"/>
    <w:rsid w:val="00663E75"/>
    <w:rsid w:val="00666F9B"/>
    <w:rsid w:val="006734AC"/>
    <w:rsid w:val="006836C4"/>
    <w:rsid w:val="00685637"/>
    <w:rsid w:val="006876B6"/>
    <w:rsid w:val="00691726"/>
    <w:rsid w:val="006941EE"/>
    <w:rsid w:val="006A11BF"/>
    <w:rsid w:val="006A1FA5"/>
    <w:rsid w:val="006A2113"/>
    <w:rsid w:val="006A2BF1"/>
    <w:rsid w:val="006A686C"/>
    <w:rsid w:val="006C2160"/>
    <w:rsid w:val="006C44FD"/>
    <w:rsid w:val="006C4F95"/>
    <w:rsid w:val="006C4FCE"/>
    <w:rsid w:val="006C6012"/>
    <w:rsid w:val="006D148C"/>
    <w:rsid w:val="006D24A4"/>
    <w:rsid w:val="006D7837"/>
    <w:rsid w:val="006E1F02"/>
    <w:rsid w:val="006F2EAE"/>
    <w:rsid w:val="006F3A22"/>
    <w:rsid w:val="006F4210"/>
    <w:rsid w:val="006F7B09"/>
    <w:rsid w:val="00702829"/>
    <w:rsid w:val="007058D0"/>
    <w:rsid w:val="00706A8F"/>
    <w:rsid w:val="0071329B"/>
    <w:rsid w:val="00713AB8"/>
    <w:rsid w:val="00720EFF"/>
    <w:rsid w:val="00723715"/>
    <w:rsid w:val="00744ACD"/>
    <w:rsid w:val="00747147"/>
    <w:rsid w:val="00764ED7"/>
    <w:rsid w:val="00766688"/>
    <w:rsid w:val="00766D63"/>
    <w:rsid w:val="00775FC2"/>
    <w:rsid w:val="007773BE"/>
    <w:rsid w:val="007802C9"/>
    <w:rsid w:val="007830E0"/>
    <w:rsid w:val="00784BFC"/>
    <w:rsid w:val="00791DAA"/>
    <w:rsid w:val="00792319"/>
    <w:rsid w:val="00794552"/>
    <w:rsid w:val="007946D9"/>
    <w:rsid w:val="00794D99"/>
    <w:rsid w:val="007A078B"/>
    <w:rsid w:val="007A110E"/>
    <w:rsid w:val="007A22C2"/>
    <w:rsid w:val="007A285E"/>
    <w:rsid w:val="007A42D0"/>
    <w:rsid w:val="007B3F64"/>
    <w:rsid w:val="007C2055"/>
    <w:rsid w:val="007D177B"/>
    <w:rsid w:val="007D2573"/>
    <w:rsid w:val="007D46E5"/>
    <w:rsid w:val="007E1CF4"/>
    <w:rsid w:val="007E3E41"/>
    <w:rsid w:val="007F1C70"/>
    <w:rsid w:val="007F4E3C"/>
    <w:rsid w:val="007F7489"/>
    <w:rsid w:val="00803710"/>
    <w:rsid w:val="00807057"/>
    <w:rsid w:val="00812D7B"/>
    <w:rsid w:val="00825526"/>
    <w:rsid w:val="00837D04"/>
    <w:rsid w:val="0086170D"/>
    <w:rsid w:val="0086598D"/>
    <w:rsid w:val="0087638B"/>
    <w:rsid w:val="0087737D"/>
    <w:rsid w:val="00891A99"/>
    <w:rsid w:val="00896677"/>
    <w:rsid w:val="008A0A02"/>
    <w:rsid w:val="008B1634"/>
    <w:rsid w:val="008B2BC6"/>
    <w:rsid w:val="008D03E1"/>
    <w:rsid w:val="008E2727"/>
    <w:rsid w:val="008E35CA"/>
    <w:rsid w:val="008E401C"/>
    <w:rsid w:val="008F1124"/>
    <w:rsid w:val="008F5F2D"/>
    <w:rsid w:val="00904310"/>
    <w:rsid w:val="00922CD4"/>
    <w:rsid w:val="009276E1"/>
    <w:rsid w:val="0093436F"/>
    <w:rsid w:val="0093680A"/>
    <w:rsid w:val="0094735D"/>
    <w:rsid w:val="00953039"/>
    <w:rsid w:val="00954813"/>
    <w:rsid w:val="00957014"/>
    <w:rsid w:val="009659DB"/>
    <w:rsid w:val="00967745"/>
    <w:rsid w:val="00972F59"/>
    <w:rsid w:val="0097465C"/>
    <w:rsid w:val="0097474A"/>
    <w:rsid w:val="00985B62"/>
    <w:rsid w:val="009868E6"/>
    <w:rsid w:val="00994681"/>
    <w:rsid w:val="009A4D0E"/>
    <w:rsid w:val="009F2BA1"/>
    <w:rsid w:val="009F3028"/>
    <w:rsid w:val="009F5798"/>
    <w:rsid w:val="009F6E0B"/>
    <w:rsid w:val="00A00310"/>
    <w:rsid w:val="00A05DA5"/>
    <w:rsid w:val="00A0712D"/>
    <w:rsid w:val="00A251D3"/>
    <w:rsid w:val="00A30A68"/>
    <w:rsid w:val="00A41D52"/>
    <w:rsid w:val="00A53377"/>
    <w:rsid w:val="00A5362E"/>
    <w:rsid w:val="00A5574A"/>
    <w:rsid w:val="00A65989"/>
    <w:rsid w:val="00A72A1A"/>
    <w:rsid w:val="00A758DC"/>
    <w:rsid w:val="00A82215"/>
    <w:rsid w:val="00A8593B"/>
    <w:rsid w:val="00A925CF"/>
    <w:rsid w:val="00A979B2"/>
    <w:rsid w:val="00AA0109"/>
    <w:rsid w:val="00AA6AEA"/>
    <w:rsid w:val="00AB5326"/>
    <w:rsid w:val="00AB6CD3"/>
    <w:rsid w:val="00AB754B"/>
    <w:rsid w:val="00AC0EC4"/>
    <w:rsid w:val="00AC194A"/>
    <w:rsid w:val="00AC46CC"/>
    <w:rsid w:val="00AC6475"/>
    <w:rsid w:val="00AD271A"/>
    <w:rsid w:val="00AD39B7"/>
    <w:rsid w:val="00AF6A39"/>
    <w:rsid w:val="00B170AC"/>
    <w:rsid w:val="00B270D6"/>
    <w:rsid w:val="00B44C05"/>
    <w:rsid w:val="00B57875"/>
    <w:rsid w:val="00B6657C"/>
    <w:rsid w:val="00B71D4F"/>
    <w:rsid w:val="00B72A46"/>
    <w:rsid w:val="00B75F0F"/>
    <w:rsid w:val="00B84992"/>
    <w:rsid w:val="00B920AD"/>
    <w:rsid w:val="00BA3248"/>
    <w:rsid w:val="00BA3A08"/>
    <w:rsid w:val="00BB231E"/>
    <w:rsid w:val="00BB50B9"/>
    <w:rsid w:val="00BD4332"/>
    <w:rsid w:val="00BD4BE2"/>
    <w:rsid w:val="00BD7E0A"/>
    <w:rsid w:val="00BE3907"/>
    <w:rsid w:val="00BE4295"/>
    <w:rsid w:val="00BE7182"/>
    <w:rsid w:val="00BF3A52"/>
    <w:rsid w:val="00BF41C5"/>
    <w:rsid w:val="00C01EDB"/>
    <w:rsid w:val="00C03C7E"/>
    <w:rsid w:val="00C076C0"/>
    <w:rsid w:val="00C101A3"/>
    <w:rsid w:val="00C21DDE"/>
    <w:rsid w:val="00C30E62"/>
    <w:rsid w:val="00C3448E"/>
    <w:rsid w:val="00C55E3C"/>
    <w:rsid w:val="00C57B04"/>
    <w:rsid w:val="00C80575"/>
    <w:rsid w:val="00C813FD"/>
    <w:rsid w:val="00C82B2A"/>
    <w:rsid w:val="00C97CB7"/>
    <w:rsid w:val="00CA290B"/>
    <w:rsid w:val="00CA6EC7"/>
    <w:rsid w:val="00CA6FBE"/>
    <w:rsid w:val="00CB15DC"/>
    <w:rsid w:val="00CB731E"/>
    <w:rsid w:val="00CC4FC6"/>
    <w:rsid w:val="00CD0917"/>
    <w:rsid w:val="00CD335C"/>
    <w:rsid w:val="00CE3CB8"/>
    <w:rsid w:val="00CF3654"/>
    <w:rsid w:val="00D062DE"/>
    <w:rsid w:val="00D11F07"/>
    <w:rsid w:val="00D125C6"/>
    <w:rsid w:val="00D127A2"/>
    <w:rsid w:val="00D133B6"/>
    <w:rsid w:val="00D15025"/>
    <w:rsid w:val="00D30648"/>
    <w:rsid w:val="00D307A8"/>
    <w:rsid w:val="00D3142F"/>
    <w:rsid w:val="00D33D0C"/>
    <w:rsid w:val="00D43C6B"/>
    <w:rsid w:val="00D46F9D"/>
    <w:rsid w:val="00D50A41"/>
    <w:rsid w:val="00D61A5F"/>
    <w:rsid w:val="00D760BA"/>
    <w:rsid w:val="00D875BF"/>
    <w:rsid w:val="00D918E0"/>
    <w:rsid w:val="00D91B7E"/>
    <w:rsid w:val="00D95C55"/>
    <w:rsid w:val="00D97CA0"/>
    <w:rsid w:val="00DA58F5"/>
    <w:rsid w:val="00DA5CCA"/>
    <w:rsid w:val="00DA5DB1"/>
    <w:rsid w:val="00DB7FA4"/>
    <w:rsid w:val="00DD1232"/>
    <w:rsid w:val="00DD171E"/>
    <w:rsid w:val="00DE5C7C"/>
    <w:rsid w:val="00DE6192"/>
    <w:rsid w:val="00DF09E7"/>
    <w:rsid w:val="00DF4861"/>
    <w:rsid w:val="00DF5030"/>
    <w:rsid w:val="00DF77E4"/>
    <w:rsid w:val="00E17C22"/>
    <w:rsid w:val="00E24049"/>
    <w:rsid w:val="00E24255"/>
    <w:rsid w:val="00E31395"/>
    <w:rsid w:val="00E32394"/>
    <w:rsid w:val="00E36465"/>
    <w:rsid w:val="00E42ED3"/>
    <w:rsid w:val="00E45617"/>
    <w:rsid w:val="00E50AB2"/>
    <w:rsid w:val="00E5162F"/>
    <w:rsid w:val="00E74BEE"/>
    <w:rsid w:val="00E8009B"/>
    <w:rsid w:val="00E87CA9"/>
    <w:rsid w:val="00EA1D09"/>
    <w:rsid w:val="00EA2F3A"/>
    <w:rsid w:val="00EA57EE"/>
    <w:rsid w:val="00EA7DD9"/>
    <w:rsid w:val="00EB0552"/>
    <w:rsid w:val="00EB0D0A"/>
    <w:rsid w:val="00EC4472"/>
    <w:rsid w:val="00ED3821"/>
    <w:rsid w:val="00ED51DA"/>
    <w:rsid w:val="00EE4ADD"/>
    <w:rsid w:val="00EF64B3"/>
    <w:rsid w:val="00F01A51"/>
    <w:rsid w:val="00F02041"/>
    <w:rsid w:val="00F05E60"/>
    <w:rsid w:val="00F06464"/>
    <w:rsid w:val="00F102CB"/>
    <w:rsid w:val="00F248D6"/>
    <w:rsid w:val="00F2696D"/>
    <w:rsid w:val="00F344D5"/>
    <w:rsid w:val="00F366E0"/>
    <w:rsid w:val="00F36916"/>
    <w:rsid w:val="00F36E0B"/>
    <w:rsid w:val="00F5036A"/>
    <w:rsid w:val="00F74285"/>
    <w:rsid w:val="00F74AFB"/>
    <w:rsid w:val="00F9278F"/>
    <w:rsid w:val="00F948D9"/>
    <w:rsid w:val="00FA11FE"/>
    <w:rsid w:val="00FA2279"/>
    <w:rsid w:val="00FA2FC6"/>
    <w:rsid w:val="00FA32D2"/>
    <w:rsid w:val="00FB00DA"/>
    <w:rsid w:val="00FB2675"/>
    <w:rsid w:val="00FB3AD2"/>
    <w:rsid w:val="00FC2785"/>
    <w:rsid w:val="00FC28B4"/>
    <w:rsid w:val="00FC727C"/>
    <w:rsid w:val="00FE660C"/>
    <w:rsid w:val="00FF1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lsdException w:name="caption" w:locked="1" w:uiPriority="0" w:qFormat="1"/>
    <w:lsdException w:name="footnote reference" w:uiPriority="0"/>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F1686"/>
    <w:rPr>
      <w:rFonts w:cs="Times New Roman"/>
      <w:sz w:val="22"/>
      <w:lang w:val="en-US" w:eastAsia="en-US"/>
    </w:rPr>
  </w:style>
  <w:style w:type="paragraph" w:customStyle="1" w:styleId="ParaNum1">
    <w:name w:val="ParaNum"/>
    <w:basedOn w:val="Normal"/>
    <w:link w:val="ParaNumChar"/>
    <w:autoRedefine/>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fn Char2"/>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 w:type="character" w:customStyle="1" w:styleId="ParaNumCharChar1">
    <w:name w:val="ParaNum Char Char1"/>
    <w:locked/>
    <w:rsid w:val="009F6E0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semiHidden="0" w:unhideWhenUsed="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lsdException w:name="caption" w:locked="1" w:uiPriority="0" w:qFormat="1"/>
    <w:lsdException w:name="footnote reference" w:uiPriority="0"/>
    <w:lsdException w:name="annotation reference"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 w:val="22"/>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0F1686"/>
    <w:rPr>
      <w:rFonts w:ascii="Tahoma" w:hAnsi="Tahoma" w:cs="Tahoma"/>
      <w:sz w:val="16"/>
      <w:szCs w:val="16"/>
    </w:rPr>
  </w:style>
  <w:style w:type="character" w:customStyle="1" w:styleId="BalloonTextChar">
    <w:name w:val="Balloon Text Char"/>
    <w:uiPriority w:val="99"/>
    <w:semiHidden/>
    <w:rsid w:val="00AD1D07"/>
    <w:rPr>
      <w:rFonts w:ascii="Lucida Grande" w:hAnsi="Lucida Grande"/>
      <w:sz w:val="18"/>
      <w:szCs w:val="18"/>
    </w:rPr>
  </w:style>
  <w:style w:type="character" w:customStyle="1" w:styleId="BalloonTextChar0">
    <w:name w:val="Balloon Text Char"/>
    <w:uiPriority w:val="99"/>
    <w:semiHidden/>
    <w:rsid w:val="00AD1D07"/>
    <w:rPr>
      <w:rFonts w:ascii="Lucida Grande" w:hAnsi="Lucida Grande"/>
      <w:sz w:val="18"/>
      <w:szCs w:val="18"/>
    </w:rPr>
  </w:style>
  <w:style w:type="character" w:customStyle="1" w:styleId="Heading1Char">
    <w:name w:val="Heading 1 Char"/>
    <w:link w:val="Heading1"/>
    <w:uiPriority w:val="99"/>
    <w:locked/>
    <w:rsid w:val="00135303"/>
    <w:rPr>
      <w:rFonts w:ascii="Cambria" w:hAnsi="Cambria" w:cs="Times New Roman"/>
      <w:b/>
      <w:bCs/>
      <w:kern w:val="32"/>
      <w:sz w:val="32"/>
      <w:szCs w:val="32"/>
    </w:rPr>
  </w:style>
  <w:style w:type="character" w:customStyle="1" w:styleId="Heading2Char">
    <w:name w:val="Heading 2 Char"/>
    <w:link w:val="Heading2"/>
    <w:uiPriority w:val="99"/>
    <w:semiHidden/>
    <w:locked/>
    <w:rsid w:val="00135303"/>
    <w:rPr>
      <w:rFonts w:ascii="Cambria" w:hAnsi="Cambria" w:cs="Times New Roman"/>
      <w:b/>
      <w:bCs/>
      <w:i/>
      <w:iCs/>
      <w:sz w:val="28"/>
      <w:szCs w:val="28"/>
    </w:rPr>
  </w:style>
  <w:style w:type="character" w:customStyle="1" w:styleId="Heading3Char">
    <w:name w:val="Heading 3 Char"/>
    <w:link w:val="Heading3"/>
    <w:uiPriority w:val="99"/>
    <w:semiHidden/>
    <w:locked/>
    <w:rsid w:val="00135303"/>
    <w:rPr>
      <w:rFonts w:ascii="Cambria" w:hAnsi="Cambria" w:cs="Times New Roman"/>
      <w:b/>
      <w:bCs/>
      <w:sz w:val="26"/>
      <w:szCs w:val="26"/>
    </w:rPr>
  </w:style>
  <w:style w:type="character" w:customStyle="1" w:styleId="Heading4Char">
    <w:name w:val="Heading 4 Char"/>
    <w:link w:val="Heading4"/>
    <w:uiPriority w:val="99"/>
    <w:semiHidden/>
    <w:locked/>
    <w:rsid w:val="00135303"/>
    <w:rPr>
      <w:rFonts w:ascii="Calibri" w:hAnsi="Calibri" w:cs="Times New Roman"/>
      <w:b/>
      <w:bCs/>
      <w:sz w:val="28"/>
      <w:szCs w:val="28"/>
    </w:rPr>
  </w:style>
  <w:style w:type="character" w:customStyle="1" w:styleId="Heading5Char">
    <w:name w:val="Heading 5 Char"/>
    <w:link w:val="Heading5"/>
    <w:uiPriority w:val="99"/>
    <w:semiHidden/>
    <w:locked/>
    <w:rsid w:val="00135303"/>
    <w:rPr>
      <w:rFonts w:ascii="Calibri" w:hAnsi="Calibri" w:cs="Times New Roman"/>
      <w:b/>
      <w:bCs/>
      <w:i/>
      <w:iCs/>
      <w:sz w:val="26"/>
      <w:szCs w:val="26"/>
    </w:rPr>
  </w:style>
  <w:style w:type="character" w:customStyle="1" w:styleId="Heading6Char">
    <w:name w:val="Heading 6 Char"/>
    <w:link w:val="Heading6"/>
    <w:uiPriority w:val="99"/>
    <w:semiHidden/>
    <w:locked/>
    <w:rsid w:val="00135303"/>
    <w:rPr>
      <w:rFonts w:ascii="Calibri" w:hAnsi="Calibri" w:cs="Times New Roman"/>
      <w:b/>
      <w:bCs/>
    </w:rPr>
  </w:style>
  <w:style w:type="character" w:customStyle="1" w:styleId="Heading7Char">
    <w:name w:val="Heading 7 Char"/>
    <w:link w:val="Heading7"/>
    <w:uiPriority w:val="99"/>
    <w:semiHidden/>
    <w:locked/>
    <w:rsid w:val="00135303"/>
    <w:rPr>
      <w:rFonts w:ascii="Calibri" w:hAnsi="Calibri" w:cs="Times New Roman"/>
      <w:sz w:val="24"/>
      <w:szCs w:val="24"/>
    </w:rPr>
  </w:style>
  <w:style w:type="character" w:customStyle="1" w:styleId="Heading9Char">
    <w:name w:val="Heading 9 Char"/>
    <w:link w:val="Heading9"/>
    <w:uiPriority w:val="99"/>
    <w:semiHidden/>
    <w:locked/>
    <w:rsid w:val="00135303"/>
    <w:rPr>
      <w:rFonts w:ascii="Cambria" w:hAnsi="Cambria" w:cs="Times New Roman"/>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link w:val="Header"/>
    <w:uiPriority w:val="99"/>
    <w:semiHidden/>
    <w:locked/>
    <w:rsid w:val="00135303"/>
    <w:rPr>
      <w:rFonts w:cs="Times New Roman"/>
      <w:sz w:val="20"/>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link w:val="Footer"/>
    <w:uiPriority w:val="99"/>
    <w:locked/>
    <w:rsid w:val="00135303"/>
    <w:rPr>
      <w:rFonts w:cs="Times New Roman"/>
      <w:sz w:val="20"/>
      <w:szCs w:val="20"/>
    </w:rPr>
  </w:style>
  <w:style w:type="character" w:styleId="Hyperlink">
    <w:name w:val="Hyperlink"/>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Style 4,Footnote Reference1"/>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F1686"/>
    <w:rPr>
      <w:rFonts w:cs="Times New Roman"/>
      <w:sz w:val="22"/>
      <w:lang w:val="en-US" w:eastAsia="en-US"/>
    </w:rPr>
  </w:style>
  <w:style w:type="paragraph" w:customStyle="1" w:styleId="ParaNum1">
    <w:name w:val="ParaNum"/>
    <w:basedOn w:val="Normal"/>
    <w:link w:val="ParaNumChar"/>
    <w:autoRedefine/>
    <w:rsid w:val="000F1686"/>
    <w:pPr>
      <w:tabs>
        <w:tab w:val="left" w:pos="720"/>
      </w:tabs>
      <w:spacing w:after="240"/>
    </w:p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link w:val="BodyTextIndent"/>
    <w:uiPriority w:val="99"/>
    <w:semiHidden/>
    <w:locked/>
    <w:rsid w:val="00135303"/>
    <w:rPr>
      <w:rFonts w:cs="Times New Roman"/>
      <w:sz w:val="20"/>
      <w:szCs w:val="20"/>
    </w:rPr>
  </w:style>
  <w:style w:type="character" w:styleId="Emphasis">
    <w:name w:val="Emphasis"/>
    <w:uiPriority w:val="99"/>
    <w:qFormat/>
    <w:rsid w:val="000F1686"/>
    <w:rPr>
      <w:rFonts w:cs="Times New Roman"/>
      <w:i/>
    </w:rPr>
  </w:style>
  <w:style w:type="character" w:styleId="PageNumber">
    <w:name w:val="page number"/>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99"/>
    <w:locked/>
    <w:rsid w:val="000F1686"/>
    <w:rPr>
      <w:rFonts w:ascii="Cambria" w:hAnsi="Cambria" w:cs="Times New Roman"/>
      <w:color w:val="17365D"/>
      <w:spacing w:val="5"/>
      <w:kern w:val="28"/>
      <w:sz w:val="52"/>
      <w:lang w:val="en-US" w:eastAsia="en-US"/>
    </w:rPr>
  </w:style>
  <w:style w:type="character" w:styleId="FollowedHyperlink">
    <w:name w:val="FollowedHyperlink"/>
    <w:uiPriority w:val="99"/>
    <w:rsid w:val="000F1686"/>
    <w:rPr>
      <w:rFonts w:cs="Times New Roman"/>
      <w:color w:val="800080"/>
      <w:u w:val="single"/>
    </w:rPr>
  </w:style>
  <w:style w:type="character" w:styleId="CommentReference">
    <w:name w:val="annotation reference"/>
    <w:uiPriority w:val="99"/>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link w:val="CommentText"/>
    <w:uiPriority w:val="99"/>
    <w:semiHidden/>
    <w:locked/>
    <w:rsid w:val="00AB0550"/>
    <w:rPr>
      <w:rFonts w:cs="Times New Roman"/>
    </w:rPr>
  </w:style>
  <w:style w:type="character" w:customStyle="1" w:styleId="BalloonTextChar1">
    <w:name w:val="Balloon Text Char1"/>
    <w:link w:val="BalloonText"/>
    <w:uiPriority w:val="99"/>
    <w:semiHidden/>
    <w:locked/>
    <w:rsid w:val="00135303"/>
    <w:rPr>
      <w:rFonts w:cs="Times New Roman"/>
      <w:sz w:val="2"/>
    </w:rPr>
  </w:style>
  <w:style w:type="paragraph" w:styleId="BodyText">
    <w:name w:val="Body Text"/>
    <w:basedOn w:val="Normal"/>
    <w:link w:val="BodyTextChar"/>
    <w:uiPriority w:val="99"/>
    <w:rsid w:val="000F1686"/>
    <w:pPr>
      <w:spacing w:after="120"/>
    </w:pPr>
  </w:style>
  <w:style w:type="character" w:customStyle="1" w:styleId="BodyTextChar">
    <w:name w:val="Body Text Char"/>
    <w:link w:val="BodyText"/>
    <w:uiPriority w:val="99"/>
    <w:semiHidden/>
    <w:locked/>
    <w:rsid w:val="00135303"/>
    <w:rPr>
      <w:rFonts w:cs="Times New Roman"/>
      <w:sz w:val="20"/>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fn Char2"/>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link w:val="CommentSubject"/>
    <w:uiPriority w:val="99"/>
    <w:semiHidden/>
    <w:locked/>
    <w:rsid w:val="00135303"/>
    <w:rPr>
      <w:rFonts w:cs="Times New Roman"/>
      <w:b/>
      <w:bCs/>
      <w:sz w:val="20"/>
      <w:szCs w:val="20"/>
    </w:rPr>
  </w:style>
  <w:style w:type="paragraph" w:customStyle="1" w:styleId="ColorfulShading-Accent11">
    <w:name w:val="Colorful Shading - Accent 11"/>
    <w:hidden/>
    <w:uiPriority w:val="99"/>
    <w:semiHidden/>
    <w:rsid w:val="000F1686"/>
    <w:rPr>
      <w:sz w:val="22"/>
    </w:rPr>
  </w:style>
  <w:style w:type="character" w:customStyle="1" w:styleId="apple-converted-space">
    <w:name w:val="apple-converted-space"/>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 w:val="22"/>
    </w:rPr>
  </w:style>
  <w:style w:type="paragraph" w:styleId="Revision">
    <w:name w:val="Revision"/>
    <w:hidden/>
    <w:uiPriority w:val="99"/>
    <w:semiHidden/>
    <w:rsid w:val="000F1686"/>
    <w:rPr>
      <w:sz w:val="22"/>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link w:val="PlainText"/>
    <w:uiPriority w:val="99"/>
    <w:locked/>
    <w:rsid w:val="003C22F7"/>
    <w:rPr>
      <w:rFonts w:ascii="Calibri" w:hAnsi="Calibri" w:cs="Times New Roman"/>
      <w:sz w:val="21"/>
    </w:rPr>
  </w:style>
  <w:style w:type="table" w:styleId="TableGrid">
    <w:name w:val="Table Grid"/>
    <w:basedOn w:val="TableNormal"/>
    <w:uiPriority w:val="99"/>
    <w:rsid w:val="00515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term">
    <w:name w:val="searchterm"/>
    <w:uiPriority w:val="99"/>
    <w:rsid w:val="00D53D07"/>
    <w:rPr>
      <w:rFonts w:cs="Times New Roman"/>
    </w:rPr>
  </w:style>
  <w:style w:type="character" w:customStyle="1" w:styleId="starpage">
    <w:name w:val="starpage"/>
    <w:uiPriority w:val="99"/>
    <w:rsid w:val="00D53D07"/>
    <w:rPr>
      <w:rFonts w:cs="Times New Roman"/>
    </w:rPr>
  </w:style>
  <w:style w:type="paragraph" w:styleId="DocumentMap">
    <w:name w:val="Document Map"/>
    <w:basedOn w:val="Normal"/>
    <w:link w:val="DocumentMapChar"/>
    <w:uiPriority w:val="99"/>
    <w:semiHidden/>
    <w:unhideWhenUsed/>
    <w:rsid w:val="00C52780"/>
    <w:rPr>
      <w:rFonts w:ascii="Lucida Grande" w:hAnsi="Lucida Grande"/>
      <w:sz w:val="24"/>
      <w:szCs w:val="24"/>
    </w:rPr>
  </w:style>
  <w:style w:type="character" w:customStyle="1" w:styleId="DocumentMapChar">
    <w:name w:val="Document Map Char"/>
    <w:link w:val="DocumentMap"/>
    <w:uiPriority w:val="99"/>
    <w:semiHidden/>
    <w:rsid w:val="00C52780"/>
    <w:rPr>
      <w:rFonts w:ascii="Lucida Grande" w:hAnsi="Lucida Grande"/>
      <w:sz w:val="24"/>
      <w:szCs w:val="24"/>
    </w:rPr>
  </w:style>
  <w:style w:type="character" w:customStyle="1" w:styleId="ParaNumCharChar1">
    <w:name w:val="ParaNum Char Char1"/>
    <w:locked/>
    <w:rsid w:val="009F6E0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2844">
      <w:marLeft w:val="0"/>
      <w:marRight w:val="0"/>
      <w:marTop w:val="0"/>
      <w:marBottom w:val="0"/>
      <w:divBdr>
        <w:top w:val="none" w:sz="0" w:space="0" w:color="auto"/>
        <w:left w:val="none" w:sz="0" w:space="0" w:color="auto"/>
        <w:bottom w:val="none" w:sz="0" w:space="0" w:color="auto"/>
        <w:right w:val="none" w:sz="0" w:space="0" w:color="auto"/>
      </w:divBdr>
    </w:div>
    <w:div w:id="167062845">
      <w:marLeft w:val="0"/>
      <w:marRight w:val="0"/>
      <w:marTop w:val="0"/>
      <w:marBottom w:val="0"/>
      <w:divBdr>
        <w:top w:val="none" w:sz="0" w:space="0" w:color="auto"/>
        <w:left w:val="none" w:sz="0" w:space="0" w:color="auto"/>
        <w:bottom w:val="none" w:sz="0" w:space="0" w:color="auto"/>
        <w:right w:val="none" w:sz="0" w:space="0" w:color="auto"/>
      </w:divBdr>
      <w:divsChild>
        <w:div w:id="167062846">
          <w:marLeft w:val="0"/>
          <w:marRight w:val="0"/>
          <w:marTop w:val="0"/>
          <w:marBottom w:val="0"/>
          <w:divBdr>
            <w:top w:val="none" w:sz="0" w:space="0" w:color="auto"/>
            <w:left w:val="none" w:sz="0" w:space="0" w:color="auto"/>
            <w:bottom w:val="none" w:sz="0" w:space="0" w:color="auto"/>
            <w:right w:val="none" w:sz="0" w:space="0" w:color="auto"/>
          </w:divBdr>
        </w:div>
      </w:divsChild>
    </w:div>
    <w:div w:id="167062847">
      <w:marLeft w:val="0"/>
      <w:marRight w:val="0"/>
      <w:marTop w:val="0"/>
      <w:marBottom w:val="0"/>
      <w:divBdr>
        <w:top w:val="none" w:sz="0" w:space="0" w:color="auto"/>
        <w:left w:val="none" w:sz="0" w:space="0" w:color="auto"/>
        <w:bottom w:val="none" w:sz="0" w:space="0" w:color="auto"/>
        <w:right w:val="none" w:sz="0" w:space="0" w:color="auto"/>
      </w:divBdr>
    </w:div>
    <w:div w:id="167062848">
      <w:marLeft w:val="0"/>
      <w:marRight w:val="0"/>
      <w:marTop w:val="0"/>
      <w:marBottom w:val="0"/>
      <w:divBdr>
        <w:top w:val="none" w:sz="0" w:space="0" w:color="auto"/>
        <w:left w:val="none" w:sz="0" w:space="0" w:color="auto"/>
        <w:bottom w:val="none" w:sz="0" w:space="0" w:color="auto"/>
        <w:right w:val="none" w:sz="0" w:space="0" w:color="auto"/>
      </w:divBdr>
    </w:div>
    <w:div w:id="167062849">
      <w:marLeft w:val="0"/>
      <w:marRight w:val="0"/>
      <w:marTop w:val="0"/>
      <w:marBottom w:val="0"/>
      <w:divBdr>
        <w:top w:val="none" w:sz="0" w:space="0" w:color="auto"/>
        <w:left w:val="none" w:sz="0" w:space="0" w:color="auto"/>
        <w:bottom w:val="none" w:sz="0" w:space="0" w:color="auto"/>
        <w:right w:val="none" w:sz="0" w:space="0" w:color="auto"/>
      </w:divBdr>
    </w:div>
    <w:div w:id="167062850">
      <w:marLeft w:val="0"/>
      <w:marRight w:val="0"/>
      <w:marTop w:val="0"/>
      <w:marBottom w:val="0"/>
      <w:divBdr>
        <w:top w:val="none" w:sz="0" w:space="0" w:color="auto"/>
        <w:left w:val="none" w:sz="0" w:space="0" w:color="auto"/>
        <w:bottom w:val="none" w:sz="0" w:space="0" w:color="auto"/>
        <w:right w:val="none" w:sz="0" w:space="0" w:color="auto"/>
      </w:divBdr>
    </w:div>
    <w:div w:id="167062851">
      <w:marLeft w:val="0"/>
      <w:marRight w:val="0"/>
      <w:marTop w:val="0"/>
      <w:marBottom w:val="0"/>
      <w:divBdr>
        <w:top w:val="none" w:sz="0" w:space="0" w:color="auto"/>
        <w:left w:val="none" w:sz="0" w:space="0" w:color="auto"/>
        <w:bottom w:val="none" w:sz="0" w:space="0" w:color="auto"/>
        <w:right w:val="none" w:sz="0" w:space="0" w:color="auto"/>
      </w:divBdr>
    </w:div>
    <w:div w:id="167062852">
      <w:marLeft w:val="0"/>
      <w:marRight w:val="0"/>
      <w:marTop w:val="0"/>
      <w:marBottom w:val="0"/>
      <w:divBdr>
        <w:top w:val="none" w:sz="0" w:space="0" w:color="auto"/>
        <w:left w:val="none" w:sz="0" w:space="0" w:color="auto"/>
        <w:bottom w:val="none" w:sz="0" w:space="0" w:color="auto"/>
        <w:right w:val="none" w:sz="0" w:space="0" w:color="auto"/>
      </w:divBdr>
    </w:div>
    <w:div w:id="167062853">
      <w:marLeft w:val="0"/>
      <w:marRight w:val="0"/>
      <w:marTop w:val="0"/>
      <w:marBottom w:val="0"/>
      <w:divBdr>
        <w:top w:val="none" w:sz="0" w:space="0" w:color="auto"/>
        <w:left w:val="none" w:sz="0" w:space="0" w:color="auto"/>
        <w:bottom w:val="none" w:sz="0" w:space="0" w:color="auto"/>
        <w:right w:val="none" w:sz="0" w:space="0" w:color="auto"/>
      </w:divBdr>
    </w:div>
    <w:div w:id="167062854">
      <w:marLeft w:val="0"/>
      <w:marRight w:val="0"/>
      <w:marTop w:val="0"/>
      <w:marBottom w:val="0"/>
      <w:divBdr>
        <w:top w:val="none" w:sz="0" w:space="0" w:color="auto"/>
        <w:left w:val="none" w:sz="0" w:space="0" w:color="auto"/>
        <w:bottom w:val="none" w:sz="0" w:space="0" w:color="auto"/>
        <w:right w:val="none" w:sz="0" w:space="0" w:color="auto"/>
      </w:divBdr>
    </w:div>
    <w:div w:id="167062855">
      <w:marLeft w:val="0"/>
      <w:marRight w:val="0"/>
      <w:marTop w:val="0"/>
      <w:marBottom w:val="0"/>
      <w:divBdr>
        <w:top w:val="none" w:sz="0" w:space="0" w:color="auto"/>
        <w:left w:val="none" w:sz="0" w:space="0" w:color="auto"/>
        <w:bottom w:val="none" w:sz="0" w:space="0" w:color="auto"/>
        <w:right w:val="none" w:sz="0" w:space="0" w:color="auto"/>
      </w:divBdr>
    </w:div>
    <w:div w:id="167062856">
      <w:marLeft w:val="0"/>
      <w:marRight w:val="0"/>
      <w:marTop w:val="0"/>
      <w:marBottom w:val="0"/>
      <w:divBdr>
        <w:top w:val="none" w:sz="0" w:space="0" w:color="auto"/>
        <w:left w:val="none" w:sz="0" w:space="0" w:color="auto"/>
        <w:bottom w:val="none" w:sz="0" w:space="0" w:color="auto"/>
        <w:right w:val="none" w:sz="0" w:space="0" w:color="auto"/>
      </w:divBdr>
    </w:div>
    <w:div w:id="167062857">
      <w:marLeft w:val="0"/>
      <w:marRight w:val="0"/>
      <w:marTop w:val="0"/>
      <w:marBottom w:val="0"/>
      <w:divBdr>
        <w:top w:val="none" w:sz="0" w:space="0" w:color="auto"/>
        <w:left w:val="none" w:sz="0" w:space="0" w:color="auto"/>
        <w:bottom w:val="none" w:sz="0" w:space="0" w:color="auto"/>
        <w:right w:val="none" w:sz="0" w:space="0" w:color="auto"/>
      </w:divBdr>
    </w:div>
    <w:div w:id="167062858">
      <w:marLeft w:val="0"/>
      <w:marRight w:val="0"/>
      <w:marTop w:val="0"/>
      <w:marBottom w:val="0"/>
      <w:divBdr>
        <w:top w:val="none" w:sz="0" w:space="0" w:color="auto"/>
        <w:left w:val="none" w:sz="0" w:space="0" w:color="auto"/>
        <w:bottom w:val="none" w:sz="0" w:space="0" w:color="auto"/>
        <w:right w:val="none" w:sz="0" w:space="0" w:color="auto"/>
      </w:divBdr>
    </w:div>
    <w:div w:id="167062859">
      <w:marLeft w:val="0"/>
      <w:marRight w:val="0"/>
      <w:marTop w:val="0"/>
      <w:marBottom w:val="0"/>
      <w:divBdr>
        <w:top w:val="none" w:sz="0" w:space="0" w:color="auto"/>
        <w:left w:val="none" w:sz="0" w:space="0" w:color="auto"/>
        <w:bottom w:val="none" w:sz="0" w:space="0" w:color="auto"/>
        <w:right w:val="none" w:sz="0" w:space="0" w:color="auto"/>
      </w:divBdr>
    </w:div>
    <w:div w:id="167062860">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67062862">
      <w:marLeft w:val="0"/>
      <w:marRight w:val="0"/>
      <w:marTop w:val="0"/>
      <w:marBottom w:val="0"/>
      <w:divBdr>
        <w:top w:val="none" w:sz="0" w:space="0" w:color="auto"/>
        <w:left w:val="none" w:sz="0" w:space="0" w:color="auto"/>
        <w:bottom w:val="none" w:sz="0" w:space="0" w:color="auto"/>
        <w:right w:val="none" w:sz="0" w:space="0" w:color="auto"/>
      </w:divBdr>
    </w:div>
    <w:div w:id="167062863">
      <w:marLeft w:val="0"/>
      <w:marRight w:val="0"/>
      <w:marTop w:val="0"/>
      <w:marBottom w:val="0"/>
      <w:divBdr>
        <w:top w:val="none" w:sz="0" w:space="0" w:color="auto"/>
        <w:left w:val="none" w:sz="0" w:space="0" w:color="auto"/>
        <w:bottom w:val="none" w:sz="0" w:space="0" w:color="auto"/>
        <w:right w:val="none" w:sz="0" w:space="0" w:color="auto"/>
      </w:divBdr>
    </w:div>
    <w:div w:id="167062864">
      <w:marLeft w:val="0"/>
      <w:marRight w:val="0"/>
      <w:marTop w:val="0"/>
      <w:marBottom w:val="0"/>
      <w:divBdr>
        <w:top w:val="none" w:sz="0" w:space="0" w:color="auto"/>
        <w:left w:val="none" w:sz="0" w:space="0" w:color="auto"/>
        <w:bottom w:val="none" w:sz="0" w:space="0" w:color="auto"/>
        <w:right w:val="none" w:sz="0" w:space="0" w:color="auto"/>
      </w:divBdr>
    </w:div>
    <w:div w:id="167062865">
      <w:marLeft w:val="0"/>
      <w:marRight w:val="0"/>
      <w:marTop w:val="0"/>
      <w:marBottom w:val="0"/>
      <w:divBdr>
        <w:top w:val="none" w:sz="0" w:space="0" w:color="auto"/>
        <w:left w:val="none" w:sz="0" w:space="0" w:color="auto"/>
        <w:bottom w:val="none" w:sz="0" w:space="0" w:color="auto"/>
        <w:right w:val="none" w:sz="0" w:space="0" w:color="auto"/>
      </w:divBdr>
    </w:div>
    <w:div w:id="167062866">
      <w:marLeft w:val="0"/>
      <w:marRight w:val="0"/>
      <w:marTop w:val="0"/>
      <w:marBottom w:val="0"/>
      <w:divBdr>
        <w:top w:val="none" w:sz="0" w:space="0" w:color="auto"/>
        <w:left w:val="none" w:sz="0" w:space="0" w:color="auto"/>
        <w:bottom w:val="none" w:sz="0" w:space="0" w:color="auto"/>
        <w:right w:val="none" w:sz="0" w:space="0" w:color="auto"/>
      </w:divBdr>
    </w:div>
    <w:div w:id="167062867">
      <w:marLeft w:val="0"/>
      <w:marRight w:val="0"/>
      <w:marTop w:val="0"/>
      <w:marBottom w:val="0"/>
      <w:divBdr>
        <w:top w:val="none" w:sz="0" w:space="0" w:color="auto"/>
        <w:left w:val="none" w:sz="0" w:space="0" w:color="auto"/>
        <w:bottom w:val="none" w:sz="0" w:space="0" w:color="auto"/>
        <w:right w:val="none" w:sz="0" w:space="0" w:color="auto"/>
      </w:divBdr>
    </w:div>
    <w:div w:id="255872178">
      <w:bodyDiv w:val="1"/>
      <w:marLeft w:val="0"/>
      <w:marRight w:val="0"/>
      <w:marTop w:val="0"/>
      <w:marBottom w:val="0"/>
      <w:divBdr>
        <w:top w:val="none" w:sz="0" w:space="0" w:color="auto"/>
        <w:left w:val="none" w:sz="0" w:space="0" w:color="auto"/>
        <w:bottom w:val="none" w:sz="0" w:space="0" w:color="auto"/>
        <w:right w:val="none" w:sz="0" w:space="0" w:color="auto"/>
      </w:divBdr>
    </w:div>
    <w:div w:id="1071150704">
      <w:bodyDiv w:val="1"/>
      <w:marLeft w:val="0"/>
      <w:marRight w:val="0"/>
      <w:marTop w:val="0"/>
      <w:marBottom w:val="0"/>
      <w:divBdr>
        <w:top w:val="none" w:sz="0" w:space="0" w:color="auto"/>
        <w:left w:val="none" w:sz="0" w:space="0" w:color="auto"/>
        <w:bottom w:val="none" w:sz="0" w:space="0" w:color="auto"/>
        <w:right w:val="none" w:sz="0" w:space="0" w:color="auto"/>
      </w:divBdr>
    </w:div>
    <w:div w:id="1566179655">
      <w:bodyDiv w:val="1"/>
      <w:marLeft w:val="0"/>
      <w:marRight w:val="0"/>
      <w:marTop w:val="0"/>
      <w:marBottom w:val="0"/>
      <w:divBdr>
        <w:top w:val="none" w:sz="0" w:space="0" w:color="auto"/>
        <w:left w:val="none" w:sz="0" w:space="0" w:color="auto"/>
        <w:bottom w:val="none" w:sz="0" w:space="0" w:color="auto"/>
        <w:right w:val="none" w:sz="0" w:space="0" w:color="auto"/>
      </w:divBdr>
    </w:div>
    <w:div w:id="1595553387">
      <w:bodyDiv w:val="1"/>
      <w:marLeft w:val="0"/>
      <w:marRight w:val="0"/>
      <w:marTop w:val="0"/>
      <w:marBottom w:val="0"/>
      <w:divBdr>
        <w:top w:val="none" w:sz="0" w:space="0" w:color="auto"/>
        <w:left w:val="none" w:sz="0" w:space="0" w:color="auto"/>
        <w:bottom w:val="none" w:sz="0" w:space="0" w:color="auto"/>
        <w:right w:val="none" w:sz="0" w:space="0" w:color="auto"/>
      </w:divBdr>
    </w:div>
    <w:div w:id="1926301529">
      <w:bodyDiv w:val="1"/>
      <w:marLeft w:val="0"/>
      <w:marRight w:val="0"/>
      <w:marTop w:val="0"/>
      <w:marBottom w:val="0"/>
      <w:divBdr>
        <w:top w:val="none" w:sz="0" w:space="0" w:color="auto"/>
        <w:left w:val="none" w:sz="0" w:space="0" w:color="auto"/>
        <w:bottom w:val="none" w:sz="0" w:space="0" w:color="auto"/>
        <w:right w:val="none" w:sz="0" w:space="0" w:color="auto"/>
      </w:divBdr>
    </w:div>
    <w:div w:id="202860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ctAmerica@fcc.gov"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ie.King@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fcc.gov/encyclopedia/price-cap-resources" TargetMode="External"/><Relationship Id="rId2" Type="http://schemas.openxmlformats.org/officeDocument/2006/relationships/hyperlink" Target="http://www.fcc.gov/wcb/CAM43_Supported_Locations.zip" TargetMode="External"/><Relationship Id="rId1" Type="http://schemas.openxmlformats.org/officeDocument/2006/relationships/hyperlink" Target="http://www.fcc.gov/wcb/CAM_4.3_Results_Final_042915.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3463</Characters>
  <Application>Microsoft Office Word</Application>
  <DocSecurity>0</DocSecurity>
  <Lines>124</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4050</CharactersWithSpaces>
  <SharedDoc>false</SharedDoc>
  <HyperlinkBase> </HyperlinkBase>
  <HLinks>
    <vt:vector size="18" baseType="variant">
      <vt:variant>
        <vt:i4>8323072</vt:i4>
      </vt:variant>
      <vt:variant>
        <vt:i4>6</vt:i4>
      </vt:variant>
      <vt:variant>
        <vt:i4>0</vt:i4>
      </vt:variant>
      <vt:variant>
        <vt:i4>5</vt:i4>
      </vt:variant>
      <vt:variant>
        <vt:lpwstr>mailto:Katie.King@fcc.gov</vt:lpwstr>
      </vt:variant>
      <vt:variant>
        <vt:lpwstr/>
      </vt:variant>
      <vt:variant>
        <vt:i4>8060971</vt:i4>
      </vt:variant>
      <vt:variant>
        <vt:i4>3</vt:i4>
      </vt:variant>
      <vt:variant>
        <vt:i4>0</vt:i4>
      </vt:variant>
      <vt:variant>
        <vt:i4>5</vt:i4>
      </vt:variant>
      <vt:variant>
        <vt:lpwstr>http://www.fcc.gov/encyclopedia/price-cap-resources</vt:lpwstr>
      </vt:variant>
      <vt:variant>
        <vt:lpwstr/>
      </vt:variant>
      <vt:variant>
        <vt:i4>3735604</vt:i4>
      </vt:variant>
      <vt:variant>
        <vt:i4>0</vt:i4>
      </vt:variant>
      <vt:variant>
        <vt:i4>0</vt:i4>
      </vt:variant>
      <vt:variant>
        <vt:i4>5</vt:i4>
      </vt:variant>
      <vt:variant>
        <vt:lpwstr>http://www.fcc.gov/encyclopedia/connect-america-cost-model-illustrative-results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2015-04-29T18:28:00Z</dcterms:created>
  <dcterms:modified xsi:type="dcterms:W3CDTF">2015-04-29T18:28:00Z</dcterms:modified>
  <cp:category> </cp:category>
  <cp:contentStatus> </cp:contentStatus>
</cp:coreProperties>
</file>