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D909F5" w:rsidP="007115F7">
            <w:pPr>
              <w:tabs>
                <w:tab w:val="center" w:pos="4680"/>
              </w:tabs>
              <w:suppressAutoHyphens/>
              <w:rPr>
                <w:spacing w:val="-2"/>
              </w:rPr>
            </w:pPr>
            <w:r>
              <w:rPr>
                <w:spacing w:val="-2"/>
              </w:rPr>
              <w:t>Ernesto Bustos</w:t>
            </w:r>
          </w:p>
          <w:p w:rsidR="00D909F5" w:rsidRDefault="00D909F5" w:rsidP="007115F7">
            <w:pPr>
              <w:tabs>
                <w:tab w:val="center" w:pos="4680"/>
              </w:tabs>
              <w:suppressAutoHyphens/>
              <w:rPr>
                <w:spacing w:val="-2"/>
              </w:rPr>
            </w:pPr>
            <w:r>
              <w:rPr>
                <w:spacing w:val="-2"/>
              </w:rPr>
              <w:t>Licensee of Station WTBL-CD</w:t>
            </w:r>
          </w:p>
          <w:p w:rsidR="00D909F5" w:rsidRPr="007115F7" w:rsidRDefault="00D909F5" w:rsidP="007115F7">
            <w:pPr>
              <w:tabs>
                <w:tab w:val="center" w:pos="4680"/>
              </w:tabs>
              <w:suppressAutoHyphens/>
              <w:rPr>
                <w:spacing w:val="-2"/>
              </w:rPr>
            </w:pPr>
            <w:r>
              <w:rPr>
                <w:spacing w:val="-2"/>
              </w:rPr>
              <w:t>Lenoir, North Carolina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909F5">
            <w:pPr>
              <w:tabs>
                <w:tab w:val="center" w:pos="4680"/>
              </w:tabs>
              <w:suppressAutoHyphens/>
              <w:rPr>
                <w:spacing w:val="-2"/>
              </w:rPr>
            </w:pPr>
            <w:r>
              <w:rPr>
                <w:spacing w:val="-2"/>
              </w:rPr>
              <w:t>Facility ID No. 54983</w:t>
            </w:r>
          </w:p>
          <w:p w:rsidR="00D909F5" w:rsidRDefault="00D909F5">
            <w:pPr>
              <w:tabs>
                <w:tab w:val="center" w:pos="4680"/>
              </w:tabs>
              <w:suppressAutoHyphens/>
              <w:rPr>
                <w:spacing w:val="-2"/>
              </w:rPr>
            </w:pPr>
            <w:r>
              <w:rPr>
                <w:spacing w:val="-2"/>
              </w:rPr>
              <w:t>NAL/Acct. No.: 201341420009</w:t>
            </w:r>
          </w:p>
          <w:p w:rsidR="00D909F5" w:rsidRDefault="00D909F5">
            <w:pPr>
              <w:tabs>
                <w:tab w:val="center" w:pos="4680"/>
              </w:tabs>
              <w:suppressAutoHyphens/>
              <w:rPr>
                <w:spacing w:val="-2"/>
              </w:rPr>
            </w:pPr>
            <w:r>
              <w:rPr>
                <w:spacing w:val="-2"/>
              </w:rPr>
              <w:t>FRN: 0021349188</w:t>
            </w:r>
          </w:p>
        </w:tc>
      </w:tr>
    </w:tbl>
    <w:p w:rsidR="004C2EE3" w:rsidRDefault="004C2EE3" w:rsidP="0070224F"/>
    <w:p w:rsidR="00841AB1" w:rsidRDefault="00CA2DC5"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05EC8">
        <w:rPr>
          <w:b/>
          <w:spacing w:val="-2"/>
        </w:rPr>
        <w:t>April 30,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05EC8">
        <w:rPr>
          <w:b/>
          <w:spacing w:val="-2"/>
        </w:rPr>
        <w:t>April 30, 2015</w:t>
      </w:r>
    </w:p>
    <w:p w:rsidR="00822CE0" w:rsidRDefault="00822CE0"/>
    <w:p w:rsidR="004C2EE3" w:rsidRDefault="004C2EE3">
      <w:pPr>
        <w:rPr>
          <w:spacing w:val="-2"/>
        </w:rPr>
      </w:pPr>
      <w:r>
        <w:t xml:space="preserve">By </w:t>
      </w:r>
      <w:r w:rsidR="004E4A22">
        <w:t>the</w:t>
      </w:r>
      <w:r w:rsidR="007604DF">
        <w:t xml:space="preserve"> </w:t>
      </w:r>
      <w:r w:rsidR="005F6424">
        <w:t>Chief, Video Division, Media Bureau:</w:t>
      </w:r>
    </w:p>
    <w:p w:rsidR="00412FC5" w:rsidRDefault="00412FC5" w:rsidP="00412FC5"/>
    <w:p w:rsidR="002C00E8" w:rsidRDefault="00CA2DC5" w:rsidP="002C00E8">
      <w:pPr>
        <w:pStyle w:val="Heading1"/>
      </w:pPr>
      <w:r>
        <w:t>Introduction</w:t>
      </w:r>
    </w:p>
    <w:p w:rsidR="00CA2DC5" w:rsidRDefault="00CA2DC5" w:rsidP="00365BBA">
      <w:pPr>
        <w:pStyle w:val="ParaNum"/>
      </w:pPr>
      <w:r>
        <w:t xml:space="preserve">In this Order on Reconsideration, we </w:t>
      </w:r>
      <w:r w:rsidR="00F5177A">
        <w:t xml:space="preserve">dismiss </w:t>
      </w:r>
      <w:r>
        <w:t>the November 14, 2014 Petition for Reconsideration filed by Ernesto Bustos (the “</w:t>
      </w:r>
      <w:r w:rsidR="0057086C">
        <w:t>Petitioner</w:t>
      </w:r>
      <w:r>
        <w:t>”), licensee of Station WTBL-CD, Lenoir, North Carolina (the “Station”)</w:t>
      </w:r>
      <w:r w:rsidR="00CF3A7D">
        <w:t xml:space="preserve">, pursuant to </w:t>
      </w:r>
      <w:r w:rsidR="005F6424">
        <w:t xml:space="preserve">our delegated authority under </w:t>
      </w:r>
      <w:r w:rsidR="00CF3A7D">
        <w:t>Section 1.106</w:t>
      </w:r>
      <w:r w:rsidR="005F6424">
        <w:t>(p)</w:t>
      </w:r>
      <w:r w:rsidR="00812361">
        <w:t xml:space="preserve"> </w:t>
      </w:r>
      <w:r w:rsidR="005740AB">
        <w:t>of the Commission’s Rules (“Rules”)</w:t>
      </w:r>
      <w:r>
        <w:t xml:space="preserve">. </w:t>
      </w:r>
      <w:r w:rsidR="00365BBA">
        <w:t xml:space="preserve"> </w:t>
      </w:r>
      <w:r>
        <w:t xml:space="preserve">The </w:t>
      </w:r>
      <w:r w:rsidR="0057086C">
        <w:t>Petitioner</w:t>
      </w:r>
      <w:r>
        <w:t xml:space="preserve"> seeks re</w:t>
      </w:r>
      <w:r w:rsidR="005F31FB">
        <w:t>consideration of the</w:t>
      </w:r>
      <w:r>
        <w:t xml:space="preserve"> </w:t>
      </w:r>
      <w:r w:rsidRPr="005F31FB">
        <w:rPr>
          <w:i/>
        </w:rPr>
        <w:t>Memorandum Opinion and Order</w:t>
      </w:r>
      <w:r w:rsidR="001248B4">
        <w:rPr>
          <w:rStyle w:val="FootnoteReference"/>
        </w:rPr>
        <w:footnoteReference w:id="2"/>
      </w:r>
      <w:r>
        <w:t xml:space="preserve"> issued by the Commission </w:t>
      </w:r>
      <w:r w:rsidR="008954A7">
        <w:t>dismissing in part and</w:t>
      </w:r>
      <w:r w:rsidR="00DA4051">
        <w:t xml:space="preserve"> otherwise</w:t>
      </w:r>
      <w:r w:rsidR="008954A7">
        <w:t xml:space="preserve"> denying </w:t>
      </w:r>
      <w:r w:rsidR="00DC2CC0">
        <w:t xml:space="preserve">his </w:t>
      </w:r>
      <w:r>
        <w:t>Application for Review</w:t>
      </w:r>
      <w:r w:rsidR="00365BBA">
        <w:t>.</w:t>
      </w:r>
      <w:r w:rsidR="000515E1">
        <w:rPr>
          <w:rStyle w:val="FootnoteReference"/>
        </w:rPr>
        <w:footnoteReference w:id="3"/>
      </w:r>
      <w:r>
        <w:t xml:space="preserve"> </w:t>
      </w:r>
      <w:r w:rsidR="00365BBA">
        <w:t xml:space="preserve"> The </w:t>
      </w:r>
      <w:r w:rsidR="00365BBA">
        <w:rPr>
          <w:i/>
        </w:rPr>
        <w:t xml:space="preserve">Memorandum Opinion and Order </w:t>
      </w:r>
      <w:r w:rsidR="00365BBA">
        <w:t xml:space="preserve">sustained </w:t>
      </w:r>
      <w:r>
        <w:t xml:space="preserve">a $13,000 forfeiture </w:t>
      </w:r>
      <w:r w:rsidR="00DA4051">
        <w:t xml:space="preserve">against </w:t>
      </w:r>
      <w:r w:rsidR="0057086C">
        <w:t>Petitioner</w:t>
      </w:r>
      <w:r w:rsidR="00DA4051">
        <w:t xml:space="preserve"> </w:t>
      </w:r>
      <w:r w:rsidR="002B3A5F">
        <w:t>for his failure to prepare, place in the Station’s public file, and file electronically with the Commission the Station’s Children’s Television Programming Reports in a timely manner</w:t>
      </w:r>
      <w:r w:rsidR="004D13AC">
        <w:t xml:space="preserve">, in violation of Section 73.3526(e)(11)(iii) of the </w:t>
      </w:r>
      <w:r w:rsidR="00F5177A">
        <w:t>R</w:t>
      </w:r>
      <w:r w:rsidR="004D13AC">
        <w:t>ules</w:t>
      </w:r>
      <w:r w:rsidR="002B3A5F">
        <w:t>.</w:t>
      </w:r>
      <w:r w:rsidR="004D13AC">
        <w:rPr>
          <w:rStyle w:val="FootnoteReference"/>
        </w:rPr>
        <w:footnoteReference w:id="4"/>
      </w:r>
      <w:r w:rsidR="002B3A5F">
        <w:t xml:space="preserve"> </w:t>
      </w:r>
    </w:p>
    <w:p w:rsidR="005F31FB" w:rsidRDefault="005F31FB" w:rsidP="00277797">
      <w:pPr>
        <w:pStyle w:val="Heading1"/>
        <w:spacing w:after="0"/>
        <w:contextualSpacing/>
      </w:pPr>
      <w:r>
        <w:t>Background</w:t>
      </w:r>
    </w:p>
    <w:p w:rsidR="000D3681" w:rsidRDefault="000D3681" w:rsidP="00277797">
      <w:pPr>
        <w:pStyle w:val="ParaNum"/>
        <w:numPr>
          <w:ilvl w:val="0"/>
          <w:numId w:val="0"/>
        </w:numPr>
        <w:ind w:left="720"/>
        <w:contextualSpacing/>
      </w:pPr>
    </w:p>
    <w:p w:rsidR="00BB5CA9" w:rsidRDefault="009646B8" w:rsidP="00277797">
      <w:pPr>
        <w:pStyle w:val="ParaNum"/>
        <w:contextualSpacing/>
      </w:pPr>
      <w:r>
        <w:t>On July 18, 2014, Petitioner filed an Application for Review of the Video Division’s</w:t>
      </w:r>
      <w:r w:rsidR="00E2460C">
        <w:t xml:space="preserve"> (“Division”)</w:t>
      </w:r>
      <w:r>
        <w:t xml:space="preserve"> </w:t>
      </w:r>
      <w:r w:rsidRPr="00277797">
        <w:rPr>
          <w:i/>
        </w:rPr>
        <w:t>Memorandum Opinion and Order</w:t>
      </w:r>
      <w:r>
        <w:t>.</w:t>
      </w:r>
      <w:r w:rsidR="00E2460C">
        <w:rPr>
          <w:rStyle w:val="FootnoteReference"/>
        </w:rPr>
        <w:footnoteReference w:id="5"/>
      </w:r>
      <w:r>
        <w:t xml:space="preserve"> On review, Petitioner (1) </w:t>
      </w:r>
      <w:r w:rsidR="004809C2">
        <w:t xml:space="preserve">repeated </w:t>
      </w:r>
      <w:r w:rsidR="00DC2CC0">
        <w:t xml:space="preserve">his </w:t>
      </w:r>
      <w:r w:rsidR="004809C2">
        <w:t>argument</w:t>
      </w:r>
      <w:r w:rsidR="00D11DEF">
        <w:t xml:space="preserve"> that the </w:t>
      </w:r>
      <w:r w:rsidR="007604DF">
        <w:t xml:space="preserve">imposed </w:t>
      </w:r>
      <w:r w:rsidR="00D11DEF">
        <w:t>forfeiture was inconsistent with prior Commission precedent, in violation of</w:t>
      </w:r>
      <w:r w:rsidR="004809C2">
        <w:t xml:space="preserve"> </w:t>
      </w:r>
      <w:r w:rsidR="004809C2" w:rsidRPr="00277797">
        <w:rPr>
          <w:i/>
        </w:rPr>
        <w:t>Melody Music</w:t>
      </w:r>
      <w:r w:rsidR="004809C2">
        <w:rPr>
          <w:rStyle w:val="FootnoteReference"/>
        </w:rPr>
        <w:footnoteReference w:id="6"/>
      </w:r>
      <w:r w:rsidR="00D11DEF">
        <w:rPr>
          <w:i/>
        </w:rPr>
        <w:t xml:space="preserve"> </w:t>
      </w:r>
      <w:r w:rsidR="00D11DEF" w:rsidRPr="00277797">
        <w:t>and the Equal Protection Clause of the Fifth and Fourteenth Amendments to the Constitution</w:t>
      </w:r>
      <w:r w:rsidR="00627BA8" w:rsidRPr="00B87C1C">
        <w:t>;</w:t>
      </w:r>
      <w:r w:rsidR="00627BA8">
        <w:t xml:space="preserve"> (2)</w:t>
      </w:r>
      <w:r w:rsidR="00A73E9B">
        <w:t xml:space="preserve"> assert</w:t>
      </w:r>
      <w:r w:rsidR="00337DE9">
        <w:t>ed</w:t>
      </w:r>
      <w:r w:rsidR="00A73E9B">
        <w:t xml:space="preserve"> that it is arbitrary and capricious for the Commission to impose a $13,000 forfeiture against </w:t>
      </w:r>
      <w:r w:rsidR="00DC2CC0">
        <w:t>him</w:t>
      </w:r>
      <w:r w:rsidR="00A73E9B">
        <w:t xml:space="preserve"> for “far less serious violations of FCC rules than were committed by the likes of Hearst Broadcasting and KPLR-TV, non-minority major market broadcasters, who </w:t>
      </w:r>
      <w:r w:rsidR="00277797">
        <w:t xml:space="preserve">were let off with </w:t>
      </w:r>
      <w:r w:rsidR="00A73E9B">
        <w:t>non-monetary “admonishments</w:t>
      </w:r>
      <w:r w:rsidR="00601071">
        <w:t>”’;</w:t>
      </w:r>
      <w:r w:rsidR="00A73E9B">
        <w:t xml:space="preserve"> </w:t>
      </w:r>
      <w:r w:rsidR="00337DE9">
        <w:t xml:space="preserve">and </w:t>
      </w:r>
      <w:r w:rsidR="00A73E9B">
        <w:t>(3)</w:t>
      </w:r>
      <w:r w:rsidR="00337DE9">
        <w:t xml:space="preserve"> argued, for the first time, that the Bureau’s action violated the Due Process Clause of the Fifth Amendment because the Commission did not provide him “fair notice” of the amount of the forfeiture  </w:t>
      </w:r>
      <w:r w:rsidR="00337DE9">
        <w:lastRenderedPageBreak/>
        <w:t>for the violations of the rules that he acknowledges he committed.</w:t>
      </w:r>
      <w:r w:rsidR="00A73E9B">
        <w:rPr>
          <w:rStyle w:val="FootnoteReference"/>
        </w:rPr>
        <w:footnoteReference w:id="7"/>
      </w:r>
      <w:r w:rsidR="00524450">
        <w:t xml:space="preserve"> In </w:t>
      </w:r>
      <w:r w:rsidR="00DC2CC0">
        <w:t>a</w:t>
      </w:r>
      <w:r w:rsidR="00524450">
        <w:t xml:space="preserve"> </w:t>
      </w:r>
      <w:r w:rsidR="00524450" w:rsidRPr="00277797">
        <w:rPr>
          <w:i/>
        </w:rPr>
        <w:t>Memorandum Opinion and Order</w:t>
      </w:r>
      <w:r w:rsidR="00524450">
        <w:t xml:space="preserve"> </w:t>
      </w:r>
      <w:r w:rsidR="00DC2CC0">
        <w:t>released on</w:t>
      </w:r>
      <w:r w:rsidR="00DC2CC0" w:rsidRPr="00DC2CC0">
        <w:t xml:space="preserve"> </w:t>
      </w:r>
      <w:r w:rsidR="00DC2CC0">
        <w:t>October 15, 2014</w:t>
      </w:r>
      <w:r w:rsidR="00F9111C">
        <w:t>,</w:t>
      </w:r>
      <w:r w:rsidR="00DC2CC0">
        <w:t xml:space="preserve"> </w:t>
      </w:r>
      <w:r w:rsidR="00524450">
        <w:t>the Commission denied the first two arguments, concluding that the Petitioner had not demonstrated that the Bureau erred</w:t>
      </w:r>
      <w:r w:rsidR="00B459D3">
        <w:t xml:space="preserve">, and dismissed the third argument </w:t>
      </w:r>
      <w:r w:rsidR="00601071">
        <w:t>concerning</w:t>
      </w:r>
      <w:r w:rsidR="00B459D3">
        <w:t xml:space="preserve"> “fair notice” because Petitioner failed to make the argument to the Bureau</w:t>
      </w:r>
      <w:r w:rsidR="00524450">
        <w:t>.</w:t>
      </w:r>
      <w:r w:rsidR="00FF336C">
        <w:rPr>
          <w:rStyle w:val="FootnoteReference"/>
        </w:rPr>
        <w:footnoteReference w:id="8"/>
      </w:r>
    </w:p>
    <w:p w:rsidR="009A2005" w:rsidRDefault="009A2005" w:rsidP="00277797">
      <w:pPr>
        <w:pStyle w:val="ParaNum"/>
        <w:numPr>
          <w:ilvl w:val="0"/>
          <w:numId w:val="0"/>
        </w:numPr>
        <w:ind w:left="720"/>
        <w:contextualSpacing/>
      </w:pPr>
    </w:p>
    <w:p w:rsidR="002357EE" w:rsidRDefault="002357EE" w:rsidP="00277797">
      <w:pPr>
        <w:pStyle w:val="ParaNum"/>
        <w:contextualSpacing/>
      </w:pPr>
      <w:r>
        <w:t xml:space="preserve">To support the first two arguments above in earlier pleadings and demonstrate disparate treatment, Petitioner listed examples of enforcement actions </w:t>
      </w:r>
      <w:r w:rsidR="00527703">
        <w:t>we took</w:t>
      </w:r>
      <w:r w:rsidR="00527703" w:rsidRPr="00527703">
        <w:t xml:space="preserve"> </w:t>
      </w:r>
      <w:r w:rsidR="00527703">
        <w:t>against other broadcast stations at an earlier date which bore</w:t>
      </w:r>
      <w:r>
        <w:t xml:space="preserve"> different results. </w:t>
      </w:r>
      <w:r w:rsidR="0014593E">
        <w:t>In our decisions, we held</w:t>
      </w:r>
      <w:r>
        <w:t xml:space="preserve"> that the cases Petitioner cited warranted different forfeiture amounts because they involved different Rule violations.</w:t>
      </w:r>
      <w:r>
        <w:rPr>
          <w:rStyle w:val="FootnoteReference"/>
        </w:rPr>
        <w:footnoteReference w:id="9"/>
      </w:r>
    </w:p>
    <w:p w:rsidR="00E06C10" w:rsidRDefault="00E06C10" w:rsidP="00277797">
      <w:pPr>
        <w:pStyle w:val="ParaNum"/>
        <w:numPr>
          <w:ilvl w:val="0"/>
          <w:numId w:val="0"/>
        </w:numPr>
        <w:contextualSpacing/>
      </w:pPr>
    </w:p>
    <w:p w:rsidR="00E06C10" w:rsidRDefault="00E9776D" w:rsidP="00277797">
      <w:pPr>
        <w:pStyle w:val="ParaNum"/>
        <w:contextualSpacing/>
      </w:pPr>
      <w:r>
        <w:t>On</w:t>
      </w:r>
      <w:r w:rsidR="00B32A23">
        <w:t xml:space="preserve"> November 14, 2014,</w:t>
      </w:r>
      <w:r>
        <w:t xml:space="preserve"> Petitioner filed a Petition for Reconsideration</w:t>
      </w:r>
      <w:r w:rsidR="00B32A23">
        <w:t xml:space="preserve"> </w:t>
      </w:r>
      <w:r w:rsidR="00B07A38">
        <w:t xml:space="preserve">of this </w:t>
      </w:r>
      <w:r w:rsidR="00B07A38" w:rsidRPr="00277797">
        <w:rPr>
          <w:i/>
        </w:rPr>
        <w:t>Memorandum Opinion and Order</w:t>
      </w:r>
      <w:r w:rsidR="00B07A38">
        <w:t xml:space="preserve"> </w:t>
      </w:r>
      <w:r w:rsidR="00B32A23">
        <w:t>maintaining that</w:t>
      </w:r>
      <w:r w:rsidR="00240266">
        <w:t>, under Section 1.106(b)(2)</w:t>
      </w:r>
      <w:r w:rsidR="00A3340C">
        <w:t>,</w:t>
      </w:r>
      <w:r w:rsidR="00240266">
        <w:rPr>
          <w:rStyle w:val="FootnoteReference"/>
        </w:rPr>
        <w:footnoteReference w:id="10"/>
      </w:r>
      <w:r w:rsidR="00606DCF">
        <w:t xml:space="preserve"> new events have occurred since </w:t>
      </w:r>
      <w:r w:rsidR="00B23950">
        <w:t>he filed his</w:t>
      </w:r>
      <w:r w:rsidR="00606DCF">
        <w:t xml:space="preserve"> Application for Review </w:t>
      </w:r>
      <w:r w:rsidR="004D13AC">
        <w:t xml:space="preserve">that </w:t>
      </w:r>
      <w:r w:rsidR="00606DCF">
        <w:t>warrant reconsideration.</w:t>
      </w:r>
      <w:r w:rsidR="00F40756">
        <w:rPr>
          <w:rStyle w:val="FootnoteReference"/>
        </w:rPr>
        <w:footnoteReference w:id="11"/>
      </w:r>
      <w:r w:rsidR="00606DCF">
        <w:t xml:space="preserve"> </w:t>
      </w:r>
      <w:r w:rsidR="0057086C">
        <w:t>Petitioner</w:t>
      </w:r>
      <w:r w:rsidR="008059CB">
        <w:t xml:space="preserve"> lists twenty-four broadcast stations</w:t>
      </w:r>
      <w:r w:rsidR="004A10D8">
        <w:t xml:space="preserve"> </w:t>
      </w:r>
      <w:r w:rsidR="00353FE7">
        <w:t>which the</w:t>
      </w:r>
      <w:r w:rsidR="008059CB">
        <w:t xml:space="preserve"> Commission has admonished, but not </w:t>
      </w:r>
      <w:r w:rsidR="004A10D8">
        <w:t>monetarily fined</w:t>
      </w:r>
      <w:r w:rsidR="008059CB">
        <w:t xml:space="preserve">, for violations of certain </w:t>
      </w:r>
      <w:r w:rsidR="00687805">
        <w:t>children’s television programming</w:t>
      </w:r>
      <w:r w:rsidR="008059CB">
        <w:t xml:space="preserve"> rules</w:t>
      </w:r>
      <w:r w:rsidR="0057086C">
        <w:t xml:space="preserve"> </w:t>
      </w:r>
      <w:r w:rsidR="0059620C">
        <w:t xml:space="preserve">since </w:t>
      </w:r>
      <w:r w:rsidR="00B23950">
        <w:t xml:space="preserve">he </w:t>
      </w:r>
      <w:r w:rsidR="004A10D8">
        <w:t xml:space="preserve">filed </w:t>
      </w:r>
      <w:r w:rsidR="00B23950">
        <w:t xml:space="preserve">his </w:t>
      </w:r>
      <w:r w:rsidR="0059620C">
        <w:t>Application for Review</w:t>
      </w:r>
      <w:r w:rsidR="008059CB">
        <w:t>.</w:t>
      </w:r>
      <w:r w:rsidR="004D49DA">
        <w:rPr>
          <w:rStyle w:val="FootnoteReference"/>
        </w:rPr>
        <w:footnoteReference w:id="12"/>
      </w:r>
      <w:r w:rsidR="008059CB">
        <w:t xml:space="preserve"> </w:t>
      </w:r>
      <w:r w:rsidR="007A46C2">
        <w:t xml:space="preserve">Using these twenty-four events, </w:t>
      </w:r>
      <w:r w:rsidR="0057086C">
        <w:t xml:space="preserve">Petitioner </w:t>
      </w:r>
      <w:r w:rsidR="00527703">
        <w:t xml:space="preserve">argues again </w:t>
      </w:r>
      <w:r w:rsidR="004D49DA">
        <w:t>that the Commission must “explain how the disparate treatment of [</w:t>
      </w:r>
      <w:r w:rsidR="00B23950">
        <w:t>him</w:t>
      </w:r>
      <w:r w:rsidR="004D49DA">
        <w:t>] is consistent with the federal Constitution….”</w:t>
      </w:r>
      <w:r w:rsidR="006678AA">
        <w:rPr>
          <w:rStyle w:val="FootnoteReference"/>
        </w:rPr>
        <w:footnoteReference w:id="13"/>
      </w:r>
      <w:r w:rsidR="004D49DA">
        <w:t xml:space="preserve"> </w:t>
      </w:r>
      <w:r w:rsidR="0057086C">
        <w:t>Petitioner</w:t>
      </w:r>
      <w:r w:rsidR="00353FE7">
        <w:t xml:space="preserve"> </w:t>
      </w:r>
      <w:r w:rsidR="009A2005">
        <w:t>restates</w:t>
      </w:r>
      <w:r w:rsidR="000370B0">
        <w:t xml:space="preserve"> his position that there is no rational basis for how the Commission treats those whom it claims violate its children’s television rules.</w:t>
      </w:r>
      <w:r w:rsidR="000370B0">
        <w:rPr>
          <w:rStyle w:val="FootnoteReference"/>
        </w:rPr>
        <w:footnoteReference w:id="14"/>
      </w:r>
      <w:r w:rsidR="00C22001" w:rsidRPr="00C22001">
        <w:t xml:space="preserve"> </w:t>
      </w:r>
    </w:p>
    <w:p w:rsidR="00BE4F36" w:rsidRPr="00277797" w:rsidRDefault="00BE4F36" w:rsidP="00277797">
      <w:pPr>
        <w:pStyle w:val="ParaNum"/>
        <w:numPr>
          <w:ilvl w:val="0"/>
          <w:numId w:val="0"/>
        </w:numPr>
        <w:ind w:left="720"/>
        <w:contextualSpacing/>
        <w:rPr>
          <w:b/>
        </w:rPr>
      </w:pPr>
    </w:p>
    <w:p w:rsidR="00B30D06" w:rsidRPr="008D25D8" w:rsidRDefault="00BE4F36" w:rsidP="00277797">
      <w:pPr>
        <w:pStyle w:val="ParaNum"/>
        <w:numPr>
          <w:ilvl w:val="0"/>
          <w:numId w:val="0"/>
        </w:numPr>
        <w:rPr>
          <w:szCs w:val="22"/>
        </w:rPr>
      </w:pPr>
      <w:r w:rsidRPr="00277797">
        <w:rPr>
          <w:b/>
          <w:szCs w:val="22"/>
        </w:rPr>
        <w:t xml:space="preserve">III. </w:t>
      </w:r>
      <w:r w:rsidRPr="00277797">
        <w:rPr>
          <w:b/>
          <w:szCs w:val="22"/>
        </w:rPr>
        <w:tab/>
        <w:t>DISCUSSION</w:t>
      </w:r>
    </w:p>
    <w:p w:rsidR="001E75B5" w:rsidRDefault="00FE58D1" w:rsidP="00277797">
      <w:pPr>
        <w:pStyle w:val="ParaNum"/>
        <w:contextualSpacing/>
      </w:pPr>
      <w:r>
        <w:t>Commission rules specify limited circumstances under which a party may seek reconsideration of a Commission denial of an Application for Review.</w:t>
      </w:r>
      <w:r w:rsidR="009776FB">
        <w:rPr>
          <w:rStyle w:val="FootnoteReference"/>
        </w:rPr>
        <w:footnoteReference w:id="15"/>
      </w:r>
      <w:r>
        <w:t xml:space="preserve"> </w:t>
      </w:r>
      <w:r w:rsidR="001E75B5">
        <w:t xml:space="preserve">Under </w:t>
      </w:r>
      <w:r w:rsidR="001D172B">
        <w:t>Section 1.106(b)(2)</w:t>
      </w:r>
      <w:r w:rsidR="001E75B5">
        <w:t>, where the Commission has denied an Application for Review, a Petition for Reconsideration will be entertained only if the petition (i) “relies on facts or arguments which relate to events which have occurred or circumstances which have changed since the last opportunity to present such matters to the Commission,” and/or (ii) “relies on facts or arguments unknown to petitioner until after his last opportunity to present them to the Commission, and he could not through the exercise of ordinary diligence have learned of the facts or arguments in question prior to such opportunity.”</w:t>
      </w:r>
      <w:r w:rsidR="001E75B5">
        <w:rPr>
          <w:rStyle w:val="FootnoteReference"/>
        </w:rPr>
        <w:footnoteReference w:id="16"/>
      </w:r>
      <w:r w:rsidR="001E75B5">
        <w:t xml:space="preserve">  </w:t>
      </w:r>
      <w:r w:rsidR="001D172B">
        <w:t xml:space="preserve">Under Section 1.106(p), staff may dismiss or deny any petition for reconsideration of Commission action that “plainly does not warrant Commission consideration,” if for example, the petition “[f]ail[s] to identify any material error, omission, or reason </w:t>
      </w:r>
      <w:r w:rsidR="001D172B">
        <w:lastRenderedPageBreak/>
        <w:t>warranting reconsideration</w:t>
      </w:r>
      <w:r w:rsidR="00D828DB">
        <w:t>.”</w:t>
      </w:r>
      <w:r w:rsidR="00430862">
        <w:rPr>
          <w:rStyle w:val="FootnoteReference"/>
        </w:rPr>
        <w:footnoteReference w:id="17"/>
      </w:r>
      <w:r w:rsidR="00430862">
        <w:br/>
      </w:r>
    </w:p>
    <w:p w:rsidR="00187644" w:rsidRDefault="00431D36" w:rsidP="00C12E1C">
      <w:pPr>
        <w:pStyle w:val="ParaNum"/>
        <w:tabs>
          <w:tab w:val="clear" w:pos="1080"/>
          <w:tab w:val="num" w:pos="1440"/>
        </w:tabs>
      </w:pPr>
      <w:r>
        <w:t xml:space="preserve">Petitioner argues that new events have occurred since </w:t>
      </w:r>
      <w:r w:rsidR="00685D3A">
        <w:t>he</w:t>
      </w:r>
      <w:r w:rsidR="006040A6">
        <w:t xml:space="preserve"> </w:t>
      </w:r>
      <w:r w:rsidR="005A21EF">
        <w:t>fil</w:t>
      </w:r>
      <w:r w:rsidR="006040A6">
        <w:t xml:space="preserve">ed </w:t>
      </w:r>
      <w:r w:rsidR="00685D3A">
        <w:t xml:space="preserve">his </w:t>
      </w:r>
      <w:r>
        <w:t xml:space="preserve">Application for Review which </w:t>
      </w:r>
      <w:r w:rsidR="00870222">
        <w:t xml:space="preserve">now </w:t>
      </w:r>
      <w:r w:rsidR="00393866">
        <w:t>entitle</w:t>
      </w:r>
      <w:r>
        <w:t xml:space="preserve"> him to </w:t>
      </w:r>
      <w:r w:rsidR="007F7AB2">
        <w:t>r</w:t>
      </w:r>
      <w:r>
        <w:t>econsideration.</w:t>
      </w:r>
      <w:r w:rsidR="006D40EC">
        <w:t xml:space="preserve"> </w:t>
      </w:r>
      <w:r w:rsidR="00F8503E">
        <w:t>All</w:t>
      </w:r>
      <w:r w:rsidR="00393866">
        <w:t xml:space="preserve"> </w:t>
      </w:r>
      <w:r w:rsidR="00687805">
        <w:t xml:space="preserve">twenty-four </w:t>
      </w:r>
      <w:r w:rsidR="00393866">
        <w:t xml:space="preserve">events </w:t>
      </w:r>
      <w:r w:rsidR="009E370C">
        <w:t xml:space="preserve">Petitioner cites </w:t>
      </w:r>
      <w:r w:rsidR="00F8503E">
        <w:t>are</w:t>
      </w:r>
      <w:r w:rsidR="00FD4515">
        <w:t xml:space="preserve"> enforcement actions</w:t>
      </w:r>
      <w:r w:rsidR="00092CEC">
        <w:t xml:space="preserve"> </w:t>
      </w:r>
      <w:r w:rsidR="00F8503E">
        <w:t>the</w:t>
      </w:r>
      <w:r w:rsidR="007E6FC5">
        <w:t xml:space="preserve"> Division</w:t>
      </w:r>
      <w:r w:rsidR="00F8503E">
        <w:t xml:space="preserve"> took</w:t>
      </w:r>
      <w:r w:rsidR="007E6FC5">
        <w:t xml:space="preserve"> </w:t>
      </w:r>
      <w:r w:rsidR="00FD4515">
        <w:t xml:space="preserve">against broadcast stations </w:t>
      </w:r>
      <w:r w:rsidR="00853E1F">
        <w:t xml:space="preserve">for violations of Section 73.670 of the </w:t>
      </w:r>
      <w:r w:rsidR="00FD4515">
        <w:t>Commi</w:t>
      </w:r>
      <w:r w:rsidR="00FF04ED">
        <w:t>ssion</w:t>
      </w:r>
      <w:r w:rsidR="00092CEC">
        <w:t>’s</w:t>
      </w:r>
      <w:r w:rsidR="00853E1F">
        <w:t xml:space="preserve"> Rules, </w:t>
      </w:r>
      <w:r w:rsidR="004C356D">
        <w:t>which deals with</w:t>
      </w:r>
      <w:r w:rsidR="00092CEC">
        <w:t xml:space="preserve"> commercial limit</w:t>
      </w:r>
      <w:r w:rsidR="004C356D">
        <w:t>s</w:t>
      </w:r>
      <w:r w:rsidR="00853E1F">
        <w:t xml:space="preserve"> in children’s programs</w:t>
      </w:r>
      <w:r w:rsidR="00FF04ED">
        <w:t>.</w:t>
      </w:r>
      <w:r w:rsidR="007E6FC5">
        <w:t xml:space="preserve"> The</w:t>
      </w:r>
      <w:r w:rsidR="00870222">
        <w:t>se</w:t>
      </w:r>
      <w:r w:rsidR="007E6FC5">
        <w:t xml:space="preserve"> twenty-four events</w:t>
      </w:r>
      <w:r w:rsidR="00FF04ED">
        <w:t xml:space="preserve"> are new </w:t>
      </w:r>
      <w:r w:rsidR="00870222">
        <w:t xml:space="preserve">in that they occurred </w:t>
      </w:r>
      <w:r w:rsidR="00FF04ED">
        <w:t xml:space="preserve">since Petitioner last spoke. </w:t>
      </w:r>
      <w:r w:rsidR="009E370C">
        <w:t>However</w:t>
      </w:r>
      <w:r w:rsidR="007E6FC5">
        <w:t xml:space="preserve">, </w:t>
      </w:r>
      <w:r w:rsidR="005E27EA">
        <w:t>they are irrelevant to this case</w:t>
      </w:r>
      <w:r w:rsidR="009E370C">
        <w:t xml:space="preserve"> because a</w:t>
      </w:r>
      <w:r w:rsidR="00FD4515">
        <w:t xml:space="preserve">ll twenty-four actions deal with violations of </w:t>
      </w:r>
      <w:r w:rsidR="007E6FC5">
        <w:t>a different Rule than</w:t>
      </w:r>
      <w:r w:rsidR="00903985">
        <w:t xml:space="preserve"> the one </w:t>
      </w:r>
      <w:r w:rsidR="00FD4515">
        <w:t xml:space="preserve">at issue </w:t>
      </w:r>
      <w:r w:rsidR="005F6424">
        <w:t>here</w:t>
      </w:r>
      <w:r w:rsidR="00FD4515">
        <w:t>.</w:t>
      </w:r>
      <w:r w:rsidR="0052791B">
        <w:rPr>
          <w:rStyle w:val="FootnoteReference"/>
        </w:rPr>
        <w:footnoteReference w:id="18"/>
      </w:r>
      <w:r w:rsidR="00FD4515">
        <w:t xml:space="preserve"> </w:t>
      </w:r>
      <w:r w:rsidR="00E15823">
        <w:t>These twenty-four enforcement actions concern</w:t>
      </w:r>
      <w:r w:rsidR="005E27EA">
        <w:t xml:space="preserve"> Section 73.670</w:t>
      </w:r>
      <w:r w:rsidR="00E15823">
        <w:t xml:space="preserve"> of the Rules, not Section 73.3526(e)(11)(iii), which Petitioner violated.</w:t>
      </w:r>
      <w:r w:rsidR="00602876">
        <w:t xml:space="preserve"> </w:t>
      </w:r>
      <w:r w:rsidR="00AD2A60">
        <w:t xml:space="preserve">This explains </w:t>
      </w:r>
      <w:r w:rsidR="005F6424">
        <w:t xml:space="preserve">the disparate treatment </w:t>
      </w:r>
      <w:r w:rsidR="008363FD">
        <w:t>accorded Petitioner</w:t>
      </w:r>
      <w:r w:rsidR="00092CEC">
        <w:t>.</w:t>
      </w:r>
      <w:r w:rsidR="00971931">
        <w:t xml:space="preserve"> As we noted in the </w:t>
      </w:r>
      <w:r w:rsidR="00971931" w:rsidRPr="00277797">
        <w:rPr>
          <w:i/>
        </w:rPr>
        <w:t>Forfeiture Order</w:t>
      </w:r>
      <w:r w:rsidR="00971931">
        <w:t xml:space="preserve">, in </w:t>
      </w:r>
      <w:r w:rsidR="00041D27">
        <w:t xml:space="preserve">enforcement actions </w:t>
      </w:r>
      <w:r w:rsidR="00971931">
        <w:t xml:space="preserve">where </w:t>
      </w:r>
      <w:r w:rsidR="00F8503E">
        <w:t xml:space="preserve">the violations at issue were similar to </w:t>
      </w:r>
      <w:r w:rsidR="00971931">
        <w:t>Petitioner</w:t>
      </w:r>
      <w:r w:rsidR="00F8503E">
        <w:t>’s</w:t>
      </w:r>
      <w:r w:rsidR="00971931">
        <w:t xml:space="preserve">, our </w:t>
      </w:r>
      <w:r w:rsidR="00041D27">
        <w:t>enforcement policy has</w:t>
      </w:r>
      <w:r w:rsidR="006B59B2">
        <w:t xml:space="preserve"> been </w:t>
      </w:r>
      <w:r w:rsidR="00971931">
        <w:t>consistent.</w:t>
      </w:r>
      <w:r w:rsidR="00971931">
        <w:rPr>
          <w:rStyle w:val="FootnoteReference"/>
        </w:rPr>
        <w:footnoteReference w:id="19"/>
      </w:r>
      <w:r w:rsidR="00092CEC">
        <w:t xml:space="preserve"> </w:t>
      </w:r>
      <w:r w:rsidR="00602876">
        <w:t>Similarly</w:t>
      </w:r>
      <w:r w:rsidR="00092CEC">
        <w:t>, t</w:t>
      </w:r>
      <w:r w:rsidR="00FD4515">
        <w:t>he Division’s treatment of th</w:t>
      </w:r>
      <w:r w:rsidR="00602876">
        <w:t>e</w:t>
      </w:r>
      <w:r w:rsidR="00FD4515">
        <w:t xml:space="preserve"> </w:t>
      </w:r>
      <w:r w:rsidR="009E370C">
        <w:t xml:space="preserve">twenty-four </w:t>
      </w:r>
      <w:r w:rsidR="00FD4515">
        <w:t>stations</w:t>
      </w:r>
      <w:r w:rsidR="00602876">
        <w:t xml:space="preserve"> Petitioner cites</w:t>
      </w:r>
      <w:r w:rsidR="00FD4515">
        <w:t xml:space="preserve"> </w:t>
      </w:r>
      <w:r w:rsidR="00FF04ED">
        <w:t>is</w:t>
      </w:r>
      <w:r w:rsidR="001530B2">
        <w:t xml:space="preserve"> also</w:t>
      </w:r>
      <w:r w:rsidR="00FF04ED">
        <w:t xml:space="preserve"> consistent with past </w:t>
      </w:r>
      <w:r w:rsidR="00FD4515">
        <w:t>precedent</w:t>
      </w:r>
      <w:r w:rsidR="00FF04ED">
        <w:t xml:space="preserve"> </w:t>
      </w:r>
      <w:r w:rsidR="003B7532">
        <w:t>concerning that specific rule violation</w:t>
      </w:r>
      <w:r w:rsidR="001530B2">
        <w:t>. N</w:t>
      </w:r>
      <w:r w:rsidR="00FF04ED">
        <w:t xml:space="preserve">othing in our policy has changed since Petitioner filed </w:t>
      </w:r>
      <w:r w:rsidR="00647AD9">
        <w:t>his</w:t>
      </w:r>
      <w:r w:rsidR="00FF04ED">
        <w:t xml:space="preserve"> Application for Review</w:t>
      </w:r>
      <w:r w:rsidR="001530B2">
        <w:t xml:space="preserve"> which might warrant reconsideration</w:t>
      </w:r>
      <w:r w:rsidR="005F6424">
        <w:t xml:space="preserve">. </w:t>
      </w:r>
      <w:r w:rsidR="00D068F9">
        <w:t>Therefore, under Section 1.106(p)</w:t>
      </w:r>
      <w:r w:rsidR="00656F17">
        <w:t xml:space="preserve"> of the Rules</w:t>
      </w:r>
      <w:r w:rsidR="00D068F9">
        <w:t xml:space="preserve">, </w:t>
      </w:r>
      <w:r w:rsidR="00656F17">
        <w:t xml:space="preserve">we find that </w:t>
      </w:r>
      <w:r w:rsidR="00D068F9">
        <w:t>Petitioner has failed to identify “any material error, omission, or re</w:t>
      </w:r>
      <w:r w:rsidR="00656F17">
        <w:t>ason warranting reconsideration</w:t>
      </w:r>
      <w:r w:rsidR="00D068F9">
        <w:t>”</w:t>
      </w:r>
      <w:r w:rsidR="00656F17">
        <w:t xml:space="preserve"> and</w:t>
      </w:r>
      <w:r w:rsidR="00647AD9">
        <w:t xml:space="preserve"> we</w:t>
      </w:r>
      <w:r w:rsidR="00656F17">
        <w:t xml:space="preserve"> </w:t>
      </w:r>
      <w:r w:rsidR="001530B2">
        <w:t>therefore dismiss</w:t>
      </w:r>
      <w:r w:rsidR="00656F17">
        <w:t xml:space="preserve"> this argument.</w:t>
      </w:r>
      <w:r w:rsidR="00656F17">
        <w:rPr>
          <w:rStyle w:val="FootnoteReference"/>
        </w:rPr>
        <w:footnoteReference w:id="20"/>
      </w:r>
      <w:r w:rsidR="00656F17">
        <w:t xml:space="preserve"> </w:t>
      </w:r>
    </w:p>
    <w:p w:rsidR="00B30D06" w:rsidRDefault="00987685" w:rsidP="00B30D06">
      <w:pPr>
        <w:pStyle w:val="ParaNum"/>
      </w:pPr>
      <w:r>
        <w:t>Furthermore, t</w:t>
      </w:r>
      <w:r w:rsidR="006C4F26">
        <w:t>o the extent that Petitioner</w:t>
      </w:r>
      <w:r w:rsidR="009A2005">
        <w:t xml:space="preserve"> separately</w:t>
      </w:r>
      <w:r w:rsidR="006C4F26">
        <w:t xml:space="preserve"> </w:t>
      </w:r>
      <w:r w:rsidR="00EE21F1">
        <w:t>re</w:t>
      </w:r>
      <w:r w:rsidR="006C4F26">
        <w:t xml:space="preserve">argues that there is no rational basis for how the Commission treats those whom it claims violate its children’s television rules, we </w:t>
      </w:r>
      <w:r w:rsidR="00DD1143">
        <w:t xml:space="preserve">also </w:t>
      </w:r>
      <w:r w:rsidR="006C4F26">
        <w:t>dismiss this argument as repetitive of an argument already raised</w:t>
      </w:r>
      <w:r w:rsidR="00647AD9">
        <w:t xml:space="preserve"> </w:t>
      </w:r>
      <w:r w:rsidR="006C4F26">
        <w:t xml:space="preserve">both in </w:t>
      </w:r>
      <w:r w:rsidR="00647AD9">
        <w:t xml:space="preserve">his </w:t>
      </w:r>
      <w:r w:rsidR="006C4F26">
        <w:t xml:space="preserve">NAL response and </w:t>
      </w:r>
      <w:r w:rsidR="006218C8">
        <w:t xml:space="preserve">in </w:t>
      </w:r>
      <w:r w:rsidR="00647AD9">
        <w:t xml:space="preserve">his </w:t>
      </w:r>
      <w:r w:rsidR="006C4F26">
        <w:t>Petition for Reconsideration of the</w:t>
      </w:r>
      <w:r w:rsidR="00DD1143">
        <w:t xml:space="preserve"> Division</w:t>
      </w:r>
      <w:r w:rsidR="00790271">
        <w:t>’s</w:t>
      </w:r>
      <w:r w:rsidR="00DD1143">
        <w:t xml:space="preserve"> </w:t>
      </w:r>
      <w:r w:rsidR="006C4F26">
        <w:t>Forfeiture Order.</w:t>
      </w:r>
      <w:r w:rsidR="00C5054A">
        <w:rPr>
          <w:rStyle w:val="FootnoteReference"/>
        </w:rPr>
        <w:footnoteReference w:id="21"/>
      </w:r>
      <w:r w:rsidR="006C4F26">
        <w:t xml:space="preserve"> </w:t>
      </w:r>
    </w:p>
    <w:p w:rsidR="005F31FB" w:rsidRPr="00B30D06" w:rsidRDefault="005F31FB" w:rsidP="00277797">
      <w:pPr>
        <w:pStyle w:val="Heading1"/>
        <w:numPr>
          <w:ilvl w:val="0"/>
          <w:numId w:val="7"/>
        </w:numPr>
      </w:pPr>
      <w:r>
        <w:t>ordering clause</w:t>
      </w:r>
    </w:p>
    <w:p w:rsidR="00B44E4B" w:rsidRDefault="00B44E4B" w:rsidP="00CA2DC5">
      <w:pPr>
        <w:pStyle w:val="ParaNum"/>
      </w:pPr>
      <w:r>
        <w:t>ACCORDINGLY, IT IS ORDERED that, pursuant to</w:t>
      </w:r>
      <w:r w:rsidR="00456670">
        <w:t xml:space="preserve"> 47 U.S.C. § 405(a)</w:t>
      </w:r>
      <w:r w:rsidR="00CF3A7D">
        <w:t>, and Section</w:t>
      </w:r>
      <w:r>
        <w:t xml:space="preserve"> 1.</w:t>
      </w:r>
      <w:r w:rsidR="007A6C87">
        <w:t>106(</w:t>
      </w:r>
      <w:r w:rsidR="00B87C1C">
        <w:t xml:space="preserve">p) </w:t>
      </w:r>
      <w:r>
        <w:t xml:space="preserve">of the Commission’s rules, 47 C.F.R. </w:t>
      </w:r>
      <w:r w:rsidR="00FF25BB">
        <w:t>§</w:t>
      </w:r>
      <w:r>
        <w:t xml:space="preserve"> 1</w:t>
      </w:r>
      <w:r w:rsidR="00F95922">
        <w:t>06(</w:t>
      </w:r>
      <w:r w:rsidR="00B87C1C">
        <w:t>p</w:t>
      </w:r>
      <w:r w:rsidR="00F95922">
        <w:t>)</w:t>
      </w:r>
      <w:r w:rsidR="00B87C1C">
        <w:t>(1)</w:t>
      </w:r>
      <w:r w:rsidR="00F95922">
        <w:t>,</w:t>
      </w:r>
      <w:r>
        <w:t xml:space="preserve"> the Petition for Reconsideration  of Ernesto Bustos IS D</w:t>
      </w:r>
      <w:r w:rsidR="00AF64DB">
        <w:t>ISMISSED</w:t>
      </w:r>
      <w:r>
        <w:t xml:space="preserve">. </w:t>
      </w:r>
    </w:p>
    <w:p w:rsidR="00B44E4B" w:rsidRDefault="00B44E4B" w:rsidP="00B44E4B">
      <w:pPr>
        <w:pStyle w:val="ParaNum"/>
        <w:numPr>
          <w:ilvl w:val="0"/>
          <w:numId w:val="0"/>
        </w:numPr>
        <w:ind w:left="720"/>
      </w:pPr>
    </w:p>
    <w:p w:rsidR="002B2266" w:rsidRDefault="002B2266" w:rsidP="00B44E4B">
      <w:pPr>
        <w:pStyle w:val="ParaNum"/>
        <w:numPr>
          <w:ilvl w:val="0"/>
          <w:numId w:val="0"/>
        </w:numPr>
        <w:ind w:left="4320"/>
      </w:pPr>
      <w:r>
        <w:t>FEDERAL COMMUNICATIONS COMMISSION</w:t>
      </w:r>
    </w:p>
    <w:p w:rsidR="002B2266" w:rsidRDefault="002B2266" w:rsidP="00B44E4B">
      <w:pPr>
        <w:pStyle w:val="ParaNum"/>
        <w:numPr>
          <w:ilvl w:val="0"/>
          <w:numId w:val="0"/>
        </w:numPr>
        <w:ind w:left="4320"/>
      </w:pPr>
    </w:p>
    <w:p w:rsidR="002B2266" w:rsidRDefault="002B2266" w:rsidP="00277797">
      <w:pPr>
        <w:pStyle w:val="ParaNum"/>
        <w:numPr>
          <w:ilvl w:val="0"/>
          <w:numId w:val="0"/>
        </w:numPr>
        <w:spacing w:after="0"/>
        <w:ind w:left="4320"/>
      </w:pPr>
      <w:r>
        <w:t>Barbara A. Kreisman</w:t>
      </w:r>
    </w:p>
    <w:p w:rsidR="002B2266" w:rsidRDefault="002B2266" w:rsidP="00277797">
      <w:pPr>
        <w:pStyle w:val="ParaNum"/>
        <w:numPr>
          <w:ilvl w:val="0"/>
          <w:numId w:val="0"/>
        </w:numPr>
        <w:spacing w:after="0"/>
        <w:ind w:left="4320"/>
      </w:pPr>
      <w:r>
        <w:t>Chief, Video Division</w:t>
      </w:r>
    </w:p>
    <w:p w:rsidR="002B2266" w:rsidRDefault="002B2266" w:rsidP="00277797">
      <w:pPr>
        <w:pStyle w:val="ParaNum"/>
        <w:numPr>
          <w:ilvl w:val="0"/>
          <w:numId w:val="0"/>
        </w:numPr>
        <w:spacing w:after="0"/>
        <w:ind w:left="4320"/>
      </w:pPr>
      <w:r>
        <w:t>Media Bureau</w:t>
      </w:r>
    </w:p>
    <w:p w:rsidR="00B44E4B" w:rsidRDefault="00B44E4B" w:rsidP="00277797">
      <w:pPr>
        <w:pStyle w:val="ParaNum"/>
        <w:numPr>
          <w:ilvl w:val="0"/>
          <w:numId w:val="0"/>
        </w:numPr>
        <w:spacing w:after="0"/>
        <w:ind w:left="4320"/>
      </w:pPr>
    </w:p>
    <w:p w:rsidR="00B44E4B" w:rsidRDefault="00B44E4B" w:rsidP="00B44E4B">
      <w:pPr>
        <w:pStyle w:val="ParaNum"/>
        <w:numPr>
          <w:ilvl w:val="0"/>
          <w:numId w:val="0"/>
        </w:numPr>
        <w:ind w:left="4320"/>
      </w:pPr>
    </w:p>
    <w:p w:rsidR="00B44E4B" w:rsidRPr="00CA2DC5" w:rsidRDefault="00B44E4B" w:rsidP="00B44E4B">
      <w:pPr>
        <w:pStyle w:val="ParaNum"/>
        <w:numPr>
          <w:ilvl w:val="0"/>
          <w:numId w:val="0"/>
        </w:numPr>
        <w:ind w:firstLine="720"/>
      </w:pPr>
    </w:p>
    <w:sectPr w:rsidR="00B44E4B" w:rsidRPr="00CA2DC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24" w:rsidRDefault="00B55B24">
      <w:pPr>
        <w:spacing w:line="20" w:lineRule="exact"/>
      </w:pPr>
    </w:p>
  </w:endnote>
  <w:endnote w:type="continuationSeparator" w:id="0">
    <w:p w:rsidR="00B55B24" w:rsidRDefault="00B55B24">
      <w:r>
        <w:t xml:space="preserve"> </w:t>
      </w:r>
    </w:p>
  </w:endnote>
  <w:endnote w:type="continuationNotice" w:id="1">
    <w:p w:rsidR="00B55B24" w:rsidRDefault="00B55B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516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24" w:rsidRDefault="00B55B24">
      <w:r>
        <w:separator/>
      </w:r>
    </w:p>
  </w:footnote>
  <w:footnote w:type="continuationSeparator" w:id="0">
    <w:p w:rsidR="00B55B24" w:rsidRDefault="00B55B24" w:rsidP="00C721AC">
      <w:pPr>
        <w:spacing w:before="120"/>
        <w:rPr>
          <w:sz w:val="20"/>
        </w:rPr>
      </w:pPr>
      <w:r>
        <w:rPr>
          <w:sz w:val="20"/>
        </w:rPr>
        <w:t xml:space="preserve">(Continued from previous page)  </w:t>
      </w:r>
      <w:r>
        <w:rPr>
          <w:sz w:val="20"/>
        </w:rPr>
        <w:separator/>
      </w:r>
    </w:p>
  </w:footnote>
  <w:footnote w:type="continuationNotice" w:id="1">
    <w:p w:rsidR="00B55B24" w:rsidRDefault="00B55B24" w:rsidP="00C721AC">
      <w:pPr>
        <w:jc w:val="right"/>
        <w:rPr>
          <w:sz w:val="20"/>
        </w:rPr>
      </w:pPr>
      <w:r>
        <w:rPr>
          <w:sz w:val="20"/>
        </w:rPr>
        <w:t>(continued….)</w:t>
      </w:r>
    </w:p>
  </w:footnote>
  <w:footnote w:id="2">
    <w:p w:rsidR="001248B4" w:rsidRDefault="001248B4">
      <w:pPr>
        <w:pStyle w:val="FootnoteText"/>
      </w:pPr>
      <w:r>
        <w:rPr>
          <w:rStyle w:val="FootnoteReference"/>
        </w:rPr>
        <w:footnoteRef/>
      </w:r>
      <w:r>
        <w:t xml:space="preserve"> </w:t>
      </w:r>
      <w:r w:rsidRPr="00E56368">
        <w:rPr>
          <w:i/>
        </w:rPr>
        <w:t>Ernesto Bustos</w:t>
      </w:r>
      <w:r>
        <w:t xml:space="preserve">, Memorandum Opinion and Order, </w:t>
      </w:r>
      <w:r w:rsidR="00365BBA">
        <w:t>29 FCC Rcd 12863 (2014)</w:t>
      </w:r>
      <w:r>
        <w:t xml:space="preserve"> </w:t>
      </w:r>
    </w:p>
  </w:footnote>
  <w:footnote w:id="3">
    <w:p w:rsidR="000515E1" w:rsidRDefault="000515E1">
      <w:pPr>
        <w:pStyle w:val="FootnoteText"/>
      </w:pPr>
      <w:r>
        <w:rPr>
          <w:rStyle w:val="FootnoteReference"/>
        </w:rPr>
        <w:footnoteRef/>
      </w:r>
      <w:r>
        <w:t xml:space="preserve"> </w:t>
      </w:r>
      <w:r w:rsidRPr="00460B40">
        <w:rPr>
          <w:i/>
        </w:rPr>
        <w:t>Ernesto Bustos</w:t>
      </w:r>
      <w:r>
        <w:t>, Application for Rev</w:t>
      </w:r>
      <w:r w:rsidR="008F4AE9">
        <w:t xml:space="preserve">iew </w:t>
      </w:r>
      <w:r w:rsidR="00FE6B5A">
        <w:t>(Jul. 18, 2014)</w:t>
      </w:r>
      <w:r w:rsidR="008F4AE9">
        <w:t>.</w:t>
      </w:r>
    </w:p>
  </w:footnote>
  <w:footnote w:id="4">
    <w:p w:rsidR="004D13AC" w:rsidRDefault="004D13AC">
      <w:pPr>
        <w:pStyle w:val="FootnoteText"/>
      </w:pPr>
      <w:r>
        <w:rPr>
          <w:rStyle w:val="FootnoteReference"/>
        </w:rPr>
        <w:footnoteRef/>
      </w:r>
      <w:r>
        <w:t xml:space="preserve"> 47 C.F.R. § 73.3526(e)(11)(iii).</w:t>
      </w:r>
    </w:p>
  </w:footnote>
  <w:footnote w:id="5">
    <w:p w:rsidR="00E2460C" w:rsidRDefault="00E2460C">
      <w:pPr>
        <w:pStyle w:val="FootnoteText"/>
      </w:pPr>
      <w:r>
        <w:rPr>
          <w:rStyle w:val="FootnoteReference"/>
        </w:rPr>
        <w:footnoteRef/>
      </w:r>
      <w:r>
        <w:t xml:space="preserve"> </w:t>
      </w:r>
      <w:r w:rsidRPr="00277797">
        <w:rPr>
          <w:i/>
        </w:rPr>
        <w:t>Ernesto Bustos</w:t>
      </w:r>
      <w:r>
        <w:t>, Memorandum Opinion and Order,</w:t>
      </w:r>
      <w:r w:rsidR="00FE2527">
        <w:t xml:space="preserve"> </w:t>
      </w:r>
      <w:r w:rsidR="000D5A00" w:rsidRPr="00A2487F">
        <w:rPr>
          <w:color w:val="252525"/>
        </w:rPr>
        <w:t>29 FCC Rcd 7311</w:t>
      </w:r>
      <w:r w:rsidR="000D5A00" w:rsidRPr="00A2487F">
        <w:t xml:space="preserve"> </w:t>
      </w:r>
      <w:r w:rsidR="00FE2527">
        <w:t>(Vid. Div. Jun. 18, 2014).</w:t>
      </w:r>
    </w:p>
  </w:footnote>
  <w:footnote w:id="6">
    <w:p w:rsidR="004809C2" w:rsidRDefault="004809C2">
      <w:pPr>
        <w:pStyle w:val="FootnoteText"/>
      </w:pPr>
      <w:r>
        <w:rPr>
          <w:rStyle w:val="FootnoteReference"/>
        </w:rPr>
        <w:footnoteRef/>
      </w:r>
      <w:r>
        <w:t xml:space="preserve"> </w:t>
      </w:r>
      <w:r w:rsidRPr="00277797">
        <w:rPr>
          <w:i/>
        </w:rPr>
        <w:t>Melody Music, Inc. v. FCC</w:t>
      </w:r>
      <w:r>
        <w:t xml:space="preserve">, 345 F.2d 730 (D.C. Cir. 1965). </w:t>
      </w:r>
    </w:p>
  </w:footnote>
  <w:footnote w:id="7">
    <w:p w:rsidR="00A73E9B" w:rsidRDefault="00A73E9B">
      <w:pPr>
        <w:pStyle w:val="FootnoteText"/>
      </w:pPr>
      <w:r>
        <w:rPr>
          <w:rStyle w:val="FootnoteReference"/>
        </w:rPr>
        <w:footnoteRef/>
      </w:r>
      <w:r>
        <w:t xml:space="preserve"> </w:t>
      </w:r>
      <w:r w:rsidRPr="00277797">
        <w:rPr>
          <w:i/>
        </w:rPr>
        <w:t>See</w:t>
      </w:r>
      <w:r>
        <w:t xml:space="preserve"> </w:t>
      </w:r>
      <w:r w:rsidRPr="00277797">
        <w:rPr>
          <w:i/>
        </w:rPr>
        <w:t>Ernesto B</w:t>
      </w:r>
      <w:r w:rsidR="00812361" w:rsidRPr="00277797">
        <w:rPr>
          <w:i/>
        </w:rPr>
        <w:t>ustos</w:t>
      </w:r>
      <w:r w:rsidR="00812361">
        <w:t>, Application for Review (J</w:t>
      </w:r>
      <w:r w:rsidR="00B40ED3">
        <w:t>ul.</w:t>
      </w:r>
      <w:r>
        <w:t xml:space="preserve"> 18, 2014</w:t>
      </w:r>
      <w:r w:rsidR="00812361">
        <w:t>).</w:t>
      </w:r>
    </w:p>
  </w:footnote>
  <w:footnote w:id="8">
    <w:p w:rsidR="00FF336C" w:rsidRDefault="00FF336C">
      <w:pPr>
        <w:pStyle w:val="FootnoteText"/>
      </w:pPr>
      <w:r>
        <w:rPr>
          <w:rStyle w:val="FootnoteReference"/>
        </w:rPr>
        <w:footnoteRef/>
      </w:r>
      <w:r>
        <w:t xml:space="preserve"> </w:t>
      </w:r>
      <w:r w:rsidRPr="00277797">
        <w:rPr>
          <w:i/>
        </w:rPr>
        <w:t>See Ernesto Bustos</w:t>
      </w:r>
      <w:r>
        <w:t xml:space="preserve">, 29 FCC Rcd </w:t>
      </w:r>
      <w:r w:rsidR="008D25D8">
        <w:t xml:space="preserve">at </w:t>
      </w:r>
      <w:r>
        <w:t>12863 (stating that “[t]he Bureau, in the Memorandum Opinion and Order, properly decided the matters raised, and we uphold its decision for the reasons stated therein.”</w:t>
      </w:r>
      <w:r w:rsidR="00161047">
        <w:t>)</w:t>
      </w:r>
    </w:p>
  </w:footnote>
  <w:footnote w:id="9">
    <w:p w:rsidR="002357EE" w:rsidRDefault="002357EE" w:rsidP="002357EE">
      <w:pPr>
        <w:pStyle w:val="FootnoteText"/>
      </w:pPr>
      <w:r>
        <w:rPr>
          <w:rStyle w:val="FootnoteReference"/>
        </w:rPr>
        <w:footnoteRef/>
      </w:r>
      <w:r>
        <w:t xml:space="preserve"> Petitioner already made the “disparate treatment” argument in both his NAL Response and Petition for Reconsideration of the Bureau’s Forfeiture Order. </w:t>
      </w:r>
      <w:r w:rsidRPr="009234B1">
        <w:rPr>
          <w:i/>
        </w:rPr>
        <w:t xml:space="preserve">See </w:t>
      </w:r>
      <w:r>
        <w:rPr>
          <w:i/>
        </w:rPr>
        <w:t xml:space="preserve">Ernesto Bustos, </w:t>
      </w:r>
      <w:r w:rsidRPr="00662114">
        <w:t>Response to Notice of A</w:t>
      </w:r>
      <w:r>
        <w:t>pparent</w:t>
      </w:r>
      <w:r w:rsidRPr="00662114">
        <w:t xml:space="preserve"> Liability for Forfeiture (May 17, 2013) at </w:t>
      </w:r>
      <w:r>
        <w:t>para 9-10</w:t>
      </w:r>
      <w:r w:rsidRPr="00662114">
        <w:t>.</w:t>
      </w:r>
      <w:r>
        <w:t xml:space="preserve"> </w:t>
      </w:r>
      <w:r w:rsidRPr="00662114">
        <w:rPr>
          <w:i/>
        </w:rPr>
        <w:t>See also</w:t>
      </w:r>
      <w:r>
        <w:rPr>
          <w:i/>
        </w:rPr>
        <w:t xml:space="preserve"> </w:t>
      </w:r>
      <w:r w:rsidRPr="009234B1">
        <w:rPr>
          <w:i/>
        </w:rPr>
        <w:t>Ernesto Bustos</w:t>
      </w:r>
      <w:r>
        <w:t xml:space="preserve">, Petition for Reconsideration (Mar. 26, 2014) at para 4-13. We responded to Petitioner’s argument in both the Forfeiture Order and in the Division’s Memorandum Opinion and Order. </w:t>
      </w:r>
      <w:r w:rsidRPr="004B69D0">
        <w:rPr>
          <w:i/>
        </w:rPr>
        <w:t>See</w:t>
      </w:r>
      <w:r w:rsidRPr="00A2487F">
        <w:t xml:space="preserve"> </w:t>
      </w:r>
      <w:r w:rsidRPr="004B69D0">
        <w:rPr>
          <w:i/>
        </w:rPr>
        <w:t>Ernesto Bustos</w:t>
      </w:r>
      <w:r>
        <w:t xml:space="preserve">, Forfeiture Order, 29 FCC Rcd 1898 (Feb. 24, 2014) at para 19 and </w:t>
      </w:r>
      <w:r w:rsidRPr="00A2487F">
        <w:rPr>
          <w:i/>
        </w:rPr>
        <w:t>Ernesto Bustos</w:t>
      </w:r>
      <w:r w:rsidRPr="00A2487F">
        <w:t>, Memorandum Opinion and Order,</w:t>
      </w:r>
      <w:r w:rsidRPr="00A2487F">
        <w:rPr>
          <w:color w:val="252525"/>
        </w:rPr>
        <w:t xml:space="preserve"> 29 FCC Rcd 7311</w:t>
      </w:r>
      <w:r w:rsidRPr="00A2487F">
        <w:t xml:space="preserve"> (Vid. Div. Jun. 18, 2014)</w:t>
      </w:r>
      <w:r>
        <w:t xml:space="preserve"> at para 9. </w:t>
      </w:r>
    </w:p>
  </w:footnote>
  <w:footnote w:id="10">
    <w:p w:rsidR="00240266" w:rsidRDefault="00240266">
      <w:pPr>
        <w:pStyle w:val="FootnoteText"/>
      </w:pPr>
      <w:r>
        <w:rPr>
          <w:rStyle w:val="FootnoteReference"/>
        </w:rPr>
        <w:footnoteRef/>
      </w:r>
      <w:r>
        <w:t xml:space="preserve"> The </w:t>
      </w:r>
      <w:r w:rsidR="0057086C">
        <w:t>Petitioner</w:t>
      </w:r>
      <w:r>
        <w:t xml:space="preserve"> </w:t>
      </w:r>
      <w:r w:rsidR="0050794C">
        <w:t xml:space="preserve">quotes the entirety of 1.106(b)(2) but </w:t>
      </w:r>
      <w:r>
        <w:t xml:space="preserve">does not cite a specific subsection to support </w:t>
      </w:r>
      <w:r w:rsidR="00C5035F">
        <w:t>his</w:t>
      </w:r>
      <w:r>
        <w:t xml:space="preserve"> argument. </w:t>
      </w:r>
    </w:p>
  </w:footnote>
  <w:footnote w:id="11">
    <w:p w:rsidR="00F40756" w:rsidRDefault="00F40756">
      <w:pPr>
        <w:pStyle w:val="FootnoteText"/>
      </w:pPr>
      <w:r>
        <w:rPr>
          <w:rStyle w:val="FootnoteReference"/>
        </w:rPr>
        <w:footnoteRef/>
      </w:r>
      <w:r>
        <w:t xml:space="preserve"> </w:t>
      </w:r>
      <w:r w:rsidR="00B40ED3" w:rsidRPr="00277797">
        <w:rPr>
          <w:i/>
        </w:rPr>
        <w:t>Ernesto Bustos</w:t>
      </w:r>
      <w:r w:rsidR="00B40ED3">
        <w:t xml:space="preserve">, </w:t>
      </w:r>
      <w:r>
        <w:t xml:space="preserve">Petition for Reconsideration </w:t>
      </w:r>
      <w:r w:rsidR="00B40ED3">
        <w:t>(Nov. 14, 2014) at 2</w:t>
      </w:r>
      <w:r>
        <w:t>.</w:t>
      </w:r>
    </w:p>
  </w:footnote>
  <w:footnote w:id="12">
    <w:p w:rsidR="004D49DA" w:rsidRDefault="004D49DA">
      <w:pPr>
        <w:pStyle w:val="FootnoteText"/>
      </w:pPr>
      <w:r>
        <w:rPr>
          <w:rStyle w:val="FootnoteReference"/>
        </w:rPr>
        <w:footnoteRef/>
      </w:r>
      <w:r>
        <w:t xml:space="preserve"> </w:t>
      </w:r>
      <w:r w:rsidR="0057086C">
        <w:t>The Petitioner</w:t>
      </w:r>
      <w:r>
        <w:t xml:space="preserve"> makes a point of observing that these twenty-four stations are full power and mostly non-minority.</w:t>
      </w:r>
      <w:r w:rsidR="00F40756">
        <w:t xml:space="preserve"> </w:t>
      </w:r>
      <w:r w:rsidR="00F40756" w:rsidRPr="00357D12">
        <w:rPr>
          <w:i/>
        </w:rPr>
        <w:t>See</w:t>
      </w:r>
      <w:r w:rsidR="00F40756">
        <w:t xml:space="preserve"> </w:t>
      </w:r>
      <w:r w:rsidR="00AA6390" w:rsidRPr="00277797">
        <w:rPr>
          <w:i/>
        </w:rPr>
        <w:t>Ernesto Bustos</w:t>
      </w:r>
      <w:r w:rsidR="00AA6390">
        <w:t xml:space="preserve">, </w:t>
      </w:r>
      <w:r w:rsidR="00F40756">
        <w:t>Petition for Reconsideration</w:t>
      </w:r>
      <w:r w:rsidR="00AA6390">
        <w:t xml:space="preserve"> (Nov. 14, 2014)</w:t>
      </w:r>
      <w:r w:rsidR="00F40756">
        <w:t xml:space="preserve"> at 2-4. </w:t>
      </w:r>
    </w:p>
  </w:footnote>
  <w:footnote w:id="13">
    <w:p w:rsidR="006678AA" w:rsidRDefault="006678AA">
      <w:pPr>
        <w:pStyle w:val="FootnoteText"/>
      </w:pPr>
      <w:r>
        <w:rPr>
          <w:rStyle w:val="FootnoteReference"/>
        </w:rPr>
        <w:footnoteRef/>
      </w:r>
      <w:r>
        <w:t xml:space="preserve"> </w:t>
      </w:r>
      <w:r w:rsidR="00E81BE8">
        <w:rPr>
          <w:i/>
        </w:rPr>
        <w:t>Id.</w:t>
      </w:r>
      <w:r w:rsidR="00B40ED3">
        <w:t xml:space="preserve"> at 4</w:t>
      </w:r>
      <w:r>
        <w:t>.</w:t>
      </w:r>
    </w:p>
  </w:footnote>
  <w:footnote w:id="14">
    <w:p w:rsidR="000370B0" w:rsidRDefault="000370B0">
      <w:pPr>
        <w:pStyle w:val="FootnoteText"/>
      </w:pPr>
      <w:r>
        <w:rPr>
          <w:rStyle w:val="FootnoteReference"/>
        </w:rPr>
        <w:footnoteRef/>
      </w:r>
      <w:r>
        <w:t xml:space="preserve"> </w:t>
      </w:r>
      <w:r w:rsidR="00F9111C">
        <w:rPr>
          <w:i/>
        </w:rPr>
        <w:t xml:space="preserve">Id. </w:t>
      </w:r>
      <w:r w:rsidR="00B40ED3">
        <w:t>at 5</w:t>
      </w:r>
      <w:r>
        <w:t>.</w:t>
      </w:r>
    </w:p>
  </w:footnote>
  <w:footnote w:id="15">
    <w:p w:rsidR="009776FB" w:rsidRDefault="009776FB">
      <w:pPr>
        <w:pStyle w:val="FootnoteText"/>
      </w:pPr>
      <w:r>
        <w:rPr>
          <w:rStyle w:val="FootnoteReference"/>
        </w:rPr>
        <w:footnoteRef/>
      </w:r>
      <w:r>
        <w:t xml:space="preserve"> </w:t>
      </w:r>
      <w:r w:rsidRPr="00277797">
        <w:rPr>
          <w:i/>
        </w:rPr>
        <w:t>See</w:t>
      </w:r>
      <w:r>
        <w:t xml:space="preserve"> </w:t>
      </w:r>
      <w:r w:rsidRPr="00277797">
        <w:rPr>
          <w:i/>
        </w:rPr>
        <w:t>Atlanta Channel, Inc.</w:t>
      </w:r>
      <w:r>
        <w:t xml:space="preserve">, </w:t>
      </w:r>
      <w:r w:rsidRPr="00601071">
        <w:t>Order on Reconsideration</w:t>
      </w:r>
      <w:r>
        <w:t>, 29 FCC Rcd 11848</w:t>
      </w:r>
      <w:r w:rsidR="001D172B">
        <w:t xml:space="preserve"> at para. 6</w:t>
      </w:r>
      <w:r>
        <w:t xml:space="preserve"> (MB 2014). </w:t>
      </w:r>
    </w:p>
  </w:footnote>
  <w:footnote w:id="16">
    <w:p w:rsidR="001E75B5" w:rsidRDefault="001E75B5" w:rsidP="001E75B5">
      <w:pPr>
        <w:pStyle w:val="FootnoteText"/>
      </w:pPr>
      <w:r>
        <w:rPr>
          <w:rStyle w:val="FootnoteReference"/>
        </w:rPr>
        <w:footnoteRef/>
      </w:r>
      <w:r>
        <w:t xml:space="preserve"> 47 C.F.R. § 1.106(b)(2). </w:t>
      </w:r>
    </w:p>
  </w:footnote>
  <w:footnote w:id="17">
    <w:p w:rsidR="00430862" w:rsidRDefault="00430862">
      <w:pPr>
        <w:pStyle w:val="FootnoteText"/>
      </w:pPr>
      <w:r>
        <w:rPr>
          <w:rStyle w:val="FootnoteReference"/>
        </w:rPr>
        <w:footnoteRef/>
      </w:r>
      <w:r>
        <w:t xml:space="preserve"> 47 C.F.R. § 1.106(p)</w:t>
      </w:r>
      <w:r w:rsidR="00C8532F">
        <w:t>(1)</w:t>
      </w:r>
      <w:r w:rsidR="002615BF">
        <w:t>.</w:t>
      </w:r>
    </w:p>
  </w:footnote>
  <w:footnote w:id="18">
    <w:p w:rsidR="0052791B" w:rsidRPr="0034145B" w:rsidRDefault="0052791B">
      <w:pPr>
        <w:pStyle w:val="FootnoteText"/>
      </w:pPr>
      <w:r w:rsidRPr="0034145B">
        <w:rPr>
          <w:rStyle w:val="FootnoteReference"/>
        </w:rPr>
        <w:footnoteRef/>
      </w:r>
      <w:r w:rsidRPr="0034145B">
        <w:t xml:space="preserve"> 47 C.F.R. § 73.670. Section 73.670 of the Rules </w:t>
      </w:r>
      <w:r w:rsidRPr="00277797">
        <w:t>deals with commercial limits in children</w:t>
      </w:r>
      <w:r w:rsidR="008A17C9" w:rsidRPr="008A17C9">
        <w:t xml:space="preserve">’s programs. Specifically, the </w:t>
      </w:r>
      <w:r w:rsidR="008A17C9">
        <w:t>r</w:t>
      </w:r>
      <w:r w:rsidRPr="00277797">
        <w:t>ule limits the amount of commercial matter which may be aired during children's programming to 10.5 minutes per hour on weekends and 12 minutes per hour on weekdays.</w:t>
      </w:r>
    </w:p>
  </w:footnote>
  <w:footnote w:id="19">
    <w:p w:rsidR="00971931" w:rsidRDefault="00971931">
      <w:pPr>
        <w:pStyle w:val="FootnoteText"/>
      </w:pPr>
      <w:r>
        <w:rPr>
          <w:rStyle w:val="FootnoteReference"/>
        </w:rPr>
        <w:footnoteRef/>
      </w:r>
      <w:r>
        <w:t xml:space="preserve"> </w:t>
      </w:r>
      <w:r w:rsidR="004B287C" w:rsidRPr="00D61B51">
        <w:rPr>
          <w:i/>
        </w:rPr>
        <w:t>See</w:t>
      </w:r>
      <w:r w:rsidR="004B287C">
        <w:t xml:space="preserve"> para. 19</w:t>
      </w:r>
      <w:r w:rsidR="000C456C">
        <w:t xml:space="preserve"> and fn. 36</w:t>
      </w:r>
      <w:r w:rsidR="004B287C">
        <w:t xml:space="preserve"> of </w:t>
      </w:r>
      <w:r w:rsidR="004B287C" w:rsidRPr="00277797">
        <w:rPr>
          <w:i/>
        </w:rPr>
        <w:t>Ernesto Bustos</w:t>
      </w:r>
      <w:r w:rsidR="004B287C">
        <w:t>, Forfeiture Order, 29 FCC Rcd 1898 (Feb. 24, 2014).</w:t>
      </w:r>
    </w:p>
  </w:footnote>
  <w:footnote w:id="20">
    <w:p w:rsidR="00656F17" w:rsidRDefault="00656F17" w:rsidP="00656F17">
      <w:pPr>
        <w:pStyle w:val="FootnoteText"/>
      </w:pPr>
      <w:r w:rsidRPr="0034145B">
        <w:rPr>
          <w:rStyle w:val="FootnoteReference"/>
        </w:rPr>
        <w:footnoteRef/>
      </w:r>
      <w:r w:rsidRPr="0034145B">
        <w:t xml:space="preserve"> </w:t>
      </w:r>
      <w:r w:rsidRPr="004B69D0">
        <w:rPr>
          <w:i/>
        </w:rPr>
        <w:t xml:space="preserve">See </w:t>
      </w:r>
      <w:r w:rsidRPr="0034145B">
        <w:t>47 C.F.R. § 1.106(p)(1).</w:t>
      </w:r>
    </w:p>
  </w:footnote>
  <w:footnote w:id="21">
    <w:p w:rsidR="00D61B51" w:rsidRDefault="00C5054A" w:rsidP="00D61B51">
      <w:pPr>
        <w:pStyle w:val="FootnoteText"/>
      </w:pPr>
      <w:r>
        <w:rPr>
          <w:rStyle w:val="FootnoteReference"/>
        </w:rPr>
        <w:footnoteRef/>
      </w:r>
      <w:r>
        <w:t xml:space="preserve"> The Bureau already responded to this argument</w:t>
      </w:r>
      <w:r w:rsidR="00D61B51">
        <w:t xml:space="preserve">. </w:t>
      </w:r>
      <w:r w:rsidR="00D61B51" w:rsidRPr="00D61B51">
        <w:rPr>
          <w:i/>
        </w:rPr>
        <w:t>See</w:t>
      </w:r>
      <w:r w:rsidR="00D61B51">
        <w:t xml:space="preserve"> </w:t>
      </w:r>
      <w:r>
        <w:t xml:space="preserve">para. 19 of </w:t>
      </w:r>
      <w:r w:rsidR="00D61B51" w:rsidRPr="00277797">
        <w:rPr>
          <w:i/>
        </w:rPr>
        <w:t>Ernesto Bustos</w:t>
      </w:r>
      <w:r w:rsidR="00D61B51">
        <w:t>, Forfeiture Order, 29 FCC Rcd 1898 (Feb. 24, 2014) and</w:t>
      </w:r>
      <w:r w:rsidR="00D61B51" w:rsidRPr="00D61B51">
        <w:rPr>
          <w:i/>
        </w:rPr>
        <w:t xml:space="preserve"> see</w:t>
      </w:r>
      <w:r w:rsidR="00D61B51">
        <w:t xml:space="preserve"> para. 9, </w:t>
      </w:r>
      <w:r w:rsidR="00D61B51" w:rsidRPr="00A2487F">
        <w:rPr>
          <w:i/>
        </w:rPr>
        <w:t>Ernesto Bustos</w:t>
      </w:r>
      <w:r w:rsidR="00D61B51" w:rsidRPr="00A2487F">
        <w:t>, Memorandum Opinion and Order,</w:t>
      </w:r>
      <w:r w:rsidR="00D61B51" w:rsidRPr="00A2487F">
        <w:rPr>
          <w:color w:val="252525"/>
        </w:rPr>
        <w:t xml:space="preserve"> 29 FCC Rcd 7311</w:t>
      </w:r>
      <w:r w:rsidR="00D61B51" w:rsidRPr="00A2487F">
        <w:t xml:space="preserve"> (Vid. Div. Jun. 18, 2014).</w:t>
      </w:r>
      <w:r w:rsidR="00D61B51">
        <w:t xml:space="preserve"> </w:t>
      </w:r>
    </w:p>
    <w:p w:rsidR="00C5054A" w:rsidRDefault="00C505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BB" w:rsidRDefault="00E41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05EC8">
      <w:t>DA 15-510</w:t>
    </w:r>
  </w:p>
  <w:p w:rsidR="00D25FB5" w:rsidRDefault="00D909F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E3B0157" wp14:editId="78AF2D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909F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05EC8">
      <w:rPr>
        <w:spacing w:val="-2"/>
      </w:rPr>
      <w:t>DA 15-510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3990D71A"/>
    <w:lvl w:ilvl="0">
      <w:start w:val="1"/>
      <w:numFmt w:val="decimal"/>
      <w:pStyle w:val="ParaNum"/>
      <w:lvlText w:val="%1."/>
      <w:lvlJc w:val="left"/>
      <w:pPr>
        <w:tabs>
          <w:tab w:val="num" w:pos="2520"/>
        </w:tabs>
        <w:ind w:left="144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F5"/>
    <w:rsid w:val="000332BC"/>
    <w:rsid w:val="00036039"/>
    <w:rsid w:val="000370B0"/>
    <w:rsid w:val="00037F90"/>
    <w:rsid w:val="00041D27"/>
    <w:rsid w:val="000515E1"/>
    <w:rsid w:val="000875BF"/>
    <w:rsid w:val="00092CEC"/>
    <w:rsid w:val="00096D8C"/>
    <w:rsid w:val="000A0474"/>
    <w:rsid w:val="000A0E75"/>
    <w:rsid w:val="000C0B65"/>
    <w:rsid w:val="000C3091"/>
    <w:rsid w:val="000C456C"/>
    <w:rsid w:val="000D3681"/>
    <w:rsid w:val="000D5A00"/>
    <w:rsid w:val="000E05FE"/>
    <w:rsid w:val="000E3D42"/>
    <w:rsid w:val="00122BD5"/>
    <w:rsid w:val="001248B4"/>
    <w:rsid w:val="001315C0"/>
    <w:rsid w:val="00133F79"/>
    <w:rsid w:val="0014593E"/>
    <w:rsid w:val="001530B2"/>
    <w:rsid w:val="00161047"/>
    <w:rsid w:val="00187644"/>
    <w:rsid w:val="00194A66"/>
    <w:rsid w:val="001C758D"/>
    <w:rsid w:val="001D172B"/>
    <w:rsid w:val="001D6BCF"/>
    <w:rsid w:val="001E01CA"/>
    <w:rsid w:val="001E75B5"/>
    <w:rsid w:val="001F0854"/>
    <w:rsid w:val="0020359F"/>
    <w:rsid w:val="002357EE"/>
    <w:rsid w:val="00240266"/>
    <w:rsid w:val="00244362"/>
    <w:rsid w:val="002469C3"/>
    <w:rsid w:val="00251560"/>
    <w:rsid w:val="002615BF"/>
    <w:rsid w:val="0027325A"/>
    <w:rsid w:val="00275CF5"/>
    <w:rsid w:val="00277797"/>
    <w:rsid w:val="0028301F"/>
    <w:rsid w:val="00285017"/>
    <w:rsid w:val="00295398"/>
    <w:rsid w:val="002A08D6"/>
    <w:rsid w:val="002A2D2E"/>
    <w:rsid w:val="002B2266"/>
    <w:rsid w:val="002B3A5F"/>
    <w:rsid w:val="002C00E8"/>
    <w:rsid w:val="002C5F51"/>
    <w:rsid w:val="002C7D0B"/>
    <w:rsid w:val="00320EC1"/>
    <w:rsid w:val="00324F11"/>
    <w:rsid w:val="00337DE9"/>
    <w:rsid w:val="0034145B"/>
    <w:rsid w:val="00343749"/>
    <w:rsid w:val="00353FE7"/>
    <w:rsid w:val="00357D12"/>
    <w:rsid w:val="00365BBA"/>
    <w:rsid w:val="003660ED"/>
    <w:rsid w:val="00393866"/>
    <w:rsid w:val="00396EBF"/>
    <w:rsid w:val="003B0550"/>
    <w:rsid w:val="003B694F"/>
    <w:rsid w:val="003B7532"/>
    <w:rsid w:val="003D4A02"/>
    <w:rsid w:val="003E3B4C"/>
    <w:rsid w:val="003E6F05"/>
    <w:rsid w:val="003F171C"/>
    <w:rsid w:val="003F223B"/>
    <w:rsid w:val="00412FC5"/>
    <w:rsid w:val="00416C14"/>
    <w:rsid w:val="00422276"/>
    <w:rsid w:val="00422996"/>
    <w:rsid w:val="004242F1"/>
    <w:rsid w:val="00430862"/>
    <w:rsid w:val="00431D36"/>
    <w:rsid w:val="00445A00"/>
    <w:rsid w:val="00451B0F"/>
    <w:rsid w:val="00456670"/>
    <w:rsid w:val="00460B40"/>
    <w:rsid w:val="004809C2"/>
    <w:rsid w:val="004A0AE2"/>
    <w:rsid w:val="004A10D8"/>
    <w:rsid w:val="004B287C"/>
    <w:rsid w:val="004C2EE3"/>
    <w:rsid w:val="004C356D"/>
    <w:rsid w:val="004C6182"/>
    <w:rsid w:val="004D13AC"/>
    <w:rsid w:val="004D49DA"/>
    <w:rsid w:val="004E0631"/>
    <w:rsid w:val="004E4A22"/>
    <w:rsid w:val="004F0379"/>
    <w:rsid w:val="0050794C"/>
    <w:rsid w:val="00511968"/>
    <w:rsid w:val="00524450"/>
    <w:rsid w:val="00527703"/>
    <w:rsid w:val="0052791B"/>
    <w:rsid w:val="0055614C"/>
    <w:rsid w:val="0057086C"/>
    <w:rsid w:val="005740AB"/>
    <w:rsid w:val="00584E11"/>
    <w:rsid w:val="00594CD1"/>
    <w:rsid w:val="0059620C"/>
    <w:rsid w:val="005A1A34"/>
    <w:rsid w:val="005A21EF"/>
    <w:rsid w:val="005C5AB4"/>
    <w:rsid w:val="005C698F"/>
    <w:rsid w:val="005D7712"/>
    <w:rsid w:val="005E14C2"/>
    <w:rsid w:val="005E27EA"/>
    <w:rsid w:val="005E59E0"/>
    <w:rsid w:val="005F22C0"/>
    <w:rsid w:val="005F31FB"/>
    <w:rsid w:val="005F6424"/>
    <w:rsid w:val="00601071"/>
    <w:rsid w:val="00602876"/>
    <w:rsid w:val="006040A6"/>
    <w:rsid w:val="00606DCF"/>
    <w:rsid w:val="00607BA5"/>
    <w:rsid w:val="0061180A"/>
    <w:rsid w:val="00612F94"/>
    <w:rsid w:val="006147C5"/>
    <w:rsid w:val="006218C8"/>
    <w:rsid w:val="00626EB6"/>
    <w:rsid w:val="00627BA8"/>
    <w:rsid w:val="0064605D"/>
    <w:rsid w:val="00647AD9"/>
    <w:rsid w:val="00655D03"/>
    <w:rsid w:val="00656F17"/>
    <w:rsid w:val="00662114"/>
    <w:rsid w:val="006678AA"/>
    <w:rsid w:val="00683388"/>
    <w:rsid w:val="00683F84"/>
    <w:rsid w:val="00685D3A"/>
    <w:rsid w:val="00687805"/>
    <w:rsid w:val="00695876"/>
    <w:rsid w:val="00696186"/>
    <w:rsid w:val="006A6A81"/>
    <w:rsid w:val="006B59B2"/>
    <w:rsid w:val="006C4F26"/>
    <w:rsid w:val="006D40EC"/>
    <w:rsid w:val="006F7393"/>
    <w:rsid w:val="0070019B"/>
    <w:rsid w:val="0070224F"/>
    <w:rsid w:val="007057E4"/>
    <w:rsid w:val="007115F7"/>
    <w:rsid w:val="0071252D"/>
    <w:rsid w:val="00725ED0"/>
    <w:rsid w:val="007604DF"/>
    <w:rsid w:val="007716A8"/>
    <w:rsid w:val="00785689"/>
    <w:rsid w:val="00790271"/>
    <w:rsid w:val="0079754B"/>
    <w:rsid w:val="007A0C8B"/>
    <w:rsid w:val="007A1E6D"/>
    <w:rsid w:val="007A46C2"/>
    <w:rsid w:val="007A6C87"/>
    <w:rsid w:val="007B0EB2"/>
    <w:rsid w:val="007B51A1"/>
    <w:rsid w:val="007E6FC5"/>
    <w:rsid w:val="007F7AB2"/>
    <w:rsid w:val="00801604"/>
    <w:rsid w:val="008059CB"/>
    <w:rsid w:val="00810B6F"/>
    <w:rsid w:val="00812361"/>
    <w:rsid w:val="00822CE0"/>
    <w:rsid w:val="0082748A"/>
    <w:rsid w:val="008363FD"/>
    <w:rsid w:val="00841AB1"/>
    <w:rsid w:val="00852EE8"/>
    <w:rsid w:val="00853E1F"/>
    <w:rsid w:val="008677BD"/>
    <w:rsid w:val="00870222"/>
    <w:rsid w:val="008946E1"/>
    <w:rsid w:val="008954A7"/>
    <w:rsid w:val="008A17C9"/>
    <w:rsid w:val="008C68F1"/>
    <w:rsid w:val="008D1F91"/>
    <w:rsid w:val="008D25D8"/>
    <w:rsid w:val="008F4AE9"/>
    <w:rsid w:val="00903985"/>
    <w:rsid w:val="00921803"/>
    <w:rsid w:val="009234B1"/>
    <w:rsid w:val="00926503"/>
    <w:rsid w:val="009646B8"/>
    <w:rsid w:val="00971931"/>
    <w:rsid w:val="009726D8"/>
    <w:rsid w:val="009776FB"/>
    <w:rsid w:val="00987685"/>
    <w:rsid w:val="00993B10"/>
    <w:rsid w:val="009A2005"/>
    <w:rsid w:val="009E370C"/>
    <w:rsid w:val="009F76DB"/>
    <w:rsid w:val="00A2487F"/>
    <w:rsid w:val="00A32C3B"/>
    <w:rsid w:val="00A3340C"/>
    <w:rsid w:val="00A374CB"/>
    <w:rsid w:val="00A45F4F"/>
    <w:rsid w:val="00A46F32"/>
    <w:rsid w:val="00A51299"/>
    <w:rsid w:val="00A600A9"/>
    <w:rsid w:val="00A62DD8"/>
    <w:rsid w:val="00A73E9B"/>
    <w:rsid w:val="00AA2E2C"/>
    <w:rsid w:val="00AA55B7"/>
    <w:rsid w:val="00AA5B9E"/>
    <w:rsid w:val="00AA6390"/>
    <w:rsid w:val="00AB2407"/>
    <w:rsid w:val="00AB53DF"/>
    <w:rsid w:val="00AD2A60"/>
    <w:rsid w:val="00AF64DB"/>
    <w:rsid w:val="00B07A38"/>
    <w:rsid w:val="00B07E5C"/>
    <w:rsid w:val="00B23950"/>
    <w:rsid w:val="00B30D06"/>
    <w:rsid w:val="00B32A23"/>
    <w:rsid w:val="00B340D6"/>
    <w:rsid w:val="00B40ED3"/>
    <w:rsid w:val="00B44E4B"/>
    <w:rsid w:val="00B459D3"/>
    <w:rsid w:val="00B5481E"/>
    <w:rsid w:val="00B55B24"/>
    <w:rsid w:val="00B6573C"/>
    <w:rsid w:val="00B811F7"/>
    <w:rsid w:val="00B87C1C"/>
    <w:rsid w:val="00BA5DC6"/>
    <w:rsid w:val="00BA6196"/>
    <w:rsid w:val="00BB5CA9"/>
    <w:rsid w:val="00BC6D8C"/>
    <w:rsid w:val="00BE42E6"/>
    <w:rsid w:val="00BE4F36"/>
    <w:rsid w:val="00C05EC8"/>
    <w:rsid w:val="00C12E1C"/>
    <w:rsid w:val="00C21418"/>
    <w:rsid w:val="00C22001"/>
    <w:rsid w:val="00C22C8B"/>
    <w:rsid w:val="00C34006"/>
    <w:rsid w:val="00C374DA"/>
    <w:rsid w:val="00C426B1"/>
    <w:rsid w:val="00C5035F"/>
    <w:rsid w:val="00C5054A"/>
    <w:rsid w:val="00C66160"/>
    <w:rsid w:val="00C721AC"/>
    <w:rsid w:val="00C8532F"/>
    <w:rsid w:val="00C90D6A"/>
    <w:rsid w:val="00CA247E"/>
    <w:rsid w:val="00CA2DC5"/>
    <w:rsid w:val="00CB13BD"/>
    <w:rsid w:val="00CC72B6"/>
    <w:rsid w:val="00CE70C3"/>
    <w:rsid w:val="00CF3A7D"/>
    <w:rsid w:val="00D0218D"/>
    <w:rsid w:val="00D068F9"/>
    <w:rsid w:val="00D11DEF"/>
    <w:rsid w:val="00D25FB5"/>
    <w:rsid w:val="00D26124"/>
    <w:rsid w:val="00D44223"/>
    <w:rsid w:val="00D6131F"/>
    <w:rsid w:val="00D61B51"/>
    <w:rsid w:val="00D828DB"/>
    <w:rsid w:val="00D909F5"/>
    <w:rsid w:val="00DA2529"/>
    <w:rsid w:val="00DA4051"/>
    <w:rsid w:val="00DA6306"/>
    <w:rsid w:val="00DB130A"/>
    <w:rsid w:val="00DB2EBB"/>
    <w:rsid w:val="00DC10A1"/>
    <w:rsid w:val="00DC2CC0"/>
    <w:rsid w:val="00DC655F"/>
    <w:rsid w:val="00DD0B59"/>
    <w:rsid w:val="00DD1143"/>
    <w:rsid w:val="00DD7EBD"/>
    <w:rsid w:val="00DF62B6"/>
    <w:rsid w:val="00E01888"/>
    <w:rsid w:val="00E06C10"/>
    <w:rsid w:val="00E07225"/>
    <w:rsid w:val="00E13DE9"/>
    <w:rsid w:val="00E15823"/>
    <w:rsid w:val="00E2460C"/>
    <w:rsid w:val="00E411BB"/>
    <w:rsid w:val="00E5409F"/>
    <w:rsid w:val="00E56368"/>
    <w:rsid w:val="00E80A47"/>
    <w:rsid w:val="00E81BE8"/>
    <w:rsid w:val="00E938E8"/>
    <w:rsid w:val="00E9776D"/>
    <w:rsid w:val="00EB13E1"/>
    <w:rsid w:val="00EB3336"/>
    <w:rsid w:val="00EE21F1"/>
    <w:rsid w:val="00EE6488"/>
    <w:rsid w:val="00F021FA"/>
    <w:rsid w:val="00F40756"/>
    <w:rsid w:val="00F46D7C"/>
    <w:rsid w:val="00F5177A"/>
    <w:rsid w:val="00F62E97"/>
    <w:rsid w:val="00F64209"/>
    <w:rsid w:val="00F716F5"/>
    <w:rsid w:val="00F75161"/>
    <w:rsid w:val="00F8503E"/>
    <w:rsid w:val="00F9111C"/>
    <w:rsid w:val="00F93BF5"/>
    <w:rsid w:val="00F95922"/>
    <w:rsid w:val="00F95D9B"/>
    <w:rsid w:val="00FD12E8"/>
    <w:rsid w:val="00FD4515"/>
    <w:rsid w:val="00FE2527"/>
    <w:rsid w:val="00FE58D1"/>
    <w:rsid w:val="00FE6B5A"/>
    <w:rsid w:val="00FF04ED"/>
    <w:rsid w:val="00FF25BB"/>
    <w:rsid w:val="00FF3066"/>
    <w:rsid w:val="00FF336C"/>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252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7057E4"/>
    <w:rPr>
      <w:sz w:val="16"/>
      <w:szCs w:val="16"/>
    </w:rPr>
  </w:style>
  <w:style w:type="paragraph" w:styleId="CommentText">
    <w:name w:val="annotation text"/>
    <w:basedOn w:val="Normal"/>
    <w:link w:val="CommentTextChar"/>
    <w:rsid w:val="007057E4"/>
    <w:rPr>
      <w:sz w:val="20"/>
    </w:rPr>
  </w:style>
  <w:style w:type="character" w:customStyle="1" w:styleId="CommentTextChar">
    <w:name w:val="Comment Text Char"/>
    <w:basedOn w:val="DefaultParagraphFont"/>
    <w:link w:val="CommentText"/>
    <w:rsid w:val="007057E4"/>
    <w:rPr>
      <w:snapToGrid w:val="0"/>
      <w:kern w:val="28"/>
    </w:rPr>
  </w:style>
  <w:style w:type="paragraph" w:styleId="CommentSubject">
    <w:name w:val="annotation subject"/>
    <w:basedOn w:val="CommentText"/>
    <w:next w:val="CommentText"/>
    <w:link w:val="CommentSubjectChar"/>
    <w:rsid w:val="007057E4"/>
    <w:rPr>
      <w:b/>
      <w:bCs/>
    </w:rPr>
  </w:style>
  <w:style w:type="character" w:customStyle="1" w:styleId="CommentSubjectChar">
    <w:name w:val="Comment Subject Char"/>
    <w:basedOn w:val="CommentTextChar"/>
    <w:link w:val="CommentSubject"/>
    <w:rsid w:val="007057E4"/>
    <w:rPr>
      <w:b/>
      <w:bCs/>
      <w:snapToGrid w:val="0"/>
      <w:kern w:val="28"/>
    </w:rPr>
  </w:style>
  <w:style w:type="paragraph" w:styleId="BalloonText">
    <w:name w:val="Balloon Text"/>
    <w:basedOn w:val="Normal"/>
    <w:link w:val="BalloonTextChar"/>
    <w:rsid w:val="007057E4"/>
    <w:rPr>
      <w:rFonts w:ascii="Tahoma" w:hAnsi="Tahoma" w:cs="Tahoma"/>
      <w:sz w:val="16"/>
      <w:szCs w:val="16"/>
    </w:rPr>
  </w:style>
  <w:style w:type="character" w:customStyle="1" w:styleId="BalloonTextChar">
    <w:name w:val="Balloon Text Char"/>
    <w:basedOn w:val="DefaultParagraphFont"/>
    <w:link w:val="BalloonText"/>
    <w:rsid w:val="007057E4"/>
    <w:rPr>
      <w:rFonts w:ascii="Tahoma" w:hAnsi="Tahoma" w:cs="Tahoma"/>
      <w:snapToGrid w:val="0"/>
      <w:kern w:val="28"/>
      <w:sz w:val="16"/>
      <w:szCs w:val="16"/>
    </w:rPr>
  </w:style>
  <w:style w:type="paragraph" w:styleId="Revision">
    <w:name w:val="Revision"/>
    <w:hidden/>
    <w:uiPriority w:val="99"/>
    <w:semiHidden/>
    <w:rsid w:val="00C12E1C"/>
    <w:rPr>
      <w:snapToGrid w:val="0"/>
      <w:kern w:val="28"/>
      <w:sz w:val="22"/>
    </w:rPr>
  </w:style>
  <w:style w:type="paragraph" w:styleId="ListParagraph">
    <w:name w:val="List Paragraph"/>
    <w:basedOn w:val="Normal"/>
    <w:uiPriority w:val="34"/>
    <w:qFormat/>
    <w:rsid w:val="00235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252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7057E4"/>
    <w:rPr>
      <w:sz w:val="16"/>
      <w:szCs w:val="16"/>
    </w:rPr>
  </w:style>
  <w:style w:type="paragraph" w:styleId="CommentText">
    <w:name w:val="annotation text"/>
    <w:basedOn w:val="Normal"/>
    <w:link w:val="CommentTextChar"/>
    <w:rsid w:val="007057E4"/>
    <w:rPr>
      <w:sz w:val="20"/>
    </w:rPr>
  </w:style>
  <w:style w:type="character" w:customStyle="1" w:styleId="CommentTextChar">
    <w:name w:val="Comment Text Char"/>
    <w:basedOn w:val="DefaultParagraphFont"/>
    <w:link w:val="CommentText"/>
    <w:rsid w:val="007057E4"/>
    <w:rPr>
      <w:snapToGrid w:val="0"/>
      <w:kern w:val="28"/>
    </w:rPr>
  </w:style>
  <w:style w:type="paragraph" w:styleId="CommentSubject">
    <w:name w:val="annotation subject"/>
    <w:basedOn w:val="CommentText"/>
    <w:next w:val="CommentText"/>
    <w:link w:val="CommentSubjectChar"/>
    <w:rsid w:val="007057E4"/>
    <w:rPr>
      <w:b/>
      <w:bCs/>
    </w:rPr>
  </w:style>
  <w:style w:type="character" w:customStyle="1" w:styleId="CommentSubjectChar">
    <w:name w:val="Comment Subject Char"/>
    <w:basedOn w:val="CommentTextChar"/>
    <w:link w:val="CommentSubject"/>
    <w:rsid w:val="007057E4"/>
    <w:rPr>
      <w:b/>
      <w:bCs/>
      <w:snapToGrid w:val="0"/>
      <w:kern w:val="28"/>
    </w:rPr>
  </w:style>
  <w:style w:type="paragraph" w:styleId="BalloonText">
    <w:name w:val="Balloon Text"/>
    <w:basedOn w:val="Normal"/>
    <w:link w:val="BalloonTextChar"/>
    <w:rsid w:val="007057E4"/>
    <w:rPr>
      <w:rFonts w:ascii="Tahoma" w:hAnsi="Tahoma" w:cs="Tahoma"/>
      <w:sz w:val="16"/>
      <w:szCs w:val="16"/>
    </w:rPr>
  </w:style>
  <w:style w:type="character" w:customStyle="1" w:styleId="BalloonTextChar">
    <w:name w:val="Balloon Text Char"/>
    <w:basedOn w:val="DefaultParagraphFont"/>
    <w:link w:val="BalloonText"/>
    <w:rsid w:val="007057E4"/>
    <w:rPr>
      <w:rFonts w:ascii="Tahoma" w:hAnsi="Tahoma" w:cs="Tahoma"/>
      <w:snapToGrid w:val="0"/>
      <w:kern w:val="28"/>
      <w:sz w:val="16"/>
      <w:szCs w:val="16"/>
    </w:rPr>
  </w:style>
  <w:style w:type="paragraph" w:styleId="Revision">
    <w:name w:val="Revision"/>
    <w:hidden/>
    <w:uiPriority w:val="99"/>
    <w:semiHidden/>
    <w:rsid w:val="00C12E1C"/>
    <w:rPr>
      <w:snapToGrid w:val="0"/>
      <w:kern w:val="28"/>
      <w:sz w:val="22"/>
    </w:rPr>
  </w:style>
  <w:style w:type="paragraph" w:styleId="ListParagraph">
    <w:name w:val="List Paragraph"/>
    <w:basedOn w:val="Normal"/>
    <w:uiPriority w:val="34"/>
    <w:qFormat/>
    <w:rsid w:val="0023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1004</Words>
  <Characters>5838</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2015-04-29T15:09:00Z</cp:lastPrinted>
  <dcterms:created xsi:type="dcterms:W3CDTF">2015-04-29T19:36:00Z</dcterms:created>
  <dcterms:modified xsi:type="dcterms:W3CDTF">2015-04-29T19:36:00Z</dcterms:modified>
  <cp:category> </cp:category>
  <cp:contentStatus> </cp:contentStatus>
</cp:coreProperties>
</file>