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0E3F12" w:rsidRDefault="004C2EE3" w:rsidP="0087510B">
      <w:pPr>
        <w:jc w:val="center"/>
        <w:rPr>
          <w:b/>
          <w:szCs w:val="22"/>
        </w:rPr>
      </w:pPr>
      <w:bookmarkStart w:id="0" w:name="_GoBack"/>
      <w:bookmarkEnd w:id="0"/>
      <w:r w:rsidRPr="000E3F12">
        <w:rPr>
          <w:b/>
          <w:szCs w:val="22"/>
        </w:rPr>
        <w:t>Before the</w:t>
      </w:r>
    </w:p>
    <w:p w:rsidR="00921803" w:rsidRPr="000E3F12" w:rsidRDefault="00921803" w:rsidP="0087510B">
      <w:pPr>
        <w:pStyle w:val="StyleBoldCentered"/>
        <w:rPr>
          <w:rFonts w:ascii="Times New Roman" w:hAnsi="Times New Roman"/>
        </w:rPr>
      </w:pPr>
      <w:r w:rsidRPr="000E3F12">
        <w:rPr>
          <w:rFonts w:ascii="Times New Roman" w:hAnsi="Times New Roman"/>
        </w:rPr>
        <w:t>F</w:t>
      </w:r>
      <w:r w:rsidRPr="000E3F12">
        <w:rPr>
          <w:rFonts w:ascii="Times New Roman" w:hAnsi="Times New Roman"/>
          <w:caps w:val="0"/>
        </w:rPr>
        <w:t>ederal Communications Commission</w:t>
      </w:r>
    </w:p>
    <w:p w:rsidR="004C2EE3" w:rsidRPr="000E3F12" w:rsidRDefault="00810B6F" w:rsidP="0087510B">
      <w:pPr>
        <w:pStyle w:val="StyleBoldCentered"/>
        <w:rPr>
          <w:rFonts w:ascii="Times New Roman" w:hAnsi="Times New Roman"/>
        </w:rPr>
      </w:pPr>
      <w:r w:rsidRPr="000E3F12">
        <w:rPr>
          <w:rFonts w:ascii="Times New Roman" w:hAnsi="Times New Roman"/>
          <w:caps w:val="0"/>
        </w:rPr>
        <w:t>Washington, D.C. 20554</w:t>
      </w:r>
    </w:p>
    <w:p w:rsidR="004C2EE3" w:rsidRPr="000E3F12" w:rsidRDefault="004C2EE3" w:rsidP="0087510B">
      <w:pPr>
        <w:rPr>
          <w:szCs w:val="22"/>
        </w:rPr>
      </w:pPr>
    </w:p>
    <w:tbl>
      <w:tblPr>
        <w:tblW w:w="0" w:type="auto"/>
        <w:tblLayout w:type="fixed"/>
        <w:tblLook w:val="0000" w:firstRow="0" w:lastRow="0" w:firstColumn="0" w:lastColumn="0" w:noHBand="0" w:noVBand="0"/>
      </w:tblPr>
      <w:tblGrid>
        <w:gridCol w:w="4698"/>
        <w:gridCol w:w="630"/>
        <w:gridCol w:w="4248"/>
      </w:tblGrid>
      <w:tr w:rsidR="004C2EE3" w:rsidRPr="000E3F12">
        <w:tc>
          <w:tcPr>
            <w:tcW w:w="4698" w:type="dxa"/>
          </w:tcPr>
          <w:p w:rsidR="004C2EE3" w:rsidRPr="000E3F12" w:rsidRDefault="004C2EE3" w:rsidP="0087510B">
            <w:pPr>
              <w:tabs>
                <w:tab w:val="center" w:pos="4680"/>
              </w:tabs>
              <w:suppressAutoHyphens/>
              <w:rPr>
                <w:spacing w:val="-2"/>
                <w:szCs w:val="22"/>
              </w:rPr>
            </w:pPr>
            <w:r w:rsidRPr="000E3F12">
              <w:rPr>
                <w:spacing w:val="-2"/>
                <w:szCs w:val="22"/>
              </w:rPr>
              <w:t>In the Matter of</w:t>
            </w:r>
          </w:p>
          <w:p w:rsidR="004C2EE3" w:rsidRPr="000E3F12" w:rsidRDefault="004C2EE3" w:rsidP="0087510B">
            <w:pPr>
              <w:tabs>
                <w:tab w:val="center" w:pos="4680"/>
              </w:tabs>
              <w:suppressAutoHyphens/>
              <w:rPr>
                <w:spacing w:val="-2"/>
                <w:szCs w:val="22"/>
              </w:rPr>
            </w:pPr>
          </w:p>
          <w:p w:rsidR="00962E4A" w:rsidRPr="000E3F12" w:rsidRDefault="006669CD" w:rsidP="0087510B">
            <w:pPr>
              <w:tabs>
                <w:tab w:val="center" w:pos="4680"/>
              </w:tabs>
              <w:suppressAutoHyphens/>
              <w:rPr>
                <w:spacing w:val="-2"/>
                <w:szCs w:val="22"/>
              </w:rPr>
            </w:pPr>
            <w:r>
              <w:rPr>
                <w:spacing w:val="-2"/>
              </w:rPr>
              <w:t>Simple Network</w:t>
            </w:r>
            <w:r w:rsidRPr="0087510B">
              <w:rPr>
                <w:spacing w:val="-2"/>
              </w:rPr>
              <w:t>, Inc.</w:t>
            </w:r>
          </w:p>
          <w:p w:rsidR="00883AFD" w:rsidRPr="000E3F12" w:rsidRDefault="00883AFD" w:rsidP="0087510B">
            <w:pPr>
              <w:tabs>
                <w:tab w:val="center" w:pos="4680"/>
              </w:tabs>
              <w:suppressAutoHyphens/>
              <w:rPr>
                <w:spacing w:val="-2"/>
                <w:szCs w:val="22"/>
              </w:rPr>
            </w:pPr>
          </w:p>
          <w:p w:rsidR="00883AFD" w:rsidRDefault="00883AFD" w:rsidP="0087510B">
            <w:pPr>
              <w:tabs>
                <w:tab w:val="center" w:pos="4680"/>
              </w:tabs>
              <w:suppressAutoHyphens/>
              <w:rPr>
                <w:spacing w:val="-2"/>
                <w:szCs w:val="22"/>
              </w:rPr>
            </w:pPr>
          </w:p>
          <w:p w:rsidR="00932340" w:rsidRPr="000E3F12" w:rsidRDefault="00932340" w:rsidP="0087510B">
            <w:pPr>
              <w:tabs>
                <w:tab w:val="center" w:pos="4680"/>
              </w:tabs>
              <w:suppressAutoHyphens/>
              <w:rPr>
                <w:spacing w:val="-2"/>
                <w:szCs w:val="22"/>
              </w:rPr>
            </w:pPr>
          </w:p>
        </w:tc>
        <w:tc>
          <w:tcPr>
            <w:tcW w:w="630" w:type="dxa"/>
          </w:tcPr>
          <w:p w:rsidR="004C2EE3" w:rsidRPr="000E3F12" w:rsidRDefault="004C2EE3" w:rsidP="0087510B">
            <w:pPr>
              <w:tabs>
                <w:tab w:val="center" w:pos="4680"/>
              </w:tabs>
              <w:suppressAutoHyphens/>
              <w:rPr>
                <w:b/>
                <w:spacing w:val="-2"/>
                <w:szCs w:val="22"/>
              </w:rPr>
            </w:pPr>
            <w:r w:rsidRPr="000E3F12">
              <w:rPr>
                <w:b/>
                <w:spacing w:val="-2"/>
                <w:szCs w:val="22"/>
              </w:rPr>
              <w:t>)</w:t>
            </w:r>
          </w:p>
          <w:p w:rsidR="004C2EE3" w:rsidRPr="000E3F12" w:rsidRDefault="004C2EE3" w:rsidP="0087510B">
            <w:pPr>
              <w:tabs>
                <w:tab w:val="center" w:pos="4680"/>
              </w:tabs>
              <w:suppressAutoHyphens/>
              <w:rPr>
                <w:b/>
                <w:spacing w:val="-2"/>
                <w:szCs w:val="22"/>
              </w:rPr>
            </w:pPr>
            <w:r w:rsidRPr="000E3F12">
              <w:rPr>
                <w:b/>
                <w:spacing w:val="-2"/>
                <w:szCs w:val="22"/>
              </w:rPr>
              <w:t>)</w:t>
            </w:r>
          </w:p>
          <w:p w:rsidR="004C2EE3" w:rsidRPr="000E3F12" w:rsidRDefault="004C2EE3" w:rsidP="0087510B">
            <w:pPr>
              <w:tabs>
                <w:tab w:val="center" w:pos="4680"/>
              </w:tabs>
              <w:suppressAutoHyphens/>
              <w:rPr>
                <w:b/>
                <w:spacing w:val="-2"/>
                <w:szCs w:val="22"/>
              </w:rPr>
            </w:pPr>
            <w:r w:rsidRPr="000E3F12">
              <w:rPr>
                <w:b/>
                <w:spacing w:val="-2"/>
                <w:szCs w:val="22"/>
              </w:rPr>
              <w:t>)</w:t>
            </w:r>
          </w:p>
          <w:p w:rsidR="004C2EE3" w:rsidRPr="000E3F12" w:rsidRDefault="004C2EE3" w:rsidP="0087510B">
            <w:pPr>
              <w:tabs>
                <w:tab w:val="center" w:pos="4680"/>
              </w:tabs>
              <w:suppressAutoHyphens/>
              <w:rPr>
                <w:b/>
                <w:spacing w:val="-2"/>
                <w:szCs w:val="22"/>
              </w:rPr>
            </w:pPr>
            <w:r w:rsidRPr="000E3F12">
              <w:rPr>
                <w:b/>
                <w:spacing w:val="-2"/>
                <w:szCs w:val="22"/>
              </w:rPr>
              <w:t>)</w:t>
            </w:r>
          </w:p>
          <w:p w:rsidR="0084762D" w:rsidRPr="000E3F12" w:rsidRDefault="004C2EE3">
            <w:pPr>
              <w:tabs>
                <w:tab w:val="center" w:pos="4680"/>
              </w:tabs>
              <w:suppressAutoHyphens/>
              <w:rPr>
                <w:b/>
                <w:spacing w:val="-2"/>
                <w:szCs w:val="22"/>
              </w:rPr>
            </w:pPr>
            <w:r w:rsidRPr="000E3F12">
              <w:rPr>
                <w:b/>
                <w:spacing w:val="-2"/>
                <w:szCs w:val="22"/>
              </w:rPr>
              <w:t>)</w:t>
            </w:r>
          </w:p>
        </w:tc>
        <w:tc>
          <w:tcPr>
            <w:tcW w:w="4248" w:type="dxa"/>
          </w:tcPr>
          <w:p w:rsidR="004C2EE3" w:rsidRPr="000E3F12" w:rsidRDefault="004C2EE3" w:rsidP="0087510B">
            <w:pPr>
              <w:tabs>
                <w:tab w:val="center" w:pos="4680"/>
              </w:tabs>
              <w:suppressAutoHyphens/>
              <w:rPr>
                <w:spacing w:val="-2"/>
                <w:szCs w:val="22"/>
              </w:rPr>
            </w:pPr>
          </w:p>
          <w:p w:rsidR="009E5420" w:rsidRPr="000E3F12" w:rsidRDefault="009E5420" w:rsidP="0087510B">
            <w:pPr>
              <w:tabs>
                <w:tab w:val="center" w:pos="4680"/>
              </w:tabs>
              <w:suppressAutoHyphens/>
              <w:rPr>
                <w:spacing w:val="-2"/>
                <w:szCs w:val="22"/>
              </w:rPr>
            </w:pPr>
          </w:p>
          <w:p w:rsidR="0084762D" w:rsidRPr="000E3F12" w:rsidRDefault="00D366CD" w:rsidP="0087510B">
            <w:pPr>
              <w:tabs>
                <w:tab w:val="center" w:pos="4680"/>
              </w:tabs>
              <w:suppressAutoHyphens/>
              <w:rPr>
                <w:spacing w:val="-2"/>
                <w:szCs w:val="22"/>
              </w:rPr>
            </w:pPr>
            <w:r w:rsidRPr="000E3F12">
              <w:rPr>
                <w:spacing w:val="-2"/>
                <w:szCs w:val="22"/>
              </w:rPr>
              <w:t xml:space="preserve">File No.: </w:t>
            </w:r>
            <w:r w:rsidR="006669CD" w:rsidRPr="006669CD">
              <w:rPr>
                <w:color w:val="222222"/>
                <w:szCs w:val="22"/>
              </w:rPr>
              <w:t>EB-IHD-13-00011486</w:t>
            </w:r>
            <w:r w:rsidR="006669CD">
              <w:rPr>
                <w:rStyle w:val="FootnoteReference"/>
                <w:szCs w:val="22"/>
              </w:rPr>
              <w:footnoteReference w:id="2"/>
            </w:r>
          </w:p>
          <w:p w:rsidR="009E5420" w:rsidRPr="000E3F12" w:rsidRDefault="00D366CD" w:rsidP="0087510B">
            <w:pPr>
              <w:tabs>
                <w:tab w:val="center" w:pos="4680"/>
              </w:tabs>
              <w:suppressAutoHyphens/>
              <w:rPr>
                <w:spacing w:val="-2"/>
                <w:szCs w:val="22"/>
              </w:rPr>
            </w:pPr>
            <w:r w:rsidRPr="000E3F12">
              <w:rPr>
                <w:spacing w:val="-2"/>
                <w:szCs w:val="22"/>
              </w:rPr>
              <w:t xml:space="preserve">NAL/Acct. No.: </w:t>
            </w:r>
            <w:r w:rsidR="00570AEA" w:rsidRPr="00570AEA">
              <w:rPr>
                <w:color w:val="222222"/>
                <w:szCs w:val="22"/>
              </w:rPr>
              <w:t>201532080014</w:t>
            </w:r>
          </w:p>
          <w:p w:rsidR="0084762D" w:rsidRPr="000E3F12" w:rsidRDefault="009E5420" w:rsidP="007071C6">
            <w:pPr>
              <w:tabs>
                <w:tab w:val="center" w:pos="4680"/>
              </w:tabs>
              <w:suppressAutoHyphens/>
              <w:rPr>
                <w:spacing w:val="-2"/>
                <w:szCs w:val="22"/>
              </w:rPr>
            </w:pPr>
            <w:r w:rsidRPr="000E3F12">
              <w:rPr>
                <w:spacing w:val="-2"/>
                <w:szCs w:val="22"/>
              </w:rPr>
              <w:t>FRN:</w:t>
            </w:r>
            <w:r w:rsidR="00F30457" w:rsidRPr="000E3F12">
              <w:rPr>
                <w:spacing w:val="-2"/>
                <w:szCs w:val="22"/>
              </w:rPr>
              <w:t xml:space="preserve"> </w:t>
            </w:r>
            <w:r w:rsidR="006C2401" w:rsidRPr="006C2401">
              <w:rPr>
                <w:color w:val="333333"/>
                <w:szCs w:val="22"/>
              </w:rPr>
              <w:t>0007921224</w:t>
            </w:r>
          </w:p>
        </w:tc>
      </w:tr>
    </w:tbl>
    <w:p w:rsidR="00841AB1" w:rsidRPr="000E3F12" w:rsidRDefault="009E5420" w:rsidP="0087510B">
      <w:pPr>
        <w:pStyle w:val="StyleBoldCentered"/>
        <w:rPr>
          <w:rFonts w:ascii="Times New Roman" w:hAnsi="Times New Roman"/>
        </w:rPr>
      </w:pPr>
      <w:r w:rsidRPr="000E3F12">
        <w:rPr>
          <w:rFonts w:ascii="Times New Roman" w:hAnsi="Times New Roman"/>
        </w:rPr>
        <w:t>NOTICE OF APPARENT LIABILITY FOR FORFEITURE</w:t>
      </w:r>
    </w:p>
    <w:p w:rsidR="004C2EE3" w:rsidRPr="000E3F12" w:rsidRDefault="004C2EE3" w:rsidP="0087510B">
      <w:pPr>
        <w:tabs>
          <w:tab w:val="left" w:pos="-720"/>
        </w:tabs>
        <w:suppressAutoHyphens/>
        <w:spacing w:line="227" w:lineRule="auto"/>
        <w:rPr>
          <w:spacing w:val="-2"/>
          <w:szCs w:val="22"/>
        </w:rPr>
      </w:pPr>
    </w:p>
    <w:p w:rsidR="004C2EE3" w:rsidRPr="000E3F12" w:rsidRDefault="004C2EE3" w:rsidP="0087510B">
      <w:pPr>
        <w:tabs>
          <w:tab w:val="left" w:pos="720"/>
          <w:tab w:val="right" w:pos="9360"/>
        </w:tabs>
        <w:suppressAutoHyphens/>
        <w:spacing w:line="227" w:lineRule="auto"/>
        <w:rPr>
          <w:spacing w:val="-2"/>
          <w:szCs w:val="22"/>
        </w:rPr>
      </w:pPr>
      <w:r w:rsidRPr="000E3F12">
        <w:rPr>
          <w:b/>
          <w:spacing w:val="-2"/>
          <w:szCs w:val="22"/>
        </w:rPr>
        <w:t xml:space="preserve">Adopted:  </w:t>
      </w:r>
      <w:r w:rsidR="00221A1E">
        <w:rPr>
          <w:b/>
          <w:spacing w:val="-2"/>
          <w:szCs w:val="22"/>
        </w:rPr>
        <w:t>May 4</w:t>
      </w:r>
      <w:r w:rsidR="00F30457" w:rsidRPr="000E3F12">
        <w:rPr>
          <w:b/>
          <w:spacing w:val="-2"/>
          <w:szCs w:val="22"/>
        </w:rPr>
        <w:t xml:space="preserve">, </w:t>
      </w:r>
      <w:r w:rsidR="006D1D51" w:rsidRPr="000E3F12">
        <w:rPr>
          <w:b/>
          <w:spacing w:val="-2"/>
          <w:szCs w:val="22"/>
        </w:rPr>
        <w:t>201</w:t>
      </w:r>
      <w:r w:rsidR="000567FC" w:rsidRPr="000E3F12">
        <w:rPr>
          <w:b/>
          <w:spacing w:val="-2"/>
          <w:szCs w:val="22"/>
        </w:rPr>
        <w:t>5</w:t>
      </w:r>
      <w:r w:rsidR="006D1D51" w:rsidRPr="000E3F12">
        <w:rPr>
          <w:b/>
          <w:spacing w:val="-2"/>
          <w:szCs w:val="22"/>
        </w:rPr>
        <w:t xml:space="preserve"> </w:t>
      </w:r>
      <w:r w:rsidR="006D1D51" w:rsidRPr="000E3F12">
        <w:rPr>
          <w:b/>
          <w:spacing w:val="-2"/>
          <w:szCs w:val="22"/>
        </w:rPr>
        <w:tab/>
        <w:t xml:space="preserve">Released:  </w:t>
      </w:r>
      <w:r w:rsidR="00221A1E">
        <w:rPr>
          <w:b/>
          <w:spacing w:val="-2"/>
          <w:szCs w:val="22"/>
        </w:rPr>
        <w:t>May 4</w:t>
      </w:r>
      <w:r w:rsidR="00F30457" w:rsidRPr="000E3F12">
        <w:rPr>
          <w:b/>
          <w:spacing w:val="-2"/>
          <w:szCs w:val="22"/>
        </w:rPr>
        <w:t>,</w:t>
      </w:r>
      <w:r w:rsidR="006D1D51" w:rsidRPr="000E3F12">
        <w:rPr>
          <w:b/>
          <w:spacing w:val="-2"/>
          <w:szCs w:val="22"/>
        </w:rPr>
        <w:t xml:space="preserve"> 201</w:t>
      </w:r>
      <w:r w:rsidR="000567FC" w:rsidRPr="000E3F12">
        <w:rPr>
          <w:b/>
          <w:spacing w:val="-2"/>
          <w:szCs w:val="22"/>
        </w:rPr>
        <w:t>5</w:t>
      </w:r>
    </w:p>
    <w:p w:rsidR="00822CE0" w:rsidRPr="000E3F12" w:rsidRDefault="00822CE0" w:rsidP="0087510B">
      <w:pPr>
        <w:rPr>
          <w:szCs w:val="22"/>
        </w:rPr>
      </w:pPr>
    </w:p>
    <w:p w:rsidR="004C2EE3" w:rsidRPr="000E3F12" w:rsidRDefault="004C2EE3" w:rsidP="0087510B">
      <w:pPr>
        <w:rPr>
          <w:spacing w:val="-2"/>
          <w:szCs w:val="22"/>
        </w:rPr>
      </w:pPr>
      <w:r w:rsidRPr="000E3F12">
        <w:rPr>
          <w:szCs w:val="22"/>
        </w:rPr>
        <w:t xml:space="preserve">By </w:t>
      </w:r>
      <w:r w:rsidR="004E4A22" w:rsidRPr="000E3F12">
        <w:rPr>
          <w:szCs w:val="22"/>
        </w:rPr>
        <w:t>the</w:t>
      </w:r>
      <w:r w:rsidR="002A2D2E" w:rsidRPr="000E3F12">
        <w:rPr>
          <w:szCs w:val="22"/>
        </w:rPr>
        <w:t xml:space="preserve"> </w:t>
      </w:r>
      <w:r w:rsidR="000A2013">
        <w:rPr>
          <w:szCs w:val="22"/>
        </w:rPr>
        <w:t xml:space="preserve">Deputy </w:t>
      </w:r>
      <w:r w:rsidR="004921DE" w:rsidRPr="000E3F12">
        <w:rPr>
          <w:spacing w:val="-2"/>
          <w:szCs w:val="22"/>
        </w:rPr>
        <w:t>Chief, Enforcement Bureau</w:t>
      </w:r>
      <w:r w:rsidR="006D1D51" w:rsidRPr="000E3F12">
        <w:rPr>
          <w:spacing w:val="-2"/>
          <w:szCs w:val="22"/>
        </w:rPr>
        <w:t>:</w:t>
      </w:r>
    </w:p>
    <w:p w:rsidR="00412FC5" w:rsidRPr="000E3F12" w:rsidRDefault="00412FC5" w:rsidP="00412FC5">
      <w:pPr>
        <w:rPr>
          <w:szCs w:val="22"/>
        </w:rPr>
      </w:pPr>
    </w:p>
    <w:p w:rsidR="0013527D" w:rsidRPr="000E3F12" w:rsidRDefault="0009023C" w:rsidP="00C3187B">
      <w:pPr>
        <w:pStyle w:val="Heading1"/>
        <w:spacing w:after="240"/>
        <w:rPr>
          <w:rFonts w:ascii="Times New Roman" w:hAnsi="Times New Roman"/>
          <w:szCs w:val="22"/>
        </w:rPr>
      </w:pPr>
      <w:r w:rsidRPr="000E3F12">
        <w:rPr>
          <w:rFonts w:ascii="Times New Roman" w:hAnsi="Times New Roman"/>
          <w:szCs w:val="22"/>
        </w:rPr>
        <w:t>INTRODUCTIOn</w:t>
      </w:r>
    </w:p>
    <w:p w:rsidR="00934D21" w:rsidRPr="00DB29BB" w:rsidRDefault="00AC771C" w:rsidP="00934D21">
      <w:pPr>
        <w:pStyle w:val="ParaNum"/>
      </w:pPr>
      <w:r>
        <w:rPr>
          <w:szCs w:val="22"/>
        </w:rPr>
        <w:t>W</w:t>
      </w:r>
      <w:r w:rsidRPr="000E3F12">
        <w:rPr>
          <w:szCs w:val="22"/>
        </w:rPr>
        <w:t>e propose a penalty of $</w:t>
      </w:r>
      <w:r w:rsidRPr="000E3F12">
        <w:rPr>
          <w:rFonts w:eastAsiaTheme="minorEastAsia"/>
          <w:szCs w:val="22"/>
        </w:rPr>
        <w:t>100,000</w:t>
      </w:r>
      <w:r w:rsidRPr="000E3F12">
        <w:rPr>
          <w:szCs w:val="22"/>
        </w:rPr>
        <w:t xml:space="preserve"> against </w:t>
      </w:r>
      <w:r w:rsidR="006C2401">
        <w:t>Simple Network,</w:t>
      </w:r>
      <w:r w:rsidR="006C2401" w:rsidRPr="0087510B">
        <w:t xml:space="preserve"> Inc. (</w:t>
      </w:r>
      <w:r w:rsidR="006C2401">
        <w:t>Simple</w:t>
      </w:r>
      <w:r w:rsidR="006C2401" w:rsidRPr="0087510B">
        <w:t xml:space="preserve"> </w:t>
      </w:r>
      <w:r w:rsidR="006C2401">
        <w:t xml:space="preserve">Network </w:t>
      </w:r>
      <w:r w:rsidR="006C2401" w:rsidRPr="0087510B">
        <w:t>or Company)</w:t>
      </w:r>
      <w:r w:rsidRPr="000E3F12">
        <w:rPr>
          <w:szCs w:val="22"/>
        </w:rPr>
        <w:t xml:space="preserve"> for </w:t>
      </w:r>
      <w:r w:rsidR="00D366CD">
        <w:rPr>
          <w:szCs w:val="22"/>
        </w:rPr>
        <w:t xml:space="preserve">apparently </w:t>
      </w:r>
      <w:r w:rsidR="00AC4397">
        <w:rPr>
          <w:szCs w:val="22"/>
        </w:rPr>
        <w:t>providing</w:t>
      </w:r>
      <w:r>
        <w:rPr>
          <w:szCs w:val="22"/>
        </w:rPr>
        <w:t xml:space="preserve"> interstate telecommunications </w:t>
      </w:r>
      <w:r w:rsidR="00AC4397">
        <w:rPr>
          <w:szCs w:val="22"/>
        </w:rPr>
        <w:t>services</w:t>
      </w:r>
      <w:r>
        <w:rPr>
          <w:szCs w:val="22"/>
        </w:rPr>
        <w:t xml:space="preserve"> without </w:t>
      </w:r>
      <w:r w:rsidR="000071DF">
        <w:rPr>
          <w:szCs w:val="22"/>
        </w:rPr>
        <w:t xml:space="preserve">previously </w:t>
      </w:r>
      <w:r w:rsidR="00B84455">
        <w:rPr>
          <w:szCs w:val="22"/>
        </w:rPr>
        <w:t>submitting the required registration form</w:t>
      </w:r>
      <w:r>
        <w:rPr>
          <w:szCs w:val="22"/>
        </w:rPr>
        <w:t xml:space="preserve">.  </w:t>
      </w:r>
      <w:r w:rsidR="00DB29BB">
        <w:rPr>
          <w:szCs w:val="22"/>
        </w:rPr>
        <w:t>Simple Network’s failure to register allowed it to avoid payments required of all interstate telecommunication</w:t>
      </w:r>
      <w:r w:rsidR="004F1C45">
        <w:rPr>
          <w:szCs w:val="22"/>
        </w:rPr>
        <w:t>s</w:t>
      </w:r>
      <w:r w:rsidR="00DB29BB">
        <w:rPr>
          <w:szCs w:val="22"/>
        </w:rPr>
        <w:t xml:space="preserve"> services providers to </w:t>
      </w:r>
      <w:r w:rsidR="00993E65">
        <w:rPr>
          <w:szCs w:val="22"/>
        </w:rPr>
        <w:t xml:space="preserve">important </w:t>
      </w:r>
      <w:r w:rsidR="00DB29BB">
        <w:rPr>
          <w:szCs w:val="22"/>
        </w:rPr>
        <w:t>federal programs</w:t>
      </w:r>
      <w:r w:rsidR="00993E65">
        <w:rPr>
          <w:szCs w:val="22"/>
        </w:rPr>
        <w:t>,</w:t>
      </w:r>
      <w:r w:rsidR="00DB29BB">
        <w:rPr>
          <w:szCs w:val="22"/>
        </w:rPr>
        <w:t xml:space="preserve"> including </w:t>
      </w:r>
      <w:r w:rsidR="00AC1DF4" w:rsidRPr="000E3F12">
        <w:rPr>
          <w:szCs w:val="22"/>
        </w:rPr>
        <w:t>the Universal Service Fund (USF).</w:t>
      </w:r>
      <w:r w:rsidR="00AC1DF4">
        <w:rPr>
          <w:szCs w:val="22"/>
        </w:rPr>
        <w:t xml:space="preserve">  </w:t>
      </w:r>
      <w:r w:rsidR="00DB29BB">
        <w:rPr>
          <w:szCs w:val="22"/>
        </w:rPr>
        <w:t xml:space="preserve">This failure </w:t>
      </w:r>
      <w:r w:rsidR="00516B2F">
        <w:rPr>
          <w:szCs w:val="22"/>
        </w:rPr>
        <w:t xml:space="preserve">could </w:t>
      </w:r>
      <w:r w:rsidR="00DB29BB">
        <w:rPr>
          <w:szCs w:val="22"/>
        </w:rPr>
        <w:t>g</w:t>
      </w:r>
      <w:r w:rsidR="00516B2F">
        <w:rPr>
          <w:szCs w:val="22"/>
        </w:rPr>
        <w:t>i</w:t>
      </w:r>
      <w:r w:rsidR="00DB29BB">
        <w:rPr>
          <w:szCs w:val="22"/>
        </w:rPr>
        <w:t xml:space="preserve">ve the </w:t>
      </w:r>
      <w:r w:rsidR="003C09D6">
        <w:rPr>
          <w:color w:val="000000"/>
          <w:szCs w:val="22"/>
        </w:rPr>
        <w:t xml:space="preserve">Company </w:t>
      </w:r>
      <w:r w:rsidR="00AC1DF4" w:rsidRPr="000E3F12">
        <w:rPr>
          <w:color w:val="000000"/>
          <w:szCs w:val="22"/>
        </w:rPr>
        <w:t xml:space="preserve">an </w:t>
      </w:r>
      <w:r w:rsidR="00C46797">
        <w:rPr>
          <w:color w:val="000000"/>
          <w:szCs w:val="22"/>
        </w:rPr>
        <w:t xml:space="preserve">unfair </w:t>
      </w:r>
      <w:r w:rsidR="00AC1DF4" w:rsidRPr="000E3F12">
        <w:rPr>
          <w:color w:val="000000"/>
          <w:szCs w:val="22"/>
        </w:rPr>
        <w:t>economic advantage over competitors who</w:t>
      </w:r>
      <w:r w:rsidR="00340C83">
        <w:rPr>
          <w:color w:val="000000"/>
          <w:szCs w:val="22"/>
        </w:rPr>
        <w:t xml:space="preserve">, because of </w:t>
      </w:r>
      <w:r w:rsidR="006C2401">
        <w:t>Simple</w:t>
      </w:r>
      <w:r w:rsidR="006C2401" w:rsidRPr="0087510B">
        <w:t xml:space="preserve"> </w:t>
      </w:r>
      <w:r w:rsidR="006C2401">
        <w:t>Network</w:t>
      </w:r>
      <w:r w:rsidR="0065105E">
        <w:rPr>
          <w:color w:val="000000"/>
          <w:szCs w:val="22"/>
        </w:rPr>
        <w:t>’s apparent violations</w:t>
      </w:r>
      <w:r w:rsidR="00572D45">
        <w:rPr>
          <w:color w:val="000000"/>
          <w:szCs w:val="22"/>
        </w:rPr>
        <w:t>,</w:t>
      </w:r>
      <w:r w:rsidR="00AC1DF4" w:rsidRPr="000E3F12">
        <w:rPr>
          <w:color w:val="000000"/>
          <w:szCs w:val="22"/>
        </w:rPr>
        <w:t xml:space="preserve"> must </w:t>
      </w:r>
      <w:r w:rsidR="00FC69DF">
        <w:rPr>
          <w:color w:val="000000"/>
          <w:szCs w:val="22"/>
        </w:rPr>
        <w:t xml:space="preserve">pay </w:t>
      </w:r>
      <w:r w:rsidR="00AC1DF4" w:rsidRPr="000E3F12">
        <w:rPr>
          <w:color w:val="000000"/>
          <w:szCs w:val="22"/>
        </w:rPr>
        <w:t xml:space="preserve">more than their fair share of the costs of </w:t>
      </w:r>
      <w:r w:rsidR="00AC4397">
        <w:rPr>
          <w:color w:val="000000"/>
          <w:szCs w:val="22"/>
        </w:rPr>
        <w:t xml:space="preserve">these </w:t>
      </w:r>
      <w:r w:rsidR="00AC1DF4" w:rsidRPr="000E3F12">
        <w:rPr>
          <w:color w:val="000000"/>
          <w:szCs w:val="22"/>
        </w:rPr>
        <w:t xml:space="preserve">federal </w:t>
      </w:r>
      <w:r w:rsidR="00DC0358">
        <w:rPr>
          <w:color w:val="000000"/>
          <w:szCs w:val="22"/>
        </w:rPr>
        <w:t xml:space="preserve">regulatory </w:t>
      </w:r>
      <w:r w:rsidR="00AC1DF4" w:rsidRPr="000E3F12">
        <w:rPr>
          <w:color w:val="000000"/>
          <w:szCs w:val="22"/>
        </w:rPr>
        <w:t>programs.</w:t>
      </w:r>
      <w:r w:rsidR="00934D21">
        <w:rPr>
          <w:color w:val="000000"/>
          <w:szCs w:val="22"/>
        </w:rPr>
        <w:t xml:space="preserve">  </w:t>
      </w:r>
      <w:r w:rsidR="00934D21" w:rsidRPr="00DB29BB">
        <w:t xml:space="preserve">We therefore view </w:t>
      </w:r>
      <w:r w:rsidR="00934D21">
        <w:t>the C</w:t>
      </w:r>
      <w:r w:rsidR="00934D21" w:rsidRPr="00DB29BB">
        <w:t xml:space="preserve">ompany’s </w:t>
      </w:r>
      <w:r w:rsidR="00C46797">
        <w:t xml:space="preserve">apparent </w:t>
      </w:r>
      <w:r w:rsidR="00934D21" w:rsidRPr="00DB29BB">
        <w:t xml:space="preserve">failure to register as a serious dereliction of </w:t>
      </w:r>
      <w:r w:rsidR="00934D21">
        <w:t xml:space="preserve">its </w:t>
      </w:r>
      <w:r w:rsidR="00934D21" w:rsidRPr="00DB29BB">
        <w:t>responsibilities</w:t>
      </w:r>
      <w:r w:rsidR="00934D21">
        <w:t xml:space="preserve"> as a telecommunications services provider</w:t>
      </w:r>
      <w:r w:rsidR="00934D21" w:rsidRPr="00DB29BB">
        <w:t>.</w:t>
      </w:r>
    </w:p>
    <w:p w:rsidR="007E5137" w:rsidRPr="000E3F12" w:rsidRDefault="008F7838" w:rsidP="00B2611F">
      <w:pPr>
        <w:pStyle w:val="Heading1"/>
        <w:spacing w:before="240" w:after="240"/>
        <w:rPr>
          <w:rFonts w:ascii="Times New Roman" w:hAnsi="Times New Roman"/>
          <w:szCs w:val="22"/>
        </w:rPr>
      </w:pPr>
      <w:r w:rsidRPr="000E3F12">
        <w:rPr>
          <w:rFonts w:ascii="Times New Roman" w:hAnsi="Times New Roman"/>
          <w:szCs w:val="22"/>
        </w:rPr>
        <w:t>BACKGROUND</w:t>
      </w:r>
    </w:p>
    <w:p w:rsidR="005E00E0" w:rsidRPr="005E00E0" w:rsidRDefault="005E00E0" w:rsidP="005E00E0">
      <w:pPr>
        <w:pStyle w:val="ParaNum"/>
      </w:pPr>
      <w:r w:rsidRPr="005E00E0">
        <w:rPr>
          <w:snapToGrid/>
        </w:rPr>
        <w:t xml:space="preserve">Companies that provide interstate telecommunications services, and certain other providers of interstate telecommunications, are subject to the provisions of the </w:t>
      </w:r>
      <w:r w:rsidRPr="005E00E0">
        <w:t xml:space="preserve">Communications Act of 1934, as amended (the Act) and the Commission’s rules (Rules).  Prior to entering </w:t>
      </w:r>
      <w:r w:rsidRPr="005E00E0">
        <w:rPr>
          <w:snapToGrid/>
        </w:rPr>
        <w:t xml:space="preserve">into interstate telecommunications markets, these companies must register by filing an FCC Form 499-A, also known as the Annual Telecommunications Reporting Worksheet (Form 499-A) with the </w:t>
      </w:r>
      <w:r w:rsidRPr="005E00E0">
        <w:rPr>
          <w:noProof/>
        </w:rPr>
        <w:t>Universal Service Administrative Company (USAC)</w:t>
      </w:r>
      <w:r w:rsidRPr="005E00E0">
        <w:rPr>
          <w:snapToGrid/>
        </w:rPr>
        <w:t>.</w:t>
      </w:r>
      <w:r w:rsidRPr="000E3F12">
        <w:rPr>
          <w:snapToGrid/>
          <w:vertAlign w:val="superscript"/>
        </w:rPr>
        <w:footnoteReference w:id="3"/>
      </w:r>
      <w:r w:rsidRPr="005E00E0">
        <w:rPr>
          <w:snapToGrid/>
        </w:rPr>
        <w:t xml:space="preserve">  Registration allows the Commission and the administrators of the USF, Telecommunications Relay Service (TRS) Fund, local number portability (LNP) </w:t>
      </w:r>
      <w:r w:rsidR="004F1C45">
        <w:rPr>
          <w:snapToGrid/>
        </w:rPr>
        <w:t>and</w:t>
      </w:r>
      <w:r w:rsidRPr="005E00E0">
        <w:rPr>
          <w:snapToGrid/>
        </w:rPr>
        <w:t xml:space="preserve"> North American Numbering Plan (NANP) cost recovery mechanism</w:t>
      </w:r>
      <w:r w:rsidR="004F1C45">
        <w:rPr>
          <w:snapToGrid/>
        </w:rPr>
        <w:t>s</w:t>
      </w:r>
      <w:r w:rsidRPr="005E00E0">
        <w:rPr>
          <w:snapToGrid/>
        </w:rPr>
        <w:t xml:space="preserve">, and the federal regulatory fee program </w:t>
      </w:r>
      <w:r w:rsidRPr="005E00E0">
        <w:rPr>
          <w:color w:val="000000"/>
        </w:rPr>
        <w:t>to determine the extent of a company’s federal payment obligations.</w:t>
      </w:r>
      <w:r w:rsidRPr="000E3F12">
        <w:rPr>
          <w:rStyle w:val="FootnoteReference"/>
          <w:sz w:val="22"/>
          <w:szCs w:val="22"/>
        </w:rPr>
        <w:footnoteReference w:id="4"/>
      </w:r>
      <w:r w:rsidRPr="005E00E0">
        <w:t xml:space="preserve">  </w:t>
      </w:r>
    </w:p>
    <w:p w:rsidR="00734634" w:rsidRDefault="00640A15" w:rsidP="00B71774">
      <w:pPr>
        <w:pStyle w:val="ParaNum"/>
        <w:widowControl/>
        <w:rPr>
          <w:szCs w:val="22"/>
        </w:rPr>
      </w:pPr>
      <w:r>
        <w:t>Simple</w:t>
      </w:r>
      <w:r w:rsidRPr="0087510B">
        <w:t xml:space="preserve"> </w:t>
      </w:r>
      <w:r>
        <w:t xml:space="preserve">Network </w:t>
      </w:r>
      <w:r w:rsidR="00216D5B" w:rsidRPr="000E3F12">
        <w:rPr>
          <w:snapToGrid/>
          <w:szCs w:val="22"/>
        </w:rPr>
        <w:t xml:space="preserve">is a </w:t>
      </w:r>
      <w:r w:rsidR="00185536">
        <w:rPr>
          <w:snapToGrid/>
          <w:szCs w:val="22"/>
        </w:rPr>
        <w:t>New Jersey limited liability corporation,</w:t>
      </w:r>
      <w:r w:rsidR="00185536">
        <w:rPr>
          <w:rStyle w:val="FootnoteReference"/>
          <w:snapToGrid/>
          <w:szCs w:val="22"/>
        </w:rPr>
        <w:footnoteReference w:id="5"/>
      </w:r>
      <w:r w:rsidR="00185536">
        <w:rPr>
          <w:snapToGrid/>
          <w:szCs w:val="22"/>
        </w:rPr>
        <w:t xml:space="preserve"> which provides </w:t>
      </w:r>
      <w:r w:rsidR="00216D5B" w:rsidRPr="000E3F12">
        <w:rPr>
          <w:snapToGrid/>
          <w:szCs w:val="22"/>
        </w:rPr>
        <w:t>prepaid calling card services</w:t>
      </w:r>
      <w:r w:rsidR="00404C8B">
        <w:rPr>
          <w:snapToGrid/>
          <w:szCs w:val="22"/>
        </w:rPr>
        <w:t>.</w:t>
      </w:r>
      <w:r w:rsidR="00EF12E3" w:rsidRPr="000E3F12">
        <w:rPr>
          <w:rStyle w:val="FootnoteReference"/>
          <w:snapToGrid/>
          <w:sz w:val="22"/>
          <w:szCs w:val="22"/>
        </w:rPr>
        <w:footnoteReference w:id="6"/>
      </w:r>
      <w:r w:rsidR="00B96CE7">
        <w:rPr>
          <w:snapToGrid/>
          <w:szCs w:val="22"/>
        </w:rPr>
        <w:t xml:space="preserve">  The Company claims to have “been in the international calling card and telecom </w:t>
      </w:r>
      <w:r w:rsidR="00B96CE7">
        <w:rPr>
          <w:snapToGrid/>
          <w:szCs w:val="22"/>
        </w:rPr>
        <w:lastRenderedPageBreak/>
        <w:t>services business for 15 years.”</w:t>
      </w:r>
      <w:r w:rsidR="00B96CE7">
        <w:rPr>
          <w:rStyle w:val="FootnoteReference"/>
          <w:snapToGrid/>
          <w:szCs w:val="22"/>
        </w:rPr>
        <w:footnoteReference w:id="7"/>
      </w:r>
      <w:r w:rsidR="00B96CE7">
        <w:rPr>
          <w:snapToGrid/>
          <w:szCs w:val="22"/>
        </w:rPr>
        <w:t xml:space="preserve">  </w:t>
      </w:r>
      <w:r w:rsidR="00A434AC">
        <w:rPr>
          <w:szCs w:val="22"/>
        </w:rPr>
        <w:t>On November 13, 2013, the Enforcement Bureau issued a Letter of Inquiry</w:t>
      </w:r>
      <w:r w:rsidR="00B83C4F">
        <w:rPr>
          <w:szCs w:val="22"/>
        </w:rPr>
        <w:t xml:space="preserve"> (LOI)</w:t>
      </w:r>
      <w:r w:rsidR="00A434AC">
        <w:rPr>
          <w:szCs w:val="22"/>
        </w:rPr>
        <w:t xml:space="preserve"> to Simple Network</w:t>
      </w:r>
      <w:r w:rsidR="00A434AC" w:rsidRPr="00A434AC">
        <w:rPr>
          <w:snapToGrid/>
          <w:kern w:val="0"/>
          <w:szCs w:val="22"/>
        </w:rPr>
        <w:t xml:space="preserve"> </w:t>
      </w:r>
      <w:r w:rsidR="00A434AC">
        <w:rPr>
          <w:snapToGrid/>
          <w:kern w:val="0"/>
          <w:szCs w:val="22"/>
        </w:rPr>
        <w:t>to</w:t>
      </w:r>
      <w:r w:rsidR="00A434AC" w:rsidRPr="00A434AC">
        <w:rPr>
          <w:snapToGrid/>
          <w:kern w:val="0"/>
          <w:szCs w:val="22"/>
        </w:rPr>
        <w:t xml:space="preserve"> investigat</w:t>
      </w:r>
      <w:r w:rsidR="00A434AC">
        <w:rPr>
          <w:snapToGrid/>
          <w:kern w:val="0"/>
          <w:szCs w:val="22"/>
        </w:rPr>
        <w:t>e</w:t>
      </w:r>
      <w:r w:rsidR="00A434AC" w:rsidRPr="00A434AC">
        <w:rPr>
          <w:snapToGrid/>
          <w:kern w:val="0"/>
          <w:szCs w:val="22"/>
        </w:rPr>
        <w:t xml:space="preserve"> whether </w:t>
      </w:r>
      <w:r w:rsidR="00A434AC">
        <w:rPr>
          <w:snapToGrid/>
          <w:kern w:val="0"/>
          <w:szCs w:val="22"/>
        </w:rPr>
        <w:t>the</w:t>
      </w:r>
      <w:r w:rsidR="00A434AC" w:rsidRPr="00A434AC">
        <w:rPr>
          <w:snapToGrid/>
          <w:kern w:val="0"/>
          <w:szCs w:val="22"/>
        </w:rPr>
        <w:t xml:space="preserve"> Company </w:t>
      </w:r>
      <w:r w:rsidR="00D87F97">
        <w:rPr>
          <w:snapToGrid/>
          <w:kern w:val="0"/>
          <w:szCs w:val="22"/>
        </w:rPr>
        <w:t xml:space="preserve">had </w:t>
      </w:r>
      <w:r w:rsidR="00A434AC" w:rsidRPr="00A434AC">
        <w:rPr>
          <w:snapToGrid/>
          <w:kern w:val="0"/>
          <w:szCs w:val="22"/>
        </w:rPr>
        <w:t xml:space="preserve">violated </w:t>
      </w:r>
      <w:r w:rsidR="00A434AC">
        <w:rPr>
          <w:snapToGrid/>
          <w:kern w:val="0"/>
          <w:szCs w:val="22"/>
        </w:rPr>
        <w:t>provisions of the Act</w:t>
      </w:r>
      <w:r w:rsidR="00A434AC" w:rsidRPr="00A434AC">
        <w:rPr>
          <w:snapToGrid/>
          <w:kern w:val="0"/>
          <w:szCs w:val="22"/>
        </w:rPr>
        <w:t xml:space="preserve"> and Rules </w:t>
      </w:r>
      <w:r w:rsidR="00734634">
        <w:rPr>
          <w:snapToGrid/>
          <w:kern w:val="0"/>
          <w:szCs w:val="22"/>
        </w:rPr>
        <w:t>by failing to</w:t>
      </w:r>
      <w:r w:rsidR="00934D21">
        <w:rPr>
          <w:snapToGrid/>
          <w:kern w:val="0"/>
          <w:szCs w:val="22"/>
        </w:rPr>
        <w:t>:</w:t>
      </w:r>
      <w:r w:rsidR="00A434AC" w:rsidRPr="00A434AC">
        <w:rPr>
          <w:snapToGrid/>
          <w:kern w:val="0"/>
          <w:szCs w:val="22"/>
        </w:rPr>
        <w:t xml:space="preserve"> </w:t>
      </w:r>
      <w:r w:rsidR="00993E65">
        <w:rPr>
          <w:snapToGrid/>
          <w:kern w:val="0"/>
          <w:szCs w:val="22"/>
        </w:rPr>
        <w:t xml:space="preserve"> </w:t>
      </w:r>
      <w:r w:rsidR="00934D21">
        <w:rPr>
          <w:snapToGrid/>
          <w:kern w:val="0"/>
          <w:szCs w:val="22"/>
        </w:rPr>
        <w:t xml:space="preserve">(i) </w:t>
      </w:r>
      <w:r w:rsidR="00A434AC" w:rsidRPr="00A434AC">
        <w:rPr>
          <w:snapToGrid/>
          <w:kern w:val="0"/>
          <w:szCs w:val="22"/>
        </w:rPr>
        <w:t xml:space="preserve">file </w:t>
      </w:r>
      <w:r w:rsidR="00734634">
        <w:rPr>
          <w:snapToGrid/>
          <w:kern w:val="0"/>
          <w:szCs w:val="22"/>
        </w:rPr>
        <w:t xml:space="preserve">required federal regulatory data and certifications; </w:t>
      </w:r>
      <w:r w:rsidR="00934D21">
        <w:rPr>
          <w:snapToGrid/>
          <w:kern w:val="0"/>
          <w:szCs w:val="22"/>
        </w:rPr>
        <w:t xml:space="preserve">(ii) </w:t>
      </w:r>
      <w:r w:rsidR="00A434AC" w:rsidRPr="00A434AC">
        <w:rPr>
          <w:snapToGrid/>
          <w:kern w:val="0"/>
          <w:szCs w:val="22"/>
        </w:rPr>
        <w:t xml:space="preserve">pay </w:t>
      </w:r>
      <w:r w:rsidR="00734634">
        <w:rPr>
          <w:snapToGrid/>
          <w:kern w:val="0"/>
          <w:szCs w:val="22"/>
        </w:rPr>
        <w:t>assessments for the USF, TRS, LNP, NANP, and annual regulatory fee programs</w:t>
      </w:r>
      <w:r w:rsidR="00A434AC" w:rsidRPr="00A434AC">
        <w:rPr>
          <w:snapToGrid/>
          <w:kern w:val="0"/>
          <w:szCs w:val="22"/>
        </w:rPr>
        <w:t>;</w:t>
      </w:r>
      <w:r w:rsidR="00734634">
        <w:rPr>
          <w:snapToGrid/>
          <w:kern w:val="0"/>
          <w:szCs w:val="22"/>
        </w:rPr>
        <w:t xml:space="preserve"> and </w:t>
      </w:r>
      <w:r w:rsidR="00934D21">
        <w:rPr>
          <w:snapToGrid/>
          <w:kern w:val="0"/>
          <w:szCs w:val="22"/>
        </w:rPr>
        <w:t xml:space="preserve">(iii) </w:t>
      </w:r>
      <w:r w:rsidR="00A434AC" w:rsidRPr="00A434AC">
        <w:rPr>
          <w:snapToGrid/>
          <w:kern w:val="0"/>
          <w:szCs w:val="22"/>
        </w:rPr>
        <w:t xml:space="preserve">obtain </w:t>
      </w:r>
      <w:bookmarkStart w:id="1" w:name="SR;209"/>
      <w:bookmarkStart w:id="2" w:name="SearchTerm"/>
      <w:bookmarkEnd w:id="1"/>
      <w:bookmarkEnd w:id="2"/>
      <w:r w:rsidR="00A434AC" w:rsidRPr="00A434AC">
        <w:rPr>
          <w:snapToGrid/>
          <w:kern w:val="0"/>
          <w:szCs w:val="22"/>
        </w:rPr>
        <w:t xml:space="preserve">authorization </w:t>
      </w:r>
      <w:r w:rsidR="00934D21">
        <w:rPr>
          <w:snapToGrid/>
          <w:kern w:val="0"/>
          <w:szCs w:val="22"/>
        </w:rPr>
        <w:t xml:space="preserve">to provide </w:t>
      </w:r>
      <w:r w:rsidR="006C2508">
        <w:rPr>
          <w:snapToGrid/>
          <w:kern w:val="0"/>
          <w:szCs w:val="22"/>
        </w:rPr>
        <w:t>international telecommunications services</w:t>
      </w:r>
      <w:r w:rsidR="00A434AC" w:rsidRPr="00A434AC">
        <w:rPr>
          <w:snapToGrid/>
          <w:kern w:val="0"/>
          <w:szCs w:val="22"/>
        </w:rPr>
        <w:t>.</w:t>
      </w:r>
      <w:r w:rsidR="00A434AC" w:rsidRPr="00A434AC">
        <w:rPr>
          <w:snapToGrid/>
          <w:kern w:val="0"/>
          <w:szCs w:val="22"/>
          <w:vertAlign w:val="superscript"/>
        </w:rPr>
        <w:footnoteReference w:id="8"/>
      </w:r>
      <w:r w:rsidR="00A434AC">
        <w:rPr>
          <w:szCs w:val="22"/>
        </w:rPr>
        <w:t xml:space="preserve">  </w:t>
      </w:r>
    </w:p>
    <w:p w:rsidR="00704418" w:rsidRPr="00B71774" w:rsidRDefault="005B6D5E" w:rsidP="00B71774">
      <w:pPr>
        <w:pStyle w:val="ParaNum"/>
        <w:widowControl/>
        <w:rPr>
          <w:szCs w:val="22"/>
        </w:rPr>
      </w:pPr>
      <w:r>
        <w:rPr>
          <w:szCs w:val="22"/>
        </w:rPr>
        <w:t>The Company</w:t>
      </w:r>
      <w:r w:rsidR="00D87F97">
        <w:rPr>
          <w:szCs w:val="22"/>
        </w:rPr>
        <w:t>’s counsel</w:t>
      </w:r>
      <w:r>
        <w:rPr>
          <w:szCs w:val="22"/>
        </w:rPr>
        <w:t xml:space="preserve"> submitted a partial, </w:t>
      </w:r>
      <w:r w:rsidR="00FC2459">
        <w:rPr>
          <w:szCs w:val="22"/>
        </w:rPr>
        <w:t xml:space="preserve">perfunctory </w:t>
      </w:r>
      <w:r w:rsidR="003B2F01">
        <w:rPr>
          <w:szCs w:val="22"/>
        </w:rPr>
        <w:t>response to the LOI on February 7, 2014,</w:t>
      </w:r>
      <w:r w:rsidR="003B2F01">
        <w:rPr>
          <w:rStyle w:val="FootnoteReference"/>
          <w:szCs w:val="22"/>
        </w:rPr>
        <w:footnoteReference w:id="9"/>
      </w:r>
      <w:r w:rsidR="003B2F01">
        <w:rPr>
          <w:szCs w:val="22"/>
        </w:rPr>
        <w:t xml:space="preserve"> </w:t>
      </w:r>
      <w:r w:rsidR="003B2F01">
        <w:rPr>
          <w:noProof/>
          <w:szCs w:val="22"/>
        </w:rPr>
        <w:t xml:space="preserve">and </w:t>
      </w:r>
      <w:r w:rsidR="002753C3">
        <w:rPr>
          <w:noProof/>
          <w:szCs w:val="22"/>
        </w:rPr>
        <w:t xml:space="preserve">claimed </w:t>
      </w:r>
      <w:r w:rsidR="00D87F97">
        <w:rPr>
          <w:noProof/>
          <w:szCs w:val="22"/>
        </w:rPr>
        <w:t xml:space="preserve">the Company </w:t>
      </w:r>
      <w:r w:rsidR="002753C3">
        <w:rPr>
          <w:noProof/>
          <w:szCs w:val="22"/>
        </w:rPr>
        <w:t xml:space="preserve">was unable to state whether it </w:t>
      </w:r>
      <w:r w:rsidR="00D87F97">
        <w:rPr>
          <w:noProof/>
          <w:szCs w:val="22"/>
        </w:rPr>
        <w:t xml:space="preserve">had </w:t>
      </w:r>
      <w:r w:rsidR="002753C3">
        <w:rPr>
          <w:noProof/>
          <w:szCs w:val="22"/>
        </w:rPr>
        <w:t>filed registration inform</w:t>
      </w:r>
      <w:r>
        <w:rPr>
          <w:noProof/>
          <w:szCs w:val="22"/>
        </w:rPr>
        <w:t>a</w:t>
      </w:r>
      <w:r w:rsidR="002753C3">
        <w:rPr>
          <w:noProof/>
          <w:szCs w:val="22"/>
        </w:rPr>
        <w:t xml:space="preserve">tion </w:t>
      </w:r>
      <w:r>
        <w:rPr>
          <w:noProof/>
          <w:szCs w:val="22"/>
        </w:rPr>
        <w:t>required under</w:t>
      </w:r>
      <w:r w:rsidR="002753C3">
        <w:rPr>
          <w:noProof/>
          <w:szCs w:val="22"/>
        </w:rPr>
        <w:t xml:space="preserve"> </w:t>
      </w:r>
      <w:r w:rsidR="006C2508">
        <w:rPr>
          <w:noProof/>
          <w:szCs w:val="22"/>
        </w:rPr>
        <w:t>S</w:t>
      </w:r>
      <w:r w:rsidR="002753C3">
        <w:rPr>
          <w:noProof/>
          <w:szCs w:val="22"/>
        </w:rPr>
        <w:t>ection 64.1195 of the Rules.</w:t>
      </w:r>
      <w:r w:rsidR="002753C3">
        <w:rPr>
          <w:rStyle w:val="FootnoteReference"/>
          <w:noProof/>
          <w:szCs w:val="22"/>
        </w:rPr>
        <w:footnoteReference w:id="10"/>
      </w:r>
      <w:r w:rsidR="002753C3">
        <w:rPr>
          <w:noProof/>
          <w:szCs w:val="22"/>
        </w:rPr>
        <w:t xml:space="preserve">  </w:t>
      </w:r>
      <w:r w:rsidR="00AC4397" w:rsidRPr="00B71774">
        <w:rPr>
          <w:noProof/>
          <w:szCs w:val="22"/>
        </w:rPr>
        <w:t>O</w:t>
      </w:r>
      <w:r w:rsidR="002613BB" w:rsidRPr="00B71774">
        <w:rPr>
          <w:noProof/>
          <w:szCs w:val="22"/>
        </w:rPr>
        <w:t xml:space="preserve">n </w:t>
      </w:r>
      <w:r w:rsidR="00C60250" w:rsidRPr="00B71774">
        <w:rPr>
          <w:noProof/>
          <w:szCs w:val="22"/>
        </w:rPr>
        <w:t>March 30, 2015</w:t>
      </w:r>
      <w:r w:rsidR="002613BB" w:rsidRPr="00B71774">
        <w:rPr>
          <w:noProof/>
          <w:szCs w:val="22"/>
        </w:rPr>
        <w:t>, Enforcement Bureau staff</w:t>
      </w:r>
      <w:r w:rsidR="00F665D0" w:rsidRPr="00B71774">
        <w:rPr>
          <w:noProof/>
          <w:szCs w:val="22"/>
        </w:rPr>
        <w:t xml:space="preserve"> </w:t>
      </w:r>
      <w:r w:rsidR="00916C55" w:rsidRPr="00B71774">
        <w:rPr>
          <w:noProof/>
          <w:szCs w:val="22"/>
        </w:rPr>
        <w:t>determined</w:t>
      </w:r>
      <w:r w:rsidR="00F665D0" w:rsidRPr="00B71774">
        <w:rPr>
          <w:noProof/>
          <w:szCs w:val="22"/>
        </w:rPr>
        <w:t xml:space="preserve"> through </w:t>
      </w:r>
      <w:r w:rsidR="00FB21F9" w:rsidRPr="00B71774">
        <w:rPr>
          <w:noProof/>
          <w:szCs w:val="22"/>
        </w:rPr>
        <w:t xml:space="preserve">the FCC Form 499 Filer Database that </w:t>
      </w:r>
      <w:r w:rsidR="00C60250">
        <w:t>Simple</w:t>
      </w:r>
      <w:r w:rsidR="00C60250" w:rsidRPr="0087510B">
        <w:t xml:space="preserve"> </w:t>
      </w:r>
      <w:r w:rsidR="00C60250">
        <w:t xml:space="preserve">Network </w:t>
      </w:r>
      <w:r w:rsidR="00FB21F9" w:rsidRPr="00B71774">
        <w:rPr>
          <w:noProof/>
          <w:szCs w:val="22"/>
        </w:rPr>
        <w:t>was unregistered.</w:t>
      </w:r>
      <w:r w:rsidR="003A74B4" w:rsidRPr="000E3F12">
        <w:rPr>
          <w:rStyle w:val="FootnoteReference"/>
          <w:noProof/>
          <w:sz w:val="22"/>
          <w:szCs w:val="22"/>
        </w:rPr>
        <w:footnoteReference w:id="11"/>
      </w:r>
      <w:r w:rsidR="00FB21F9" w:rsidRPr="00B71774">
        <w:rPr>
          <w:noProof/>
          <w:szCs w:val="22"/>
        </w:rPr>
        <w:t xml:space="preserve"> </w:t>
      </w:r>
      <w:r w:rsidR="00F665D0" w:rsidRPr="00B71774">
        <w:rPr>
          <w:noProof/>
          <w:szCs w:val="22"/>
        </w:rPr>
        <w:t xml:space="preserve"> Additionally, on </w:t>
      </w:r>
      <w:r w:rsidR="00C60250" w:rsidRPr="00B71774">
        <w:rPr>
          <w:noProof/>
          <w:szCs w:val="22"/>
        </w:rPr>
        <w:t>March 30, 2015</w:t>
      </w:r>
      <w:r w:rsidR="00F665D0" w:rsidRPr="00B71774">
        <w:rPr>
          <w:noProof/>
          <w:szCs w:val="22"/>
        </w:rPr>
        <w:t xml:space="preserve">, Enforcement Bureau </w:t>
      </w:r>
      <w:r w:rsidR="002613BB" w:rsidRPr="00B71774">
        <w:rPr>
          <w:noProof/>
          <w:szCs w:val="22"/>
        </w:rPr>
        <w:t xml:space="preserve">staff </w:t>
      </w:r>
      <w:r w:rsidR="00F665D0" w:rsidRPr="00B71774">
        <w:rPr>
          <w:noProof/>
          <w:szCs w:val="22"/>
        </w:rPr>
        <w:t xml:space="preserve">confirmed with </w:t>
      </w:r>
      <w:r w:rsidR="002613BB" w:rsidRPr="00B71774">
        <w:rPr>
          <w:noProof/>
          <w:szCs w:val="22"/>
        </w:rPr>
        <w:t xml:space="preserve">USAC </w:t>
      </w:r>
      <w:r w:rsidR="00F665D0" w:rsidRPr="00B71774">
        <w:rPr>
          <w:noProof/>
          <w:szCs w:val="22"/>
        </w:rPr>
        <w:t xml:space="preserve">staff </w:t>
      </w:r>
      <w:r w:rsidR="002613BB" w:rsidRPr="00B71774">
        <w:rPr>
          <w:noProof/>
          <w:szCs w:val="22"/>
        </w:rPr>
        <w:t xml:space="preserve">that </w:t>
      </w:r>
      <w:r w:rsidR="00FC2459">
        <w:rPr>
          <w:noProof/>
          <w:szCs w:val="22"/>
        </w:rPr>
        <w:t>Simple Network</w:t>
      </w:r>
      <w:r w:rsidR="002613BB" w:rsidRPr="00B71774">
        <w:rPr>
          <w:noProof/>
          <w:szCs w:val="22"/>
        </w:rPr>
        <w:t xml:space="preserve"> ha</w:t>
      </w:r>
      <w:r w:rsidR="006839DF" w:rsidRPr="00B71774">
        <w:rPr>
          <w:noProof/>
          <w:szCs w:val="22"/>
        </w:rPr>
        <w:t>d</w:t>
      </w:r>
      <w:r w:rsidR="002613BB" w:rsidRPr="00B71774">
        <w:rPr>
          <w:noProof/>
          <w:szCs w:val="22"/>
        </w:rPr>
        <w:t xml:space="preserve"> not </w:t>
      </w:r>
      <w:r w:rsidR="00F665D0" w:rsidRPr="00B71774">
        <w:rPr>
          <w:noProof/>
          <w:szCs w:val="22"/>
        </w:rPr>
        <w:t xml:space="preserve">filed </w:t>
      </w:r>
      <w:r w:rsidR="002613BB" w:rsidRPr="00B71774">
        <w:rPr>
          <w:noProof/>
          <w:szCs w:val="22"/>
        </w:rPr>
        <w:t>a</w:t>
      </w:r>
      <w:r w:rsidR="00C60250" w:rsidRPr="00B71774">
        <w:rPr>
          <w:noProof/>
          <w:szCs w:val="22"/>
        </w:rPr>
        <w:t xml:space="preserve"> </w:t>
      </w:r>
      <w:r w:rsidR="002613BB" w:rsidRPr="00B71774">
        <w:rPr>
          <w:noProof/>
          <w:szCs w:val="22"/>
        </w:rPr>
        <w:t>Form 499-A.</w:t>
      </w:r>
      <w:r w:rsidR="00F665D0" w:rsidRPr="000E3F12">
        <w:rPr>
          <w:rStyle w:val="FootnoteReference"/>
          <w:noProof/>
          <w:sz w:val="22"/>
          <w:szCs w:val="22"/>
        </w:rPr>
        <w:footnoteReference w:id="12"/>
      </w:r>
    </w:p>
    <w:p w:rsidR="00612BD9" w:rsidRPr="000D07B9" w:rsidRDefault="00B55C3D" w:rsidP="00A7619F">
      <w:pPr>
        <w:pStyle w:val="Heading1"/>
        <w:spacing w:before="240" w:after="240"/>
        <w:rPr>
          <w:rFonts w:ascii="Times New Roman" w:hAnsi="Times New Roman"/>
          <w:szCs w:val="22"/>
        </w:rPr>
      </w:pPr>
      <w:r w:rsidRPr="000E3F12">
        <w:rPr>
          <w:rFonts w:ascii="Times New Roman" w:hAnsi="Times New Roman"/>
          <w:szCs w:val="22"/>
        </w:rPr>
        <w:t>Discussion</w:t>
      </w:r>
    </w:p>
    <w:p w:rsidR="00124D24" w:rsidRPr="000D07B9" w:rsidRDefault="006C2401" w:rsidP="002D46ED">
      <w:pPr>
        <w:pStyle w:val="ParaNum"/>
        <w:numPr>
          <w:ilvl w:val="1"/>
          <w:numId w:val="97"/>
        </w:numPr>
        <w:spacing w:after="240"/>
        <w:rPr>
          <w:b/>
        </w:rPr>
      </w:pPr>
      <w:r w:rsidRPr="006C2401">
        <w:rPr>
          <w:b/>
        </w:rPr>
        <w:t>Simple Network</w:t>
      </w:r>
      <w:r>
        <w:t xml:space="preserve"> </w:t>
      </w:r>
      <w:r w:rsidR="000D07B9" w:rsidRPr="000D07B9">
        <w:rPr>
          <w:b/>
        </w:rPr>
        <w:t>Apparently Violated Section 64.1195(a) of the Rules</w:t>
      </w:r>
    </w:p>
    <w:p w:rsidR="00374DD3" w:rsidRPr="00124D24" w:rsidRDefault="000B196C" w:rsidP="00124D24">
      <w:pPr>
        <w:pStyle w:val="ParaNum"/>
      </w:pPr>
      <w:r>
        <w:t>W</w:t>
      </w:r>
      <w:r w:rsidRPr="000B196C">
        <w:t xml:space="preserve">e find that </w:t>
      </w:r>
      <w:r w:rsidR="006C2401">
        <w:t>Simple</w:t>
      </w:r>
      <w:r w:rsidR="006C2401" w:rsidRPr="0087510B">
        <w:t xml:space="preserve"> </w:t>
      </w:r>
      <w:r w:rsidR="006C2401">
        <w:t xml:space="preserve">Network </w:t>
      </w:r>
      <w:r w:rsidRPr="000B196C">
        <w:t>apparently willfully or repeatedly violated Section 64.1195 of the Rules by failing to register with a Form 499-A</w:t>
      </w:r>
      <w:r w:rsidR="001F4D4E">
        <w:t xml:space="preserve"> filing</w:t>
      </w:r>
      <w:r w:rsidRPr="000B196C">
        <w:t>.</w:t>
      </w:r>
      <w:r w:rsidR="00124D24">
        <w:rPr>
          <w:rStyle w:val="FootnoteReference"/>
        </w:rPr>
        <w:footnoteReference w:id="13"/>
      </w:r>
      <w:r w:rsidRPr="000B196C">
        <w:t xml:space="preserve">  </w:t>
      </w:r>
      <w:r w:rsidR="00124D24">
        <w:rPr>
          <w:color w:val="000000"/>
          <w:szCs w:val="22"/>
        </w:rPr>
        <w:t>A</w:t>
      </w:r>
      <w:r w:rsidR="00374DD3" w:rsidRPr="00124D24">
        <w:rPr>
          <w:color w:val="000000"/>
          <w:szCs w:val="22"/>
        </w:rPr>
        <w:t xml:space="preserve">ll </w:t>
      </w:r>
      <w:r w:rsidR="00064556" w:rsidRPr="00124D24">
        <w:rPr>
          <w:color w:val="000000"/>
          <w:szCs w:val="22"/>
        </w:rPr>
        <w:t>companies</w:t>
      </w:r>
      <w:r w:rsidR="00374DD3" w:rsidRPr="00124D24">
        <w:rPr>
          <w:color w:val="000000"/>
          <w:szCs w:val="22"/>
        </w:rPr>
        <w:t xml:space="preserve"> that provide, or plan to provide, interstate telecommunications services</w:t>
      </w:r>
      <w:r w:rsidR="006C2508">
        <w:rPr>
          <w:color w:val="000000"/>
          <w:szCs w:val="22"/>
        </w:rPr>
        <w:t>,</w:t>
      </w:r>
      <w:r w:rsidR="00374DD3" w:rsidRPr="00124D24">
        <w:rPr>
          <w:color w:val="000000"/>
          <w:szCs w:val="22"/>
        </w:rPr>
        <w:t xml:space="preserve"> and certain other providers of interstate telecommunications</w:t>
      </w:r>
      <w:r w:rsidR="006C2508">
        <w:rPr>
          <w:color w:val="000000"/>
          <w:szCs w:val="22"/>
        </w:rPr>
        <w:t>,</w:t>
      </w:r>
      <w:r w:rsidR="00374DD3" w:rsidRPr="00124D24">
        <w:rPr>
          <w:color w:val="000000"/>
          <w:szCs w:val="22"/>
        </w:rPr>
        <w:t xml:space="preserve"> must register by submitting information </w:t>
      </w:r>
      <w:r w:rsidR="006C2508">
        <w:rPr>
          <w:color w:val="000000"/>
          <w:szCs w:val="22"/>
        </w:rPr>
        <w:t>through the</w:t>
      </w:r>
      <w:r w:rsidR="00374DD3" w:rsidRPr="00124D24">
        <w:rPr>
          <w:color w:val="000000"/>
          <w:szCs w:val="22"/>
        </w:rPr>
        <w:t xml:space="preserve"> Form 499-A</w:t>
      </w:r>
      <w:r w:rsidR="00064556" w:rsidRPr="00124D24">
        <w:rPr>
          <w:color w:val="000000"/>
          <w:szCs w:val="22"/>
        </w:rPr>
        <w:t>.</w:t>
      </w:r>
      <w:r w:rsidR="00064556">
        <w:rPr>
          <w:rStyle w:val="FootnoteReference"/>
          <w:szCs w:val="22"/>
        </w:rPr>
        <w:footnoteReference w:id="14"/>
      </w:r>
      <w:r w:rsidR="00374DD3" w:rsidRPr="00124D24">
        <w:rPr>
          <w:color w:val="000000"/>
          <w:szCs w:val="22"/>
        </w:rPr>
        <w:t xml:space="preserve"> </w:t>
      </w:r>
      <w:r w:rsidR="00064556" w:rsidRPr="00124D24">
        <w:rPr>
          <w:color w:val="000000"/>
          <w:szCs w:val="22"/>
        </w:rPr>
        <w:t xml:space="preserve"> </w:t>
      </w:r>
      <w:r w:rsidR="00374DD3" w:rsidRPr="00124D24">
        <w:rPr>
          <w:color w:val="000000"/>
          <w:szCs w:val="22"/>
        </w:rPr>
        <w:t>The Commission created this requirement to establish “a central repository of key facts about carriers” in order to monitor the entry and operation of such providers to ensure that, among other things, they are qualified, do not engage in fraud, and do not evade oversight</w:t>
      </w:r>
      <w:r w:rsidR="00F147C3" w:rsidRPr="00124D24">
        <w:rPr>
          <w:color w:val="000000"/>
          <w:szCs w:val="22"/>
        </w:rPr>
        <w:t>.</w:t>
      </w:r>
      <w:r w:rsidR="00F147C3" w:rsidRPr="000E3F12">
        <w:rPr>
          <w:rStyle w:val="FootnoteReference"/>
          <w:sz w:val="22"/>
          <w:szCs w:val="22"/>
        </w:rPr>
        <w:footnoteReference w:id="15"/>
      </w:r>
      <w:r w:rsidR="00374DD3" w:rsidRPr="00124D24">
        <w:rPr>
          <w:color w:val="000000"/>
          <w:szCs w:val="22"/>
        </w:rPr>
        <w:t xml:space="preserve"> </w:t>
      </w:r>
      <w:r w:rsidR="00F147C3" w:rsidRPr="00124D24">
        <w:rPr>
          <w:color w:val="000000"/>
          <w:szCs w:val="22"/>
        </w:rPr>
        <w:t xml:space="preserve"> </w:t>
      </w:r>
      <w:r w:rsidR="00374DD3" w:rsidRPr="00124D24">
        <w:rPr>
          <w:color w:val="000000"/>
          <w:szCs w:val="22"/>
        </w:rPr>
        <w:t xml:space="preserve">Likewise, </w:t>
      </w:r>
      <w:r w:rsidR="00DD6581">
        <w:rPr>
          <w:color w:val="000000"/>
          <w:szCs w:val="22"/>
        </w:rPr>
        <w:t>the R</w:t>
      </w:r>
      <w:r w:rsidR="00374DD3" w:rsidRPr="00124D24">
        <w:rPr>
          <w:color w:val="000000"/>
          <w:szCs w:val="22"/>
        </w:rPr>
        <w:t xml:space="preserve">ules require interstate telecommunications services </w:t>
      </w:r>
      <w:r w:rsidR="00DD6581">
        <w:rPr>
          <w:color w:val="000000"/>
          <w:szCs w:val="22"/>
        </w:rPr>
        <w:t xml:space="preserve">providers </w:t>
      </w:r>
      <w:r w:rsidR="00374DD3" w:rsidRPr="00124D24">
        <w:rPr>
          <w:color w:val="000000"/>
          <w:szCs w:val="22"/>
        </w:rPr>
        <w:t>to file revenue information on an annual and</w:t>
      </w:r>
      <w:r w:rsidR="008F32AA">
        <w:rPr>
          <w:color w:val="000000"/>
          <w:szCs w:val="22"/>
        </w:rPr>
        <w:t>, in many instances</w:t>
      </w:r>
      <w:r w:rsidR="00136469">
        <w:rPr>
          <w:color w:val="000000"/>
          <w:szCs w:val="22"/>
        </w:rPr>
        <w:t xml:space="preserve">, </w:t>
      </w:r>
      <w:r w:rsidR="00374DD3" w:rsidRPr="00124D24">
        <w:rPr>
          <w:color w:val="000000"/>
          <w:szCs w:val="22"/>
        </w:rPr>
        <w:t xml:space="preserve">quarterly basis, using Form 499-A and </w:t>
      </w:r>
      <w:r w:rsidR="007A0207">
        <w:rPr>
          <w:color w:val="000000"/>
          <w:szCs w:val="22"/>
        </w:rPr>
        <w:t xml:space="preserve">the </w:t>
      </w:r>
      <w:r w:rsidR="007A0207">
        <w:rPr>
          <w:snapToGrid/>
          <w:kern w:val="0"/>
          <w:szCs w:val="22"/>
        </w:rPr>
        <w:t>Quarterly</w:t>
      </w:r>
      <w:r w:rsidR="007A0207" w:rsidRPr="000E3F12">
        <w:rPr>
          <w:snapToGrid/>
          <w:kern w:val="0"/>
          <w:szCs w:val="22"/>
        </w:rPr>
        <w:t xml:space="preserve"> Telecommunications Reporting Worksheet (Form </w:t>
      </w:r>
      <w:r w:rsidR="007A0207" w:rsidRPr="000E3F12">
        <w:rPr>
          <w:snapToGrid/>
          <w:kern w:val="0"/>
          <w:szCs w:val="22"/>
        </w:rPr>
        <w:lastRenderedPageBreak/>
        <w:t>499-</w:t>
      </w:r>
      <w:r w:rsidR="007A0207">
        <w:rPr>
          <w:snapToGrid/>
          <w:kern w:val="0"/>
          <w:szCs w:val="22"/>
        </w:rPr>
        <w:t>Q</w:t>
      </w:r>
      <w:r w:rsidR="007A0207" w:rsidRPr="000E3F12">
        <w:rPr>
          <w:snapToGrid/>
          <w:kern w:val="0"/>
          <w:szCs w:val="22"/>
        </w:rPr>
        <w:t>)</w:t>
      </w:r>
      <w:r w:rsidR="00374DD3" w:rsidRPr="00124D24">
        <w:rPr>
          <w:color w:val="000000"/>
          <w:szCs w:val="22"/>
        </w:rPr>
        <w:t>, respectively</w:t>
      </w:r>
      <w:r w:rsidR="00F147C3" w:rsidRPr="00124D24">
        <w:rPr>
          <w:color w:val="000000"/>
          <w:szCs w:val="22"/>
        </w:rPr>
        <w:t>.</w:t>
      </w:r>
      <w:r w:rsidR="00F147C3">
        <w:rPr>
          <w:rStyle w:val="FootnoteReference"/>
          <w:szCs w:val="22"/>
        </w:rPr>
        <w:footnoteReference w:id="16"/>
      </w:r>
      <w:r w:rsidR="00374DD3" w:rsidRPr="00124D24">
        <w:rPr>
          <w:color w:val="000000"/>
          <w:szCs w:val="22"/>
        </w:rPr>
        <w:t xml:space="preserve"> </w:t>
      </w:r>
      <w:r w:rsidR="00F147C3" w:rsidRPr="00124D24">
        <w:rPr>
          <w:color w:val="000000"/>
          <w:szCs w:val="22"/>
        </w:rPr>
        <w:t xml:space="preserve"> </w:t>
      </w:r>
      <w:r w:rsidR="00374DD3" w:rsidRPr="00124D24">
        <w:rPr>
          <w:color w:val="000000"/>
          <w:szCs w:val="22"/>
        </w:rPr>
        <w:t xml:space="preserve">These reporting requirements </w:t>
      </w:r>
      <w:r w:rsidR="00136469">
        <w:rPr>
          <w:color w:val="000000"/>
          <w:szCs w:val="22"/>
        </w:rPr>
        <w:t xml:space="preserve">are designed </w:t>
      </w:r>
      <w:r w:rsidR="00374DD3" w:rsidRPr="00124D24">
        <w:rPr>
          <w:color w:val="000000"/>
          <w:szCs w:val="22"/>
        </w:rPr>
        <w:t>to provide the information necessary to calculate amount</w:t>
      </w:r>
      <w:r w:rsidR="00993E65">
        <w:rPr>
          <w:color w:val="000000"/>
          <w:szCs w:val="22"/>
        </w:rPr>
        <w:t>s</w:t>
      </w:r>
      <w:r w:rsidR="00374DD3" w:rsidRPr="00124D24">
        <w:rPr>
          <w:color w:val="000000"/>
          <w:szCs w:val="22"/>
        </w:rPr>
        <w:t xml:space="preserve"> that a provider of interstate telecommunications </w:t>
      </w:r>
      <w:r w:rsidR="004F1C45">
        <w:rPr>
          <w:color w:val="000000"/>
          <w:szCs w:val="22"/>
        </w:rPr>
        <w:t xml:space="preserve">or telecommunications services </w:t>
      </w:r>
      <w:r w:rsidR="00374DD3" w:rsidRPr="00124D24">
        <w:rPr>
          <w:color w:val="000000"/>
          <w:szCs w:val="22"/>
        </w:rPr>
        <w:t xml:space="preserve">must contribute to </w:t>
      </w:r>
      <w:r w:rsidR="00F147C3" w:rsidRPr="00124D24">
        <w:rPr>
          <w:color w:val="000000"/>
          <w:szCs w:val="22"/>
        </w:rPr>
        <w:t>federal</w:t>
      </w:r>
      <w:r w:rsidR="00374DD3" w:rsidRPr="00124D24">
        <w:rPr>
          <w:color w:val="000000"/>
          <w:szCs w:val="22"/>
        </w:rPr>
        <w:t xml:space="preserve"> regulatory programs.</w:t>
      </w:r>
      <w:bookmarkStart w:id="3" w:name="sp_999_3"/>
      <w:bookmarkStart w:id="4" w:name="SDU_3"/>
      <w:bookmarkEnd w:id="3"/>
      <w:bookmarkEnd w:id="4"/>
    </w:p>
    <w:p w:rsidR="000D07B9" w:rsidRPr="00027968" w:rsidRDefault="00124D24" w:rsidP="00D0264D">
      <w:pPr>
        <w:pStyle w:val="ParaNum"/>
        <w:widowControl/>
        <w:spacing w:after="240"/>
      </w:pPr>
      <w:r>
        <w:t>Based on the evidence, w</w:t>
      </w:r>
      <w:r w:rsidR="00B90907" w:rsidRPr="000E3F12">
        <w:t xml:space="preserve">e conclude that </w:t>
      </w:r>
      <w:r w:rsidR="00B57F92">
        <w:t>Simple</w:t>
      </w:r>
      <w:r w:rsidR="00B57F92" w:rsidRPr="0087510B">
        <w:t xml:space="preserve"> </w:t>
      </w:r>
      <w:r w:rsidR="00B57F92">
        <w:t xml:space="preserve">Network </w:t>
      </w:r>
      <w:r w:rsidR="00B90907" w:rsidRPr="000E3F12">
        <w:t xml:space="preserve">apparently violated Section 64.1195(a) of </w:t>
      </w:r>
      <w:r>
        <w:t>the R</w:t>
      </w:r>
      <w:r w:rsidR="00B90907" w:rsidRPr="000E3F12">
        <w:t xml:space="preserve">ules by failing to register </w:t>
      </w:r>
      <w:r w:rsidR="00136469">
        <w:t xml:space="preserve">prior to </w:t>
      </w:r>
      <w:r w:rsidR="00B90907" w:rsidRPr="000E3F12">
        <w:t>providing inters</w:t>
      </w:r>
      <w:r w:rsidR="006944E5" w:rsidRPr="000E3F12">
        <w:t>tate telecommunications services</w:t>
      </w:r>
      <w:r w:rsidR="00B90907" w:rsidRPr="000E3F12">
        <w:t xml:space="preserve">.  </w:t>
      </w:r>
      <w:r w:rsidR="006C280C" w:rsidRPr="001E3FAC">
        <w:rPr>
          <w:szCs w:val="22"/>
        </w:rPr>
        <w:t xml:space="preserve">As a result of its misconduct, </w:t>
      </w:r>
      <w:r w:rsidR="00B57F92">
        <w:t>Simple</w:t>
      </w:r>
      <w:r w:rsidR="00B57F92" w:rsidRPr="0087510B">
        <w:t xml:space="preserve"> </w:t>
      </w:r>
      <w:r w:rsidR="00B57F92">
        <w:t xml:space="preserve">Network </w:t>
      </w:r>
      <w:r w:rsidR="006C280C" w:rsidRPr="001E3FAC">
        <w:rPr>
          <w:szCs w:val="22"/>
        </w:rPr>
        <w:t xml:space="preserve">has been operating for </w:t>
      </w:r>
      <w:r w:rsidR="00136469">
        <w:rPr>
          <w:szCs w:val="22"/>
        </w:rPr>
        <w:t xml:space="preserve">several </w:t>
      </w:r>
      <w:r w:rsidR="006C280C" w:rsidRPr="001E3FAC">
        <w:rPr>
          <w:szCs w:val="22"/>
        </w:rPr>
        <w:t>years without participation in the federal programs tied to the registration requirement.</w:t>
      </w:r>
      <w:r w:rsidR="006C280C" w:rsidRPr="000E3F12">
        <w:rPr>
          <w:rStyle w:val="FootnoteReference"/>
          <w:sz w:val="22"/>
          <w:szCs w:val="22"/>
        </w:rPr>
        <w:footnoteReference w:id="17"/>
      </w:r>
      <w:r w:rsidR="006C280C">
        <w:rPr>
          <w:szCs w:val="22"/>
        </w:rPr>
        <w:t xml:space="preserve">  </w:t>
      </w:r>
      <w:r w:rsidR="001E3FAC" w:rsidRPr="000E3F12">
        <w:t xml:space="preserve">This failure to register constitutes a continuing violation, which will not be cured until </w:t>
      </w:r>
      <w:r w:rsidR="00B57F92">
        <w:t>Simple</w:t>
      </w:r>
      <w:r w:rsidR="00B57F92" w:rsidRPr="0087510B">
        <w:t xml:space="preserve"> </w:t>
      </w:r>
      <w:r w:rsidR="00B57F92">
        <w:t xml:space="preserve">Network </w:t>
      </w:r>
      <w:r w:rsidR="001E3FAC" w:rsidRPr="000E3F12">
        <w:t>files its initial Form 499-A</w:t>
      </w:r>
      <w:r w:rsidR="008226CE">
        <w:t xml:space="preserve"> </w:t>
      </w:r>
      <w:r w:rsidR="00136469">
        <w:t>or ceases providing services subject to the registration requirement</w:t>
      </w:r>
      <w:r w:rsidR="001E3FAC" w:rsidRPr="000E3F12">
        <w:t>.</w:t>
      </w:r>
      <w:r w:rsidR="001E3FAC" w:rsidRPr="000E3F12">
        <w:rPr>
          <w:rStyle w:val="FootnoteReference"/>
          <w:sz w:val="22"/>
          <w:szCs w:val="22"/>
        </w:rPr>
        <w:footnoteReference w:id="18"/>
      </w:r>
      <w:r w:rsidR="001E3FAC">
        <w:t xml:space="preserve">  </w:t>
      </w:r>
      <w:r w:rsidR="00B90907" w:rsidRPr="001E3FAC">
        <w:rPr>
          <w:szCs w:val="22"/>
        </w:rPr>
        <w:t xml:space="preserve">  </w:t>
      </w:r>
    </w:p>
    <w:p w:rsidR="002824D8" w:rsidRPr="000D07B9" w:rsidRDefault="008C667C" w:rsidP="00D0264D">
      <w:pPr>
        <w:pStyle w:val="ParaNum"/>
        <w:keepNext/>
        <w:numPr>
          <w:ilvl w:val="1"/>
          <w:numId w:val="97"/>
        </w:numPr>
        <w:spacing w:after="240"/>
        <w:rPr>
          <w:b/>
        </w:rPr>
      </w:pPr>
      <w:r w:rsidRPr="000D07B9">
        <w:rPr>
          <w:b/>
          <w:szCs w:val="22"/>
        </w:rPr>
        <w:t>Proposed Forfeiture</w:t>
      </w:r>
    </w:p>
    <w:p w:rsidR="00CB6D13" w:rsidRPr="004C74F4" w:rsidRDefault="000D07B9" w:rsidP="005B6D5E">
      <w:pPr>
        <w:pStyle w:val="ParaNum"/>
        <w:widowControl/>
      </w:pPr>
      <w:r w:rsidRPr="00981F23">
        <w:t>Section 503(b) of the Act authorizes the Commission to impose a forfeiture against any entity that “willfully or repeatedly fail[s] to comply with any of the provisions of [the Act] or of any rule, regulation, or order issued by the Commission.”</w:t>
      </w:r>
      <w:r w:rsidRPr="00981F23">
        <w:rPr>
          <w:vertAlign w:val="superscript"/>
        </w:rPr>
        <w:footnoteReference w:id="19"/>
      </w:r>
      <w:r w:rsidRPr="00981F23">
        <w:t xml:space="preserve">  Here, Section 503(b)(2)(B) of the Act authorizes us to assess a forfeiture against </w:t>
      </w:r>
      <w:r w:rsidR="00B57F92">
        <w:t>Simple</w:t>
      </w:r>
      <w:r w:rsidR="00B57F92" w:rsidRPr="0087510B">
        <w:t xml:space="preserve"> </w:t>
      </w:r>
      <w:r w:rsidR="00B57F92">
        <w:t xml:space="preserve">Network </w:t>
      </w:r>
      <w:r w:rsidRPr="00981F23">
        <w:t>of up to $</w:t>
      </w:r>
      <w:r>
        <w:t>160,000</w:t>
      </w:r>
      <w:r w:rsidRPr="00981F23">
        <w:t xml:space="preserve"> for each day of a continuing violation, up to a statutory maximum of $</w:t>
      </w:r>
      <w:r>
        <w:t>1,575,000</w:t>
      </w:r>
      <w:r w:rsidRPr="00981F23">
        <w:t xml:space="preserve"> for a single act or failure to act.</w:t>
      </w:r>
      <w:r w:rsidRPr="00981F23">
        <w:rPr>
          <w:rStyle w:val="FootnoteReference"/>
          <w:color w:val="000000" w:themeColor="text1"/>
          <w:szCs w:val="22"/>
        </w:rPr>
        <w:footnoteReference w:id="20"/>
      </w:r>
      <w:r w:rsidRPr="00981F23">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sidRPr="00981F23">
        <w:rPr>
          <w:rStyle w:val="FootnoteReference"/>
          <w:color w:val="000000" w:themeColor="text1"/>
          <w:szCs w:val="22"/>
        </w:rPr>
        <w:footnoteReference w:id="21"/>
      </w:r>
      <w:r w:rsidRPr="00981F23">
        <w:rPr>
          <w:spacing w:val="-2"/>
        </w:rPr>
        <w:t xml:space="preserve">  </w:t>
      </w:r>
      <w:r w:rsidRPr="00981F23">
        <w:t>In addition, the Commission has established forfeiture guidelines; they establish base penalties for certain violations and identify criteria that we consider when determining the appropriate penalty in any given case.</w:t>
      </w:r>
      <w:r w:rsidRPr="00981F23">
        <w:rPr>
          <w:rStyle w:val="FootnoteReference"/>
          <w:color w:val="000000" w:themeColor="text1"/>
        </w:rPr>
        <w:footnoteReference w:id="22"/>
      </w:r>
      <w:r w:rsidRPr="00981F23">
        <w:t xml:space="preserve">  Under these guidelines, we may adjust a forfeiture upward for violations that are egregious, intentional, or repeated, or that cause substantial harm or generate substantial economic gain for the violator.</w:t>
      </w:r>
      <w:r w:rsidRPr="00981F23">
        <w:rPr>
          <w:rStyle w:val="FootnoteReference"/>
          <w:color w:val="000000" w:themeColor="text1"/>
        </w:rPr>
        <w:footnoteReference w:id="23"/>
      </w:r>
      <w:r w:rsidRPr="00981F23">
        <w:t xml:space="preserve">  </w:t>
      </w:r>
    </w:p>
    <w:p w:rsidR="00CB6D13" w:rsidRPr="000E3F12" w:rsidRDefault="004C74F4" w:rsidP="001E3FAC">
      <w:pPr>
        <w:pStyle w:val="ParaNum"/>
        <w:widowControl/>
        <w:rPr>
          <w:szCs w:val="22"/>
        </w:rPr>
      </w:pPr>
      <w:r>
        <w:rPr>
          <w:szCs w:val="22"/>
        </w:rPr>
        <w:lastRenderedPageBreak/>
        <w:t>T</w:t>
      </w:r>
      <w:r w:rsidR="00AE2559" w:rsidRPr="000E3F12">
        <w:rPr>
          <w:szCs w:val="22"/>
        </w:rPr>
        <w:t>he Commission has</w:t>
      </w:r>
      <w:r w:rsidR="00462F12">
        <w:rPr>
          <w:szCs w:val="22"/>
        </w:rPr>
        <w:t xml:space="preserve"> </w:t>
      </w:r>
      <w:r w:rsidR="00AE2559" w:rsidRPr="000E3F12">
        <w:rPr>
          <w:szCs w:val="22"/>
        </w:rPr>
        <w:t xml:space="preserve">imposed a </w:t>
      </w:r>
      <w:r>
        <w:rPr>
          <w:szCs w:val="22"/>
        </w:rPr>
        <w:t xml:space="preserve">base </w:t>
      </w:r>
      <w:r w:rsidR="00AE2559" w:rsidRPr="000E3F12">
        <w:rPr>
          <w:szCs w:val="22"/>
        </w:rPr>
        <w:t xml:space="preserve">forfeiture of $100,000 for </w:t>
      </w:r>
      <w:r>
        <w:rPr>
          <w:szCs w:val="22"/>
        </w:rPr>
        <w:t>the</w:t>
      </w:r>
      <w:r w:rsidR="00AE2559" w:rsidRPr="000E3F12">
        <w:rPr>
          <w:szCs w:val="22"/>
        </w:rPr>
        <w:t xml:space="preserve"> failure to register</w:t>
      </w:r>
      <w:r>
        <w:rPr>
          <w:szCs w:val="22"/>
        </w:rPr>
        <w:t xml:space="preserve"> under Rule 64.1195</w:t>
      </w:r>
      <w:r w:rsidR="00AE2559" w:rsidRPr="000E3F12">
        <w:rPr>
          <w:szCs w:val="22"/>
        </w:rPr>
        <w:t>.</w:t>
      </w:r>
      <w:r w:rsidR="00AE2559" w:rsidRPr="000E3F12">
        <w:rPr>
          <w:rStyle w:val="FootnoteReference"/>
          <w:sz w:val="22"/>
          <w:szCs w:val="22"/>
        </w:rPr>
        <w:footnoteReference w:id="24"/>
      </w:r>
      <w:r w:rsidR="00AE2559" w:rsidRPr="000E3F12">
        <w:rPr>
          <w:szCs w:val="22"/>
        </w:rPr>
        <w:t xml:space="preserve">  </w:t>
      </w:r>
      <w:r w:rsidR="006A11C3" w:rsidRPr="00981F23">
        <w:t xml:space="preserve">Therefore, </w:t>
      </w:r>
      <w:r w:rsidR="004F1C45">
        <w:t xml:space="preserve">consistent with precedent and </w:t>
      </w:r>
      <w:r w:rsidR="006A11C3" w:rsidRPr="00981F23">
        <w:t xml:space="preserve">after applying the </w:t>
      </w:r>
      <w:r w:rsidR="006A11C3" w:rsidRPr="00981F23">
        <w:rPr>
          <w:i/>
        </w:rPr>
        <w:t>Forfeiture Policy Statement</w:t>
      </w:r>
      <w:r w:rsidR="006A11C3" w:rsidRPr="00981F23">
        <w:t>, Section 1.80 of the Rules, and the statutory factors, we propose a to</w:t>
      </w:r>
      <w:r w:rsidR="006A11C3">
        <w:t>tal forfeiture of $100,000</w:t>
      </w:r>
      <w:r w:rsidR="006A11C3" w:rsidRPr="00981F23">
        <w:t xml:space="preserve">, for which </w:t>
      </w:r>
      <w:r w:rsidR="00B57F92">
        <w:t>Simple</w:t>
      </w:r>
      <w:r w:rsidR="00B57F92" w:rsidRPr="0087510B">
        <w:t xml:space="preserve"> </w:t>
      </w:r>
      <w:r w:rsidR="00B57F92">
        <w:t xml:space="preserve">Network </w:t>
      </w:r>
      <w:r w:rsidR="006A11C3" w:rsidRPr="00981F23">
        <w:t>is apparently liable.</w:t>
      </w:r>
      <w:r w:rsidR="00FF5BF9" w:rsidRPr="000E3F12">
        <w:rPr>
          <w:szCs w:val="22"/>
        </w:rPr>
        <w:t xml:space="preserve">  </w:t>
      </w:r>
    </w:p>
    <w:p w:rsidR="006C789B" w:rsidRPr="000E3F12" w:rsidRDefault="003A3175" w:rsidP="00A9128F">
      <w:pPr>
        <w:pStyle w:val="Heading1"/>
        <w:spacing w:before="240" w:after="240"/>
        <w:rPr>
          <w:rFonts w:ascii="Times New Roman" w:hAnsi="Times New Roman"/>
          <w:szCs w:val="22"/>
        </w:rPr>
      </w:pPr>
      <w:r w:rsidRPr="000E3F12">
        <w:rPr>
          <w:rFonts w:ascii="Times New Roman" w:hAnsi="Times New Roman"/>
          <w:szCs w:val="22"/>
        </w:rPr>
        <w:t>Conclusion</w:t>
      </w:r>
    </w:p>
    <w:p w:rsidR="008D42EB" w:rsidRPr="000E3F12" w:rsidRDefault="00915830" w:rsidP="00E97070">
      <w:pPr>
        <w:pStyle w:val="ParaNum"/>
        <w:rPr>
          <w:szCs w:val="22"/>
        </w:rPr>
      </w:pPr>
      <w:r w:rsidRPr="000E3F12">
        <w:rPr>
          <w:color w:val="000000" w:themeColor="text1"/>
          <w:szCs w:val="22"/>
        </w:rPr>
        <w:t xml:space="preserve">We have determined that </w:t>
      </w:r>
      <w:r w:rsidR="00B57F92">
        <w:t>Simple</w:t>
      </w:r>
      <w:r w:rsidR="00B57F92" w:rsidRPr="0087510B">
        <w:t xml:space="preserve"> </w:t>
      </w:r>
      <w:r w:rsidR="00B57F92">
        <w:t xml:space="preserve">Network </w:t>
      </w:r>
      <w:r w:rsidR="006A11C3" w:rsidRPr="000E3F12">
        <w:rPr>
          <w:szCs w:val="22"/>
        </w:rPr>
        <w:t xml:space="preserve">apparently </w:t>
      </w:r>
      <w:r w:rsidRPr="000E3F12">
        <w:rPr>
          <w:szCs w:val="22"/>
        </w:rPr>
        <w:t xml:space="preserve">willfully and repeatedly violated Section </w:t>
      </w:r>
      <w:r w:rsidR="00AE2559" w:rsidRPr="000E3F12">
        <w:rPr>
          <w:rFonts w:eastAsiaTheme="minorEastAsia"/>
          <w:szCs w:val="22"/>
        </w:rPr>
        <w:t>64.1195</w:t>
      </w:r>
      <w:r w:rsidRPr="000E3F12">
        <w:rPr>
          <w:szCs w:val="22"/>
        </w:rPr>
        <w:t xml:space="preserve"> of the Commission’s Rules.  As such, </w:t>
      </w:r>
      <w:r w:rsidR="00B57F92">
        <w:t>Simple</w:t>
      </w:r>
      <w:r w:rsidR="00B57F92" w:rsidRPr="0087510B">
        <w:t xml:space="preserve"> </w:t>
      </w:r>
      <w:r w:rsidR="00B57F92">
        <w:t xml:space="preserve">Network </w:t>
      </w:r>
      <w:r w:rsidRPr="000E3F12">
        <w:rPr>
          <w:szCs w:val="22"/>
        </w:rPr>
        <w:t>is apparently liable for a forfeiture of $1</w:t>
      </w:r>
      <w:r w:rsidR="00AE2559" w:rsidRPr="000E3F12">
        <w:rPr>
          <w:szCs w:val="22"/>
        </w:rPr>
        <w:t>00,000</w:t>
      </w:r>
      <w:r w:rsidRPr="000E3F12">
        <w:rPr>
          <w:szCs w:val="22"/>
        </w:rPr>
        <w:t>.</w:t>
      </w:r>
      <w:r w:rsidR="006A22D1" w:rsidRPr="000E3F12">
        <w:rPr>
          <w:szCs w:val="22"/>
        </w:rPr>
        <w:t xml:space="preserve">  </w:t>
      </w:r>
      <w:r w:rsidR="001F4D4E">
        <w:rPr>
          <w:szCs w:val="22"/>
        </w:rPr>
        <w:t xml:space="preserve">We note that this </w:t>
      </w:r>
      <w:r w:rsidR="008B33A3">
        <w:rPr>
          <w:szCs w:val="22"/>
        </w:rPr>
        <w:t xml:space="preserve">is a very </w:t>
      </w:r>
      <w:r w:rsidR="001F4D4E">
        <w:rPr>
          <w:szCs w:val="22"/>
        </w:rPr>
        <w:t xml:space="preserve">limited action </w:t>
      </w:r>
      <w:r w:rsidR="008B33A3">
        <w:rPr>
          <w:szCs w:val="22"/>
        </w:rPr>
        <w:t xml:space="preserve">that </w:t>
      </w:r>
      <w:r w:rsidR="001F4D4E">
        <w:rPr>
          <w:szCs w:val="22"/>
        </w:rPr>
        <w:t xml:space="preserve">does not reflect the full extent of </w:t>
      </w:r>
      <w:r w:rsidR="00B57F92">
        <w:t>Simple</w:t>
      </w:r>
      <w:r w:rsidR="00B57F92" w:rsidRPr="0087510B">
        <w:t xml:space="preserve"> </w:t>
      </w:r>
      <w:r w:rsidR="00B57F92">
        <w:t>Network</w:t>
      </w:r>
      <w:r w:rsidR="001F4D4E">
        <w:rPr>
          <w:szCs w:val="22"/>
        </w:rPr>
        <w:t xml:space="preserve">’s potential forfeiture liability and </w:t>
      </w:r>
      <w:r w:rsidR="008B33A3">
        <w:rPr>
          <w:szCs w:val="22"/>
        </w:rPr>
        <w:t xml:space="preserve">that </w:t>
      </w:r>
      <w:r w:rsidR="001F4D4E">
        <w:rPr>
          <w:szCs w:val="22"/>
        </w:rPr>
        <w:t xml:space="preserve">does not in any way preclude the Commission from imposing additional forfeitures against </w:t>
      </w:r>
      <w:r w:rsidR="00B57F92">
        <w:t>Simple</w:t>
      </w:r>
      <w:r w:rsidR="00B57F92" w:rsidRPr="0087510B">
        <w:t xml:space="preserve"> </w:t>
      </w:r>
      <w:r w:rsidR="00B57F92">
        <w:t>Network</w:t>
      </w:r>
      <w:r w:rsidR="00516B2F">
        <w:t xml:space="preserve"> in the future</w:t>
      </w:r>
      <w:r w:rsidR="001F4D4E">
        <w:rPr>
          <w:szCs w:val="22"/>
        </w:rPr>
        <w:t xml:space="preserve">.  </w:t>
      </w:r>
      <w:r w:rsidR="001F4D4E" w:rsidRPr="003241E0">
        <w:t xml:space="preserve">Appendix A </w:t>
      </w:r>
      <w:r w:rsidR="001F4D4E">
        <w:t>lists</w:t>
      </w:r>
      <w:r w:rsidR="001F4D4E" w:rsidRPr="003241E0">
        <w:t xml:space="preserve"> </w:t>
      </w:r>
      <w:r w:rsidR="00D250AB">
        <w:t xml:space="preserve">a number of </w:t>
      </w:r>
      <w:r w:rsidR="008B33A3">
        <w:t xml:space="preserve">requirements that </w:t>
      </w:r>
      <w:r w:rsidR="00B57F92">
        <w:t>Simple</w:t>
      </w:r>
      <w:r w:rsidR="00B57F92" w:rsidRPr="0087510B">
        <w:t xml:space="preserve"> </w:t>
      </w:r>
      <w:r w:rsidR="00B57F92">
        <w:t xml:space="preserve">Network </w:t>
      </w:r>
      <w:r w:rsidR="008B33A3">
        <w:t>may be violating</w:t>
      </w:r>
      <w:r w:rsidR="001F4D4E">
        <w:t>.</w:t>
      </w:r>
      <w:r w:rsidR="008B33A3">
        <w:t xml:space="preserve">  We expect that </w:t>
      </w:r>
      <w:r w:rsidR="00B57F92">
        <w:t>Simple</w:t>
      </w:r>
      <w:r w:rsidR="00B57F92" w:rsidRPr="0087510B">
        <w:t xml:space="preserve"> </w:t>
      </w:r>
      <w:r w:rsidR="00B57F92">
        <w:t>Network</w:t>
      </w:r>
      <w:r w:rsidR="008B33A3">
        <w:t xml:space="preserve">’s response to this Notice of Apparent Liability will include, in addition to the Company registering as a telecommunications </w:t>
      </w:r>
      <w:r w:rsidR="0056479A">
        <w:t>service provider</w:t>
      </w:r>
      <w:r w:rsidR="008B33A3">
        <w:t xml:space="preserve">, immediate and effective efforts to come into full compliance with all its </w:t>
      </w:r>
      <w:r w:rsidR="00EB4CD2">
        <w:t xml:space="preserve">federal </w:t>
      </w:r>
      <w:r w:rsidR="008B33A3">
        <w:t>regulatory obligations.</w:t>
      </w:r>
    </w:p>
    <w:p w:rsidR="00010736" w:rsidRPr="000E3F12" w:rsidRDefault="006C789B" w:rsidP="00A9128F">
      <w:pPr>
        <w:pStyle w:val="Heading1"/>
        <w:spacing w:before="240" w:after="240"/>
        <w:rPr>
          <w:rFonts w:ascii="Times New Roman" w:hAnsi="Times New Roman"/>
          <w:szCs w:val="22"/>
        </w:rPr>
      </w:pPr>
      <w:r w:rsidRPr="000E3F12">
        <w:rPr>
          <w:rFonts w:ascii="Times New Roman" w:hAnsi="Times New Roman"/>
          <w:szCs w:val="22"/>
        </w:rPr>
        <w:t>Ordering Clauses</w:t>
      </w:r>
    </w:p>
    <w:p w:rsidR="009A7605" w:rsidRPr="00981F23" w:rsidRDefault="009A7605" w:rsidP="009A7605">
      <w:pPr>
        <w:pStyle w:val="ParaNum"/>
        <w:rPr>
          <w:spacing w:val="-2"/>
        </w:rPr>
      </w:pPr>
      <w:r w:rsidRPr="00981F23">
        <w:t xml:space="preserve">Accordingly, </w:t>
      </w:r>
      <w:r w:rsidRPr="00981F23">
        <w:rPr>
          <w:b/>
        </w:rPr>
        <w:t>IT IS ORDERED</w:t>
      </w:r>
      <w:r w:rsidRPr="00981F23">
        <w:t xml:space="preserve"> that, pursuant to Section 503(b) of the </w:t>
      </w:r>
      <w:r>
        <w:t>Act</w:t>
      </w:r>
      <w:r w:rsidRPr="00981F23">
        <w:rPr>
          <w:vertAlign w:val="superscript"/>
        </w:rPr>
        <w:footnoteReference w:id="25"/>
      </w:r>
      <w:r w:rsidRPr="00981F23">
        <w:t xml:space="preserve"> and Sections 1.80 of the</w:t>
      </w:r>
      <w:r>
        <w:t xml:space="preserve"> R</w:t>
      </w:r>
      <w:r w:rsidRPr="00981F23">
        <w:t>ules,</w:t>
      </w:r>
      <w:r w:rsidRPr="00981F23">
        <w:rPr>
          <w:vertAlign w:val="superscript"/>
        </w:rPr>
        <w:footnoteReference w:id="26"/>
      </w:r>
      <w:r w:rsidRPr="00981F23">
        <w:t xml:space="preserve"> </w:t>
      </w:r>
      <w:r w:rsidR="00B57F92">
        <w:t>Simple Network,</w:t>
      </w:r>
      <w:r w:rsidR="00B57F92" w:rsidRPr="0087510B">
        <w:t xml:space="preserve"> Inc. </w:t>
      </w:r>
      <w:r w:rsidR="00986F9E">
        <w:rPr>
          <w:spacing w:val="-2"/>
          <w:szCs w:val="22"/>
        </w:rPr>
        <w:t>is</w:t>
      </w:r>
      <w:r w:rsidRPr="00981F23">
        <w:t xml:space="preserve"> hereby </w:t>
      </w:r>
      <w:r w:rsidRPr="00981F23">
        <w:rPr>
          <w:b/>
        </w:rPr>
        <w:t>NOTIFIED</w:t>
      </w:r>
      <w:r w:rsidRPr="00981F23">
        <w:t xml:space="preserve"> of </w:t>
      </w:r>
      <w:r w:rsidR="00986F9E">
        <w:t xml:space="preserve">its </w:t>
      </w:r>
      <w:r w:rsidRPr="00981F23">
        <w:rPr>
          <w:b/>
        </w:rPr>
        <w:t>APPARENT LIABILITY FOR A FORFEITURE</w:t>
      </w:r>
      <w:r w:rsidRPr="00981F23">
        <w:t xml:space="preserve"> in the amount of </w:t>
      </w:r>
      <w:r>
        <w:t>One Hundred Thousand Dollars</w:t>
      </w:r>
      <w:r w:rsidRPr="00981F23">
        <w:t xml:space="preserve"> ($</w:t>
      </w:r>
      <w:r>
        <w:t>100,000</w:t>
      </w:r>
      <w:r w:rsidRPr="00981F23">
        <w:t xml:space="preserve">) for willful </w:t>
      </w:r>
      <w:r w:rsidR="00986F9E">
        <w:t>or</w:t>
      </w:r>
      <w:r w:rsidR="00986F9E" w:rsidRPr="00981F23">
        <w:t xml:space="preserve"> </w:t>
      </w:r>
      <w:r w:rsidRPr="00981F23">
        <w:t xml:space="preserve">repeated violations of </w:t>
      </w:r>
      <w:r w:rsidR="00EB4CD2">
        <w:t>s</w:t>
      </w:r>
      <w:r w:rsidRPr="00981F23">
        <w:t xml:space="preserve">ection </w:t>
      </w:r>
      <w:r>
        <w:t>64.1195 of the Rules.</w:t>
      </w:r>
      <w:r w:rsidRPr="00981F23">
        <w:rPr>
          <w:vertAlign w:val="superscript"/>
        </w:rPr>
        <w:footnoteReference w:id="27"/>
      </w:r>
    </w:p>
    <w:p w:rsidR="009A7605" w:rsidRPr="00981F23" w:rsidRDefault="009A7605" w:rsidP="009A7605">
      <w:pPr>
        <w:pStyle w:val="ParaNum"/>
        <w:rPr>
          <w:spacing w:val="-2"/>
        </w:rPr>
      </w:pPr>
      <w:r w:rsidRPr="00981F23">
        <w:rPr>
          <w:b/>
        </w:rPr>
        <w:t xml:space="preserve">IT IS FURTHER ORDERED </w:t>
      </w:r>
      <w:r w:rsidRPr="00981F23">
        <w:t>that, pursuant to Section 1.80 of the</w:t>
      </w:r>
      <w:r>
        <w:t xml:space="preserve"> R</w:t>
      </w:r>
      <w:r w:rsidRPr="00981F23">
        <w:t>ules,</w:t>
      </w:r>
      <w:r w:rsidRPr="00981F23">
        <w:rPr>
          <w:vertAlign w:val="superscript"/>
        </w:rPr>
        <w:footnoteReference w:id="28"/>
      </w:r>
      <w:r w:rsidRPr="00981F23">
        <w:rPr>
          <w:vertAlign w:val="superscript"/>
        </w:rPr>
        <w:t xml:space="preserve"> </w:t>
      </w:r>
      <w:r w:rsidRPr="00981F23">
        <w:t xml:space="preserve">within thirty (30) calendar days of the release date of this Notice of Apparent Liability for Forfeiture, </w:t>
      </w:r>
      <w:r w:rsidR="00B57F92">
        <w:t>Simple Network,</w:t>
      </w:r>
      <w:r w:rsidR="00B57F92" w:rsidRPr="0087510B">
        <w:t xml:space="preserve"> Inc.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w:t>
      </w:r>
      <w:r w:rsidRPr="009746FF">
        <w:t>paragraph</w:t>
      </w:r>
      <w:r w:rsidR="00B57F92" w:rsidRPr="009746FF">
        <w:t>s</w:t>
      </w:r>
      <w:r w:rsidRPr="009746FF">
        <w:t xml:space="preserve"> </w:t>
      </w:r>
      <w:r w:rsidR="00B57F92" w:rsidRPr="009746FF">
        <w:t>14</w:t>
      </w:r>
      <w:r w:rsidR="00A363EE" w:rsidRPr="009746FF">
        <w:t>–</w:t>
      </w:r>
      <w:r w:rsidR="00B57F92" w:rsidRPr="009746FF">
        <w:t>15</w:t>
      </w:r>
      <w:r w:rsidRPr="00981F23">
        <w:t xml:space="preserve"> below.</w:t>
      </w:r>
    </w:p>
    <w:p w:rsidR="009A7605" w:rsidRPr="00981F23" w:rsidRDefault="009A7605" w:rsidP="009A7605">
      <w:pPr>
        <w:pStyle w:val="ParaNum"/>
        <w:rPr>
          <w:spacing w:val="-2"/>
        </w:rPr>
      </w:pPr>
      <w:r w:rsidRPr="00981F23">
        <w:t xml:space="preserve">Payment of the forfeiture must be made by check or similar instrument, wire transfer, or credit card, and must include the NAL/Account Number and FRN referenced above.  </w:t>
      </w:r>
      <w:r w:rsidR="00B57F92">
        <w:t>Simple Network,</w:t>
      </w:r>
      <w:r w:rsidR="00B57F92" w:rsidRPr="0087510B">
        <w:t xml:space="preserve"> Inc. </w:t>
      </w:r>
      <w:r w:rsidRPr="00981F23">
        <w:t xml:space="preserve"> shall send electronic notification of payment to </w:t>
      </w:r>
      <w:r>
        <w:t xml:space="preserve">Jeffrey Gee at </w:t>
      </w:r>
      <w:hyperlink r:id="rId8" w:history="1">
        <w:r w:rsidRPr="009A7605">
          <w:rPr>
            <w:rStyle w:val="Hyperlink"/>
            <w:color w:val="auto"/>
            <w:u w:val="none"/>
          </w:rPr>
          <w:t>Jeffrey.Gee@fcc.gov</w:t>
        </w:r>
      </w:hyperlink>
      <w:r w:rsidRPr="009A7605">
        <w:t xml:space="preserve">, </w:t>
      </w:r>
      <w:r w:rsidR="008226CE">
        <w:t xml:space="preserve">Kalun Lee </w:t>
      </w:r>
      <w:r w:rsidR="00810248">
        <w:t>at</w:t>
      </w:r>
      <w:r w:rsidR="008226CE">
        <w:t xml:space="preserve"> </w:t>
      </w:r>
      <w:hyperlink r:id="rId9" w:history="1">
        <w:r w:rsidR="008226CE" w:rsidRPr="00810248">
          <w:rPr>
            <w:rStyle w:val="Hyperlink"/>
            <w:color w:val="auto"/>
            <w:u w:val="none"/>
          </w:rPr>
          <w:t>Kalun.Lee@fcc.gov</w:t>
        </w:r>
      </w:hyperlink>
      <w:r w:rsidR="008226CE">
        <w:t xml:space="preserve">, </w:t>
      </w:r>
      <w:r w:rsidRPr="009A7605">
        <w:t xml:space="preserve">William Kehoe at </w:t>
      </w:r>
      <w:hyperlink r:id="rId10" w:history="1">
        <w:r w:rsidRPr="009A7605">
          <w:rPr>
            <w:rStyle w:val="Hyperlink"/>
            <w:color w:val="auto"/>
            <w:u w:val="none"/>
          </w:rPr>
          <w:t>William.Kehoe@fcc.gov</w:t>
        </w:r>
      </w:hyperlink>
      <w:r w:rsidRPr="009A7605">
        <w:t xml:space="preserve"> and David Janas at </w:t>
      </w:r>
      <w:hyperlink r:id="rId11" w:history="1">
        <w:r w:rsidRPr="009A7605">
          <w:rPr>
            <w:rStyle w:val="Hyperlink"/>
            <w:color w:val="auto"/>
            <w:u w:val="none"/>
          </w:rPr>
          <w:t>David.Janas@fcc.gov</w:t>
        </w:r>
      </w:hyperlink>
      <w:r w:rsidRPr="009A7605">
        <w:t xml:space="preserve"> on the date said payment is made.  Regardless of the form of payment, a completed FCC Form 159 (Re</w:t>
      </w:r>
      <w:r w:rsidRPr="00981F23">
        <w:t>mittance Advice) must be submitted.</w:t>
      </w:r>
      <w:r w:rsidRPr="00981F23">
        <w:rPr>
          <w:vertAlign w:val="superscript"/>
        </w:rPr>
        <w:footnoteReference w:id="29"/>
      </w:r>
      <w:r w:rsidRPr="00981F23">
        <w:t xml:space="preserve">  When completing the FCC Form 159, enter the Account Number in block number 23A (call sign/other ID) and enter the letters “FORF” in block number 24A (payment type code).  Below are additional instructions that should</w:t>
      </w:r>
      <w:r>
        <w:t xml:space="preserve"> be</w:t>
      </w:r>
      <w:r w:rsidRPr="00981F23">
        <w:t xml:space="preserve"> follow</w:t>
      </w:r>
      <w:r>
        <w:t>ed</w:t>
      </w:r>
      <w:r w:rsidRPr="00981F23">
        <w:t xml:space="preserve"> based on the form of payment </w:t>
      </w:r>
      <w:r>
        <w:t>selected</w:t>
      </w:r>
      <w:r w:rsidRPr="00981F23">
        <w:t>:</w:t>
      </w:r>
      <w:r w:rsidRPr="00981F23">
        <w:tab/>
      </w:r>
    </w:p>
    <w:p w:rsidR="009A7605" w:rsidRPr="00981F23" w:rsidRDefault="009A7605" w:rsidP="009A7605">
      <w:pPr>
        <w:numPr>
          <w:ilvl w:val="0"/>
          <w:numId w:val="98"/>
        </w:numPr>
        <w:spacing w:after="120"/>
        <w:rPr>
          <w:b/>
          <w:color w:val="000000" w:themeColor="text1"/>
          <w:szCs w:val="22"/>
        </w:rPr>
      </w:pPr>
      <w:r w:rsidRPr="00981F23">
        <w:rPr>
          <w:rFonts w:eastAsia="MS Mincho"/>
          <w:color w:val="000000" w:themeColor="text1"/>
          <w:szCs w:val="22"/>
        </w:rPr>
        <w:lastRenderedPageBreak/>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9A7605" w:rsidRPr="00981F23" w:rsidRDefault="009A7605" w:rsidP="009A7605">
      <w:pPr>
        <w:widowControl/>
        <w:numPr>
          <w:ilvl w:val="0"/>
          <w:numId w:val="98"/>
        </w:numPr>
        <w:spacing w:after="120"/>
        <w:rPr>
          <w:b/>
          <w:color w:val="000000" w:themeColor="text1"/>
          <w:szCs w:val="22"/>
        </w:rPr>
      </w:pPr>
      <w:r w:rsidRPr="00981F23">
        <w:rPr>
          <w:rFonts w:eastAsia="MS Mincho"/>
          <w:color w:val="000000" w:themeColor="text1"/>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9A7605" w:rsidRPr="00981F23" w:rsidRDefault="009A7605" w:rsidP="009A7605">
      <w:pPr>
        <w:widowControl/>
        <w:numPr>
          <w:ilvl w:val="0"/>
          <w:numId w:val="98"/>
        </w:numPr>
        <w:spacing w:after="120"/>
        <w:rPr>
          <w:b/>
          <w:color w:val="000000" w:themeColor="text1"/>
          <w:szCs w:val="22"/>
        </w:rPr>
      </w:pPr>
      <w:r w:rsidRPr="00981F23">
        <w:rPr>
          <w:rFonts w:eastAsia="MS Mincho"/>
          <w:color w:val="000000" w:themeColor="text1"/>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9A7605" w:rsidRPr="00981F23" w:rsidRDefault="009A7605" w:rsidP="009A7605">
      <w:pPr>
        <w:pStyle w:val="ParaNum"/>
        <w:widowControl/>
      </w:pPr>
      <w:r w:rsidRPr="00981F23">
        <w:t>Any request for making full payment over time under an installment plan should be sent to:  Chief Financial Officer—Financial Operations, Federal Communications Commission, 445 12th Street, SW, Room 1-A625, Washington, DC 20554.</w:t>
      </w:r>
      <w:r>
        <w:rPr>
          <w:rStyle w:val="FootnoteReference"/>
          <w:szCs w:val="22"/>
        </w:rPr>
        <w:footnoteReference w:id="30"/>
      </w:r>
      <w:r w:rsidRPr="00981F23">
        <w:t xml:space="preserve">  </w:t>
      </w:r>
      <w:r>
        <w:t>Q</w:t>
      </w:r>
      <w:r w:rsidRPr="00981F23">
        <w:t>uestion</w:t>
      </w:r>
      <w:r>
        <w:t xml:space="preserve">s regarding payment procedures </w:t>
      </w:r>
      <w:r w:rsidRPr="00981F23">
        <w:t xml:space="preserve">should </w:t>
      </w:r>
      <w:r>
        <w:t>be directed to</w:t>
      </w:r>
      <w:r w:rsidRPr="00981F23">
        <w:t xml:space="preserve"> the Financial Operations Group Help Desk by phone, 1-877-480-3201, or by e-mail, ARINQUIRIES@fcc.gov.</w:t>
      </w:r>
    </w:p>
    <w:p w:rsidR="009A7605" w:rsidRPr="00981F23" w:rsidRDefault="009A7605" w:rsidP="009A7605">
      <w:pPr>
        <w:pStyle w:val="ParaNum"/>
      </w:pPr>
      <w:r w:rsidRPr="00981F23">
        <w:t xml:space="preserve">The written statement seeking reduction or cancellation of the proposed forfeiture, if any, must include a detailed factual statement supported by appropriate documentation and affidavits pursuant to Sections 1.16 and 1.80(f)(3) of the </w:t>
      </w:r>
      <w:r>
        <w:t>R</w:t>
      </w:r>
      <w:r w:rsidRPr="00981F23">
        <w:t>ules.</w:t>
      </w:r>
      <w:r w:rsidRPr="00981F23">
        <w:rPr>
          <w:vertAlign w:val="superscript"/>
        </w:rPr>
        <w:footnoteReference w:id="31"/>
      </w:r>
      <w:r w:rsidRPr="00981F23">
        <w:t xml:space="preserve">  The written statement must be mailed to the Office of the Secretary, Federal Communications Commission, 445 12th Street, SW, Washington, DC 20554, ATTN:  Enforcement Bureau – </w:t>
      </w:r>
      <w:r>
        <w:t>Investigations &amp; Hearings Division</w:t>
      </w:r>
      <w:r w:rsidRPr="00981F23">
        <w:t xml:space="preserve">, and must include the NAL/Account Number referenced in the caption.  The statement must also be e-mailed to </w:t>
      </w:r>
      <w:r>
        <w:t xml:space="preserve">Jeffrey Gee at </w:t>
      </w:r>
      <w:hyperlink r:id="rId12" w:history="1">
        <w:r w:rsidRPr="009A7605">
          <w:rPr>
            <w:rStyle w:val="Hyperlink"/>
            <w:color w:val="auto"/>
            <w:u w:val="none"/>
          </w:rPr>
          <w:t>Jeffrey.Gee@fcc.gov</w:t>
        </w:r>
      </w:hyperlink>
      <w:r w:rsidRPr="009A7605">
        <w:t xml:space="preserve">, </w:t>
      </w:r>
      <w:r w:rsidR="00810248">
        <w:t xml:space="preserve">Kalun Lee at </w:t>
      </w:r>
      <w:hyperlink r:id="rId13" w:history="1">
        <w:r w:rsidR="00810248" w:rsidRPr="00810248">
          <w:rPr>
            <w:rStyle w:val="Hyperlink"/>
            <w:color w:val="auto"/>
            <w:u w:val="none"/>
          </w:rPr>
          <w:t>Kalun.Lee@fcc.gov</w:t>
        </w:r>
      </w:hyperlink>
      <w:r w:rsidR="008226CE">
        <w:t xml:space="preserve">, </w:t>
      </w:r>
      <w:r w:rsidRPr="009A7605">
        <w:t xml:space="preserve">William Kehoe at </w:t>
      </w:r>
      <w:r w:rsidR="00986F9E" w:rsidRPr="00E35CE6">
        <w:t>William.Kehoe@fcc.gov</w:t>
      </w:r>
      <w:r w:rsidRPr="009A7605">
        <w:t xml:space="preserve"> and David Janas at </w:t>
      </w:r>
      <w:hyperlink r:id="rId14" w:history="1">
        <w:r w:rsidRPr="009A7605">
          <w:rPr>
            <w:rStyle w:val="Hyperlink"/>
            <w:color w:val="auto"/>
            <w:u w:val="none"/>
          </w:rPr>
          <w:t>David.Janas@fcc.gov</w:t>
        </w:r>
      </w:hyperlink>
      <w:r w:rsidRPr="00981F23">
        <w:t xml:space="preserve">.  </w:t>
      </w:r>
    </w:p>
    <w:p w:rsidR="009A7605" w:rsidRDefault="009A7605" w:rsidP="009A7605">
      <w:pPr>
        <w:pStyle w:val="ParaNum"/>
      </w:pPr>
      <w:r w:rsidRPr="00981F23">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t> </w:t>
      </w:r>
      <w:r w:rsidRPr="00981F23">
        <w:t>some other reliable and objective documentation that accurately reflects the petitioner’s current financial status.  Any claim of inability to pay must specifically identify the basis for the claim by reference to the financial documentation.</w:t>
      </w:r>
    </w:p>
    <w:p w:rsidR="00462F12" w:rsidRPr="00BD205C" w:rsidRDefault="00CE063B" w:rsidP="001D3408">
      <w:pPr>
        <w:pStyle w:val="ParaNum"/>
        <w:widowControl/>
        <w:rPr>
          <w:szCs w:val="22"/>
        </w:rPr>
      </w:pPr>
      <w:r w:rsidRPr="001D3408">
        <w:rPr>
          <w:b/>
        </w:rPr>
        <w:t xml:space="preserve">IT IS FURTHER ORDERED </w:t>
      </w:r>
      <w:r w:rsidRPr="00981F23">
        <w:t>that, pursuant to Section</w:t>
      </w:r>
      <w:r>
        <w:t xml:space="preserve"> 4(i) and 254(d) of the Act, and sections 54.711 and 64.1195 of the Rules,</w:t>
      </w:r>
      <w:r>
        <w:rPr>
          <w:rStyle w:val="FootnoteReference"/>
        </w:rPr>
        <w:footnoteReference w:id="32"/>
      </w:r>
      <w:r>
        <w:t xml:space="preserve"> Simple Network,</w:t>
      </w:r>
      <w:r w:rsidRPr="0087510B">
        <w:t xml:space="preserve"> Inc.</w:t>
      </w:r>
      <w:r>
        <w:t xml:space="preserve"> </w:t>
      </w:r>
      <w:r w:rsidRPr="001E44E3">
        <w:rPr>
          <w:b/>
        </w:rPr>
        <w:t>SHALL FILE</w:t>
      </w:r>
      <w:r>
        <w:t xml:space="preserve"> </w:t>
      </w:r>
      <w:r w:rsidR="001D3408">
        <w:t xml:space="preserve">with USAC within 30 days </w:t>
      </w:r>
      <w:r w:rsidR="001E44E3">
        <w:t xml:space="preserve">(1) </w:t>
      </w:r>
      <w:r w:rsidR="001D3408">
        <w:t xml:space="preserve">all </w:t>
      </w:r>
      <w:r w:rsidR="001D3408" w:rsidRPr="001D3408">
        <w:rPr>
          <w:snapToGrid/>
        </w:rPr>
        <w:t>Annual Telecommunications Reporting Worksheets required under the Rules from the date that the Company commenced providing telecommunications services to the date of this NAL</w:t>
      </w:r>
      <w:r w:rsidR="001E44E3">
        <w:rPr>
          <w:snapToGrid/>
        </w:rPr>
        <w:t xml:space="preserve">, or (2) a written statement with supporting evidence explaining why the Company </w:t>
      </w:r>
      <w:r w:rsidR="00367BD6">
        <w:rPr>
          <w:snapToGrid/>
        </w:rPr>
        <w:t>is</w:t>
      </w:r>
      <w:r w:rsidR="001E44E3">
        <w:rPr>
          <w:snapToGrid/>
        </w:rPr>
        <w:t xml:space="preserve"> not required under the Rules to file </w:t>
      </w:r>
      <w:r w:rsidR="001E44E3" w:rsidRPr="001D3408">
        <w:rPr>
          <w:snapToGrid/>
        </w:rPr>
        <w:t>Annual Telecommunications Reporting Worksheets</w:t>
      </w:r>
      <w:r w:rsidR="001D3408" w:rsidRPr="001D3408">
        <w:rPr>
          <w:snapToGrid/>
        </w:rPr>
        <w:t>.</w:t>
      </w:r>
    </w:p>
    <w:p w:rsidR="006937FE" w:rsidRDefault="006937FE">
      <w:pPr>
        <w:widowControl/>
        <w:rPr>
          <w:b/>
          <w:szCs w:val="22"/>
        </w:rPr>
      </w:pPr>
      <w:r>
        <w:rPr>
          <w:b/>
          <w:szCs w:val="22"/>
        </w:rPr>
        <w:br w:type="page"/>
      </w:r>
    </w:p>
    <w:p w:rsidR="00F438DB" w:rsidRPr="000E3F12" w:rsidRDefault="00864129" w:rsidP="006C2508">
      <w:pPr>
        <w:pStyle w:val="ParaNum"/>
        <w:widowControl/>
        <w:spacing w:after="360"/>
        <w:rPr>
          <w:szCs w:val="22"/>
        </w:rPr>
      </w:pPr>
      <w:r w:rsidRPr="000E3F12">
        <w:rPr>
          <w:b/>
          <w:szCs w:val="22"/>
        </w:rPr>
        <w:lastRenderedPageBreak/>
        <w:t>IT IS FURTHER ORDERED</w:t>
      </w:r>
      <w:r w:rsidRPr="000E3F12">
        <w:rPr>
          <w:szCs w:val="22"/>
        </w:rPr>
        <w:t xml:space="preserve"> that </w:t>
      </w:r>
      <w:r w:rsidR="00010736" w:rsidRPr="000E3F12">
        <w:rPr>
          <w:szCs w:val="22"/>
        </w:rPr>
        <w:t xml:space="preserve">a copy of this Notice of Apparent Liability for Forfeiture </w:t>
      </w:r>
      <w:r w:rsidR="004C360E" w:rsidRPr="00981F23">
        <w:t xml:space="preserve">shall be sent by first class mail and certified mail, return receipt requested, to </w:t>
      </w:r>
      <w:r w:rsidR="00F438DB" w:rsidRPr="001709E5">
        <w:rPr>
          <w:szCs w:val="22"/>
        </w:rPr>
        <w:t xml:space="preserve">Mr. </w:t>
      </w:r>
      <w:r w:rsidR="00B57F92" w:rsidRPr="001709E5">
        <w:rPr>
          <w:szCs w:val="22"/>
        </w:rPr>
        <w:t>Hemant R. Patel</w:t>
      </w:r>
      <w:r w:rsidR="00F438DB" w:rsidRPr="00B57F92">
        <w:rPr>
          <w:szCs w:val="22"/>
        </w:rPr>
        <w:t>,</w:t>
      </w:r>
      <w:r w:rsidR="00F438DB" w:rsidRPr="000E3F12">
        <w:rPr>
          <w:szCs w:val="22"/>
        </w:rPr>
        <w:t xml:space="preserve"> President, </w:t>
      </w:r>
      <w:r w:rsidR="00B57F92">
        <w:t>Simple Network,</w:t>
      </w:r>
      <w:r w:rsidR="00B57F92" w:rsidRPr="0087510B">
        <w:t xml:space="preserve"> Inc</w:t>
      </w:r>
      <w:r w:rsidR="00B57F92" w:rsidRPr="00B57F92">
        <w:rPr>
          <w:szCs w:val="22"/>
        </w:rPr>
        <w:t>.</w:t>
      </w:r>
      <w:r w:rsidR="00F438DB" w:rsidRPr="00B57F92">
        <w:rPr>
          <w:szCs w:val="22"/>
        </w:rPr>
        <w:t xml:space="preserve">, </w:t>
      </w:r>
      <w:r w:rsidR="00B57F92" w:rsidRPr="00B57F92">
        <w:rPr>
          <w:szCs w:val="22"/>
        </w:rPr>
        <w:t xml:space="preserve">25 S. Main Street, Suite 6, Edison, </w:t>
      </w:r>
      <w:r w:rsidR="0077254C">
        <w:rPr>
          <w:szCs w:val="22"/>
        </w:rPr>
        <w:t>New Jersey</w:t>
      </w:r>
      <w:r w:rsidR="00B57F92" w:rsidRPr="00B57F92">
        <w:rPr>
          <w:szCs w:val="22"/>
        </w:rPr>
        <w:t xml:space="preserve"> 08837</w:t>
      </w:r>
      <w:r w:rsidR="0077254C">
        <w:rPr>
          <w:szCs w:val="22"/>
        </w:rPr>
        <w:t>-3448</w:t>
      </w:r>
      <w:r w:rsidR="00F438DB" w:rsidRPr="00B57F92">
        <w:rPr>
          <w:szCs w:val="22"/>
        </w:rPr>
        <w:t>.</w:t>
      </w:r>
      <w:r w:rsidR="00B57F92">
        <w:rPr>
          <w:szCs w:val="22"/>
        </w:rPr>
        <w:t xml:space="preserve">  </w:t>
      </w:r>
    </w:p>
    <w:p w:rsidR="009A7605" w:rsidRDefault="00010736" w:rsidP="009A7605">
      <w:pPr>
        <w:tabs>
          <w:tab w:val="left" w:pos="4320"/>
        </w:tabs>
        <w:rPr>
          <w:szCs w:val="22"/>
        </w:rPr>
      </w:pPr>
      <w:r w:rsidRPr="000E3F12">
        <w:rPr>
          <w:szCs w:val="22"/>
        </w:rPr>
        <w:tab/>
        <w:t>FEDERAL COMMUNICATIONS COMMISSION</w:t>
      </w:r>
    </w:p>
    <w:p w:rsidR="009A7605" w:rsidRDefault="009A7605" w:rsidP="009A7605">
      <w:pPr>
        <w:tabs>
          <w:tab w:val="left" w:pos="4320"/>
        </w:tabs>
        <w:rPr>
          <w:szCs w:val="22"/>
        </w:rPr>
      </w:pPr>
    </w:p>
    <w:p w:rsidR="009A7605" w:rsidRDefault="009A7605" w:rsidP="009A7605">
      <w:pPr>
        <w:tabs>
          <w:tab w:val="left" w:pos="4320"/>
        </w:tabs>
        <w:rPr>
          <w:szCs w:val="22"/>
        </w:rPr>
      </w:pPr>
    </w:p>
    <w:p w:rsidR="009A7605" w:rsidRDefault="009A7605" w:rsidP="009A7605">
      <w:pPr>
        <w:tabs>
          <w:tab w:val="left" w:pos="4320"/>
        </w:tabs>
        <w:rPr>
          <w:szCs w:val="22"/>
        </w:rPr>
      </w:pPr>
    </w:p>
    <w:p w:rsidR="009A7605" w:rsidRDefault="009A7605" w:rsidP="009A7605">
      <w:pPr>
        <w:tabs>
          <w:tab w:val="left" w:pos="4320"/>
        </w:tabs>
        <w:rPr>
          <w:szCs w:val="22"/>
        </w:rPr>
      </w:pPr>
    </w:p>
    <w:p w:rsidR="000071DF" w:rsidRDefault="009A7605" w:rsidP="009A7605">
      <w:pPr>
        <w:tabs>
          <w:tab w:val="left" w:pos="4320"/>
        </w:tabs>
        <w:rPr>
          <w:szCs w:val="22"/>
        </w:rPr>
      </w:pPr>
      <w:r>
        <w:rPr>
          <w:szCs w:val="22"/>
        </w:rPr>
        <w:tab/>
      </w:r>
      <w:r w:rsidR="000A2013">
        <w:rPr>
          <w:szCs w:val="22"/>
        </w:rPr>
        <w:t xml:space="preserve">Paula </w:t>
      </w:r>
      <w:r w:rsidR="000438FA">
        <w:rPr>
          <w:szCs w:val="22"/>
        </w:rPr>
        <w:t xml:space="preserve">L. </w:t>
      </w:r>
      <w:r w:rsidR="000A2013">
        <w:rPr>
          <w:szCs w:val="22"/>
        </w:rPr>
        <w:t>Blizzard</w:t>
      </w:r>
    </w:p>
    <w:p w:rsidR="009A7605" w:rsidRDefault="000A2013" w:rsidP="009A7605">
      <w:pPr>
        <w:tabs>
          <w:tab w:val="left" w:pos="4320"/>
        </w:tabs>
        <w:rPr>
          <w:szCs w:val="22"/>
        </w:rPr>
      </w:pPr>
      <w:r>
        <w:rPr>
          <w:szCs w:val="22"/>
        </w:rPr>
        <w:t xml:space="preserve"> </w:t>
      </w:r>
      <w:r w:rsidR="009A7605">
        <w:rPr>
          <w:szCs w:val="22"/>
        </w:rPr>
        <w:tab/>
      </w:r>
      <w:r>
        <w:rPr>
          <w:szCs w:val="22"/>
        </w:rPr>
        <w:t xml:space="preserve">Deputy </w:t>
      </w:r>
      <w:r w:rsidR="009A7605" w:rsidRPr="006D73F2">
        <w:rPr>
          <w:szCs w:val="22"/>
        </w:rPr>
        <w:t>Chief</w:t>
      </w:r>
    </w:p>
    <w:p w:rsidR="00B9748D" w:rsidRPr="000E3F12" w:rsidRDefault="009A7605" w:rsidP="009A7605">
      <w:pPr>
        <w:tabs>
          <w:tab w:val="left" w:pos="4320"/>
        </w:tabs>
        <w:rPr>
          <w:szCs w:val="22"/>
        </w:rPr>
      </w:pPr>
      <w:r>
        <w:rPr>
          <w:szCs w:val="22"/>
        </w:rPr>
        <w:tab/>
      </w:r>
      <w:r w:rsidRPr="006D73F2">
        <w:rPr>
          <w:szCs w:val="22"/>
        </w:rPr>
        <w:t>Enforcement Bureau</w:t>
      </w:r>
      <w:r w:rsidRPr="000E3F12">
        <w:rPr>
          <w:szCs w:val="22"/>
        </w:rPr>
        <w:t xml:space="preserve"> </w:t>
      </w:r>
      <w:r w:rsidR="00B9748D" w:rsidRPr="000E3F12">
        <w:rPr>
          <w:szCs w:val="22"/>
        </w:rPr>
        <w:br w:type="page"/>
      </w:r>
    </w:p>
    <w:p w:rsidR="00B9748D" w:rsidRPr="000E3F12" w:rsidRDefault="00B9748D" w:rsidP="00B9748D">
      <w:pPr>
        <w:tabs>
          <w:tab w:val="left" w:pos="4320"/>
        </w:tabs>
        <w:spacing w:after="240"/>
        <w:jc w:val="center"/>
        <w:rPr>
          <w:b/>
          <w:szCs w:val="22"/>
        </w:rPr>
      </w:pPr>
      <w:r w:rsidRPr="000E3F12">
        <w:rPr>
          <w:b/>
          <w:szCs w:val="22"/>
        </w:rPr>
        <w:t>Appendix A</w:t>
      </w:r>
    </w:p>
    <w:p w:rsidR="00B9748D" w:rsidRPr="000E3F12" w:rsidRDefault="00B9748D" w:rsidP="00B9748D">
      <w:pPr>
        <w:tabs>
          <w:tab w:val="left" w:pos="4320"/>
        </w:tabs>
        <w:spacing w:after="240"/>
        <w:jc w:val="center"/>
        <w:rPr>
          <w:b/>
          <w:szCs w:val="22"/>
        </w:rPr>
      </w:pPr>
      <w:r w:rsidRPr="000E3F12">
        <w:rPr>
          <w:b/>
          <w:szCs w:val="22"/>
        </w:rPr>
        <w:t>List of Relevant Statutory and Rule Provisions</w:t>
      </w:r>
    </w:p>
    <w:p w:rsidR="008F0D2C" w:rsidRPr="000E3F12" w:rsidRDefault="00986F9E" w:rsidP="00E35CE6">
      <w:pPr>
        <w:widowControl/>
        <w:spacing w:after="240"/>
        <w:rPr>
          <w:szCs w:val="22"/>
        </w:rPr>
      </w:pPr>
      <w:r>
        <w:rPr>
          <w:szCs w:val="22"/>
        </w:rPr>
        <w:t xml:space="preserve">Set forth below is a </w:t>
      </w:r>
      <w:r w:rsidR="008F0D2C" w:rsidRPr="000E3F12">
        <w:rPr>
          <w:szCs w:val="22"/>
        </w:rPr>
        <w:t xml:space="preserve">list of </w:t>
      </w:r>
      <w:r>
        <w:rPr>
          <w:szCs w:val="22"/>
        </w:rPr>
        <w:t xml:space="preserve">regulatory obligations that a company that has failed to register with </w:t>
      </w:r>
      <w:r>
        <w:rPr>
          <w:snapToGrid/>
          <w:kern w:val="0"/>
          <w:szCs w:val="22"/>
        </w:rPr>
        <w:t xml:space="preserve">the </w:t>
      </w:r>
      <w:r w:rsidRPr="000E3F12">
        <w:rPr>
          <w:noProof/>
          <w:szCs w:val="22"/>
        </w:rPr>
        <w:t>Universal Service Administrative Company</w:t>
      </w:r>
      <w:r>
        <w:rPr>
          <w:noProof/>
          <w:szCs w:val="22"/>
        </w:rPr>
        <w:t xml:space="preserve"> may be violating.  </w:t>
      </w:r>
      <w:r w:rsidR="000E3F12" w:rsidRPr="000E3F12">
        <w:rPr>
          <w:szCs w:val="22"/>
        </w:rPr>
        <w:t xml:space="preserve">The list is intended to serve as a reference resource only and is not an exhaustive list of the federal regulatory requirements </w:t>
      </w:r>
      <w:r w:rsidR="003241E0">
        <w:rPr>
          <w:szCs w:val="22"/>
        </w:rPr>
        <w:t>for providers of interstate telecommunications</w:t>
      </w:r>
      <w:r w:rsidR="006937FE">
        <w:rPr>
          <w:szCs w:val="22"/>
        </w:rPr>
        <w:t xml:space="preserve"> services</w:t>
      </w:r>
      <w:r w:rsidR="000E3F12" w:rsidRPr="000E3F12">
        <w:rPr>
          <w:szCs w:val="22"/>
        </w:rPr>
        <w:t>.  Every provider of interstate telecommunications</w:t>
      </w:r>
      <w:r w:rsidR="006937FE">
        <w:rPr>
          <w:szCs w:val="22"/>
        </w:rPr>
        <w:t xml:space="preserve"> servcies</w:t>
      </w:r>
      <w:r w:rsidR="000E3F12" w:rsidRPr="000E3F12">
        <w:rPr>
          <w:szCs w:val="22"/>
        </w:rPr>
        <w:t xml:space="preserve"> has an affirmative </w:t>
      </w:r>
      <w:r w:rsidR="00EA4A1C">
        <w:rPr>
          <w:szCs w:val="22"/>
        </w:rPr>
        <w:t>obligation</w:t>
      </w:r>
      <w:r w:rsidR="000E3F12" w:rsidRPr="000E3F12">
        <w:rPr>
          <w:szCs w:val="22"/>
        </w:rPr>
        <w:t xml:space="preserve"> to know and comply with all its federal regulatory </w:t>
      </w:r>
      <w:r w:rsidR="00EA4A1C">
        <w:rPr>
          <w:szCs w:val="22"/>
        </w:rPr>
        <w:t>requirements</w:t>
      </w:r>
      <w:r w:rsidR="000E3F12" w:rsidRPr="000E3F12">
        <w:rPr>
          <w:szCs w:val="22"/>
        </w:rPr>
        <w:t>.</w:t>
      </w:r>
      <w:r w:rsidR="003241E0">
        <w:rPr>
          <w:rStyle w:val="FootnoteReference"/>
          <w:szCs w:val="22"/>
        </w:rPr>
        <w:footnoteReference w:id="33"/>
      </w:r>
      <w:r w:rsidR="000E3F12" w:rsidRPr="000E3F12">
        <w:rPr>
          <w:szCs w:val="22"/>
        </w:rPr>
        <w:t xml:space="preserve">  </w:t>
      </w:r>
    </w:p>
    <w:p w:rsidR="008F0D2C" w:rsidRPr="00EB4CD2" w:rsidRDefault="00E50609" w:rsidP="003539B4">
      <w:pPr>
        <w:pStyle w:val="ListParagraph"/>
        <w:numPr>
          <w:ilvl w:val="0"/>
          <w:numId w:val="99"/>
        </w:numPr>
        <w:spacing w:after="120"/>
        <w:rPr>
          <w:sz w:val="22"/>
          <w:szCs w:val="22"/>
        </w:rPr>
      </w:pPr>
      <w:r w:rsidRPr="00EB4CD2">
        <w:rPr>
          <w:sz w:val="22"/>
          <w:szCs w:val="22"/>
        </w:rPr>
        <w:t xml:space="preserve">FCC Form 499-A </w:t>
      </w:r>
      <w:r w:rsidR="005F5EB0">
        <w:rPr>
          <w:sz w:val="22"/>
          <w:szCs w:val="22"/>
        </w:rPr>
        <w:t>F</w:t>
      </w:r>
      <w:r w:rsidRPr="00EB4CD2">
        <w:rPr>
          <w:sz w:val="22"/>
          <w:szCs w:val="22"/>
        </w:rPr>
        <w:t xml:space="preserve">ilings (47 C.F.R. </w:t>
      </w:r>
      <w:r w:rsidR="003539B4" w:rsidRPr="00EB4CD2">
        <w:rPr>
          <w:sz w:val="22"/>
          <w:szCs w:val="22"/>
        </w:rPr>
        <w:t>§§</w:t>
      </w:r>
      <w:r w:rsidRPr="00EB4CD2">
        <w:rPr>
          <w:sz w:val="22"/>
          <w:szCs w:val="22"/>
        </w:rPr>
        <w:t xml:space="preserve"> </w:t>
      </w:r>
      <w:r w:rsidR="003539B4" w:rsidRPr="00EB4CD2">
        <w:rPr>
          <w:sz w:val="22"/>
          <w:szCs w:val="22"/>
        </w:rPr>
        <w:t xml:space="preserve">52.17(b), 52.32(b), </w:t>
      </w:r>
      <w:r w:rsidRPr="00EB4CD2">
        <w:rPr>
          <w:sz w:val="22"/>
          <w:szCs w:val="22"/>
        </w:rPr>
        <w:t>54.711</w:t>
      </w:r>
      <w:r w:rsidR="003539B4" w:rsidRPr="00EB4CD2">
        <w:rPr>
          <w:sz w:val="22"/>
          <w:szCs w:val="22"/>
        </w:rPr>
        <w:t>, 64.604(c)(5)(iii)(B)</w:t>
      </w:r>
      <w:r w:rsidRPr="00EB4CD2">
        <w:rPr>
          <w:sz w:val="22"/>
          <w:szCs w:val="22"/>
        </w:rPr>
        <w:t>)</w:t>
      </w:r>
    </w:p>
    <w:p w:rsidR="00E50609" w:rsidRPr="00EB4CD2" w:rsidRDefault="00E50609" w:rsidP="003539B4">
      <w:pPr>
        <w:pStyle w:val="ListParagraph"/>
        <w:numPr>
          <w:ilvl w:val="0"/>
          <w:numId w:val="99"/>
        </w:numPr>
        <w:spacing w:after="120"/>
        <w:rPr>
          <w:sz w:val="22"/>
          <w:szCs w:val="22"/>
        </w:rPr>
      </w:pPr>
      <w:r w:rsidRPr="00EB4CD2">
        <w:rPr>
          <w:sz w:val="22"/>
          <w:szCs w:val="22"/>
        </w:rPr>
        <w:t xml:space="preserve">FCC Form 499-Q </w:t>
      </w:r>
      <w:r w:rsidR="005F5EB0">
        <w:rPr>
          <w:sz w:val="22"/>
          <w:szCs w:val="22"/>
        </w:rPr>
        <w:t>F</w:t>
      </w:r>
      <w:r w:rsidRPr="00EB4CD2">
        <w:rPr>
          <w:sz w:val="22"/>
          <w:szCs w:val="22"/>
        </w:rPr>
        <w:t>ilings (47 C.F.R. § 54.711</w:t>
      </w:r>
      <w:r w:rsidR="003539B4" w:rsidRPr="00EB4CD2">
        <w:rPr>
          <w:sz w:val="22"/>
          <w:szCs w:val="22"/>
        </w:rPr>
        <w:t>)</w:t>
      </w:r>
    </w:p>
    <w:p w:rsidR="003539B4" w:rsidRPr="00EB4CD2" w:rsidRDefault="003539B4" w:rsidP="003539B4">
      <w:pPr>
        <w:pStyle w:val="ListParagraph"/>
        <w:numPr>
          <w:ilvl w:val="0"/>
          <w:numId w:val="99"/>
        </w:numPr>
        <w:spacing w:after="120"/>
        <w:rPr>
          <w:sz w:val="22"/>
          <w:szCs w:val="22"/>
        </w:rPr>
      </w:pPr>
      <w:r w:rsidRPr="00EB4CD2">
        <w:rPr>
          <w:sz w:val="22"/>
          <w:szCs w:val="22"/>
        </w:rPr>
        <w:t xml:space="preserve">Universal Service Fund </w:t>
      </w:r>
      <w:r w:rsidR="005F5EB0">
        <w:rPr>
          <w:sz w:val="22"/>
          <w:szCs w:val="22"/>
        </w:rPr>
        <w:t>C</w:t>
      </w:r>
      <w:r w:rsidRPr="00EB4CD2">
        <w:rPr>
          <w:sz w:val="22"/>
          <w:szCs w:val="22"/>
        </w:rPr>
        <w:t>ontributions (</w:t>
      </w:r>
      <w:r w:rsidR="00436CE1" w:rsidRPr="00EB4CD2">
        <w:rPr>
          <w:sz w:val="22"/>
          <w:szCs w:val="22"/>
        </w:rPr>
        <w:t>47 U.S.C. § 254(d)</w:t>
      </w:r>
      <w:r w:rsidR="005F5EB0">
        <w:rPr>
          <w:sz w:val="22"/>
          <w:szCs w:val="22"/>
        </w:rPr>
        <w:t>;</w:t>
      </w:r>
      <w:r w:rsidR="00436CE1" w:rsidRPr="00EB4CD2">
        <w:rPr>
          <w:sz w:val="22"/>
          <w:szCs w:val="22"/>
        </w:rPr>
        <w:t xml:space="preserve"> </w:t>
      </w:r>
      <w:r w:rsidRPr="00EB4CD2">
        <w:rPr>
          <w:sz w:val="22"/>
          <w:szCs w:val="22"/>
        </w:rPr>
        <w:t>47 C.F.R. § 54.706)</w:t>
      </w:r>
    </w:p>
    <w:p w:rsidR="003539B4" w:rsidRPr="00EB4CD2" w:rsidRDefault="003539B4" w:rsidP="003539B4">
      <w:pPr>
        <w:pStyle w:val="ListParagraph"/>
        <w:numPr>
          <w:ilvl w:val="0"/>
          <w:numId w:val="99"/>
        </w:numPr>
        <w:spacing w:after="120"/>
        <w:rPr>
          <w:sz w:val="22"/>
          <w:szCs w:val="22"/>
        </w:rPr>
      </w:pPr>
      <w:r w:rsidRPr="00EB4CD2">
        <w:rPr>
          <w:sz w:val="22"/>
          <w:szCs w:val="22"/>
        </w:rPr>
        <w:t xml:space="preserve">Telecommunications Relay Services Fund </w:t>
      </w:r>
      <w:r w:rsidR="005F5EB0">
        <w:rPr>
          <w:sz w:val="22"/>
          <w:szCs w:val="22"/>
        </w:rPr>
        <w:t>C</w:t>
      </w:r>
      <w:r w:rsidRPr="00EB4CD2">
        <w:rPr>
          <w:sz w:val="22"/>
          <w:szCs w:val="22"/>
        </w:rPr>
        <w:t>ontributions (47 C.F.R. § 64.604(c)(5)(iii)(A))</w:t>
      </w:r>
    </w:p>
    <w:p w:rsidR="003539B4" w:rsidRPr="00EB4CD2" w:rsidRDefault="003539B4" w:rsidP="003539B4">
      <w:pPr>
        <w:pStyle w:val="ListParagraph"/>
        <w:numPr>
          <w:ilvl w:val="0"/>
          <w:numId w:val="99"/>
        </w:numPr>
        <w:spacing w:after="120"/>
        <w:rPr>
          <w:sz w:val="22"/>
          <w:szCs w:val="22"/>
        </w:rPr>
      </w:pPr>
      <w:r w:rsidRPr="00EB4CD2">
        <w:rPr>
          <w:sz w:val="22"/>
          <w:szCs w:val="22"/>
        </w:rPr>
        <w:t xml:space="preserve">Local Number Portability </w:t>
      </w:r>
      <w:r w:rsidR="005F5EB0">
        <w:rPr>
          <w:sz w:val="22"/>
          <w:szCs w:val="22"/>
        </w:rPr>
        <w:t>P</w:t>
      </w:r>
      <w:r w:rsidRPr="00EB4CD2">
        <w:rPr>
          <w:sz w:val="22"/>
          <w:szCs w:val="22"/>
        </w:rPr>
        <w:t>ayments (</w:t>
      </w:r>
      <w:r w:rsidR="00436CE1" w:rsidRPr="00EB4CD2">
        <w:rPr>
          <w:sz w:val="22"/>
          <w:szCs w:val="22"/>
        </w:rPr>
        <w:t>47 U.S.C. § 251(e)(2)</w:t>
      </w:r>
      <w:r w:rsidR="005F5EB0">
        <w:rPr>
          <w:sz w:val="22"/>
          <w:szCs w:val="22"/>
        </w:rPr>
        <w:t xml:space="preserve">; </w:t>
      </w:r>
      <w:r w:rsidRPr="00EB4CD2">
        <w:rPr>
          <w:sz w:val="22"/>
          <w:szCs w:val="22"/>
        </w:rPr>
        <w:t>47 C.F.R. § 52.32)</w:t>
      </w:r>
    </w:p>
    <w:p w:rsidR="003539B4" w:rsidRPr="00EB4CD2" w:rsidRDefault="003539B4" w:rsidP="003539B4">
      <w:pPr>
        <w:pStyle w:val="ListParagraph"/>
        <w:numPr>
          <w:ilvl w:val="0"/>
          <w:numId w:val="99"/>
        </w:numPr>
        <w:spacing w:after="120"/>
        <w:rPr>
          <w:sz w:val="22"/>
          <w:szCs w:val="22"/>
        </w:rPr>
      </w:pPr>
      <w:r w:rsidRPr="00EB4CD2">
        <w:rPr>
          <w:sz w:val="22"/>
          <w:szCs w:val="22"/>
        </w:rPr>
        <w:t xml:space="preserve">North American Numbering Plan </w:t>
      </w:r>
      <w:r w:rsidR="005F5EB0">
        <w:rPr>
          <w:sz w:val="22"/>
          <w:szCs w:val="22"/>
        </w:rPr>
        <w:t>P</w:t>
      </w:r>
      <w:r w:rsidRPr="00EB4CD2">
        <w:rPr>
          <w:sz w:val="22"/>
          <w:szCs w:val="22"/>
        </w:rPr>
        <w:t>ayments (</w:t>
      </w:r>
      <w:r w:rsidR="00436CE1" w:rsidRPr="00EB4CD2">
        <w:rPr>
          <w:sz w:val="22"/>
          <w:szCs w:val="22"/>
        </w:rPr>
        <w:t>47 U.S.C. § 251(e)(2)</w:t>
      </w:r>
      <w:r w:rsidR="005F5EB0">
        <w:rPr>
          <w:sz w:val="22"/>
          <w:szCs w:val="22"/>
        </w:rPr>
        <w:t>;</w:t>
      </w:r>
      <w:r w:rsidR="00436CE1" w:rsidRPr="00EB4CD2">
        <w:rPr>
          <w:sz w:val="22"/>
          <w:szCs w:val="22"/>
        </w:rPr>
        <w:t xml:space="preserve"> </w:t>
      </w:r>
      <w:r w:rsidRPr="00EB4CD2">
        <w:rPr>
          <w:sz w:val="22"/>
          <w:szCs w:val="22"/>
        </w:rPr>
        <w:t>47 C.F.R. § 52.17(a))</w:t>
      </w:r>
    </w:p>
    <w:p w:rsidR="00E50609" w:rsidRPr="00EB4CD2" w:rsidRDefault="003539B4" w:rsidP="003539B4">
      <w:pPr>
        <w:pStyle w:val="ListParagraph"/>
        <w:numPr>
          <w:ilvl w:val="0"/>
          <w:numId w:val="99"/>
        </w:numPr>
        <w:spacing w:after="120"/>
        <w:rPr>
          <w:sz w:val="22"/>
          <w:szCs w:val="22"/>
        </w:rPr>
      </w:pPr>
      <w:r w:rsidRPr="006C2508">
        <w:rPr>
          <w:sz w:val="22"/>
          <w:szCs w:val="22"/>
        </w:rPr>
        <w:t>Regulatory</w:t>
      </w:r>
      <w:r w:rsidRPr="00EB4CD2">
        <w:rPr>
          <w:sz w:val="22"/>
          <w:szCs w:val="22"/>
        </w:rPr>
        <w:t xml:space="preserve"> Fees (</w:t>
      </w:r>
      <w:r w:rsidR="00436CE1" w:rsidRPr="00EB4CD2">
        <w:rPr>
          <w:sz w:val="22"/>
          <w:szCs w:val="22"/>
        </w:rPr>
        <w:t>47 U.S.C. § 159(a)</w:t>
      </w:r>
      <w:r w:rsidR="005F5EB0">
        <w:rPr>
          <w:sz w:val="22"/>
          <w:szCs w:val="22"/>
        </w:rPr>
        <w:t>;</w:t>
      </w:r>
      <w:r w:rsidR="00436CE1" w:rsidRPr="00EB4CD2">
        <w:rPr>
          <w:sz w:val="22"/>
          <w:szCs w:val="22"/>
        </w:rPr>
        <w:t xml:space="preserve"> </w:t>
      </w:r>
      <w:r w:rsidRPr="00EB4CD2">
        <w:rPr>
          <w:sz w:val="22"/>
          <w:szCs w:val="22"/>
        </w:rPr>
        <w:t>47 C.F.R. §§ 1.1154, 1.1156, 1.1157)</w:t>
      </w:r>
    </w:p>
    <w:p w:rsidR="003539B4" w:rsidRPr="00EB4CD2" w:rsidRDefault="003539B4" w:rsidP="003539B4">
      <w:pPr>
        <w:pStyle w:val="ListParagraph"/>
        <w:numPr>
          <w:ilvl w:val="0"/>
          <w:numId w:val="99"/>
        </w:numPr>
        <w:spacing w:after="120"/>
        <w:rPr>
          <w:sz w:val="22"/>
          <w:szCs w:val="22"/>
        </w:rPr>
      </w:pPr>
      <w:r w:rsidRPr="00EB4CD2">
        <w:rPr>
          <w:sz w:val="22"/>
          <w:szCs w:val="22"/>
        </w:rPr>
        <w:t xml:space="preserve">Authority to </w:t>
      </w:r>
      <w:r w:rsidR="005F5EB0">
        <w:rPr>
          <w:sz w:val="22"/>
          <w:szCs w:val="22"/>
        </w:rPr>
        <w:t>P</w:t>
      </w:r>
      <w:r w:rsidRPr="00EB4CD2">
        <w:rPr>
          <w:sz w:val="22"/>
          <w:szCs w:val="22"/>
        </w:rPr>
        <w:t xml:space="preserve">rovide </w:t>
      </w:r>
      <w:r w:rsidR="005F5EB0">
        <w:rPr>
          <w:sz w:val="22"/>
          <w:szCs w:val="22"/>
        </w:rPr>
        <w:t>I</w:t>
      </w:r>
      <w:r w:rsidRPr="00EB4CD2">
        <w:rPr>
          <w:sz w:val="22"/>
          <w:szCs w:val="22"/>
        </w:rPr>
        <w:t xml:space="preserve">nternational </w:t>
      </w:r>
      <w:r w:rsidR="005F5EB0">
        <w:rPr>
          <w:sz w:val="22"/>
          <w:szCs w:val="22"/>
        </w:rPr>
        <w:t>T</w:t>
      </w:r>
      <w:r w:rsidRPr="00EB4CD2">
        <w:rPr>
          <w:sz w:val="22"/>
          <w:szCs w:val="22"/>
        </w:rPr>
        <w:t xml:space="preserve">elecommunications </w:t>
      </w:r>
      <w:r w:rsidR="005F5EB0">
        <w:rPr>
          <w:sz w:val="22"/>
          <w:szCs w:val="22"/>
        </w:rPr>
        <w:t>S</w:t>
      </w:r>
      <w:r w:rsidRPr="00EB4CD2">
        <w:rPr>
          <w:sz w:val="22"/>
          <w:szCs w:val="22"/>
        </w:rPr>
        <w:t>ervice (</w:t>
      </w:r>
      <w:r w:rsidR="00436CE1" w:rsidRPr="00EB4CD2">
        <w:rPr>
          <w:sz w:val="22"/>
          <w:szCs w:val="22"/>
        </w:rPr>
        <w:t>47 U.S.C. § 214</w:t>
      </w:r>
      <w:r w:rsidR="00D87F97">
        <w:rPr>
          <w:sz w:val="22"/>
          <w:szCs w:val="22"/>
        </w:rPr>
        <w:t>;</w:t>
      </w:r>
      <w:r w:rsidR="00436CE1" w:rsidRPr="00EB4CD2">
        <w:rPr>
          <w:sz w:val="22"/>
          <w:szCs w:val="22"/>
        </w:rPr>
        <w:t xml:space="preserve"> </w:t>
      </w:r>
      <w:r w:rsidRPr="00EB4CD2">
        <w:rPr>
          <w:sz w:val="22"/>
          <w:szCs w:val="22"/>
        </w:rPr>
        <w:t xml:space="preserve">47 C.F.R. </w:t>
      </w:r>
      <w:r w:rsidR="008226CE">
        <w:rPr>
          <w:sz w:val="22"/>
          <w:szCs w:val="22"/>
        </w:rPr>
        <w:t xml:space="preserve">         </w:t>
      </w:r>
      <w:r w:rsidRPr="00EB4CD2">
        <w:rPr>
          <w:sz w:val="22"/>
          <w:szCs w:val="22"/>
        </w:rPr>
        <w:t>§ 63.18)</w:t>
      </w:r>
    </w:p>
    <w:p w:rsidR="003539B4" w:rsidRPr="00EB4CD2" w:rsidRDefault="003539B4" w:rsidP="003539B4">
      <w:pPr>
        <w:pStyle w:val="ListParagraph"/>
        <w:numPr>
          <w:ilvl w:val="0"/>
          <w:numId w:val="99"/>
        </w:numPr>
        <w:spacing w:after="120"/>
        <w:rPr>
          <w:sz w:val="22"/>
          <w:szCs w:val="22"/>
        </w:rPr>
      </w:pPr>
      <w:r w:rsidRPr="00EB4CD2">
        <w:rPr>
          <w:sz w:val="22"/>
          <w:szCs w:val="22"/>
        </w:rPr>
        <w:t>International Telecommunications Traffic Reports (47 C.F.R. §§ 1.7001, 43.61)</w:t>
      </w:r>
    </w:p>
    <w:p w:rsidR="008F0D2C" w:rsidRPr="00EB4CD2" w:rsidRDefault="004C7C3A" w:rsidP="003539B4">
      <w:pPr>
        <w:pStyle w:val="ListParagraph"/>
        <w:numPr>
          <w:ilvl w:val="0"/>
          <w:numId w:val="99"/>
        </w:numPr>
        <w:spacing w:after="120"/>
        <w:rPr>
          <w:sz w:val="22"/>
          <w:szCs w:val="22"/>
        </w:rPr>
      </w:pPr>
      <w:r w:rsidRPr="00E35CE6">
        <w:rPr>
          <w:bCs/>
          <w:sz w:val="22"/>
          <w:szCs w:val="22"/>
        </w:rPr>
        <w:t>Communications Assistance for Law Enforcement Act</w:t>
      </w:r>
      <w:r w:rsidRPr="00E35CE6">
        <w:rPr>
          <w:sz w:val="22"/>
          <w:szCs w:val="22"/>
        </w:rPr>
        <w:t xml:space="preserve"> </w:t>
      </w:r>
      <w:r w:rsidR="003539B4" w:rsidRPr="00E35CE6">
        <w:rPr>
          <w:sz w:val="22"/>
          <w:szCs w:val="22"/>
        </w:rPr>
        <w:t xml:space="preserve"> Policies</w:t>
      </w:r>
      <w:r w:rsidR="003539B4" w:rsidRPr="00EB4CD2">
        <w:rPr>
          <w:sz w:val="22"/>
          <w:szCs w:val="22"/>
        </w:rPr>
        <w:t xml:space="preserve"> and Procedures </w:t>
      </w:r>
      <w:r w:rsidR="005F5EB0">
        <w:rPr>
          <w:sz w:val="22"/>
          <w:szCs w:val="22"/>
        </w:rPr>
        <w:t>F</w:t>
      </w:r>
      <w:r w:rsidR="003539B4" w:rsidRPr="00EB4CD2">
        <w:rPr>
          <w:sz w:val="22"/>
          <w:szCs w:val="22"/>
        </w:rPr>
        <w:t>ilings (</w:t>
      </w:r>
      <w:r w:rsidR="00436CE1" w:rsidRPr="00EB4CD2">
        <w:rPr>
          <w:sz w:val="22"/>
          <w:szCs w:val="22"/>
        </w:rPr>
        <w:t>47 U.S.C. § 229(c)</w:t>
      </w:r>
      <w:r w:rsidR="00D87F97">
        <w:rPr>
          <w:sz w:val="22"/>
          <w:szCs w:val="22"/>
        </w:rPr>
        <w:t>;</w:t>
      </w:r>
      <w:r w:rsidR="00436CE1" w:rsidRPr="00EB4CD2">
        <w:rPr>
          <w:sz w:val="22"/>
          <w:szCs w:val="22"/>
        </w:rPr>
        <w:t xml:space="preserve"> </w:t>
      </w:r>
      <w:r w:rsidR="003539B4" w:rsidRPr="00EB4CD2">
        <w:rPr>
          <w:sz w:val="22"/>
          <w:szCs w:val="22"/>
        </w:rPr>
        <w:t>47 C.F.R. § 1.20005)</w:t>
      </w:r>
    </w:p>
    <w:p w:rsidR="003539B4" w:rsidRPr="00EB4CD2" w:rsidRDefault="003539B4" w:rsidP="003539B4">
      <w:pPr>
        <w:pStyle w:val="ListParagraph"/>
        <w:numPr>
          <w:ilvl w:val="0"/>
          <w:numId w:val="99"/>
        </w:numPr>
        <w:spacing w:after="120"/>
        <w:rPr>
          <w:sz w:val="22"/>
          <w:szCs w:val="22"/>
        </w:rPr>
      </w:pPr>
      <w:r w:rsidRPr="00EB4CD2">
        <w:rPr>
          <w:sz w:val="22"/>
          <w:szCs w:val="22"/>
        </w:rPr>
        <w:t xml:space="preserve">FCC Form 477 </w:t>
      </w:r>
      <w:r w:rsidR="005F5EB0">
        <w:rPr>
          <w:sz w:val="22"/>
          <w:szCs w:val="22"/>
        </w:rPr>
        <w:t>Fi</w:t>
      </w:r>
      <w:r w:rsidRPr="00EB4CD2">
        <w:rPr>
          <w:sz w:val="22"/>
          <w:szCs w:val="22"/>
        </w:rPr>
        <w:t>ling</w:t>
      </w:r>
      <w:r w:rsidR="005F5EB0">
        <w:rPr>
          <w:sz w:val="22"/>
          <w:szCs w:val="22"/>
        </w:rPr>
        <w:t>s</w:t>
      </w:r>
      <w:r w:rsidRPr="00EB4CD2">
        <w:rPr>
          <w:sz w:val="22"/>
          <w:szCs w:val="22"/>
        </w:rPr>
        <w:t xml:space="preserve"> (47 C.F.R. § 43.11)</w:t>
      </w:r>
    </w:p>
    <w:p w:rsidR="005F5EB0" w:rsidRPr="004C5B89" w:rsidRDefault="005F5EB0" w:rsidP="005F5EB0">
      <w:pPr>
        <w:pStyle w:val="ListParagraph"/>
        <w:numPr>
          <w:ilvl w:val="0"/>
          <w:numId w:val="99"/>
        </w:numPr>
        <w:spacing w:after="120"/>
        <w:rPr>
          <w:sz w:val="22"/>
          <w:szCs w:val="22"/>
        </w:rPr>
      </w:pPr>
      <w:r w:rsidRPr="004C5B89">
        <w:rPr>
          <w:sz w:val="22"/>
          <w:szCs w:val="22"/>
        </w:rPr>
        <w:t>Carrier-</w:t>
      </w:r>
      <w:r>
        <w:rPr>
          <w:sz w:val="22"/>
          <w:szCs w:val="22"/>
        </w:rPr>
        <w:t>C</w:t>
      </w:r>
      <w:r w:rsidRPr="004C5B89">
        <w:rPr>
          <w:sz w:val="22"/>
          <w:szCs w:val="22"/>
        </w:rPr>
        <w:t xml:space="preserve">ustomer </w:t>
      </w:r>
      <w:r>
        <w:rPr>
          <w:sz w:val="22"/>
          <w:szCs w:val="22"/>
        </w:rPr>
        <w:t>V</w:t>
      </w:r>
      <w:r w:rsidRPr="004C5B89">
        <w:rPr>
          <w:sz w:val="22"/>
          <w:szCs w:val="22"/>
        </w:rPr>
        <w:t>erification (47 C.F.R. § 64.1195(h))</w:t>
      </w:r>
    </w:p>
    <w:p w:rsidR="008F0D2C" w:rsidRPr="00EB4CD2" w:rsidRDefault="003539B4" w:rsidP="00986EFE">
      <w:pPr>
        <w:pStyle w:val="ListParagraph"/>
        <w:numPr>
          <w:ilvl w:val="0"/>
          <w:numId w:val="99"/>
        </w:numPr>
        <w:spacing w:after="120"/>
        <w:rPr>
          <w:sz w:val="22"/>
          <w:szCs w:val="22"/>
        </w:rPr>
      </w:pPr>
      <w:r w:rsidRPr="00EB4CD2">
        <w:rPr>
          <w:sz w:val="22"/>
          <w:szCs w:val="22"/>
        </w:rPr>
        <w:t xml:space="preserve">Customer Proprietary Network Information </w:t>
      </w:r>
      <w:r w:rsidR="005F5EB0">
        <w:rPr>
          <w:sz w:val="22"/>
          <w:szCs w:val="22"/>
        </w:rPr>
        <w:t>R</w:t>
      </w:r>
      <w:r w:rsidRPr="00EB4CD2">
        <w:rPr>
          <w:sz w:val="22"/>
          <w:szCs w:val="22"/>
        </w:rPr>
        <w:t>eports (</w:t>
      </w:r>
      <w:r w:rsidR="00436CE1" w:rsidRPr="00EB4CD2">
        <w:rPr>
          <w:sz w:val="22"/>
          <w:szCs w:val="22"/>
        </w:rPr>
        <w:t>47 U.S.C. § 222</w:t>
      </w:r>
      <w:r w:rsidR="00D87F97">
        <w:rPr>
          <w:sz w:val="22"/>
          <w:szCs w:val="22"/>
        </w:rPr>
        <w:t>;</w:t>
      </w:r>
      <w:r w:rsidR="00436CE1" w:rsidRPr="00EB4CD2">
        <w:rPr>
          <w:sz w:val="22"/>
          <w:szCs w:val="22"/>
        </w:rPr>
        <w:t xml:space="preserve"> </w:t>
      </w:r>
      <w:r w:rsidRPr="00EB4CD2">
        <w:rPr>
          <w:sz w:val="22"/>
          <w:szCs w:val="22"/>
        </w:rPr>
        <w:t>47 C.F.R. § 64.2009(e))</w:t>
      </w:r>
    </w:p>
    <w:p w:rsidR="000D5496" w:rsidRPr="00EB4CD2" w:rsidRDefault="00475FCE" w:rsidP="00986EFE">
      <w:pPr>
        <w:widowControl/>
        <w:rPr>
          <w:snapToGrid/>
          <w:kern w:val="0"/>
          <w:szCs w:val="22"/>
        </w:rPr>
      </w:pPr>
      <w:r w:rsidRPr="00EB4CD2">
        <w:rPr>
          <w:snapToGrid/>
          <w:kern w:val="0"/>
          <w:szCs w:val="22"/>
        </w:rPr>
        <w:t xml:space="preserve"> </w:t>
      </w:r>
    </w:p>
    <w:p w:rsidR="00317C73" w:rsidRPr="000E3F12" w:rsidRDefault="00317C73" w:rsidP="00986EFE">
      <w:pPr>
        <w:widowControl/>
        <w:rPr>
          <w:snapToGrid/>
          <w:kern w:val="0"/>
          <w:szCs w:val="22"/>
        </w:rPr>
      </w:pPr>
    </w:p>
    <w:p w:rsidR="008F0D2C" w:rsidRPr="000E3F12" w:rsidRDefault="008F0D2C" w:rsidP="00986EFE">
      <w:pPr>
        <w:widowControl/>
        <w:rPr>
          <w:snapToGrid/>
          <w:kern w:val="0"/>
          <w:szCs w:val="22"/>
        </w:rPr>
      </w:pPr>
    </w:p>
    <w:sectPr w:rsidR="008F0D2C" w:rsidRPr="000E3F12" w:rsidSect="0055614C">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77" w:rsidRDefault="00153477">
      <w:pPr>
        <w:spacing w:line="20" w:lineRule="exact"/>
      </w:pPr>
    </w:p>
  </w:endnote>
  <w:endnote w:type="continuationSeparator" w:id="0">
    <w:p w:rsidR="00153477" w:rsidRDefault="00153477">
      <w:r>
        <w:t xml:space="preserve"> </w:t>
      </w:r>
    </w:p>
  </w:endnote>
  <w:endnote w:type="continuationNotice" w:id="1">
    <w:p w:rsidR="00153477" w:rsidRDefault="001534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1D" w:rsidRDefault="000E4C1D" w:rsidP="0055614C">
    <w:pPr>
      <w:pStyle w:val="Footer"/>
      <w:framePr w:wrap="around" w:vAnchor="text" w:hAnchor="margin" w:xAlign="center" w:y="1"/>
    </w:pPr>
    <w:r>
      <w:fldChar w:fldCharType="begin"/>
    </w:r>
    <w:r>
      <w:instrText xml:space="preserve">PAGE  </w:instrText>
    </w:r>
    <w:r>
      <w:fldChar w:fldCharType="end"/>
    </w:r>
  </w:p>
  <w:p w:rsidR="000E4C1D" w:rsidRDefault="000E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1D" w:rsidRDefault="000E4C1D" w:rsidP="0055614C">
    <w:pPr>
      <w:pStyle w:val="Footer"/>
      <w:framePr w:wrap="around" w:vAnchor="text" w:hAnchor="margin" w:xAlign="center" w:y="1"/>
    </w:pPr>
    <w:r>
      <w:fldChar w:fldCharType="begin"/>
    </w:r>
    <w:r>
      <w:instrText xml:space="preserve">PAGE  </w:instrText>
    </w:r>
    <w:r>
      <w:fldChar w:fldCharType="separate"/>
    </w:r>
    <w:r w:rsidR="00881CD8">
      <w:rPr>
        <w:noProof/>
      </w:rPr>
      <w:t>4</w:t>
    </w:r>
    <w:r>
      <w:fldChar w:fldCharType="end"/>
    </w:r>
  </w:p>
  <w:p w:rsidR="000E4C1D" w:rsidRDefault="000E4C1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1D" w:rsidRDefault="000E4C1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77" w:rsidRDefault="00153477">
      <w:r>
        <w:separator/>
      </w:r>
    </w:p>
  </w:footnote>
  <w:footnote w:type="continuationSeparator" w:id="0">
    <w:p w:rsidR="00153477" w:rsidRDefault="00153477" w:rsidP="00C721AC">
      <w:pPr>
        <w:spacing w:before="120"/>
        <w:rPr>
          <w:sz w:val="20"/>
        </w:rPr>
      </w:pPr>
      <w:r>
        <w:rPr>
          <w:sz w:val="20"/>
        </w:rPr>
        <w:t xml:space="preserve">(Continued from previous page)  </w:t>
      </w:r>
      <w:r>
        <w:rPr>
          <w:sz w:val="20"/>
        </w:rPr>
        <w:separator/>
      </w:r>
    </w:p>
  </w:footnote>
  <w:footnote w:type="continuationNotice" w:id="1">
    <w:p w:rsidR="00153477" w:rsidRDefault="00153477" w:rsidP="00C721AC">
      <w:pPr>
        <w:jc w:val="right"/>
        <w:rPr>
          <w:sz w:val="20"/>
        </w:rPr>
      </w:pPr>
      <w:r>
        <w:rPr>
          <w:sz w:val="20"/>
        </w:rPr>
        <w:t>(continued….)</w:t>
      </w:r>
    </w:p>
  </w:footnote>
  <w:footnote w:id="2">
    <w:p w:rsidR="006669CD" w:rsidRPr="00993E65" w:rsidRDefault="006669CD">
      <w:pPr>
        <w:pStyle w:val="FootnoteText"/>
      </w:pPr>
      <w:r w:rsidRPr="00993E65">
        <w:rPr>
          <w:rStyle w:val="FootnoteReference"/>
        </w:rPr>
        <w:footnoteRef/>
      </w:r>
      <w:r w:rsidRPr="00993E65">
        <w:t xml:space="preserve"> This case was formerly assigned File No. </w:t>
      </w:r>
      <w:r w:rsidR="004B41E6" w:rsidRPr="00993E65">
        <w:t>EB-12-IH-0179</w:t>
      </w:r>
      <w:r w:rsidRPr="00993E65">
        <w:t>.</w:t>
      </w:r>
    </w:p>
  </w:footnote>
  <w:footnote w:id="3">
    <w:p w:rsidR="005E00E0" w:rsidRPr="004F1C45" w:rsidRDefault="005E00E0" w:rsidP="005E00E0">
      <w:pPr>
        <w:pStyle w:val="FootnoteText"/>
      </w:pPr>
      <w:r w:rsidRPr="00993E65">
        <w:rPr>
          <w:rStyle w:val="FootnoteReference"/>
        </w:rPr>
        <w:footnoteRef/>
      </w:r>
      <w:r w:rsidRPr="00993E65">
        <w:t xml:space="preserve"> </w:t>
      </w:r>
      <w:r w:rsidRPr="00993E65">
        <w:rPr>
          <w:i/>
        </w:rPr>
        <w:t xml:space="preserve">See </w:t>
      </w:r>
      <w:r w:rsidRPr="00993E65">
        <w:t xml:space="preserve">47 C.F.R. § 64.1195(a); </w:t>
      </w:r>
      <w:r w:rsidRPr="00993E65">
        <w:rPr>
          <w:i/>
        </w:rPr>
        <w:t>see Telecommunications Reporting Worksheet, FCC Form 499-A</w:t>
      </w:r>
      <w:r w:rsidRPr="00993E65">
        <w:t>,</w:t>
      </w:r>
      <w:r w:rsidRPr="00993E65">
        <w:rPr>
          <w:i/>
        </w:rPr>
        <w:t xml:space="preserve"> </w:t>
      </w:r>
      <w:r w:rsidRPr="00993E65">
        <w:t>available at http://ww</w:t>
      </w:r>
      <w:r w:rsidR="00013EEF">
        <w:t xml:space="preserve">w.fcc.gov/forms (accessed May </w:t>
      </w:r>
      <w:r w:rsidRPr="00993E65">
        <w:t>1, 2015).  USAC administers the USF program.</w:t>
      </w:r>
      <w:r w:rsidR="00114A53">
        <w:t xml:space="preserve">  </w:t>
      </w:r>
      <w:r w:rsidR="004F1C45">
        <w:rPr>
          <w:i/>
        </w:rPr>
        <w:t xml:space="preserve">See </w:t>
      </w:r>
      <w:r w:rsidR="004F1C45">
        <w:t>47 C.F.R. § 54.701.</w:t>
      </w:r>
    </w:p>
  </w:footnote>
  <w:footnote w:id="4">
    <w:p w:rsidR="005E00E0" w:rsidRPr="00993E65" w:rsidRDefault="005E00E0" w:rsidP="005E00E0">
      <w:pPr>
        <w:pStyle w:val="FootnoteText"/>
      </w:pPr>
      <w:r w:rsidRPr="00993E65">
        <w:rPr>
          <w:rStyle w:val="FootnoteReference"/>
        </w:rPr>
        <w:footnoteRef/>
      </w:r>
      <w:r w:rsidRPr="00993E65">
        <w:t xml:space="preserve"> </w:t>
      </w:r>
      <w:r w:rsidRPr="00993E65">
        <w:rPr>
          <w:i/>
        </w:rPr>
        <w:t>See InPhonic, Inc.</w:t>
      </w:r>
      <w:r w:rsidRPr="00013EEF">
        <w:t>,</w:t>
      </w:r>
      <w:r w:rsidRPr="00993E65">
        <w:t xml:space="preserve"> Notice of Apparent Liability for Forfeiture and Order, 20 FCC Rcd 13277, 13283, para. 15 (2005) (</w:t>
      </w:r>
      <w:r w:rsidRPr="00993E65">
        <w:rPr>
          <w:i/>
          <w:iCs/>
        </w:rPr>
        <w:t>InPhonic NAL</w:t>
      </w:r>
      <w:r w:rsidRPr="00993E65">
        <w:t xml:space="preserve">), </w:t>
      </w:r>
      <w:r w:rsidRPr="00993E65">
        <w:rPr>
          <w:i/>
        </w:rPr>
        <w:t>forfeiture issued</w:t>
      </w:r>
      <w:r w:rsidRPr="00993E65">
        <w:t xml:space="preserve">, </w:t>
      </w:r>
      <w:r w:rsidRPr="00993E65">
        <w:rPr>
          <w:color w:val="000000"/>
        </w:rPr>
        <w:t xml:space="preserve">Order of Forfeiture and Further Notice of Apparent Liability for Forfeiture, </w:t>
      </w:r>
      <w:r w:rsidRPr="00993E65">
        <w:t>22 FCC Rcd 8689, 8691, para. 5 (2007).</w:t>
      </w:r>
    </w:p>
  </w:footnote>
  <w:footnote w:id="5">
    <w:p w:rsidR="00185536" w:rsidRPr="00993E65" w:rsidRDefault="00185536">
      <w:pPr>
        <w:pStyle w:val="FootnoteText"/>
      </w:pPr>
      <w:r w:rsidRPr="00993E65">
        <w:rPr>
          <w:rStyle w:val="FootnoteReference"/>
        </w:rPr>
        <w:footnoteRef/>
      </w:r>
      <w:r w:rsidRPr="00993E65">
        <w:t xml:space="preserve"> </w:t>
      </w:r>
      <w:r w:rsidR="00404C8B" w:rsidRPr="00993E65">
        <w:rPr>
          <w:i/>
        </w:rPr>
        <w:t>See</w:t>
      </w:r>
      <w:r w:rsidR="00404C8B" w:rsidRPr="00993E65">
        <w:t xml:space="preserve"> </w:t>
      </w:r>
      <w:r w:rsidRPr="00993E65">
        <w:rPr>
          <w:i/>
        </w:rPr>
        <w:t>Simple Network, Inc</w:t>
      </w:r>
      <w:r w:rsidRPr="00993E65">
        <w:t xml:space="preserve">., </w:t>
      </w:r>
      <w:r w:rsidRPr="00993E65">
        <w:rPr>
          <w:color w:val="252525"/>
        </w:rPr>
        <w:t>Apparent Liabil</w:t>
      </w:r>
      <w:r w:rsidR="009B6E23" w:rsidRPr="00993E65">
        <w:rPr>
          <w:color w:val="252525"/>
        </w:rPr>
        <w:t>i</w:t>
      </w:r>
      <w:r w:rsidRPr="00993E65">
        <w:rPr>
          <w:color w:val="252525"/>
        </w:rPr>
        <w:t>ty for Forfeiture, 26 FCC Rcd. 16669, 16669 n.1 (2011) (</w:t>
      </w:r>
      <w:r w:rsidR="00FC2459" w:rsidRPr="00993E65">
        <w:rPr>
          <w:color w:val="252525"/>
        </w:rPr>
        <w:t xml:space="preserve">issuing $5,000,000 </w:t>
      </w:r>
      <w:r w:rsidRPr="00993E65">
        <w:rPr>
          <w:color w:val="252525"/>
        </w:rPr>
        <w:t>notice of apparent liability for deceptive marketing of prepaid calling cards).</w:t>
      </w:r>
    </w:p>
  </w:footnote>
  <w:footnote w:id="6">
    <w:p w:rsidR="00EF12E3" w:rsidRPr="00993E65" w:rsidRDefault="00EF12E3" w:rsidP="00EF12E3">
      <w:pPr>
        <w:pStyle w:val="FootnoteText"/>
      </w:pPr>
      <w:r w:rsidRPr="00993E65">
        <w:rPr>
          <w:rStyle w:val="FootnoteReference"/>
        </w:rPr>
        <w:footnoteRef/>
      </w:r>
      <w:r w:rsidRPr="00993E65">
        <w:t xml:space="preserve"> </w:t>
      </w:r>
      <w:r w:rsidRPr="00993E65">
        <w:rPr>
          <w:i/>
        </w:rPr>
        <w:t>See</w:t>
      </w:r>
      <w:r w:rsidR="00B96CE7" w:rsidRPr="00993E65">
        <w:t xml:space="preserve">, </w:t>
      </w:r>
      <w:r w:rsidR="00B96CE7" w:rsidRPr="00993E65">
        <w:rPr>
          <w:i/>
        </w:rPr>
        <w:t>e.g.</w:t>
      </w:r>
      <w:r w:rsidR="00B96CE7" w:rsidRPr="00993E65">
        <w:t>,</w:t>
      </w:r>
      <w:r w:rsidRPr="00993E65">
        <w:rPr>
          <w:i/>
        </w:rPr>
        <w:t xml:space="preserve"> </w:t>
      </w:r>
      <w:hyperlink r:id="rId1" w:history="1">
        <w:r w:rsidR="00404C8B" w:rsidRPr="00993E65">
          <w:rPr>
            <w:rStyle w:val="Hyperlink"/>
            <w:color w:val="auto"/>
            <w:u w:val="none"/>
          </w:rPr>
          <w:t>http://www.simple2call.com/</w:t>
        </w:r>
      </w:hyperlink>
      <w:r w:rsidR="00B96CE7" w:rsidRPr="00993E65">
        <w:t xml:space="preserve"> </w:t>
      </w:r>
      <w:r w:rsidR="00404C8B" w:rsidRPr="00993E65">
        <w:t xml:space="preserve">(accessed </w:t>
      </w:r>
      <w:r w:rsidR="00013EEF">
        <w:t xml:space="preserve">May </w:t>
      </w:r>
      <w:r w:rsidR="00013EEF" w:rsidRPr="00993E65">
        <w:t>1</w:t>
      </w:r>
      <w:r w:rsidR="00404C8B" w:rsidRPr="00993E65">
        <w:t>, 2015)</w:t>
      </w:r>
      <w:r w:rsidRPr="00993E65">
        <w:t xml:space="preserve">. </w:t>
      </w:r>
    </w:p>
  </w:footnote>
  <w:footnote w:id="7">
    <w:p w:rsidR="00B96CE7" w:rsidRPr="00993E65" w:rsidRDefault="00B96CE7">
      <w:pPr>
        <w:pStyle w:val="FootnoteText"/>
      </w:pPr>
      <w:r w:rsidRPr="00993E65">
        <w:rPr>
          <w:rStyle w:val="FootnoteReference"/>
        </w:rPr>
        <w:footnoteRef/>
      </w:r>
      <w:r w:rsidRPr="00993E65">
        <w:t xml:space="preserve"> </w:t>
      </w:r>
      <w:r w:rsidRPr="00993E65">
        <w:rPr>
          <w:i/>
        </w:rPr>
        <w:t xml:space="preserve">See </w:t>
      </w:r>
      <w:r w:rsidRPr="00993E65">
        <w:t xml:space="preserve">https://www.motherindiacard.com/Default.asp (accessed </w:t>
      </w:r>
      <w:r w:rsidR="00D0264D">
        <w:t>May 1</w:t>
      </w:r>
      <w:r w:rsidRPr="00993E65">
        <w:t>, 2015).</w:t>
      </w:r>
    </w:p>
  </w:footnote>
  <w:footnote w:id="8">
    <w:p w:rsidR="00A434AC" w:rsidRPr="00993E65" w:rsidRDefault="00A434AC" w:rsidP="00A434AC">
      <w:pPr>
        <w:pStyle w:val="FootnoteText"/>
      </w:pPr>
      <w:r w:rsidRPr="00993E65">
        <w:rPr>
          <w:rStyle w:val="FootnoteReference"/>
        </w:rPr>
        <w:footnoteRef/>
      </w:r>
      <w:r w:rsidRPr="00993E65">
        <w:t xml:space="preserve"> </w:t>
      </w:r>
      <w:r w:rsidR="00734634" w:rsidRPr="00993E65">
        <w:rPr>
          <w:i/>
        </w:rPr>
        <w:t xml:space="preserve">See </w:t>
      </w:r>
      <w:r w:rsidR="00B83C4F" w:rsidRPr="00993E65">
        <w:t>Letter from Pamela S. Kane, Deputy Chief, Investigations and Hearings Division, FCC Enforcement Bureau, to Simple Network, Inc. (</w:t>
      </w:r>
      <w:r w:rsidR="00D95205" w:rsidRPr="00993E65">
        <w:t>Nov. 13</w:t>
      </w:r>
      <w:r w:rsidR="00B83C4F" w:rsidRPr="00993E65">
        <w:t xml:space="preserve">, 2013) (addressing Company’s compliance with </w:t>
      </w:r>
      <w:r w:rsidR="00734634" w:rsidRPr="00993E65">
        <w:t>47 U.S.C. §§ 214, 222, 251, 254;</w:t>
      </w:r>
      <w:r w:rsidR="003B2F01" w:rsidRPr="00993E65">
        <w:t xml:space="preserve"> and</w:t>
      </w:r>
      <w:r w:rsidR="00734634" w:rsidRPr="00993E65">
        <w:t xml:space="preserve"> 47 C.F.R. §§ 1.1154, 1.1157, 52.17, 52.32, 54.706, 54.711, 63.18, 64.604, 64.1195, 64.2009(e), 64.5001</w:t>
      </w:r>
      <w:r w:rsidR="00B83C4F" w:rsidRPr="00993E65">
        <w:t>)</w:t>
      </w:r>
      <w:r w:rsidR="00D95205" w:rsidRPr="00993E65">
        <w:t xml:space="preserve"> (on file in </w:t>
      </w:r>
      <w:r w:rsidR="00D95205" w:rsidRPr="00993E65">
        <w:rPr>
          <w:spacing w:val="-2"/>
        </w:rPr>
        <w:t>EB-IHD-13-00011486</w:t>
      </w:r>
      <w:r w:rsidR="00D95205" w:rsidRPr="00993E65">
        <w:t>) (LOI)</w:t>
      </w:r>
      <w:r w:rsidR="00734634" w:rsidRPr="00993E65">
        <w:t>.</w:t>
      </w:r>
    </w:p>
  </w:footnote>
  <w:footnote w:id="9">
    <w:p w:rsidR="003B2F01" w:rsidRPr="00993E65" w:rsidRDefault="003B2F01" w:rsidP="003B2F01">
      <w:pPr>
        <w:pStyle w:val="FootnoteText"/>
      </w:pPr>
      <w:r w:rsidRPr="00993E65">
        <w:rPr>
          <w:rStyle w:val="FootnoteReference"/>
        </w:rPr>
        <w:footnoteRef/>
      </w:r>
      <w:r w:rsidRPr="00993E65">
        <w:t xml:space="preserve"> </w:t>
      </w:r>
      <w:r w:rsidRPr="00993E65">
        <w:rPr>
          <w:i/>
        </w:rPr>
        <w:t xml:space="preserve">See </w:t>
      </w:r>
      <w:r w:rsidRPr="00993E65">
        <w:t>Letter from Neil S. Ende, Technology Law Group, LLC, Counsel to Simple Network, Inc.</w:t>
      </w:r>
      <w:r w:rsidR="00D87F97" w:rsidRPr="00993E65">
        <w:t>,</w:t>
      </w:r>
      <w:r w:rsidRPr="00993E65">
        <w:t xml:space="preserve"> to Teresa Z. Cavanaugh, Chief, Investigations and Hearings Division, FCC Enforcement Bureau (Feb. 7, 2014) (on file in </w:t>
      </w:r>
      <w:r w:rsidRPr="00993E65">
        <w:rPr>
          <w:spacing w:val="-2"/>
        </w:rPr>
        <w:t>EB</w:t>
      </w:r>
      <w:r w:rsidR="00D87F97" w:rsidRPr="00993E65">
        <w:rPr>
          <w:spacing w:val="-2"/>
        </w:rPr>
        <w:noBreakHyphen/>
      </w:r>
      <w:r w:rsidRPr="00993E65">
        <w:rPr>
          <w:spacing w:val="-2"/>
        </w:rPr>
        <w:t>IHD-13-00011486</w:t>
      </w:r>
      <w:r w:rsidRPr="00993E65">
        <w:t>) (LOI Response).</w:t>
      </w:r>
    </w:p>
  </w:footnote>
  <w:footnote w:id="10">
    <w:p w:rsidR="002753C3" w:rsidRPr="00993E65" w:rsidRDefault="002753C3" w:rsidP="003B2F01">
      <w:pPr>
        <w:widowControl/>
        <w:autoSpaceDE w:val="0"/>
        <w:autoSpaceDN w:val="0"/>
        <w:adjustRightInd w:val="0"/>
        <w:spacing w:after="120"/>
        <w:rPr>
          <w:sz w:val="20"/>
        </w:rPr>
      </w:pPr>
      <w:r w:rsidRPr="00993E65">
        <w:rPr>
          <w:rStyle w:val="FootnoteReference"/>
        </w:rPr>
        <w:footnoteRef/>
      </w:r>
      <w:r w:rsidRPr="00993E65">
        <w:rPr>
          <w:sz w:val="20"/>
        </w:rPr>
        <w:t xml:space="preserve"> </w:t>
      </w:r>
      <w:r w:rsidRPr="00993E65">
        <w:rPr>
          <w:i/>
          <w:sz w:val="20"/>
        </w:rPr>
        <w:t>See</w:t>
      </w:r>
      <w:r w:rsidRPr="00993E65">
        <w:rPr>
          <w:sz w:val="20"/>
        </w:rPr>
        <w:t xml:space="preserve"> </w:t>
      </w:r>
      <w:r w:rsidR="003B2F01" w:rsidRPr="00993E65">
        <w:rPr>
          <w:i/>
          <w:sz w:val="20"/>
        </w:rPr>
        <w:t>id</w:t>
      </w:r>
      <w:r w:rsidR="003B2F01" w:rsidRPr="00993E65">
        <w:rPr>
          <w:sz w:val="20"/>
        </w:rPr>
        <w:t>.</w:t>
      </w:r>
      <w:r w:rsidRPr="00993E65">
        <w:rPr>
          <w:sz w:val="20"/>
        </w:rPr>
        <w:t xml:space="preserve"> at 8</w:t>
      </w:r>
      <w:r w:rsidR="003B2F01" w:rsidRPr="00993E65">
        <w:rPr>
          <w:sz w:val="20"/>
        </w:rPr>
        <w:t xml:space="preserve"> (“</w:t>
      </w:r>
      <w:r w:rsidR="003B2F01" w:rsidRPr="00993E65">
        <w:rPr>
          <w:snapToGrid/>
          <w:kern w:val="0"/>
          <w:sz w:val="20"/>
        </w:rPr>
        <w:t>Simple Network cannot presently locate documents setting forth whether it has or the date on which it filed the requested registration information. The person who would have had the information necessary to respond to this inquiry has passed away.</w:t>
      </w:r>
      <w:r w:rsidR="003B2F01" w:rsidRPr="00993E65">
        <w:rPr>
          <w:sz w:val="20"/>
        </w:rPr>
        <w:t>”)</w:t>
      </w:r>
      <w:r w:rsidRPr="00993E65">
        <w:rPr>
          <w:sz w:val="20"/>
        </w:rPr>
        <w:t>.</w:t>
      </w:r>
    </w:p>
  </w:footnote>
  <w:footnote w:id="11">
    <w:p w:rsidR="003A74B4" w:rsidRPr="00993E65" w:rsidRDefault="003A74B4" w:rsidP="003A74B4">
      <w:pPr>
        <w:pStyle w:val="FootnoteText"/>
      </w:pPr>
      <w:r w:rsidRPr="00993E65">
        <w:rPr>
          <w:rStyle w:val="FootnoteReference"/>
        </w:rPr>
        <w:footnoteRef/>
      </w:r>
      <w:r w:rsidRPr="00993E65">
        <w:t xml:space="preserve"> </w:t>
      </w:r>
      <w:r w:rsidRPr="00993E65">
        <w:rPr>
          <w:i/>
        </w:rPr>
        <w:t>See</w:t>
      </w:r>
      <w:r w:rsidRPr="00993E65">
        <w:t xml:space="preserve"> http://apps.fcc.gov/cgb/form499/499a.cfm.</w:t>
      </w:r>
    </w:p>
  </w:footnote>
  <w:footnote w:id="12">
    <w:p w:rsidR="00F665D0" w:rsidRPr="00993E65" w:rsidRDefault="00F665D0">
      <w:pPr>
        <w:pStyle w:val="FootnoteText"/>
      </w:pPr>
      <w:r w:rsidRPr="00993E65">
        <w:rPr>
          <w:rStyle w:val="FootnoteReference"/>
        </w:rPr>
        <w:footnoteRef/>
      </w:r>
      <w:r w:rsidRPr="00993E65">
        <w:t xml:space="preserve"> </w:t>
      </w:r>
      <w:r w:rsidR="008C36B1" w:rsidRPr="00993E65">
        <w:rPr>
          <w:i/>
        </w:rPr>
        <w:t xml:space="preserve">See </w:t>
      </w:r>
      <w:r w:rsidR="00FB21F9" w:rsidRPr="00993E65">
        <w:t>Email</w:t>
      </w:r>
      <w:r w:rsidR="008C36B1" w:rsidRPr="00993E65">
        <w:t xml:space="preserve"> from Rich Seetoo,</w:t>
      </w:r>
      <w:r w:rsidR="008C36B1" w:rsidRPr="00993E65">
        <w:rPr>
          <w:noProof/>
        </w:rPr>
        <w:t xml:space="preserve"> Universal Service Administrative Company</w:t>
      </w:r>
      <w:r w:rsidR="00DD6581" w:rsidRPr="00993E65">
        <w:rPr>
          <w:noProof/>
        </w:rPr>
        <w:t>,</w:t>
      </w:r>
      <w:r w:rsidR="008C36B1" w:rsidRPr="00993E65">
        <w:rPr>
          <w:noProof/>
        </w:rPr>
        <w:t xml:space="preserve"> to David Janas, Special Counsel, Investigations &amp; Hearings Division, </w:t>
      </w:r>
      <w:r w:rsidR="00FB21F9" w:rsidRPr="00993E65">
        <w:rPr>
          <w:noProof/>
        </w:rPr>
        <w:t xml:space="preserve">FCC </w:t>
      </w:r>
      <w:r w:rsidR="008C36B1" w:rsidRPr="00993E65">
        <w:rPr>
          <w:noProof/>
        </w:rPr>
        <w:t>Enforcement B</w:t>
      </w:r>
      <w:r w:rsidR="00FB21F9" w:rsidRPr="00993E65">
        <w:rPr>
          <w:noProof/>
        </w:rPr>
        <w:t>ureau (</w:t>
      </w:r>
      <w:r w:rsidR="00B71774" w:rsidRPr="00993E65">
        <w:rPr>
          <w:noProof/>
        </w:rPr>
        <w:t>Mar. 30, 2015</w:t>
      </w:r>
      <w:r w:rsidR="00FB21F9" w:rsidRPr="00993E65">
        <w:rPr>
          <w:noProof/>
        </w:rPr>
        <w:t xml:space="preserve">) </w:t>
      </w:r>
      <w:r w:rsidR="00FB21F9" w:rsidRPr="00993E65">
        <w:t xml:space="preserve">(on file in </w:t>
      </w:r>
      <w:r w:rsidR="00B71774" w:rsidRPr="00993E65">
        <w:rPr>
          <w:color w:val="222222"/>
        </w:rPr>
        <w:t>EB-IHD-13-00011486</w:t>
      </w:r>
      <w:r w:rsidR="00FB21F9" w:rsidRPr="00993E65">
        <w:t xml:space="preserve">). </w:t>
      </w:r>
      <w:r w:rsidR="00FB21F9" w:rsidRPr="00993E65">
        <w:rPr>
          <w:noProof/>
        </w:rPr>
        <w:t xml:space="preserve"> </w:t>
      </w:r>
      <w:r w:rsidR="008C36B1" w:rsidRPr="00993E65">
        <w:rPr>
          <w:noProof/>
        </w:rPr>
        <w:t xml:space="preserve"> </w:t>
      </w:r>
      <w:r w:rsidR="008C36B1" w:rsidRPr="00993E65">
        <w:t xml:space="preserve"> </w:t>
      </w:r>
    </w:p>
  </w:footnote>
  <w:footnote w:id="13">
    <w:p w:rsidR="00124D24" w:rsidRPr="00993E65" w:rsidRDefault="00124D24">
      <w:pPr>
        <w:pStyle w:val="FootnoteText"/>
      </w:pPr>
      <w:r w:rsidRPr="00993E65">
        <w:rPr>
          <w:rStyle w:val="FootnoteReference"/>
        </w:rPr>
        <w:footnoteRef/>
      </w:r>
      <w:r w:rsidRPr="00993E65">
        <w:t xml:space="preserve"> </w:t>
      </w:r>
      <w:r w:rsidRPr="00993E65">
        <w:rPr>
          <w:i/>
        </w:rPr>
        <w:t>See</w:t>
      </w:r>
      <w:r w:rsidRPr="00993E65">
        <w:t xml:space="preserve"> 47 C.F.R. § 64.1195.  </w:t>
      </w:r>
    </w:p>
  </w:footnote>
  <w:footnote w:id="14">
    <w:p w:rsidR="00064556" w:rsidRPr="00993E65" w:rsidRDefault="00064556">
      <w:pPr>
        <w:pStyle w:val="FootnoteText"/>
      </w:pPr>
      <w:r w:rsidRPr="00993E65">
        <w:rPr>
          <w:rStyle w:val="FootnoteReference"/>
        </w:rPr>
        <w:footnoteRef/>
      </w:r>
      <w:r w:rsidRPr="00993E65">
        <w:t xml:space="preserve"> </w:t>
      </w:r>
      <w:r w:rsidR="00D366CD" w:rsidRPr="00993E65">
        <w:t xml:space="preserve">Every provider of interstate telecommunications has an affirmative obligation to know and comply with all applicable federal regulatory requirements.  </w:t>
      </w:r>
      <w:r w:rsidR="00D366CD" w:rsidRPr="00993E65">
        <w:rPr>
          <w:i/>
        </w:rPr>
        <w:t>See Commission’s Forfeiture Policy Statement and Amendment of Section 1.80 of the Rules to Incorporate the Forfeiture Guidelines</w:t>
      </w:r>
      <w:r w:rsidR="00D366CD" w:rsidRPr="00993E65">
        <w:t>, Report and Order, 12 FCC Rcd 17087, 17099, para. 22 (1997)</w:t>
      </w:r>
      <w:r w:rsidR="00516B2F" w:rsidRPr="00993E65">
        <w:t xml:space="preserve"> (</w:t>
      </w:r>
      <w:r w:rsidR="00516B2F" w:rsidRPr="00993E65">
        <w:rPr>
          <w:i/>
        </w:rPr>
        <w:t>Forfeiture Policy Statement</w:t>
      </w:r>
      <w:r w:rsidR="00516B2F" w:rsidRPr="00993E65">
        <w:t xml:space="preserve">), </w:t>
      </w:r>
      <w:r w:rsidR="00516B2F" w:rsidRPr="00993E65">
        <w:rPr>
          <w:i/>
        </w:rPr>
        <w:t>recons. denied</w:t>
      </w:r>
      <w:r w:rsidR="00516B2F" w:rsidRPr="00993E65">
        <w:t>, Memorandum Opinion and Order, 15 FCC Rcd 303 (1999).</w:t>
      </w:r>
      <w:r w:rsidR="00D366CD" w:rsidRPr="00993E65">
        <w:t xml:space="preserve">  </w:t>
      </w:r>
    </w:p>
  </w:footnote>
  <w:footnote w:id="15">
    <w:p w:rsidR="00F147C3" w:rsidRPr="00993E65" w:rsidRDefault="00F147C3" w:rsidP="00F147C3">
      <w:pPr>
        <w:pStyle w:val="FootnoteText"/>
      </w:pPr>
      <w:r w:rsidRPr="00993E65">
        <w:rPr>
          <w:rStyle w:val="FootnoteReference"/>
        </w:rPr>
        <w:footnoteRef/>
      </w:r>
      <w:r w:rsidRPr="00993E65">
        <w:t xml:space="preserve"> </w:t>
      </w:r>
      <w:r w:rsidR="00370BA8" w:rsidRPr="00370BA8">
        <w:rPr>
          <w:i/>
        </w:rPr>
        <w:t>See</w:t>
      </w:r>
      <w:r w:rsidR="00370BA8">
        <w:t xml:space="preserve"> </w:t>
      </w:r>
      <w:r w:rsidRPr="00993E65">
        <w:rPr>
          <w:i/>
          <w:iCs/>
        </w:rPr>
        <w:t>Implementation of the Subscriber Carrier Selection Provisions of the Telecommunications Act of 1996</w:t>
      </w:r>
      <w:r w:rsidRPr="00993E65">
        <w:t xml:space="preserve">, Third Report &amp; Order and Second Order on Reconsideration, </w:t>
      </w:r>
      <w:hyperlink r:id="rId2" w:tgtFrame="_top" w:history="1">
        <w:r w:rsidRPr="00993E65">
          <w:t>15 FCC Rcd 15996, 16024</w:t>
        </w:r>
        <w:r w:rsidR="00370BA8">
          <w:t>-26</w:t>
        </w:r>
        <w:r w:rsidRPr="00993E65">
          <w:t>, para</w:t>
        </w:r>
        <w:r w:rsidR="00370BA8">
          <w:t>s</w:t>
        </w:r>
        <w:r w:rsidRPr="00993E65">
          <w:t>. 59</w:t>
        </w:r>
        <w:r w:rsidR="00370BA8">
          <w:t>-62</w:t>
        </w:r>
        <w:r w:rsidRPr="00993E65">
          <w:t xml:space="preserve"> (2000)</w:t>
        </w:r>
      </w:hyperlink>
      <w:r w:rsidRPr="00993E65">
        <w:t>.</w:t>
      </w:r>
    </w:p>
  </w:footnote>
  <w:footnote w:id="16">
    <w:p w:rsidR="00F147C3" w:rsidRPr="00993E65" w:rsidRDefault="00F147C3">
      <w:pPr>
        <w:pStyle w:val="FootnoteText"/>
      </w:pPr>
      <w:r w:rsidRPr="00993E65">
        <w:rPr>
          <w:rStyle w:val="FootnoteReference"/>
        </w:rPr>
        <w:footnoteRef/>
      </w:r>
      <w:r w:rsidRPr="00993E65">
        <w:t xml:space="preserve"> </w:t>
      </w:r>
      <w:r w:rsidRPr="00993E65">
        <w:rPr>
          <w:i/>
        </w:rPr>
        <w:t>See</w:t>
      </w:r>
      <w:r w:rsidRPr="00993E65">
        <w:t xml:space="preserve"> 47 C.F.R. §</w:t>
      </w:r>
      <w:r w:rsidR="00313C22" w:rsidRPr="00993E65">
        <w:t>§</w:t>
      </w:r>
      <w:r w:rsidRPr="00993E65">
        <w:t xml:space="preserve"> </w:t>
      </w:r>
      <w:r w:rsidR="00313C22" w:rsidRPr="00993E65">
        <w:t xml:space="preserve">52.17(b), 52.32(b), </w:t>
      </w:r>
      <w:r w:rsidRPr="00993E65">
        <w:t>54.711</w:t>
      </w:r>
      <w:r w:rsidR="00313C22" w:rsidRPr="00993E65">
        <w:t xml:space="preserve">, </w:t>
      </w:r>
      <w:r w:rsidR="00DD6581" w:rsidRPr="00993E65">
        <w:t>64.604(c)(5)(iii)(B)</w:t>
      </w:r>
      <w:r w:rsidR="00313C22" w:rsidRPr="00993E65">
        <w:t xml:space="preserve">.  Companies that are </w:t>
      </w:r>
      <w:r w:rsidR="00313C22" w:rsidRPr="00993E65">
        <w:rPr>
          <w:i/>
        </w:rPr>
        <w:t>de minimis</w:t>
      </w:r>
      <w:r w:rsidR="00313C22" w:rsidRPr="00993E65">
        <w:t xml:space="preserve"> for USF purposes </w:t>
      </w:r>
      <w:r w:rsidR="00136469" w:rsidRPr="00993E65">
        <w:t>(</w:t>
      </w:r>
      <w:r w:rsidR="00136469" w:rsidRPr="00993E65">
        <w:rPr>
          <w:i/>
        </w:rPr>
        <w:t>i.e.</w:t>
      </w:r>
      <w:r w:rsidR="00136469" w:rsidRPr="00993E65">
        <w:t>, whose annual required USF contribution</w:t>
      </w:r>
      <w:r w:rsidR="002E37A1" w:rsidRPr="00993E65">
        <w:t>s</w:t>
      </w:r>
      <w:r w:rsidR="00136469" w:rsidRPr="00993E65">
        <w:t xml:space="preserve"> </w:t>
      </w:r>
      <w:r w:rsidR="002E37A1" w:rsidRPr="00993E65">
        <w:t xml:space="preserve">are </w:t>
      </w:r>
      <w:r w:rsidR="00136469" w:rsidRPr="00993E65">
        <w:t xml:space="preserve">less than $10,000) need not </w:t>
      </w:r>
      <w:r w:rsidR="002E37A1" w:rsidRPr="00993E65">
        <w:t xml:space="preserve">file </w:t>
      </w:r>
      <w:r w:rsidR="00136469" w:rsidRPr="00993E65">
        <w:t xml:space="preserve">quarterly </w:t>
      </w:r>
      <w:r w:rsidR="00313C22" w:rsidRPr="00993E65">
        <w:t xml:space="preserve">revenue </w:t>
      </w:r>
      <w:r w:rsidR="00136469" w:rsidRPr="00993E65">
        <w:t xml:space="preserve">information.  </w:t>
      </w:r>
      <w:r w:rsidR="00313C22" w:rsidRPr="00993E65">
        <w:t xml:space="preserve"> </w:t>
      </w:r>
      <w:r w:rsidR="00136469" w:rsidRPr="00993E65">
        <w:rPr>
          <w:i/>
        </w:rPr>
        <w:t>See</w:t>
      </w:r>
      <w:r w:rsidR="00136469" w:rsidRPr="00993E65">
        <w:t xml:space="preserve"> 47 C.F.R. § 54.708.</w:t>
      </w:r>
    </w:p>
  </w:footnote>
  <w:footnote w:id="17">
    <w:p w:rsidR="006C280C" w:rsidRPr="001400B0" w:rsidRDefault="006C280C" w:rsidP="006C280C">
      <w:pPr>
        <w:pStyle w:val="FootnoteText"/>
      </w:pPr>
      <w:r w:rsidRPr="00993E65">
        <w:rPr>
          <w:rStyle w:val="FootnoteReference"/>
        </w:rPr>
        <w:footnoteRef/>
      </w:r>
      <w:r w:rsidRPr="00993E65">
        <w:t xml:space="preserve"> </w:t>
      </w:r>
      <w:r w:rsidR="00CB3BC1" w:rsidRPr="00993E65">
        <w:t>Simple Network</w:t>
      </w:r>
      <w:r w:rsidRPr="00993E65">
        <w:t xml:space="preserve"> </w:t>
      </w:r>
      <w:r w:rsidR="005B6D5E" w:rsidRPr="00993E65">
        <w:t xml:space="preserve">claims it </w:t>
      </w:r>
      <w:r w:rsidRPr="00993E65">
        <w:t xml:space="preserve">has been in business since at least </w:t>
      </w:r>
      <w:r w:rsidR="00CB3BC1" w:rsidRPr="00993E65">
        <w:t>2000</w:t>
      </w:r>
      <w:r w:rsidRPr="00993E65">
        <w:t xml:space="preserve">.  </w:t>
      </w:r>
      <w:r w:rsidRPr="00993E65">
        <w:rPr>
          <w:i/>
        </w:rPr>
        <w:t xml:space="preserve">See </w:t>
      </w:r>
      <w:r w:rsidRPr="009746FF">
        <w:rPr>
          <w:i/>
        </w:rPr>
        <w:t xml:space="preserve">supra </w:t>
      </w:r>
      <w:r w:rsidRPr="009746FF">
        <w:t xml:space="preserve">note </w:t>
      </w:r>
      <w:r w:rsidR="00232D46" w:rsidRPr="009746FF">
        <w:t>6</w:t>
      </w:r>
      <w:r w:rsidR="00232D46" w:rsidRPr="00993E65">
        <w:t xml:space="preserve"> and accompanying text</w:t>
      </w:r>
      <w:r w:rsidRPr="00993E65">
        <w:t xml:space="preserve">.  </w:t>
      </w:r>
    </w:p>
  </w:footnote>
  <w:footnote w:id="18">
    <w:p w:rsidR="001E3FAC" w:rsidRPr="00993E65" w:rsidRDefault="001E3FAC" w:rsidP="001E3FAC">
      <w:pPr>
        <w:pStyle w:val="FootnoteText"/>
        <w:rPr>
          <w:i/>
        </w:rPr>
      </w:pPr>
      <w:r w:rsidRPr="00993E65">
        <w:rPr>
          <w:rStyle w:val="FootnoteReference"/>
        </w:rPr>
        <w:footnoteRef/>
      </w:r>
      <w:r w:rsidRPr="00993E65">
        <w:t xml:space="preserve"> </w:t>
      </w:r>
      <w:r w:rsidRPr="00993E65">
        <w:rPr>
          <w:i/>
        </w:rPr>
        <w:t>See ADMA Telecom, Inc</w:t>
      </w:r>
      <w:r w:rsidRPr="00993E65">
        <w:t>., Forfeiture Order, 26 FCC Rcd 4152, 5154</w:t>
      </w:r>
      <w:r w:rsidR="00A363EE">
        <w:t>–</w:t>
      </w:r>
      <w:r w:rsidRPr="00993E65">
        <w:t>55, paras. 7</w:t>
      </w:r>
      <w:r w:rsidR="000856DE">
        <w:t>–</w:t>
      </w:r>
      <w:r w:rsidRPr="00993E65">
        <w:t xml:space="preserve">8 (2011); </w:t>
      </w:r>
      <w:r w:rsidRPr="00993E65">
        <w:rPr>
          <w:i/>
        </w:rPr>
        <w:t>Global Teledata II, LLC</w:t>
      </w:r>
      <w:r w:rsidRPr="00993E65">
        <w:t>, Order of Forfeiture, 22 FCC Rcd 8710, 8716</w:t>
      </w:r>
      <w:r w:rsidR="00A363EE">
        <w:t>–</w:t>
      </w:r>
      <w:r w:rsidRPr="00993E65">
        <w:t>17, paras. 15</w:t>
      </w:r>
      <w:r w:rsidR="00A363EE">
        <w:t>–</w:t>
      </w:r>
      <w:r w:rsidRPr="00993E65">
        <w:t>17 (2007).</w:t>
      </w:r>
    </w:p>
  </w:footnote>
  <w:footnote w:id="19">
    <w:p w:rsidR="000D07B9" w:rsidRPr="00993E65" w:rsidRDefault="000D07B9" w:rsidP="000D07B9">
      <w:pPr>
        <w:pStyle w:val="FootnoteText"/>
        <w:rPr>
          <w:b/>
          <w:i/>
          <w:color w:val="000000" w:themeColor="text1"/>
        </w:rPr>
      </w:pPr>
      <w:r w:rsidRPr="00993E65">
        <w:rPr>
          <w:rStyle w:val="FootnoteReference"/>
          <w:color w:val="000000" w:themeColor="text1"/>
        </w:rPr>
        <w:footnoteRef/>
      </w:r>
      <w:r w:rsidR="00C4309B" w:rsidRPr="00993E65">
        <w:rPr>
          <w:color w:val="000000" w:themeColor="text1"/>
        </w:rPr>
        <w:t xml:space="preserve"> </w:t>
      </w:r>
      <w:r w:rsidRPr="00993E65">
        <w:rPr>
          <w:color w:val="000000" w:themeColor="text1"/>
        </w:rPr>
        <w:t>47 U.S.C. § 503(b).</w:t>
      </w:r>
    </w:p>
  </w:footnote>
  <w:footnote w:id="20">
    <w:p w:rsidR="000D07B9" w:rsidRPr="00993E65" w:rsidRDefault="000D07B9" w:rsidP="000D07B9">
      <w:pPr>
        <w:pStyle w:val="FootnoteText"/>
        <w:rPr>
          <w:color w:val="000000" w:themeColor="text1"/>
        </w:rPr>
      </w:pPr>
      <w:r w:rsidRPr="00993E65">
        <w:rPr>
          <w:rStyle w:val="FootnoteReference"/>
          <w:color w:val="000000" w:themeColor="text1"/>
        </w:rPr>
        <w:footnoteRef/>
      </w:r>
      <w:r w:rsidRPr="00993E65">
        <w:rPr>
          <w:color w:val="000000" w:themeColor="text1"/>
        </w:rPr>
        <w:t xml:space="preserve"> </w:t>
      </w:r>
      <w:r w:rsidRPr="00993E65">
        <w:rPr>
          <w:i/>
          <w:color w:val="000000" w:themeColor="text1"/>
        </w:rPr>
        <w:t>See</w:t>
      </w:r>
      <w:r w:rsidRPr="00993E65">
        <w:rPr>
          <w:color w:val="000000" w:themeColor="text1"/>
        </w:rPr>
        <w:t xml:space="preserve"> </w:t>
      </w:r>
      <w:r w:rsidRPr="00993E65">
        <w:rPr>
          <w:snapToGrid w:val="0"/>
          <w:color w:val="000000" w:themeColor="text1"/>
        </w:rPr>
        <w:t>47 U.S.C. § 503(b)(2)(B</w:t>
      </w:r>
      <w:r w:rsidR="004C74F4" w:rsidRPr="00993E65">
        <w:rPr>
          <w:snapToGrid w:val="0"/>
          <w:color w:val="000000" w:themeColor="text1"/>
        </w:rPr>
        <w:t>); 47 C.F.R. § 1.80(b)(9</w:t>
      </w:r>
      <w:r w:rsidRPr="00993E65">
        <w:rPr>
          <w:snapToGrid w:val="0"/>
          <w:color w:val="000000" w:themeColor="text1"/>
        </w:rPr>
        <w:t>).  These amounts reflect inflation adjustments to the forfeitures</w:t>
      </w:r>
      <w:r w:rsidR="004C74F4" w:rsidRPr="00993E65">
        <w:rPr>
          <w:snapToGrid w:val="0"/>
          <w:color w:val="000000" w:themeColor="text1"/>
        </w:rPr>
        <w:t xml:space="preserve"> specified in Section 503(b)(2)(B) ($100,000</w:t>
      </w:r>
      <w:r w:rsidRPr="00993E65">
        <w:rPr>
          <w:snapToGrid w:val="0"/>
          <w:color w:val="000000" w:themeColor="text1"/>
        </w:rPr>
        <w:t xml:space="preserve"> per violation or per day of a co</w:t>
      </w:r>
      <w:r w:rsidR="004C74F4" w:rsidRPr="00993E65">
        <w:rPr>
          <w:snapToGrid w:val="0"/>
          <w:color w:val="000000" w:themeColor="text1"/>
        </w:rPr>
        <w:t>ntinuing violation and $1,000,000</w:t>
      </w:r>
      <w:r w:rsidRPr="00993E65">
        <w:rPr>
          <w:snapToGrid w:val="0"/>
          <w:color w:val="000000" w:themeColor="text1"/>
        </w:rPr>
        <w:t xml:space="preserve"> per any single act or failure to act).  The Federal Civil Penalties Inflation Adjustment Act of 1990, Pub. L. No. 101-410, 104 Stat. 890, as amended by the Debt Collection Improvement Act of 1996, Pub. L. No. 104-134, Sec. 31001, 110 Stat. 1321 (DCIA), requires the Commission to adjust its forfeiture penalties periodically for inflation.  </w:t>
      </w:r>
      <w:r w:rsidRPr="00993E65">
        <w:rPr>
          <w:i/>
          <w:iCs/>
          <w:snapToGrid w:val="0"/>
          <w:color w:val="000000" w:themeColor="text1"/>
        </w:rPr>
        <w:t>See</w:t>
      </w:r>
      <w:r w:rsidRPr="00993E65">
        <w:rPr>
          <w:snapToGrid w:val="0"/>
          <w:color w:val="000000" w:themeColor="text1"/>
        </w:rPr>
        <w:t xml:space="preserve"> 28 U.S.C. § 2461 note (4).  The Commission most recently adjusted its penalties to account for inflation in 2013.  </w:t>
      </w:r>
      <w:r w:rsidRPr="00993E65">
        <w:rPr>
          <w:i/>
          <w:iCs/>
          <w:snapToGrid w:val="0"/>
          <w:color w:val="000000" w:themeColor="text1"/>
        </w:rPr>
        <w:t>See Amendment of Section 1.80(b) of the Commission’s Rules, Adjustment of Civil Monetary Penalties to Reflect Inflation</w:t>
      </w:r>
      <w:r w:rsidRPr="00993E65">
        <w:rPr>
          <w:snapToGrid w:val="0"/>
          <w:color w:val="000000" w:themeColor="text1"/>
        </w:rPr>
        <w:t xml:space="preserve">, Order, 28 FCC Rcd 10785 (Enf. Bur. 2013); </w:t>
      </w:r>
      <w:r w:rsidRPr="00993E65">
        <w:rPr>
          <w:i/>
          <w:iCs/>
          <w:snapToGrid w:val="0"/>
          <w:color w:val="000000" w:themeColor="text1"/>
        </w:rPr>
        <w:t>see also</w:t>
      </w:r>
      <w:r w:rsidRPr="00993E65">
        <w:rPr>
          <w:snapToGrid w:val="0"/>
          <w:color w:val="000000" w:themeColor="text1"/>
        </w:rPr>
        <w:t xml:space="preserve"> Inflation Adjustment of Monetary Penalties, 78 Fed. Reg. 49,370-01 (Aug. 14, 2013) (setting Sept. 13, 2013, as the effective date for the increases).   </w:t>
      </w:r>
    </w:p>
  </w:footnote>
  <w:footnote w:id="21">
    <w:p w:rsidR="000D07B9" w:rsidRPr="00993E65" w:rsidRDefault="000D07B9" w:rsidP="000D07B9">
      <w:pPr>
        <w:pStyle w:val="FootnoteText"/>
        <w:rPr>
          <w:color w:val="000000" w:themeColor="text1"/>
          <w:lang w:val="es-ES"/>
        </w:rPr>
      </w:pPr>
      <w:r w:rsidRPr="00993E65">
        <w:rPr>
          <w:rStyle w:val="FootnoteReference"/>
          <w:color w:val="000000" w:themeColor="text1"/>
        </w:rPr>
        <w:footnoteRef/>
      </w:r>
      <w:r w:rsidRPr="00993E65">
        <w:rPr>
          <w:color w:val="000000" w:themeColor="text1"/>
          <w:lang w:val="es-ES"/>
        </w:rPr>
        <w:t xml:space="preserve"> 47 U.S.C. § 503(b)(2)(E).</w:t>
      </w:r>
    </w:p>
  </w:footnote>
  <w:footnote w:id="22">
    <w:p w:rsidR="000D07B9" w:rsidRPr="00993E65" w:rsidRDefault="000D07B9" w:rsidP="000D07B9">
      <w:pPr>
        <w:pStyle w:val="FootnoteText"/>
        <w:rPr>
          <w:color w:val="000000" w:themeColor="text1"/>
        </w:rPr>
      </w:pPr>
      <w:r w:rsidRPr="00993E65">
        <w:rPr>
          <w:rStyle w:val="FootnoteReference"/>
          <w:color w:val="000000" w:themeColor="text1"/>
        </w:rPr>
        <w:footnoteRef/>
      </w:r>
      <w:r w:rsidRPr="00993E65">
        <w:rPr>
          <w:color w:val="000000" w:themeColor="text1"/>
        </w:rPr>
        <w:t xml:space="preserve"> 47 C.F.R. § 1.80(b)(8), Note to paragraph (b)(8). </w:t>
      </w:r>
    </w:p>
  </w:footnote>
  <w:footnote w:id="23">
    <w:p w:rsidR="000D07B9" w:rsidRPr="00993E65" w:rsidRDefault="000D07B9" w:rsidP="000D07B9">
      <w:pPr>
        <w:pStyle w:val="FootnoteText"/>
        <w:rPr>
          <w:color w:val="000000" w:themeColor="text1"/>
        </w:rPr>
      </w:pPr>
      <w:r w:rsidRPr="00993E65">
        <w:rPr>
          <w:rStyle w:val="FootnoteReference"/>
          <w:color w:val="000000" w:themeColor="text1"/>
        </w:rPr>
        <w:footnoteRef/>
      </w:r>
      <w:r w:rsidRPr="00993E65">
        <w:rPr>
          <w:color w:val="000000" w:themeColor="text1"/>
        </w:rPr>
        <w:t xml:space="preserve"> </w:t>
      </w:r>
      <w:r w:rsidRPr="00993E65">
        <w:rPr>
          <w:i/>
          <w:color w:val="000000" w:themeColor="text1"/>
        </w:rPr>
        <w:t>Id</w:t>
      </w:r>
      <w:r w:rsidRPr="00993E65">
        <w:rPr>
          <w:color w:val="000000" w:themeColor="text1"/>
        </w:rPr>
        <w:t>.</w:t>
      </w:r>
      <w:r w:rsidR="00AC4397" w:rsidRPr="00993E65">
        <w:rPr>
          <w:color w:val="000000" w:themeColor="text1"/>
        </w:rPr>
        <w:t xml:space="preserve">  </w:t>
      </w:r>
      <w:r w:rsidR="00AC4397" w:rsidRPr="00993E65">
        <w:rPr>
          <w:i/>
          <w:color w:val="000000" w:themeColor="text1"/>
        </w:rPr>
        <w:t>See also</w:t>
      </w:r>
      <w:r w:rsidR="00993E65">
        <w:rPr>
          <w:i/>
          <w:color w:val="000000" w:themeColor="text1"/>
        </w:rPr>
        <w:t xml:space="preserve"> </w:t>
      </w:r>
      <w:r w:rsidR="00516B2F" w:rsidRPr="00993E65">
        <w:rPr>
          <w:i/>
          <w:color w:val="000000" w:themeColor="text1"/>
        </w:rPr>
        <w:t>Forfeiture Policy Statement</w:t>
      </w:r>
      <w:r w:rsidR="00516B2F" w:rsidRPr="00993E65">
        <w:rPr>
          <w:color w:val="000000" w:themeColor="text1"/>
        </w:rPr>
        <w:t xml:space="preserve">, </w:t>
      </w:r>
      <w:r w:rsidR="006A11C3" w:rsidRPr="00993E65">
        <w:rPr>
          <w:color w:val="000000" w:themeColor="text1"/>
        </w:rPr>
        <w:t xml:space="preserve">Report and Order, 12 FCC Rcd </w:t>
      </w:r>
      <w:r w:rsidR="00516B2F" w:rsidRPr="00993E65">
        <w:rPr>
          <w:color w:val="000000" w:themeColor="text1"/>
        </w:rPr>
        <w:t>at</w:t>
      </w:r>
      <w:r w:rsidR="006A11C3" w:rsidRPr="00993E65">
        <w:rPr>
          <w:color w:val="000000" w:themeColor="text1"/>
        </w:rPr>
        <w:t xml:space="preserve"> 17098–99, para. 22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w:t>
      </w:r>
      <w:r w:rsidR="00DB14B1" w:rsidRPr="00993E65">
        <w:rPr>
          <w:color w:val="000000" w:themeColor="text1"/>
        </w:rPr>
        <w:t>.</w:t>
      </w:r>
      <w:r w:rsidR="006A11C3" w:rsidRPr="00993E65">
        <w:rPr>
          <w:color w:val="000000" w:themeColor="text1"/>
        </w:rPr>
        <w:t xml:space="preserve"> </w:t>
      </w:r>
    </w:p>
  </w:footnote>
  <w:footnote w:id="24">
    <w:p w:rsidR="00AE2559" w:rsidRPr="00993E65" w:rsidRDefault="00AE2559" w:rsidP="00AE2559">
      <w:pPr>
        <w:pStyle w:val="FootnoteText"/>
      </w:pPr>
      <w:r w:rsidRPr="00993E65">
        <w:rPr>
          <w:rStyle w:val="FootnoteReference"/>
        </w:rPr>
        <w:footnoteRef/>
      </w:r>
      <w:r w:rsidRPr="00993E65">
        <w:t xml:space="preserve"> </w:t>
      </w:r>
      <w:r w:rsidR="003A3507" w:rsidRPr="00993E65">
        <w:rPr>
          <w:i/>
        </w:rPr>
        <w:t>E.g.</w:t>
      </w:r>
      <w:r w:rsidR="003A3507" w:rsidRPr="00993E65">
        <w:t>,</w:t>
      </w:r>
      <w:r w:rsidR="00CB6D13" w:rsidRPr="00993E65">
        <w:rPr>
          <w:i/>
        </w:rPr>
        <w:t xml:space="preserve"> </w:t>
      </w:r>
      <w:r w:rsidR="00E31353" w:rsidRPr="00993E65">
        <w:rPr>
          <w:i/>
        </w:rPr>
        <w:t>RB Communications, Inc.</w:t>
      </w:r>
      <w:r w:rsidR="00E31353" w:rsidRPr="00993E65">
        <w:t xml:space="preserve">, </w:t>
      </w:r>
      <w:r w:rsidR="00A95E4A" w:rsidRPr="00993E65">
        <w:t xml:space="preserve">Notice of Apparent Liability for Forfeiture and Order, 27 FCC Rcd 4394, 4401, para. 24 (2012), </w:t>
      </w:r>
      <w:r w:rsidR="00A95E4A" w:rsidRPr="00993E65">
        <w:rPr>
          <w:i/>
        </w:rPr>
        <w:t>forfeiture issued</w:t>
      </w:r>
      <w:r w:rsidR="00A95E4A" w:rsidRPr="00993E65">
        <w:t xml:space="preserve">, Forfeiture Order, 29 FCC Rcd 5668 (2014); </w:t>
      </w:r>
      <w:r w:rsidR="00CB6D13" w:rsidRPr="00993E65">
        <w:rPr>
          <w:i/>
        </w:rPr>
        <w:t>Telecom House, Inc</w:t>
      </w:r>
      <w:r w:rsidR="00CB6D13" w:rsidRPr="00993E65">
        <w:t>., Notice of Apparent Lia</w:t>
      </w:r>
      <w:r w:rsidR="00A95E4A" w:rsidRPr="00993E65">
        <w:t>bility for Forfeiture and Order,</w:t>
      </w:r>
      <w:r w:rsidR="00CB6D13" w:rsidRPr="00993E65">
        <w:t xml:space="preserve"> 20 FCC Rcd 15131, 15142, para. 29 (2005), </w:t>
      </w:r>
      <w:r w:rsidR="008422BF" w:rsidRPr="00993E65">
        <w:rPr>
          <w:i/>
        </w:rPr>
        <w:t>consent decree adopted</w:t>
      </w:r>
      <w:r w:rsidR="00CB6D13" w:rsidRPr="00993E65">
        <w:t xml:space="preserve">, </w:t>
      </w:r>
      <w:r w:rsidR="008422BF" w:rsidRPr="00993E65">
        <w:t xml:space="preserve">Order, </w:t>
      </w:r>
      <w:r w:rsidR="00CB6D13" w:rsidRPr="00993E65">
        <w:t xml:space="preserve">21 FCC Rcd 10883 (2006); </w:t>
      </w:r>
      <w:r w:rsidR="00CB6D13" w:rsidRPr="00993E65">
        <w:rPr>
          <w:i/>
        </w:rPr>
        <w:t>Teletronics, Inc</w:t>
      </w:r>
      <w:r w:rsidR="00CB6D13" w:rsidRPr="00993E65">
        <w:t xml:space="preserve">., Notice of Apparent Liability for Forfeiture and Order, </w:t>
      </w:r>
      <w:r w:rsidR="00CB6D13" w:rsidRPr="00993E65">
        <w:rPr>
          <w:rStyle w:val="documentbody1"/>
          <w:rFonts w:ascii="Times New Roman" w:hAnsi="Times New Roman"/>
          <w:color w:val="000000"/>
          <w:sz w:val="20"/>
          <w:szCs w:val="20"/>
        </w:rPr>
        <w:t>20 FCC Rcd 13291, 13302, para. 30 (2005)</w:t>
      </w:r>
      <w:r w:rsidR="00CB6D13" w:rsidRPr="00993E65">
        <w:t xml:space="preserve">, </w:t>
      </w:r>
      <w:r w:rsidR="008422BF" w:rsidRPr="00993E65">
        <w:rPr>
          <w:i/>
        </w:rPr>
        <w:t>consent decree adopted</w:t>
      </w:r>
      <w:r w:rsidR="008422BF" w:rsidRPr="00993E65">
        <w:t xml:space="preserve">, Order, </w:t>
      </w:r>
      <w:r w:rsidR="00CB6D13" w:rsidRPr="00993E65">
        <w:t>22 FCC Rcd 8681 (2007).</w:t>
      </w:r>
      <w:r w:rsidRPr="00993E65">
        <w:t xml:space="preserve"> </w:t>
      </w:r>
      <w:r w:rsidR="00CB6D13" w:rsidRPr="00993E65">
        <w:t xml:space="preserve"> </w:t>
      </w:r>
    </w:p>
  </w:footnote>
  <w:footnote w:id="25">
    <w:p w:rsidR="009A7605" w:rsidRPr="00993E65" w:rsidRDefault="009A7605" w:rsidP="009A7605">
      <w:pPr>
        <w:pStyle w:val="FootnoteText"/>
        <w:widowControl w:val="0"/>
        <w:rPr>
          <w:color w:val="000000" w:themeColor="text1"/>
        </w:rPr>
      </w:pPr>
      <w:r w:rsidRPr="00993E65">
        <w:rPr>
          <w:rStyle w:val="FootnoteReference"/>
          <w:color w:val="000000" w:themeColor="text1"/>
        </w:rPr>
        <w:footnoteRef/>
      </w:r>
      <w:r w:rsidRPr="00993E65">
        <w:rPr>
          <w:color w:val="000000" w:themeColor="text1"/>
        </w:rPr>
        <w:t xml:space="preserve"> 47 U.S.C. § 503(b).</w:t>
      </w:r>
    </w:p>
  </w:footnote>
  <w:footnote w:id="26">
    <w:p w:rsidR="009A7605" w:rsidRPr="00993E65" w:rsidRDefault="009A7605" w:rsidP="009A7605">
      <w:pPr>
        <w:pStyle w:val="FootnoteText"/>
        <w:rPr>
          <w:color w:val="000000" w:themeColor="text1"/>
        </w:rPr>
      </w:pPr>
      <w:r w:rsidRPr="00993E65">
        <w:rPr>
          <w:rStyle w:val="FootnoteReference"/>
          <w:color w:val="000000" w:themeColor="text1"/>
        </w:rPr>
        <w:footnoteRef/>
      </w:r>
      <w:r w:rsidRPr="00993E65">
        <w:rPr>
          <w:color w:val="000000" w:themeColor="text1"/>
          <w:lang w:val="es-ES"/>
        </w:rPr>
        <w:t xml:space="preserve"> 47 C.F.R. § 1.80.</w:t>
      </w:r>
    </w:p>
  </w:footnote>
  <w:footnote w:id="27">
    <w:p w:rsidR="009A7605" w:rsidRPr="00993E65" w:rsidRDefault="009A7605" w:rsidP="009A7605">
      <w:pPr>
        <w:pStyle w:val="FootnoteText"/>
        <w:rPr>
          <w:color w:val="000000" w:themeColor="text1"/>
        </w:rPr>
      </w:pPr>
      <w:r w:rsidRPr="00993E65">
        <w:rPr>
          <w:rStyle w:val="FootnoteReference"/>
          <w:color w:val="000000" w:themeColor="text1"/>
        </w:rPr>
        <w:footnoteRef/>
      </w:r>
      <w:r w:rsidRPr="00993E65">
        <w:rPr>
          <w:color w:val="000000" w:themeColor="text1"/>
          <w:lang w:val="es-ES"/>
        </w:rPr>
        <w:t xml:space="preserve"> 47 C.F.R. § 64.1195.</w:t>
      </w:r>
    </w:p>
  </w:footnote>
  <w:footnote w:id="28">
    <w:p w:rsidR="009A7605" w:rsidRPr="00993E65" w:rsidRDefault="009A7605" w:rsidP="009A7605">
      <w:pPr>
        <w:pStyle w:val="FootnoteText"/>
        <w:rPr>
          <w:color w:val="000000" w:themeColor="text1"/>
        </w:rPr>
      </w:pPr>
      <w:r w:rsidRPr="00993E65">
        <w:rPr>
          <w:rStyle w:val="FootnoteReference"/>
          <w:color w:val="000000" w:themeColor="text1"/>
        </w:rPr>
        <w:footnoteRef/>
      </w:r>
      <w:r w:rsidRPr="00993E65">
        <w:rPr>
          <w:color w:val="000000" w:themeColor="text1"/>
        </w:rPr>
        <w:t xml:space="preserve"> 47 C.F.R. § 1.80.</w:t>
      </w:r>
    </w:p>
  </w:footnote>
  <w:footnote w:id="29">
    <w:p w:rsidR="009A7605" w:rsidRPr="00993E65" w:rsidRDefault="009A7605" w:rsidP="009A7605">
      <w:pPr>
        <w:pStyle w:val="FootnoteText"/>
        <w:rPr>
          <w:color w:val="000000" w:themeColor="text1"/>
        </w:rPr>
      </w:pPr>
      <w:r w:rsidRPr="00993E65">
        <w:rPr>
          <w:rStyle w:val="FootnoteReference"/>
          <w:color w:val="000000" w:themeColor="text1"/>
        </w:rPr>
        <w:footnoteRef/>
      </w:r>
      <w:r w:rsidRPr="00993E65">
        <w:rPr>
          <w:color w:val="000000" w:themeColor="text1"/>
        </w:rPr>
        <w:t xml:space="preserve"> </w:t>
      </w:r>
      <w:r w:rsidRPr="00993E65">
        <w:rPr>
          <w:rFonts w:eastAsia="MS Mincho"/>
          <w:color w:val="000000" w:themeColor="text1"/>
        </w:rPr>
        <w:t>An FCC Form 159 and detailed instructions for completing the form may be obtained at http://www.fcc.gov/Forms/Form159/159.pdf.</w:t>
      </w:r>
    </w:p>
  </w:footnote>
  <w:footnote w:id="30">
    <w:p w:rsidR="009A7605" w:rsidRPr="00993E65" w:rsidRDefault="009A7605" w:rsidP="009A7605">
      <w:pPr>
        <w:pStyle w:val="FootnoteText"/>
      </w:pPr>
      <w:r w:rsidRPr="00993E65">
        <w:rPr>
          <w:rStyle w:val="FootnoteReference"/>
        </w:rPr>
        <w:footnoteRef/>
      </w:r>
      <w:r w:rsidRPr="00993E65">
        <w:t xml:space="preserve"> </w:t>
      </w:r>
      <w:r w:rsidRPr="00993E65">
        <w:rPr>
          <w:i/>
        </w:rPr>
        <w:t>See</w:t>
      </w:r>
      <w:r w:rsidRPr="00993E65">
        <w:t xml:space="preserve"> 47 C.F.R. § 1.1914.</w:t>
      </w:r>
    </w:p>
  </w:footnote>
  <w:footnote w:id="31">
    <w:p w:rsidR="009A7605" w:rsidRPr="00993E65" w:rsidRDefault="009A7605" w:rsidP="009A7605">
      <w:pPr>
        <w:pStyle w:val="FootnoteText"/>
        <w:rPr>
          <w:color w:val="000000" w:themeColor="text1"/>
        </w:rPr>
      </w:pPr>
      <w:r w:rsidRPr="00993E65">
        <w:rPr>
          <w:rStyle w:val="FootnoteReference"/>
          <w:color w:val="000000" w:themeColor="text1"/>
        </w:rPr>
        <w:footnoteRef/>
      </w:r>
      <w:r w:rsidRPr="00993E65">
        <w:rPr>
          <w:color w:val="000000" w:themeColor="text1"/>
        </w:rPr>
        <w:t xml:space="preserve"> 47 C.F.R. §§ 1.16, 1.80(f)(3).</w:t>
      </w:r>
    </w:p>
  </w:footnote>
  <w:footnote w:id="32">
    <w:p w:rsidR="00CE063B" w:rsidRDefault="00CE063B">
      <w:pPr>
        <w:pStyle w:val="FootnoteText"/>
      </w:pPr>
      <w:r>
        <w:rPr>
          <w:rStyle w:val="FootnoteReference"/>
        </w:rPr>
        <w:footnoteRef/>
      </w:r>
      <w:r>
        <w:t xml:space="preserve"> </w:t>
      </w:r>
      <w:r w:rsidRPr="00993E65">
        <w:rPr>
          <w:color w:val="000000" w:themeColor="text1"/>
        </w:rPr>
        <w:t xml:space="preserve">47 </w:t>
      </w:r>
      <w:r>
        <w:rPr>
          <w:color w:val="000000" w:themeColor="text1"/>
        </w:rPr>
        <w:t>U.S.C</w:t>
      </w:r>
      <w:r w:rsidRPr="00993E65">
        <w:rPr>
          <w:color w:val="000000" w:themeColor="text1"/>
        </w:rPr>
        <w:t xml:space="preserve">. §§ </w:t>
      </w:r>
      <w:r>
        <w:rPr>
          <w:color w:val="000000" w:themeColor="text1"/>
        </w:rPr>
        <w:t xml:space="preserve">154(i); 254(d); </w:t>
      </w:r>
      <w:r w:rsidRPr="00993E65">
        <w:rPr>
          <w:color w:val="000000" w:themeColor="text1"/>
        </w:rPr>
        <w:t xml:space="preserve">47 C.F.R. §§ </w:t>
      </w:r>
      <w:r>
        <w:rPr>
          <w:color w:val="000000" w:themeColor="text1"/>
        </w:rPr>
        <w:t>54.711</w:t>
      </w:r>
      <w:r w:rsidRPr="00993E65">
        <w:rPr>
          <w:color w:val="000000" w:themeColor="text1"/>
        </w:rPr>
        <w:t xml:space="preserve">, </w:t>
      </w:r>
      <w:r>
        <w:rPr>
          <w:color w:val="000000" w:themeColor="text1"/>
        </w:rPr>
        <w:t>64.</w:t>
      </w:r>
      <w:r w:rsidRPr="00993E65">
        <w:rPr>
          <w:color w:val="000000" w:themeColor="text1"/>
        </w:rPr>
        <w:t>1</w:t>
      </w:r>
      <w:r>
        <w:rPr>
          <w:color w:val="000000" w:themeColor="text1"/>
        </w:rPr>
        <w:t>195(a).</w:t>
      </w:r>
    </w:p>
  </w:footnote>
  <w:footnote w:id="33">
    <w:p w:rsidR="003241E0" w:rsidRPr="00993E65" w:rsidRDefault="003241E0">
      <w:pPr>
        <w:pStyle w:val="FootnoteText"/>
      </w:pPr>
      <w:r w:rsidRPr="00993E65">
        <w:rPr>
          <w:rStyle w:val="FootnoteReference"/>
        </w:rPr>
        <w:footnoteRef/>
      </w:r>
      <w:r w:rsidRPr="00993E65">
        <w:t xml:space="preserve"> </w:t>
      </w:r>
      <w:r w:rsidRPr="00993E65">
        <w:rPr>
          <w:i/>
        </w:rPr>
        <w:t>See Commission’s Forfeiture Policy Statement and Amendment of Section 1.80 of the Rules to Incorporate the Forfeiture Guidelines</w:t>
      </w:r>
      <w:r w:rsidRPr="00993E65">
        <w:t>, Report and Order, 12 FCC Rcd 17087, 17099, para. 22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25" w:rsidRDefault="00B43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1D" w:rsidRDefault="000E4C1D" w:rsidP="0087510B">
    <w:pPr>
      <w:pStyle w:val="Header"/>
    </w:pPr>
    <w:r>
      <w:tab/>
      <w:t xml:space="preserve">Federal </w:t>
    </w:r>
    <w:r w:rsidR="005E4889">
      <w:t>Communications Commission</w:t>
    </w:r>
    <w:r w:rsidR="005E4889">
      <w:tab/>
    </w:r>
    <w:r w:rsidR="00BC3765">
      <w:t>DA</w:t>
    </w:r>
    <w:r w:rsidR="005E4889">
      <w:t xml:space="preserve"> 15</w:t>
    </w:r>
    <w:r w:rsidR="00175E11">
      <w:t>-</w:t>
    </w:r>
    <w:r w:rsidR="00293925">
      <w:t>526</w:t>
    </w:r>
  </w:p>
  <w:p w:rsidR="000E4C1D" w:rsidRDefault="000E4C1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51D9DCB" wp14:editId="0C3B66F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0E4C1D" w:rsidRDefault="000E4C1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1D" w:rsidRPr="0087510B" w:rsidRDefault="000E4C1D" w:rsidP="0087510B">
    <w:pPr>
      <w:pStyle w:val="Header"/>
    </w:pPr>
    <w:r w:rsidRPr="0087510B">
      <w:rPr>
        <w:noProof/>
      </w:rPr>
      <mc:AlternateContent>
        <mc:Choice Requires="wps">
          <w:drawing>
            <wp:anchor distT="0" distB="0" distL="114300" distR="114300" simplePos="0" relativeHeight="251658240" behindDoc="1" locked="0" layoutInCell="0" allowOverlap="1" wp14:anchorId="42EED412" wp14:editId="5F4A9E9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7510B">
      <w:tab/>
      <w:t>Federal Communications Commission</w:t>
    </w:r>
    <w:r w:rsidRPr="0087510B">
      <w:tab/>
    </w:r>
    <w:r w:rsidR="001D75BC">
      <w:rPr>
        <w:spacing w:val="-2"/>
      </w:rPr>
      <w:t>DA</w:t>
    </w:r>
    <w:r w:rsidR="005E4889">
      <w:rPr>
        <w:spacing w:val="-2"/>
      </w:rPr>
      <w:t xml:space="preserve"> 15</w:t>
    </w:r>
    <w:r w:rsidR="00175E11">
      <w:rPr>
        <w:spacing w:val="-2"/>
      </w:rPr>
      <w:t>-</w:t>
    </w:r>
    <w:r w:rsidR="00B33AEC">
      <w:rPr>
        <w:spacing w:val="-2"/>
      </w:rPr>
      <w:t>526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FB6"/>
    <w:multiLevelType w:val="hybridMultilevel"/>
    <w:tmpl w:val="FBAC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C147D3"/>
    <w:multiLevelType w:val="hybridMultilevel"/>
    <w:tmpl w:val="4F9ED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6726AED"/>
    <w:multiLevelType w:val="multilevel"/>
    <w:tmpl w:val="E2880574"/>
    <w:lvl w:ilvl="0">
      <w:start w:val="1"/>
      <w:numFmt w:val="upperLetter"/>
      <w:lvlText w:val="%1."/>
      <w:lvlJc w:val="left"/>
      <w:pPr>
        <w:tabs>
          <w:tab w:val="num" w:pos="1170"/>
        </w:tabs>
        <w:ind w:left="1170" w:hanging="360"/>
      </w:pPr>
      <w:rPr>
        <w:rFonts w:hint="default"/>
        <w:b/>
      </w:rPr>
    </w:lvl>
    <w:lvl w:ilvl="1">
      <w:start w:val="1"/>
      <w:numFmt w:val="lowerLetter"/>
      <w:lvlText w:val="%2."/>
      <w:lvlJc w:val="left"/>
      <w:pPr>
        <w:tabs>
          <w:tab w:val="num" w:pos="1530"/>
        </w:tabs>
        <w:ind w:left="1530" w:hanging="360"/>
      </w:pPr>
    </w:lvl>
    <w:lvl w:ilvl="2">
      <w:start w:val="2"/>
      <w:numFmt w:val="decimal"/>
      <w:lvlText w:val="%3."/>
      <w:lvlJc w:val="left"/>
      <w:pPr>
        <w:tabs>
          <w:tab w:val="num" w:pos="2790"/>
        </w:tabs>
        <w:ind w:left="2790" w:hanging="720"/>
      </w:pPr>
      <w:rPr>
        <w:rFonts w:hint="default"/>
      </w:r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7">
    <w:nsid w:val="41B1737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57E006C"/>
    <w:multiLevelType w:val="hybridMultilevel"/>
    <w:tmpl w:val="78302960"/>
    <w:lvl w:ilvl="0" w:tplc="B0A0818A">
      <w:start w:val="1"/>
      <w:numFmt w:val="bullet"/>
      <w:pStyle w:val="Bullet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2304F7"/>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28E1E95"/>
    <w:multiLevelType w:val="singleLevel"/>
    <w:tmpl w:val="FE70DD96"/>
    <w:lvl w:ilvl="0">
      <w:start w:val="1"/>
      <w:numFmt w:val="decimal"/>
      <w:pStyle w:val="par1"/>
      <w:lvlText w:val="%1."/>
      <w:lvlJc w:val="left"/>
      <w:pPr>
        <w:tabs>
          <w:tab w:val="num" w:pos="1080"/>
        </w:tabs>
        <w:ind w:firstLine="720"/>
      </w:pPr>
      <w:rPr>
        <w:rFonts w:cs="Times New Roman"/>
        <w:b w:val="0"/>
      </w:rPr>
    </w:lvl>
  </w:abstractNum>
  <w:num w:numId="1">
    <w:abstractNumId w:val="2"/>
  </w:num>
  <w:num w:numId="2">
    <w:abstractNumId w:val="12"/>
  </w:num>
  <w:num w:numId="3">
    <w:abstractNumId w:val="5"/>
  </w:num>
  <w:num w:numId="4">
    <w:abstractNumId w:val="8"/>
  </w:num>
  <w:num w:numId="5">
    <w:abstractNumId w:val="3"/>
  </w:num>
  <w:num w:numId="6">
    <w:abstractNumId w:val="1"/>
  </w:num>
  <w:num w:numId="7">
    <w:abstractNumId w:val="13"/>
  </w:num>
  <w:num w:numId="8">
    <w:abstractNumId w:val="12"/>
    <w:lvlOverride w:ilvl="0">
      <w:startOverride w:val="1"/>
    </w:lvlOverride>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lvlOverride w:ilvl="0">
      <w:startOverride w:val="1"/>
    </w:lvlOverride>
  </w:num>
  <w:num w:numId="22">
    <w:abstractNumId w:val="12"/>
  </w:num>
  <w:num w:numId="23">
    <w:abstractNumId w:val="5"/>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2"/>
  </w:num>
  <w:num w:numId="36">
    <w:abstractNumId w:val="5"/>
  </w:num>
  <w:num w:numId="37">
    <w:abstractNumId w:val="5"/>
  </w:num>
  <w:num w:numId="38">
    <w:abstractNumId w:val="12"/>
  </w:num>
  <w:num w:numId="39">
    <w:abstractNumId w:val="12"/>
    <w:lvlOverride w:ilvl="0">
      <w:startOverride w:val="1"/>
    </w:lvlOverride>
  </w:num>
  <w:num w:numId="40">
    <w:abstractNumId w:val="12"/>
  </w:num>
  <w:num w:numId="41">
    <w:abstractNumId w:val="5"/>
  </w:num>
  <w:num w:numId="42">
    <w:abstractNumId w:val="5"/>
  </w:num>
  <w:num w:numId="43">
    <w:abstractNumId w:val="12"/>
  </w:num>
  <w:num w:numId="44">
    <w:abstractNumId w:val="12"/>
  </w:num>
  <w:num w:numId="45">
    <w:abstractNumId w:val="12"/>
  </w:num>
  <w:num w:numId="46">
    <w:abstractNumId w:val="12"/>
  </w:num>
  <w:num w:numId="47">
    <w:abstractNumId w:val="5"/>
  </w:num>
  <w:num w:numId="48">
    <w:abstractNumId w:val="12"/>
  </w:num>
  <w:num w:numId="49">
    <w:abstractNumId w:val="12"/>
  </w:num>
  <w:num w:numId="50">
    <w:abstractNumId w:val="11"/>
  </w:num>
  <w:num w:numId="51">
    <w:abstractNumId w:val="9"/>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5"/>
  </w:num>
  <w:num w:numId="62">
    <w:abstractNumId w:val="5"/>
  </w:num>
  <w:num w:numId="63">
    <w:abstractNumId w:val="12"/>
    <w:lvlOverride w:ilvl="0">
      <w:startOverride w:val="1"/>
    </w:lvlOverride>
  </w:num>
  <w:num w:numId="64">
    <w:abstractNumId w:val="12"/>
  </w:num>
  <w:num w:numId="65">
    <w:abstractNumId w:val="6"/>
  </w:num>
  <w:num w:numId="66">
    <w:abstractNumId w:val="12"/>
  </w:num>
  <w:num w:numId="67">
    <w:abstractNumId w:val="12"/>
  </w:num>
  <w:num w:numId="68">
    <w:abstractNumId w:val="5"/>
  </w:num>
  <w:num w:numId="69">
    <w:abstractNumId w:val="12"/>
  </w:num>
  <w:num w:numId="70">
    <w:abstractNumId w:val="12"/>
  </w:num>
  <w:num w:numId="71">
    <w:abstractNumId w:val="12"/>
  </w:num>
  <w:num w:numId="72">
    <w:abstractNumId w:val="12"/>
  </w:num>
  <w:num w:numId="73">
    <w:abstractNumId w:val="5"/>
  </w:num>
  <w:num w:numId="74">
    <w:abstractNumId w:val="5"/>
  </w:num>
  <w:num w:numId="75">
    <w:abstractNumId w:val="5"/>
  </w:num>
  <w:num w:numId="76">
    <w:abstractNumId w:val="5"/>
  </w:num>
  <w:num w:numId="77">
    <w:abstractNumId w:val="5"/>
  </w:num>
  <w:num w:numId="78">
    <w:abstractNumId w:val="5"/>
  </w:num>
  <w:num w:numId="79">
    <w:abstractNumId w:val="5"/>
  </w:num>
  <w:num w:numId="80">
    <w:abstractNumId w:val="5"/>
  </w:num>
  <w:num w:numId="81">
    <w:abstractNumId w:val="5"/>
  </w:num>
  <w:num w:numId="82">
    <w:abstractNumId w:val="5"/>
  </w:num>
  <w:num w:numId="83">
    <w:abstractNumId w:val="12"/>
  </w:num>
  <w:num w:numId="84">
    <w:abstractNumId w:val="12"/>
  </w:num>
  <w:num w:numId="85">
    <w:abstractNumId w:val="5"/>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5"/>
  </w:num>
  <w:num w:numId="93">
    <w:abstractNumId w:val="12"/>
    <w:lvlOverride w:ilvl="0">
      <w:startOverride w:val="1"/>
    </w:lvlOverride>
  </w:num>
  <w:num w:numId="94">
    <w:abstractNumId w:val="4"/>
  </w:num>
  <w:num w:numId="95">
    <w:abstractNumId w:val="12"/>
    <w:lvlOverride w:ilvl="0">
      <w:startOverride w:val="1"/>
    </w:lvlOverride>
  </w:num>
  <w:num w:numId="96">
    <w:abstractNumId w:val="12"/>
    <w:lvlOverride w:ilvl="0">
      <w:startOverride w:val="1"/>
    </w:lvlOverride>
  </w:num>
  <w:num w:numId="97">
    <w:abstractNumId w:val="7"/>
  </w:num>
  <w:num w:numId="98">
    <w:abstractNumId w:val="10"/>
  </w:num>
  <w:num w:numId="99">
    <w:abstractNumId w:val="0"/>
  </w:num>
  <w:num w:numId="100">
    <w:abstractNumId w:val="12"/>
    <w:lvlOverride w:ilvl="0">
      <w:startOverride w:val="1"/>
    </w:lvlOverride>
  </w:num>
  <w:num w:numId="101">
    <w:abstractNumId w:val="12"/>
    <w:lvlOverride w:ilvl="0">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DB"/>
    <w:rsid w:val="00001F3D"/>
    <w:rsid w:val="00003098"/>
    <w:rsid w:val="000071DF"/>
    <w:rsid w:val="0001030F"/>
    <w:rsid w:val="00010736"/>
    <w:rsid w:val="000113C9"/>
    <w:rsid w:val="00013363"/>
    <w:rsid w:val="00013EEF"/>
    <w:rsid w:val="00017BBD"/>
    <w:rsid w:val="00020247"/>
    <w:rsid w:val="00022DC8"/>
    <w:rsid w:val="00023C73"/>
    <w:rsid w:val="00023D91"/>
    <w:rsid w:val="00023E71"/>
    <w:rsid w:val="00025264"/>
    <w:rsid w:val="00026206"/>
    <w:rsid w:val="00026AB6"/>
    <w:rsid w:val="0002777C"/>
    <w:rsid w:val="00027968"/>
    <w:rsid w:val="0002797A"/>
    <w:rsid w:val="00027DB4"/>
    <w:rsid w:val="00027F7C"/>
    <w:rsid w:val="00031086"/>
    <w:rsid w:val="00031E6B"/>
    <w:rsid w:val="00032C4A"/>
    <w:rsid w:val="000344A5"/>
    <w:rsid w:val="00034E9D"/>
    <w:rsid w:val="00036039"/>
    <w:rsid w:val="00037186"/>
    <w:rsid w:val="00037DB0"/>
    <w:rsid w:val="00037F90"/>
    <w:rsid w:val="00040FF4"/>
    <w:rsid w:val="00042AE1"/>
    <w:rsid w:val="00042F5B"/>
    <w:rsid w:val="000438FA"/>
    <w:rsid w:val="00046FCA"/>
    <w:rsid w:val="000472D2"/>
    <w:rsid w:val="00050163"/>
    <w:rsid w:val="0005064B"/>
    <w:rsid w:val="00050A2A"/>
    <w:rsid w:val="00050AE1"/>
    <w:rsid w:val="00050CCF"/>
    <w:rsid w:val="00051E0E"/>
    <w:rsid w:val="0005269F"/>
    <w:rsid w:val="00055E0C"/>
    <w:rsid w:val="000567A7"/>
    <w:rsid w:val="000567FC"/>
    <w:rsid w:val="00057DC5"/>
    <w:rsid w:val="0006025C"/>
    <w:rsid w:val="00062955"/>
    <w:rsid w:val="00064556"/>
    <w:rsid w:val="00065BB3"/>
    <w:rsid w:val="00066FD5"/>
    <w:rsid w:val="000679BA"/>
    <w:rsid w:val="00067B95"/>
    <w:rsid w:val="00067D83"/>
    <w:rsid w:val="00071036"/>
    <w:rsid w:val="000715B4"/>
    <w:rsid w:val="000727B0"/>
    <w:rsid w:val="000737D3"/>
    <w:rsid w:val="00074151"/>
    <w:rsid w:val="0007611A"/>
    <w:rsid w:val="000761E3"/>
    <w:rsid w:val="00077195"/>
    <w:rsid w:val="00077B52"/>
    <w:rsid w:val="00081268"/>
    <w:rsid w:val="00082C9B"/>
    <w:rsid w:val="000847CD"/>
    <w:rsid w:val="00084B93"/>
    <w:rsid w:val="000856DE"/>
    <w:rsid w:val="000875BF"/>
    <w:rsid w:val="00087B30"/>
    <w:rsid w:val="0009023C"/>
    <w:rsid w:val="0009074E"/>
    <w:rsid w:val="0009144D"/>
    <w:rsid w:val="0009152E"/>
    <w:rsid w:val="00093373"/>
    <w:rsid w:val="00093EB6"/>
    <w:rsid w:val="00096262"/>
    <w:rsid w:val="00096735"/>
    <w:rsid w:val="000969F6"/>
    <w:rsid w:val="00096D8C"/>
    <w:rsid w:val="000A05DD"/>
    <w:rsid w:val="000A11B2"/>
    <w:rsid w:val="000A2013"/>
    <w:rsid w:val="000A25D2"/>
    <w:rsid w:val="000A313D"/>
    <w:rsid w:val="000A5F05"/>
    <w:rsid w:val="000A6F15"/>
    <w:rsid w:val="000B0E7A"/>
    <w:rsid w:val="000B1856"/>
    <w:rsid w:val="000B1865"/>
    <w:rsid w:val="000B196C"/>
    <w:rsid w:val="000B2D7B"/>
    <w:rsid w:val="000B3240"/>
    <w:rsid w:val="000B326D"/>
    <w:rsid w:val="000B4983"/>
    <w:rsid w:val="000B5F6B"/>
    <w:rsid w:val="000B6504"/>
    <w:rsid w:val="000C06E0"/>
    <w:rsid w:val="000C0B65"/>
    <w:rsid w:val="000C1A8A"/>
    <w:rsid w:val="000C30A9"/>
    <w:rsid w:val="000C57AB"/>
    <w:rsid w:val="000C5DDF"/>
    <w:rsid w:val="000C69C9"/>
    <w:rsid w:val="000D0238"/>
    <w:rsid w:val="000D07B9"/>
    <w:rsid w:val="000D086B"/>
    <w:rsid w:val="000D1601"/>
    <w:rsid w:val="000D2A73"/>
    <w:rsid w:val="000D3383"/>
    <w:rsid w:val="000D3451"/>
    <w:rsid w:val="000D3C96"/>
    <w:rsid w:val="000D5496"/>
    <w:rsid w:val="000D689B"/>
    <w:rsid w:val="000D71B6"/>
    <w:rsid w:val="000D7DD6"/>
    <w:rsid w:val="000E05FE"/>
    <w:rsid w:val="000E0F02"/>
    <w:rsid w:val="000E1022"/>
    <w:rsid w:val="000E3326"/>
    <w:rsid w:val="000E3D42"/>
    <w:rsid w:val="000E3F12"/>
    <w:rsid w:val="000E4C1D"/>
    <w:rsid w:val="000E5541"/>
    <w:rsid w:val="000E5BD5"/>
    <w:rsid w:val="000E78FC"/>
    <w:rsid w:val="000F0744"/>
    <w:rsid w:val="000F240E"/>
    <w:rsid w:val="000F3981"/>
    <w:rsid w:val="000F4494"/>
    <w:rsid w:val="000F4BD1"/>
    <w:rsid w:val="000F61E4"/>
    <w:rsid w:val="000F642B"/>
    <w:rsid w:val="00101BB0"/>
    <w:rsid w:val="00101EC9"/>
    <w:rsid w:val="001021DC"/>
    <w:rsid w:val="00103040"/>
    <w:rsid w:val="0010332F"/>
    <w:rsid w:val="001037A3"/>
    <w:rsid w:val="00103E85"/>
    <w:rsid w:val="00104C29"/>
    <w:rsid w:val="00104D44"/>
    <w:rsid w:val="00104DB1"/>
    <w:rsid w:val="00106A0F"/>
    <w:rsid w:val="00107733"/>
    <w:rsid w:val="00110DC3"/>
    <w:rsid w:val="001112C8"/>
    <w:rsid w:val="0011153C"/>
    <w:rsid w:val="001117B7"/>
    <w:rsid w:val="00113DE6"/>
    <w:rsid w:val="00114A53"/>
    <w:rsid w:val="00114DF3"/>
    <w:rsid w:val="00115118"/>
    <w:rsid w:val="00115135"/>
    <w:rsid w:val="00117A3A"/>
    <w:rsid w:val="00120A0E"/>
    <w:rsid w:val="0012116C"/>
    <w:rsid w:val="00121D2D"/>
    <w:rsid w:val="00122BD5"/>
    <w:rsid w:val="00124317"/>
    <w:rsid w:val="00124D24"/>
    <w:rsid w:val="00126213"/>
    <w:rsid w:val="00130AA4"/>
    <w:rsid w:val="00130E06"/>
    <w:rsid w:val="00131E8E"/>
    <w:rsid w:val="001326C3"/>
    <w:rsid w:val="00133F79"/>
    <w:rsid w:val="00134AE6"/>
    <w:rsid w:val="0013527D"/>
    <w:rsid w:val="001360F0"/>
    <w:rsid w:val="0013624C"/>
    <w:rsid w:val="00136469"/>
    <w:rsid w:val="001400B0"/>
    <w:rsid w:val="001454B5"/>
    <w:rsid w:val="001456CA"/>
    <w:rsid w:val="00147B53"/>
    <w:rsid w:val="00147F82"/>
    <w:rsid w:val="001517AC"/>
    <w:rsid w:val="00153477"/>
    <w:rsid w:val="00155B55"/>
    <w:rsid w:val="001563F0"/>
    <w:rsid w:val="00156B90"/>
    <w:rsid w:val="00162785"/>
    <w:rsid w:val="0016337C"/>
    <w:rsid w:val="00164152"/>
    <w:rsid w:val="00166D8B"/>
    <w:rsid w:val="00170447"/>
    <w:rsid w:val="001709E5"/>
    <w:rsid w:val="00172598"/>
    <w:rsid w:val="00174FFD"/>
    <w:rsid w:val="001757C0"/>
    <w:rsid w:val="001758EB"/>
    <w:rsid w:val="00175E11"/>
    <w:rsid w:val="00175E7D"/>
    <w:rsid w:val="00176EF0"/>
    <w:rsid w:val="00177291"/>
    <w:rsid w:val="00180FCE"/>
    <w:rsid w:val="00181AB3"/>
    <w:rsid w:val="00183C14"/>
    <w:rsid w:val="00185536"/>
    <w:rsid w:val="00193751"/>
    <w:rsid w:val="00194A66"/>
    <w:rsid w:val="0019758B"/>
    <w:rsid w:val="001A134D"/>
    <w:rsid w:val="001A3393"/>
    <w:rsid w:val="001A37E0"/>
    <w:rsid w:val="001A38D4"/>
    <w:rsid w:val="001A3B39"/>
    <w:rsid w:val="001A46F8"/>
    <w:rsid w:val="001A702A"/>
    <w:rsid w:val="001A71F6"/>
    <w:rsid w:val="001A73C9"/>
    <w:rsid w:val="001B0E1A"/>
    <w:rsid w:val="001B1A2D"/>
    <w:rsid w:val="001B26C4"/>
    <w:rsid w:val="001B71F2"/>
    <w:rsid w:val="001C0977"/>
    <w:rsid w:val="001C0D58"/>
    <w:rsid w:val="001C43A0"/>
    <w:rsid w:val="001C4A45"/>
    <w:rsid w:val="001C65B4"/>
    <w:rsid w:val="001C6978"/>
    <w:rsid w:val="001C6AD8"/>
    <w:rsid w:val="001C734F"/>
    <w:rsid w:val="001D0AEF"/>
    <w:rsid w:val="001D1128"/>
    <w:rsid w:val="001D1636"/>
    <w:rsid w:val="001D198D"/>
    <w:rsid w:val="001D3408"/>
    <w:rsid w:val="001D35E1"/>
    <w:rsid w:val="001D6BCF"/>
    <w:rsid w:val="001D75BC"/>
    <w:rsid w:val="001E01CA"/>
    <w:rsid w:val="001E0B4D"/>
    <w:rsid w:val="001E3FAC"/>
    <w:rsid w:val="001E44E3"/>
    <w:rsid w:val="001E491C"/>
    <w:rsid w:val="001E4D6B"/>
    <w:rsid w:val="001E7ABD"/>
    <w:rsid w:val="001F1B27"/>
    <w:rsid w:val="001F20DD"/>
    <w:rsid w:val="001F2DB8"/>
    <w:rsid w:val="001F2E85"/>
    <w:rsid w:val="001F4D4E"/>
    <w:rsid w:val="001F50B2"/>
    <w:rsid w:val="001F5DE0"/>
    <w:rsid w:val="001F66B0"/>
    <w:rsid w:val="001F6C0A"/>
    <w:rsid w:val="001F7F39"/>
    <w:rsid w:val="00201250"/>
    <w:rsid w:val="0020273E"/>
    <w:rsid w:val="002039EE"/>
    <w:rsid w:val="00204FE4"/>
    <w:rsid w:val="0020646C"/>
    <w:rsid w:val="002077D0"/>
    <w:rsid w:val="0021105A"/>
    <w:rsid w:val="00211B08"/>
    <w:rsid w:val="0021425C"/>
    <w:rsid w:val="00214EC4"/>
    <w:rsid w:val="00216D5B"/>
    <w:rsid w:val="002200B5"/>
    <w:rsid w:val="00221A1E"/>
    <w:rsid w:val="00222139"/>
    <w:rsid w:val="002231F8"/>
    <w:rsid w:val="00224748"/>
    <w:rsid w:val="00225038"/>
    <w:rsid w:val="002269F7"/>
    <w:rsid w:val="00227596"/>
    <w:rsid w:val="00231655"/>
    <w:rsid w:val="00231FC5"/>
    <w:rsid w:val="00232941"/>
    <w:rsid w:val="002329E4"/>
    <w:rsid w:val="00232D46"/>
    <w:rsid w:val="0023545E"/>
    <w:rsid w:val="00235659"/>
    <w:rsid w:val="00236660"/>
    <w:rsid w:val="00237531"/>
    <w:rsid w:val="00240314"/>
    <w:rsid w:val="002438AD"/>
    <w:rsid w:val="00246B94"/>
    <w:rsid w:val="00246CC5"/>
    <w:rsid w:val="00246D1D"/>
    <w:rsid w:val="002529C6"/>
    <w:rsid w:val="00253BF7"/>
    <w:rsid w:val="0025412D"/>
    <w:rsid w:val="00254B36"/>
    <w:rsid w:val="0025575F"/>
    <w:rsid w:val="0025744F"/>
    <w:rsid w:val="00260035"/>
    <w:rsid w:val="002613BB"/>
    <w:rsid w:val="002622B5"/>
    <w:rsid w:val="00262F08"/>
    <w:rsid w:val="0026373E"/>
    <w:rsid w:val="00265999"/>
    <w:rsid w:val="00265FAF"/>
    <w:rsid w:val="00270FCA"/>
    <w:rsid w:val="0027181B"/>
    <w:rsid w:val="002724E3"/>
    <w:rsid w:val="00273F08"/>
    <w:rsid w:val="0027414F"/>
    <w:rsid w:val="00274F81"/>
    <w:rsid w:val="0027535C"/>
    <w:rsid w:val="002753C3"/>
    <w:rsid w:val="00275CF5"/>
    <w:rsid w:val="002760CB"/>
    <w:rsid w:val="002761B3"/>
    <w:rsid w:val="0028105D"/>
    <w:rsid w:val="00281A98"/>
    <w:rsid w:val="002824D8"/>
    <w:rsid w:val="0028301F"/>
    <w:rsid w:val="00283413"/>
    <w:rsid w:val="002838CD"/>
    <w:rsid w:val="00285017"/>
    <w:rsid w:val="00285544"/>
    <w:rsid w:val="00285F28"/>
    <w:rsid w:val="00286C1A"/>
    <w:rsid w:val="0029088E"/>
    <w:rsid w:val="00291129"/>
    <w:rsid w:val="002912D5"/>
    <w:rsid w:val="00292B49"/>
    <w:rsid w:val="00293925"/>
    <w:rsid w:val="0029510D"/>
    <w:rsid w:val="00296706"/>
    <w:rsid w:val="00296FB9"/>
    <w:rsid w:val="002972AC"/>
    <w:rsid w:val="00297B8F"/>
    <w:rsid w:val="002A0096"/>
    <w:rsid w:val="002A286D"/>
    <w:rsid w:val="002A2D2E"/>
    <w:rsid w:val="002A2FA4"/>
    <w:rsid w:val="002A40BA"/>
    <w:rsid w:val="002A4F46"/>
    <w:rsid w:val="002A4FD6"/>
    <w:rsid w:val="002A517F"/>
    <w:rsid w:val="002A78E2"/>
    <w:rsid w:val="002B0229"/>
    <w:rsid w:val="002B0765"/>
    <w:rsid w:val="002B0CE2"/>
    <w:rsid w:val="002B0DEA"/>
    <w:rsid w:val="002B1CB8"/>
    <w:rsid w:val="002B26E6"/>
    <w:rsid w:val="002B356A"/>
    <w:rsid w:val="002B36B3"/>
    <w:rsid w:val="002B5CEE"/>
    <w:rsid w:val="002C00E8"/>
    <w:rsid w:val="002C0EB2"/>
    <w:rsid w:val="002C0FE6"/>
    <w:rsid w:val="002C12C6"/>
    <w:rsid w:val="002C162F"/>
    <w:rsid w:val="002C2F80"/>
    <w:rsid w:val="002C36CD"/>
    <w:rsid w:val="002C36F7"/>
    <w:rsid w:val="002C580A"/>
    <w:rsid w:val="002C6CD2"/>
    <w:rsid w:val="002C7E3A"/>
    <w:rsid w:val="002D060F"/>
    <w:rsid w:val="002D1599"/>
    <w:rsid w:val="002D2E3A"/>
    <w:rsid w:val="002D46ED"/>
    <w:rsid w:val="002E19AD"/>
    <w:rsid w:val="002E19FD"/>
    <w:rsid w:val="002E2425"/>
    <w:rsid w:val="002E37A1"/>
    <w:rsid w:val="002E3FEF"/>
    <w:rsid w:val="002E5694"/>
    <w:rsid w:val="002E7084"/>
    <w:rsid w:val="002E776E"/>
    <w:rsid w:val="002E783D"/>
    <w:rsid w:val="002E7F4D"/>
    <w:rsid w:val="002F1E78"/>
    <w:rsid w:val="002F246B"/>
    <w:rsid w:val="002F2F9B"/>
    <w:rsid w:val="00301AAD"/>
    <w:rsid w:val="0030292F"/>
    <w:rsid w:val="0030338C"/>
    <w:rsid w:val="00303599"/>
    <w:rsid w:val="003045EA"/>
    <w:rsid w:val="003047E3"/>
    <w:rsid w:val="003058EF"/>
    <w:rsid w:val="003109EF"/>
    <w:rsid w:val="00310E2A"/>
    <w:rsid w:val="00311F86"/>
    <w:rsid w:val="003131B5"/>
    <w:rsid w:val="00313C22"/>
    <w:rsid w:val="0031414C"/>
    <w:rsid w:val="003141FF"/>
    <w:rsid w:val="003153B8"/>
    <w:rsid w:val="00317C73"/>
    <w:rsid w:val="00320370"/>
    <w:rsid w:val="003204AD"/>
    <w:rsid w:val="00322898"/>
    <w:rsid w:val="003231DF"/>
    <w:rsid w:val="003241E0"/>
    <w:rsid w:val="00325FA1"/>
    <w:rsid w:val="00330769"/>
    <w:rsid w:val="00331114"/>
    <w:rsid w:val="00334553"/>
    <w:rsid w:val="00336AD1"/>
    <w:rsid w:val="00337C26"/>
    <w:rsid w:val="00340C83"/>
    <w:rsid w:val="00342019"/>
    <w:rsid w:val="00343749"/>
    <w:rsid w:val="00344FF6"/>
    <w:rsid w:val="003452C3"/>
    <w:rsid w:val="00345440"/>
    <w:rsid w:val="00345A43"/>
    <w:rsid w:val="00345EDF"/>
    <w:rsid w:val="0034797D"/>
    <w:rsid w:val="0035009B"/>
    <w:rsid w:val="0035108C"/>
    <w:rsid w:val="00352A7B"/>
    <w:rsid w:val="003539B4"/>
    <w:rsid w:val="00354B96"/>
    <w:rsid w:val="00360905"/>
    <w:rsid w:val="0036180B"/>
    <w:rsid w:val="00363527"/>
    <w:rsid w:val="00363A61"/>
    <w:rsid w:val="00365F8F"/>
    <w:rsid w:val="003660ED"/>
    <w:rsid w:val="00366EDF"/>
    <w:rsid w:val="00367BD6"/>
    <w:rsid w:val="003706B2"/>
    <w:rsid w:val="00370BA8"/>
    <w:rsid w:val="003717DD"/>
    <w:rsid w:val="003726A3"/>
    <w:rsid w:val="00372F31"/>
    <w:rsid w:val="003747FA"/>
    <w:rsid w:val="00374DD3"/>
    <w:rsid w:val="003758BF"/>
    <w:rsid w:val="003769FD"/>
    <w:rsid w:val="00377885"/>
    <w:rsid w:val="00380031"/>
    <w:rsid w:val="00380252"/>
    <w:rsid w:val="0038117B"/>
    <w:rsid w:val="0038482C"/>
    <w:rsid w:val="0038671B"/>
    <w:rsid w:val="00387F29"/>
    <w:rsid w:val="0039195D"/>
    <w:rsid w:val="00391B07"/>
    <w:rsid w:val="00391D70"/>
    <w:rsid w:val="00393651"/>
    <w:rsid w:val="003955FD"/>
    <w:rsid w:val="003962EB"/>
    <w:rsid w:val="00396301"/>
    <w:rsid w:val="00396769"/>
    <w:rsid w:val="003A2CFF"/>
    <w:rsid w:val="003A3175"/>
    <w:rsid w:val="003A3507"/>
    <w:rsid w:val="003A74B4"/>
    <w:rsid w:val="003A7F23"/>
    <w:rsid w:val="003B0550"/>
    <w:rsid w:val="003B0E55"/>
    <w:rsid w:val="003B2F01"/>
    <w:rsid w:val="003B41BC"/>
    <w:rsid w:val="003B521D"/>
    <w:rsid w:val="003B59C1"/>
    <w:rsid w:val="003B641A"/>
    <w:rsid w:val="003B681C"/>
    <w:rsid w:val="003B694F"/>
    <w:rsid w:val="003C0815"/>
    <w:rsid w:val="003C09D6"/>
    <w:rsid w:val="003C5850"/>
    <w:rsid w:val="003C614E"/>
    <w:rsid w:val="003C7F5E"/>
    <w:rsid w:val="003D0D2A"/>
    <w:rsid w:val="003D2C02"/>
    <w:rsid w:val="003D3EF4"/>
    <w:rsid w:val="003D42F3"/>
    <w:rsid w:val="003D66BB"/>
    <w:rsid w:val="003E00F8"/>
    <w:rsid w:val="003E17C1"/>
    <w:rsid w:val="003E43AB"/>
    <w:rsid w:val="003E496E"/>
    <w:rsid w:val="003F171C"/>
    <w:rsid w:val="003F184F"/>
    <w:rsid w:val="003F1CEB"/>
    <w:rsid w:val="003F3B36"/>
    <w:rsid w:val="00400449"/>
    <w:rsid w:val="0040327A"/>
    <w:rsid w:val="00404A47"/>
    <w:rsid w:val="00404BE2"/>
    <w:rsid w:val="00404C8B"/>
    <w:rsid w:val="00405541"/>
    <w:rsid w:val="004108A3"/>
    <w:rsid w:val="00412FC5"/>
    <w:rsid w:val="004131AB"/>
    <w:rsid w:val="0041672E"/>
    <w:rsid w:val="00416E4F"/>
    <w:rsid w:val="00417AB0"/>
    <w:rsid w:val="00420851"/>
    <w:rsid w:val="00422276"/>
    <w:rsid w:val="004238A4"/>
    <w:rsid w:val="00424088"/>
    <w:rsid w:val="004242F1"/>
    <w:rsid w:val="00424A9F"/>
    <w:rsid w:val="004253EC"/>
    <w:rsid w:val="00426F0C"/>
    <w:rsid w:val="00427CAA"/>
    <w:rsid w:val="004315FE"/>
    <w:rsid w:val="0043357A"/>
    <w:rsid w:val="00435F20"/>
    <w:rsid w:val="00436CE1"/>
    <w:rsid w:val="00441FF6"/>
    <w:rsid w:val="004425E3"/>
    <w:rsid w:val="004443FC"/>
    <w:rsid w:val="00445A00"/>
    <w:rsid w:val="00445C65"/>
    <w:rsid w:val="00445D2B"/>
    <w:rsid w:val="00447D32"/>
    <w:rsid w:val="004500E4"/>
    <w:rsid w:val="00450818"/>
    <w:rsid w:val="0045105F"/>
    <w:rsid w:val="00451956"/>
    <w:rsid w:val="00451B0F"/>
    <w:rsid w:val="00451D4C"/>
    <w:rsid w:val="00453FA0"/>
    <w:rsid w:val="00456A50"/>
    <w:rsid w:val="00461BE7"/>
    <w:rsid w:val="004621C6"/>
    <w:rsid w:val="00462A88"/>
    <w:rsid w:val="00462F12"/>
    <w:rsid w:val="00462F90"/>
    <w:rsid w:val="0046383B"/>
    <w:rsid w:val="00463BED"/>
    <w:rsid w:val="004648A5"/>
    <w:rsid w:val="00465126"/>
    <w:rsid w:val="004668CB"/>
    <w:rsid w:val="004677BA"/>
    <w:rsid w:val="00467E6F"/>
    <w:rsid w:val="004708AC"/>
    <w:rsid w:val="00472353"/>
    <w:rsid w:val="0047360D"/>
    <w:rsid w:val="00475C80"/>
    <w:rsid w:val="00475FCE"/>
    <w:rsid w:val="00480440"/>
    <w:rsid w:val="004810DE"/>
    <w:rsid w:val="004836F8"/>
    <w:rsid w:val="0048424B"/>
    <w:rsid w:val="004847A9"/>
    <w:rsid w:val="00487152"/>
    <w:rsid w:val="00487D73"/>
    <w:rsid w:val="00491697"/>
    <w:rsid w:val="004921DE"/>
    <w:rsid w:val="00492B2F"/>
    <w:rsid w:val="00493D3B"/>
    <w:rsid w:val="0049510C"/>
    <w:rsid w:val="004A0F1B"/>
    <w:rsid w:val="004A3F1A"/>
    <w:rsid w:val="004A49AC"/>
    <w:rsid w:val="004A53BF"/>
    <w:rsid w:val="004A5DEA"/>
    <w:rsid w:val="004A6479"/>
    <w:rsid w:val="004A673C"/>
    <w:rsid w:val="004A7336"/>
    <w:rsid w:val="004B1A22"/>
    <w:rsid w:val="004B218D"/>
    <w:rsid w:val="004B349E"/>
    <w:rsid w:val="004B41E6"/>
    <w:rsid w:val="004B5A5A"/>
    <w:rsid w:val="004B7204"/>
    <w:rsid w:val="004B7C8D"/>
    <w:rsid w:val="004C2EE3"/>
    <w:rsid w:val="004C360E"/>
    <w:rsid w:val="004C74F4"/>
    <w:rsid w:val="004C7C3A"/>
    <w:rsid w:val="004D1572"/>
    <w:rsid w:val="004D1E97"/>
    <w:rsid w:val="004D1F1E"/>
    <w:rsid w:val="004D263D"/>
    <w:rsid w:val="004D2F59"/>
    <w:rsid w:val="004D78F3"/>
    <w:rsid w:val="004D7CFA"/>
    <w:rsid w:val="004E092B"/>
    <w:rsid w:val="004E166E"/>
    <w:rsid w:val="004E1C09"/>
    <w:rsid w:val="004E4213"/>
    <w:rsid w:val="004E49D0"/>
    <w:rsid w:val="004E4A22"/>
    <w:rsid w:val="004F0968"/>
    <w:rsid w:val="004F1C45"/>
    <w:rsid w:val="004F23AB"/>
    <w:rsid w:val="004F33F4"/>
    <w:rsid w:val="004F52AC"/>
    <w:rsid w:val="004F5FE8"/>
    <w:rsid w:val="00500DBC"/>
    <w:rsid w:val="0050182B"/>
    <w:rsid w:val="00502EA4"/>
    <w:rsid w:val="00502F5F"/>
    <w:rsid w:val="00503701"/>
    <w:rsid w:val="00503DFF"/>
    <w:rsid w:val="0050403A"/>
    <w:rsid w:val="005052F9"/>
    <w:rsid w:val="00510141"/>
    <w:rsid w:val="00511968"/>
    <w:rsid w:val="00512118"/>
    <w:rsid w:val="005137C1"/>
    <w:rsid w:val="00516B2F"/>
    <w:rsid w:val="00517CFE"/>
    <w:rsid w:val="00524411"/>
    <w:rsid w:val="00525230"/>
    <w:rsid w:val="005255CB"/>
    <w:rsid w:val="00527C90"/>
    <w:rsid w:val="00530711"/>
    <w:rsid w:val="00531117"/>
    <w:rsid w:val="005313A8"/>
    <w:rsid w:val="00534869"/>
    <w:rsid w:val="0053529F"/>
    <w:rsid w:val="00535C68"/>
    <w:rsid w:val="005373B4"/>
    <w:rsid w:val="005422B1"/>
    <w:rsid w:val="00542A4D"/>
    <w:rsid w:val="00544463"/>
    <w:rsid w:val="005466F6"/>
    <w:rsid w:val="00546C33"/>
    <w:rsid w:val="00546D3C"/>
    <w:rsid w:val="00547C4F"/>
    <w:rsid w:val="00547D75"/>
    <w:rsid w:val="00551B14"/>
    <w:rsid w:val="00551E15"/>
    <w:rsid w:val="0055614C"/>
    <w:rsid w:val="0056207D"/>
    <w:rsid w:val="0056276D"/>
    <w:rsid w:val="0056479A"/>
    <w:rsid w:val="00566BE3"/>
    <w:rsid w:val="00566C0B"/>
    <w:rsid w:val="00570AEA"/>
    <w:rsid w:val="005713C5"/>
    <w:rsid w:val="005726E1"/>
    <w:rsid w:val="00572D45"/>
    <w:rsid w:val="00576E51"/>
    <w:rsid w:val="005814EE"/>
    <w:rsid w:val="00582D89"/>
    <w:rsid w:val="0058305B"/>
    <w:rsid w:val="005833EC"/>
    <w:rsid w:val="0058353C"/>
    <w:rsid w:val="00583EC9"/>
    <w:rsid w:val="00585CB3"/>
    <w:rsid w:val="00590132"/>
    <w:rsid w:val="0059059E"/>
    <w:rsid w:val="005909DA"/>
    <w:rsid w:val="0059148B"/>
    <w:rsid w:val="00593108"/>
    <w:rsid w:val="00594202"/>
    <w:rsid w:val="005958F7"/>
    <w:rsid w:val="00596399"/>
    <w:rsid w:val="00597164"/>
    <w:rsid w:val="00597D3A"/>
    <w:rsid w:val="005A0120"/>
    <w:rsid w:val="005A0462"/>
    <w:rsid w:val="005A0529"/>
    <w:rsid w:val="005A1E6B"/>
    <w:rsid w:val="005A223B"/>
    <w:rsid w:val="005A4B28"/>
    <w:rsid w:val="005A51BC"/>
    <w:rsid w:val="005B14F8"/>
    <w:rsid w:val="005B25FE"/>
    <w:rsid w:val="005B29EC"/>
    <w:rsid w:val="005B3092"/>
    <w:rsid w:val="005B3640"/>
    <w:rsid w:val="005B529A"/>
    <w:rsid w:val="005B6AB7"/>
    <w:rsid w:val="005B6D5E"/>
    <w:rsid w:val="005B7D00"/>
    <w:rsid w:val="005C013A"/>
    <w:rsid w:val="005C3058"/>
    <w:rsid w:val="005C3352"/>
    <w:rsid w:val="005C6FF6"/>
    <w:rsid w:val="005C754D"/>
    <w:rsid w:val="005C7D2F"/>
    <w:rsid w:val="005D0F71"/>
    <w:rsid w:val="005D220E"/>
    <w:rsid w:val="005D31F2"/>
    <w:rsid w:val="005D34DC"/>
    <w:rsid w:val="005D415C"/>
    <w:rsid w:val="005D5934"/>
    <w:rsid w:val="005D695B"/>
    <w:rsid w:val="005D7D05"/>
    <w:rsid w:val="005E00E0"/>
    <w:rsid w:val="005E13DB"/>
    <w:rsid w:val="005E14C2"/>
    <w:rsid w:val="005E15EB"/>
    <w:rsid w:val="005E2F48"/>
    <w:rsid w:val="005E3A09"/>
    <w:rsid w:val="005E4889"/>
    <w:rsid w:val="005E495E"/>
    <w:rsid w:val="005E4C6D"/>
    <w:rsid w:val="005E73B7"/>
    <w:rsid w:val="005F20E9"/>
    <w:rsid w:val="005F5EB0"/>
    <w:rsid w:val="005F629C"/>
    <w:rsid w:val="005F62CC"/>
    <w:rsid w:val="005F72A3"/>
    <w:rsid w:val="005F7F8D"/>
    <w:rsid w:val="005F7FED"/>
    <w:rsid w:val="0060265D"/>
    <w:rsid w:val="00604E80"/>
    <w:rsid w:val="00605626"/>
    <w:rsid w:val="00605D46"/>
    <w:rsid w:val="00606A9A"/>
    <w:rsid w:val="00606F6D"/>
    <w:rsid w:val="00607753"/>
    <w:rsid w:val="0060789E"/>
    <w:rsid w:val="00607BA5"/>
    <w:rsid w:val="0061180A"/>
    <w:rsid w:val="00612BD9"/>
    <w:rsid w:val="00612FFB"/>
    <w:rsid w:val="006131AB"/>
    <w:rsid w:val="006135B8"/>
    <w:rsid w:val="006140AC"/>
    <w:rsid w:val="006141E0"/>
    <w:rsid w:val="00614EDB"/>
    <w:rsid w:val="006154EF"/>
    <w:rsid w:val="006168C8"/>
    <w:rsid w:val="0061696C"/>
    <w:rsid w:val="0062040A"/>
    <w:rsid w:val="00620A05"/>
    <w:rsid w:val="0062219A"/>
    <w:rsid w:val="00622868"/>
    <w:rsid w:val="00623A10"/>
    <w:rsid w:val="00625120"/>
    <w:rsid w:val="00625232"/>
    <w:rsid w:val="00626058"/>
    <w:rsid w:val="00626229"/>
    <w:rsid w:val="006268A6"/>
    <w:rsid w:val="00626EB6"/>
    <w:rsid w:val="006272B0"/>
    <w:rsid w:val="00627B25"/>
    <w:rsid w:val="006300C4"/>
    <w:rsid w:val="0064070A"/>
    <w:rsid w:val="00640A15"/>
    <w:rsid w:val="00640C0F"/>
    <w:rsid w:val="006448C7"/>
    <w:rsid w:val="006454F5"/>
    <w:rsid w:val="00646364"/>
    <w:rsid w:val="00646480"/>
    <w:rsid w:val="0064773D"/>
    <w:rsid w:val="006509B8"/>
    <w:rsid w:val="0065105E"/>
    <w:rsid w:val="00651A7B"/>
    <w:rsid w:val="00652182"/>
    <w:rsid w:val="0065468F"/>
    <w:rsid w:val="00654776"/>
    <w:rsid w:val="00655D03"/>
    <w:rsid w:val="00660190"/>
    <w:rsid w:val="00660532"/>
    <w:rsid w:val="006605F8"/>
    <w:rsid w:val="006610A4"/>
    <w:rsid w:val="00662B16"/>
    <w:rsid w:val="00662F6F"/>
    <w:rsid w:val="0066367C"/>
    <w:rsid w:val="00663AEC"/>
    <w:rsid w:val="0066482A"/>
    <w:rsid w:val="00664841"/>
    <w:rsid w:val="00664DE1"/>
    <w:rsid w:val="006669CD"/>
    <w:rsid w:val="00666FBB"/>
    <w:rsid w:val="00667AF5"/>
    <w:rsid w:val="00670183"/>
    <w:rsid w:val="0067040C"/>
    <w:rsid w:val="0067413F"/>
    <w:rsid w:val="00675AD2"/>
    <w:rsid w:val="006761E8"/>
    <w:rsid w:val="00677B8E"/>
    <w:rsid w:val="00682535"/>
    <w:rsid w:val="006832DA"/>
    <w:rsid w:val="00683388"/>
    <w:rsid w:val="0068378C"/>
    <w:rsid w:val="006839DF"/>
    <w:rsid w:val="00683AAA"/>
    <w:rsid w:val="00683B9B"/>
    <w:rsid w:val="00683E78"/>
    <w:rsid w:val="00683F84"/>
    <w:rsid w:val="006842FB"/>
    <w:rsid w:val="00691CD1"/>
    <w:rsid w:val="006937FE"/>
    <w:rsid w:val="00693C5A"/>
    <w:rsid w:val="006944E5"/>
    <w:rsid w:val="00695B24"/>
    <w:rsid w:val="006A11C3"/>
    <w:rsid w:val="006A22D1"/>
    <w:rsid w:val="006A2A98"/>
    <w:rsid w:val="006A2EEF"/>
    <w:rsid w:val="006A3B28"/>
    <w:rsid w:val="006A4D7A"/>
    <w:rsid w:val="006A4E89"/>
    <w:rsid w:val="006A5B87"/>
    <w:rsid w:val="006A6A81"/>
    <w:rsid w:val="006A7F77"/>
    <w:rsid w:val="006B210D"/>
    <w:rsid w:val="006B7287"/>
    <w:rsid w:val="006C2401"/>
    <w:rsid w:val="006C2508"/>
    <w:rsid w:val="006C280C"/>
    <w:rsid w:val="006C3712"/>
    <w:rsid w:val="006C4751"/>
    <w:rsid w:val="006C4852"/>
    <w:rsid w:val="006C4A55"/>
    <w:rsid w:val="006C5866"/>
    <w:rsid w:val="006C789B"/>
    <w:rsid w:val="006D1360"/>
    <w:rsid w:val="006D190A"/>
    <w:rsid w:val="006D1D51"/>
    <w:rsid w:val="006D3EDA"/>
    <w:rsid w:val="006D753E"/>
    <w:rsid w:val="006E12B7"/>
    <w:rsid w:val="006E37B8"/>
    <w:rsid w:val="006E3F18"/>
    <w:rsid w:val="006E42B9"/>
    <w:rsid w:val="006E536A"/>
    <w:rsid w:val="006F27FA"/>
    <w:rsid w:val="006F2D37"/>
    <w:rsid w:val="006F630A"/>
    <w:rsid w:val="006F6B6F"/>
    <w:rsid w:val="006F6E37"/>
    <w:rsid w:val="006F7393"/>
    <w:rsid w:val="0070224F"/>
    <w:rsid w:val="00703990"/>
    <w:rsid w:val="007040EC"/>
    <w:rsid w:val="0070421D"/>
    <w:rsid w:val="00704418"/>
    <w:rsid w:val="00705D84"/>
    <w:rsid w:val="007071C6"/>
    <w:rsid w:val="007115F7"/>
    <w:rsid w:val="00711C64"/>
    <w:rsid w:val="00712002"/>
    <w:rsid w:val="0071274D"/>
    <w:rsid w:val="007127DF"/>
    <w:rsid w:val="00712ADE"/>
    <w:rsid w:val="00713A95"/>
    <w:rsid w:val="00716588"/>
    <w:rsid w:val="0072051C"/>
    <w:rsid w:val="00722763"/>
    <w:rsid w:val="007229E6"/>
    <w:rsid w:val="00723EF1"/>
    <w:rsid w:val="00726099"/>
    <w:rsid w:val="007268C4"/>
    <w:rsid w:val="00727BE2"/>
    <w:rsid w:val="00730179"/>
    <w:rsid w:val="007335F9"/>
    <w:rsid w:val="00734634"/>
    <w:rsid w:val="007347B4"/>
    <w:rsid w:val="007366C0"/>
    <w:rsid w:val="0073793D"/>
    <w:rsid w:val="007402EA"/>
    <w:rsid w:val="007418DE"/>
    <w:rsid w:val="00742133"/>
    <w:rsid w:val="00742407"/>
    <w:rsid w:val="00742467"/>
    <w:rsid w:val="007444A5"/>
    <w:rsid w:val="00745616"/>
    <w:rsid w:val="00745EB4"/>
    <w:rsid w:val="0074793E"/>
    <w:rsid w:val="0075132F"/>
    <w:rsid w:val="00751B6D"/>
    <w:rsid w:val="00753D3A"/>
    <w:rsid w:val="00754291"/>
    <w:rsid w:val="00756EE3"/>
    <w:rsid w:val="007614EE"/>
    <w:rsid w:val="00764D25"/>
    <w:rsid w:val="00765BB9"/>
    <w:rsid w:val="00766951"/>
    <w:rsid w:val="00770AB9"/>
    <w:rsid w:val="0077164B"/>
    <w:rsid w:val="007723D2"/>
    <w:rsid w:val="0077254C"/>
    <w:rsid w:val="00773FEC"/>
    <w:rsid w:val="0077428A"/>
    <w:rsid w:val="00781513"/>
    <w:rsid w:val="00783084"/>
    <w:rsid w:val="00783100"/>
    <w:rsid w:val="00784569"/>
    <w:rsid w:val="00784906"/>
    <w:rsid w:val="00785689"/>
    <w:rsid w:val="00787084"/>
    <w:rsid w:val="007873C0"/>
    <w:rsid w:val="00792FA0"/>
    <w:rsid w:val="007939D1"/>
    <w:rsid w:val="0079581C"/>
    <w:rsid w:val="007974EE"/>
    <w:rsid w:val="0079754B"/>
    <w:rsid w:val="00797DB7"/>
    <w:rsid w:val="007A0207"/>
    <w:rsid w:val="007A1271"/>
    <w:rsid w:val="007A15A9"/>
    <w:rsid w:val="007A15D2"/>
    <w:rsid w:val="007A1E6D"/>
    <w:rsid w:val="007A40D5"/>
    <w:rsid w:val="007A447D"/>
    <w:rsid w:val="007A5C9F"/>
    <w:rsid w:val="007A6241"/>
    <w:rsid w:val="007B0EB2"/>
    <w:rsid w:val="007B5CFA"/>
    <w:rsid w:val="007B6806"/>
    <w:rsid w:val="007B7E55"/>
    <w:rsid w:val="007C00CE"/>
    <w:rsid w:val="007C24B7"/>
    <w:rsid w:val="007C4BC0"/>
    <w:rsid w:val="007C4EDB"/>
    <w:rsid w:val="007D0416"/>
    <w:rsid w:val="007D13BF"/>
    <w:rsid w:val="007D176F"/>
    <w:rsid w:val="007D30B6"/>
    <w:rsid w:val="007D7E83"/>
    <w:rsid w:val="007E0938"/>
    <w:rsid w:val="007E1003"/>
    <w:rsid w:val="007E3DD4"/>
    <w:rsid w:val="007E5137"/>
    <w:rsid w:val="007E75EF"/>
    <w:rsid w:val="007F079F"/>
    <w:rsid w:val="007F0A41"/>
    <w:rsid w:val="007F222E"/>
    <w:rsid w:val="007F4720"/>
    <w:rsid w:val="007F7D0A"/>
    <w:rsid w:val="008007C5"/>
    <w:rsid w:val="0080206B"/>
    <w:rsid w:val="00803111"/>
    <w:rsid w:val="00804410"/>
    <w:rsid w:val="00804483"/>
    <w:rsid w:val="00805AAA"/>
    <w:rsid w:val="00810248"/>
    <w:rsid w:val="00810B6F"/>
    <w:rsid w:val="0082061C"/>
    <w:rsid w:val="0082181D"/>
    <w:rsid w:val="008226CE"/>
    <w:rsid w:val="0082294E"/>
    <w:rsid w:val="00822CE0"/>
    <w:rsid w:val="00824A27"/>
    <w:rsid w:val="00824A61"/>
    <w:rsid w:val="00824AC7"/>
    <w:rsid w:val="00824AD0"/>
    <w:rsid w:val="00825733"/>
    <w:rsid w:val="00826579"/>
    <w:rsid w:val="00827F50"/>
    <w:rsid w:val="00831052"/>
    <w:rsid w:val="008311AF"/>
    <w:rsid w:val="00833CB0"/>
    <w:rsid w:val="00834462"/>
    <w:rsid w:val="00834B9F"/>
    <w:rsid w:val="00834F54"/>
    <w:rsid w:val="008356D5"/>
    <w:rsid w:val="008360D0"/>
    <w:rsid w:val="008369DE"/>
    <w:rsid w:val="008400C3"/>
    <w:rsid w:val="008402AD"/>
    <w:rsid w:val="00841907"/>
    <w:rsid w:val="00841AB1"/>
    <w:rsid w:val="00841EFF"/>
    <w:rsid w:val="008422BF"/>
    <w:rsid w:val="00842397"/>
    <w:rsid w:val="00843ACD"/>
    <w:rsid w:val="00843F62"/>
    <w:rsid w:val="00845BF5"/>
    <w:rsid w:val="00846769"/>
    <w:rsid w:val="008467C0"/>
    <w:rsid w:val="00847061"/>
    <w:rsid w:val="0084762D"/>
    <w:rsid w:val="008515FF"/>
    <w:rsid w:val="00851D92"/>
    <w:rsid w:val="008522AF"/>
    <w:rsid w:val="00853E55"/>
    <w:rsid w:val="00854CEB"/>
    <w:rsid w:val="0085709A"/>
    <w:rsid w:val="0085747E"/>
    <w:rsid w:val="0085775E"/>
    <w:rsid w:val="00861308"/>
    <w:rsid w:val="008631B3"/>
    <w:rsid w:val="00863362"/>
    <w:rsid w:val="00863BB6"/>
    <w:rsid w:val="00864129"/>
    <w:rsid w:val="00866D0C"/>
    <w:rsid w:val="00867DE8"/>
    <w:rsid w:val="00871244"/>
    <w:rsid w:val="00872474"/>
    <w:rsid w:val="0087510B"/>
    <w:rsid w:val="00876522"/>
    <w:rsid w:val="00880B3D"/>
    <w:rsid w:val="00881CD8"/>
    <w:rsid w:val="008825D1"/>
    <w:rsid w:val="00883AFD"/>
    <w:rsid w:val="00883D8E"/>
    <w:rsid w:val="008851AA"/>
    <w:rsid w:val="008853A9"/>
    <w:rsid w:val="008858E2"/>
    <w:rsid w:val="008906B9"/>
    <w:rsid w:val="008907FB"/>
    <w:rsid w:val="00890927"/>
    <w:rsid w:val="00891674"/>
    <w:rsid w:val="008917C0"/>
    <w:rsid w:val="00894B66"/>
    <w:rsid w:val="00896616"/>
    <w:rsid w:val="008A1BA3"/>
    <w:rsid w:val="008A1C9E"/>
    <w:rsid w:val="008A3D1C"/>
    <w:rsid w:val="008A6B9F"/>
    <w:rsid w:val="008B107D"/>
    <w:rsid w:val="008B15B1"/>
    <w:rsid w:val="008B33A3"/>
    <w:rsid w:val="008B42FA"/>
    <w:rsid w:val="008C36B1"/>
    <w:rsid w:val="008C3935"/>
    <w:rsid w:val="008C667C"/>
    <w:rsid w:val="008C68F1"/>
    <w:rsid w:val="008C6B9C"/>
    <w:rsid w:val="008D3D4A"/>
    <w:rsid w:val="008D42EB"/>
    <w:rsid w:val="008D4A71"/>
    <w:rsid w:val="008D5879"/>
    <w:rsid w:val="008D590F"/>
    <w:rsid w:val="008D7BD5"/>
    <w:rsid w:val="008E1C7C"/>
    <w:rsid w:val="008E1D10"/>
    <w:rsid w:val="008E2E6E"/>
    <w:rsid w:val="008E309C"/>
    <w:rsid w:val="008F0D2C"/>
    <w:rsid w:val="008F1FA8"/>
    <w:rsid w:val="008F2F97"/>
    <w:rsid w:val="008F32AA"/>
    <w:rsid w:val="008F3AA7"/>
    <w:rsid w:val="008F3CD7"/>
    <w:rsid w:val="008F6DA2"/>
    <w:rsid w:val="008F7838"/>
    <w:rsid w:val="00900612"/>
    <w:rsid w:val="0090158E"/>
    <w:rsid w:val="00902093"/>
    <w:rsid w:val="00902E22"/>
    <w:rsid w:val="00905962"/>
    <w:rsid w:val="00911282"/>
    <w:rsid w:val="00911DA3"/>
    <w:rsid w:val="00914BDA"/>
    <w:rsid w:val="00915830"/>
    <w:rsid w:val="00916C55"/>
    <w:rsid w:val="0092004B"/>
    <w:rsid w:val="0092012F"/>
    <w:rsid w:val="00920E15"/>
    <w:rsid w:val="00921341"/>
    <w:rsid w:val="00921803"/>
    <w:rsid w:val="0092227F"/>
    <w:rsid w:val="00922E5E"/>
    <w:rsid w:val="00926503"/>
    <w:rsid w:val="00927E41"/>
    <w:rsid w:val="009304DB"/>
    <w:rsid w:val="00931F8C"/>
    <w:rsid w:val="00932340"/>
    <w:rsid w:val="00932A36"/>
    <w:rsid w:val="00934D21"/>
    <w:rsid w:val="00934F85"/>
    <w:rsid w:val="00935023"/>
    <w:rsid w:val="009361C4"/>
    <w:rsid w:val="00936403"/>
    <w:rsid w:val="00936E71"/>
    <w:rsid w:val="009400C1"/>
    <w:rsid w:val="0094164C"/>
    <w:rsid w:val="0094369A"/>
    <w:rsid w:val="0094501B"/>
    <w:rsid w:val="0094730C"/>
    <w:rsid w:val="0095062F"/>
    <w:rsid w:val="00950BA6"/>
    <w:rsid w:val="0095112B"/>
    <w:rsid w:val="00953039"/>
    <w:rsid w:val="00953733"/>
    <w:rsid w:val="00956143"/>
    <w:rsid w:val="0095680C"/>
    <w:rsid w:val="00956A52"/>
    <w:rsid w:val="009576F2"/>
    <w:rsid w:val="00961430"/>
    <w:rsid w:val="0096172E"/>
    <w:rsid w:val="00962494"/>
    <w:rsid w:val="00962E4A"/>
    <w:rsid w:val="0096519B"/>
    <w:rsid w:val="0096763E"/>
    <w:rsid w:val="00971445"/>
    <w:rsid w:val="009726D8"/>
    <w:rsid w:val="00972C63"/>
    <w:rsid w:val="009746FF"/>
    <w:rsid w:val="009779A2"/>
    <w:rsid w:val="0098064B"/>
    <w:rsid w:val="009820AB"/>
    <w:rsid w:val="00983E2D"/>
    <w:rsid w:val="0098444C"/>
    <w:rsid w:val="009847BA"/>
    <w:rsid w:val="009855AC"/>
    <w:rsid w:val="00986EFE"/>
    <w:rsid w:val="00986F9E"/>
    <w:rsid w:val="009911A4"/>
    <w:rsid w:val="00993AAC"/>
    <w:rsid w:val="00993E65"/>
    <w:rsid w:val="00995809"/>
    <w:rsid w:val="009A0164"/>
    <w:rsid w:val="009A0245"/>
    <w:rsid w:val="009A0CED"/>
    <w:rsid w:val="009A0FEF"/>
    <w:rsid w:val="009A1DB9"/>
    <w:rsid w:val="009A406C"/>
    <w:rsid w:val="009A40CD"/>
    <w:rsid w:val="009A5065"/>
    <w:rsid w:val="009A539B"/>
    <w:rsid w:val="009A5DCF"/>
    <w:rsid w:val="009A6D5F"/>
    <w:rsid w:val="009A7605"/>
    <w:rsid w:val="009B0025"/>
    <w:rsid w:val="009B415D"/>
    <w:rsid w:val="009B42AD"/>
    <w:rsid w:val="009B457B"/>
    <w:rsid w:val="009B4C47"/>
    <w:rsid w:val="009B5529"/>
    <w:rsid w:val="009B559C"/>
    <w:rsid w:val="009B5D2E"/>
    <w:rsid w:val="009B6187"/>
    <w:rsid w:val="009B6841"/>
    <w:rsid w:val="009B6E23"/>
    <w:rsid w:val="009B7D67"/>
    <w:rsid w:val="009B7E1A"/>
    <w:rsid w:val="009C03E5"/>
    <w:rsid w:val="009C07F1"/>
    <w:rsid w:val="009C0E03"/>
    <w:rsid w:val="009C3CC2"/>
    <w:rsid w:val="009C58DF"/>
    <w:rsid w:val="009C5C43"/>
    <w:rsid w:val="009C6916"/>
    <w:rsid w:val="009C6D74"/>
    <w:rsid w:val="009D1EF3"/>
    <w:rsid w:val="009D3E6A"/>
    <w:rsid w:val="009D3FDB"/>
    <w:rsid w:val="009D4365"/>
    <w:rsid w:val="009D636C"/>
    <w:rsid w:val="009E0FE8"/>
    <w:rsid w:val="009E2FFC"/>
    <w:rsid w:val="009E394E"/>
    <w:rsid w:val="009E457E"/>
    <w:rsid w:val="009E5264"/>
    <w:rsid w:val="009E5420"/>
    <w:rsid w:val="009E691D"/>
    <w:rsid w:val="009E6920"/>
    <w:rsid w:val="009E6BCB"/>
    <w:rsid w:val="009F19AC"/>
    <w:rsid w:val="009F218D"/>
    <w:rsid w:val="009F2B9D"/>
    <w:rsid w:val="009F5CCF"/>
    <w:rsid w:val="009F639D"/>
    <w:rsid w:val="009F6F22"/>
    <w:rsid w:val="009F76DB"/>
    <w:rsid w:val="009F79A9"/>
    <w:rsid w:val="00A00A80"/>
    <w:rsid w:val="00A040AD"/>
    <w:rsid w:val="00A073C1"/>
    <w:rsid w:val="00A07BAC"/>
    <w:rsid w:val="00A1125D"/>
    <w:rsid w:val="00A12D90"/>
    <w:rsid w:val="00A140F6"/>
    <w:rsid w:val="00A15AEE"/>
    <w:rsid w:val="00A16AB1"/>
    <w:rsid w:val="00A2085B"/>
    <w:rsid w:val="00A217AC"/>
    <w:rsid w:val="00A22BD0"/>
    <w:rsid w:val="00A24042"/>
    <w:rsid w:val="00A24353"/>
    <w:rsid w:val="00A25176"/>
    <w:rsid w:val="00A255BC"/>
    <w:rsid w:val="00A269DB"/>
    <w:rsid w:val="00A31D00"/>
    <w:rsid w:val="00A32C3B"/>
    <w:rsid w:val="00A338E3"/>
    <w:rsid w:val="00A33B31"/>
    <w:rsid w:val="00A351F5"/>
    <w:rsid w:val="00A363EE"/>
    <w:rsid w:val="00A3781B"/>
    <w:rsid w:val="00A40302"/>
    <w:rsid w:val="00A4046E"/>
    <w:rsid w:val="00A42B70"/>
    <w:rsid w:val="00A434AC"/>
    <w:rsid w:val="00A4391B"/>
    <w:rsid w:val="00A43CCD"/>
    <w:rsid w:val="00A45427"/>
    <w:rsid w:val="00A45F4F"/>
    <w:rsid w:val="00A46AEC"/>
    <w:rsid w:val="00A47FE9"/>
    <w:rsid w:val="00A51A4A"/>
    <w:rsid w:val="00A54485"/>
    <w:rsid w:val="00A54B1D"/>
    <w:rsid w:val="00A56994"/>
    <w:rsid w:val="00A56CDD"/>
    <w:rsid w:val="00A600A9"/>
    <w:rsid w:val="00A601AB"/>
    <w:rsid w:val="00A62652"/>
    <w:rsid w:val="00A626EA"/>
    <w:rsid w:val="00A654CD"/>
    <w:rsid w:val="00A7414A"/>
    <w:rsid w:val="00A751F7"/>
    <w:rsid w:val="00A7619F"/>
    <w:rsid w:val="00A77AC4"/>
    <w:rsid w:val="00A80FB1"/>
    <w:rsid w:val="00A832D0"/>
    <w:rsid w:val="00A8736D"/>
    <w:rsid w:val="00A876B4"/>
    <w:rsid w:val="00A9128F"/>
    <w:rsid w:val="00A956BE"/>
    <w:rsid w:val="00A95E4A"/>
    <w:rsid w:val="00AA2522"/>
    <w:rsid w:val="00AA2A31"/>
    <w:rsid w:val="00AA4502"/>
    <w:rsid w:val="00AA55B7"/>
    <w:rsid w:val="00AA5B9E"/>
    <w:rsid w:val="00AA7BF4"/>
    <w:rsid w:val="00AB2407"/>
    <w:rsid w:val="00AB3EDB"/>
    <w:rsid w:val="00AB44D1"/>
    <w:rsid w:val="00AB44D7"/>
    <w:rsid w:val="00AB4676"/>
    <w:rsid w:val="00AB53DF"/>
    <w:rsid w:val="00AB5B79"/>
    <w:rsid w:val="00AB6066"/>
    <w:rsid w:val="00AB6565"/>
    <w:rsid w:val="00AB6BE6"/>
    <w:rsid w:val="00AB76FA"/>
    <w:rsid w:val="00AC06C9"/>
    <w:rsid w:val="00AC1060"/>
    <w:rsid w:val="00AC1DF4"/>
    <w:rsid w:val="00AC1ECB"/>
    <w:rsid w:val="00AC30FB"/>
    <w:rsid w:val="00AC3C55"/>
    <w:rsid w:val="00AC40FF"/>
    <w:rsid w:val="00AC4397"/>
    <w:rsid w:val="00AC4820"/>
    <w:rsid w:val="00AC641F"/>
    <w:rsid w:val="00AC6D0C"/>
    <w:rsid w:val="00AC6D83"/>
    <w:rsid w:val="00AC72F1"/>
    <w:rsid w:val="00AC771C"/>
    <w:rsid w:val="00AD145F"/>
    <w:rsid w:val="00AD2BDE"/>
    <w:rsid w:val="00AD3C4C"/>
    <w:rsid w:val="00AD3F8C"/>
    <w:rsid w:val="00AE222F"/>
    <w:rsid w:val="00AE22DA"/>
    <w:rsid w:val="00AE2559"/>
    <w:rsid w:val="00AE2EB6"/>
    <w:rsid w:val="00AE3FEA"/>
    <w:rsid w:val="00AE58AB"/>
    <w:rsid w:val="00AF13A4"/>
    <w:rsid w:val="00AF3073"/>
    <w:rsid w:val="00AF336C"/>
    <w:rsid w:val="00AF5F09"/>
    <w:rsid w:val="00AF72A0"/>
    <w:rsid w:val="00B00B6E"/>
    <w:rsid w:val="00B00E8E"/>
    <w:rsid w:val="00B02FC2"/>
    <w:rsid w:val="00B041F9"/>
    <w:rsid w:val="00B069C9"/>
    <w:rsid w:val="00B07E5C"/>
    <w:rsid w:val="00B10031"/>
    <w:rsid w:val="00B10E7C"/>
    <w:rsid w:val="00B12B89"/>
    <w:rsid w:val="00B1665F"/>
    <w:rsid w:val="00B17035"/>
    <w:rsid w:val="00B20533"/>
    <w:rsid w:val="00B2062B"/>
    <w:rsid w:val="00B2173E"/>
    <w:rsid w:val="00B2193C"/>
    <w:rsid w:val="00B21FB5"/>
    <w:rsid w:val="00B22BBC"/>
    <w:rsid w:val="00B22D49"/>
    <w:rsid w:val="00B22EA5"/>
    <w:rsid w:val="00B24667"/>
    <w:rsid w:val="00B24AA5"/>
    <w:rsid w:val="00B24D0B"/>
    <w:rsid w:val="00B2611F"/>
    <w:rsid w:val="00B30004"/>
    <w:rsid w:val="00B30350"/>
    <w:rsid w:val="00B31D34"/>
    <w:rsid w:val="00B32883"/>
    <w:rsid w:val="00B328D2"/>
    <w:rsid w:val="00B33062"/>
    <w:rsid w:val="00B33AEC"/>
    <w:rsid w:val="00B36E49"/>
    <w:rsid w:val="00B37CC4"/>
    <w:rsid w:val="00B40F7F"/>
    <w:rsid w:val="00B43B25"/>
    <w:rsid w:val="00B457C3"/>
    <w:rsid w:val="00B46978"/>
    <w:rsid w:val="00B46BC4"/>
    <w:rsid w:val="00B4745D"/>
    <w:rsid w:val="00B474B2"/>
    <w:rsid w:val="00B50D24"/>
    <w:rsid w:val="00B50F8C"/>
    <w:rsid w:val="00B52CC2"/>
    <w:rsid w:val="00B53419"/>
    <w:rsid w:val="00B5344A"/>
    <w:rsid w:val="00B55847"/>
    <w:rsid w:val="00B55C3D"/>
    <w:rsid w:val="00B571E3"/>
    <w:rsid w:val="00B572BE"/>
    <w:rsid w:val="00B57F92"/>
    <w:rsid w:val="00B62170"/>
    <w:rsid w:val="00B6335C"/>
    <w:rsid w:val="00B63682"/>
    <w:rsid w:val="00B63948"/>
    <w:rsid w:val="00B64531"/>
    <w:rsid w:val="00B64701"/>
    <w:rsid w:val="00B647CA"/>
    <w:rsid w:val="00B64826"/>
    <w:rsid w:val="00B66771"/>
    <w:rsid w:val="00B66780"/>
    <w:rsid w:val="00B71774"/>
    <w:rsid w:val="00B7362A"/>
    <w:rsid w:val="00B7422A"/>
    <w:rsid w:val="00B76137"/>
    <w:rsid w:val="00B768A2"/>
    <w:rsid w:val="00B811F7"/>
    <w:rsid w:val="00B812D8"/>
    <w:rsid w:val="00B81B0A"/>
    <w:rsid w:val="00B82556"/>
    <w:rsid w:val="00B83C4F"/>
    <w:rsid w:val="00B84455"/>
    <w:rsid w:val="00B8474B"/>
    <w:rsid w:val="00B84AF7"/>
    <w:rsid w:val="00B878D0"/>
    <w:rsid w:val="00B90907"/>
    <w:rsid w:val="00B91DA2"/>
    <w:rsid w:val="00B92E69"/>
    <w:rsid w:val="00B93772"/>
    <w:rsid w:val="00B950BA"/>
    <w:rsid w:val="00B953DA"/>
    <w:rsid w:val="00B95742"/>
    <w:rsid w:val="00B95A79"/>
    <w:rsid w:val="00B9674E"/>
    <w:rsid w:val="00B96CE7"/>
    <w:rsid w:val="00B96E18"/>
    <w:rsid w:val="00B9748D"/>
    <w:rsid w:val="00BA069A"/>
    <w:rsid w:val="00BA1C2B"/>
    <w:rsid w:val="00BA229D"/>
    <w:rsid w:val="00BA3C0F"/>
    <w:rsid w:val="00BA3DF4"/>
    <w:rsid w:val="00BA5441"/>
    <w:rsid w:val="00BA5DC6"/>
    <w:rsid w:val="00BA6196"/>
    <w:rsid w:val="00BB0B97"/>
    <w:rsid w:val="00BB1378"/>
    <w:rsid w:val="00BB2FEE"/>
    <w:rsid w:val="00BB3969"/>
    <w:rsid w:val="00BB3B5C"/>
    <w:rsid w:val="00BB45F3"/>
    <w:rsid w:val="00BB6B0B"/>
    <w:rsid w:val="00BC1105"/>
    <w:rsid w:val="00BC2337"/>
    <w:rsid w:val="00BC3765"/>
    <w:rsid w:val="00BC3AFC"/>
    <w:rsid w:val="00BC44B2"/>
    <w:rsid w:val="00BC63D0"/>
    <w:rsid w:val="00BC6CC4"/>
    <w:rsid w:val="00BC6D8C"/>
    <w:rsid w:val="00BD073C"/>
    <w:rsid w:val="00BD0A9B"/>
    <w:rsid w:val="00BD0E36"/>
    <w:rsid w:val="00BD205C"/>
    <w:rsid w:val="00BD355D"/>
    <w:rsid w:val="00BD5A46"/>
    <w:rsid w:val="00BD6A26"/>
    <w:rsid w:val="00BD6CD9"/>
    <w:rsid w:val="00BD74A1"/>
    <w:rsid w:val="00BE308C"/>
    <w:rsid w:val="00BE49E6"/>
    <w:rsid w:val="00BE66BD"/>
    <w:rsid w:val="00BF1320"/>
    <w:rsid w:val="00BF27B1"/>
    <w:rsid w:val="00BF2E36"/>
    <w:rsid w:val="00BF55D4"/>
    <w:rsid w:val="00BF70B2"/>
    <w:rsid w:val="00C013C7"/>
    <w:rsid w:val="00C018AA"/>
    <w:rsid w:val="00C01C92"/>
    <w:rsid w:val="00C02DEB"/>
    <w:rsid w:val="00C033F5"/>
    <w:rsid w:val="00C05E2D"/>
    <w:rsid w:val="00C0602A"/>
    <w:rsid w:val="00C06976"/>
    <w:rsid w:val="00C06CEC"/>
    <w:rsid w:val="00C111D3"/>
    <w:rsid w:val="00C12597"/>
    <w:rsid w:val="00C125B2"/>
    <w:rsid w:val="00C134C5"/>
    <w:rsid w:val="00C14043"/>
    <w:rsid w:val="00C1408E"/>
    <w:rsid w:val="00C17679"/>
    <w:rsid w:val="00C2213C"/>
    <w:rsid w:val="00C22BE2"/>
    <w:rsid w:val="00C2399F"/>
    <w:rsid w:val="00C246D4"/>
    <w:rsid w:val="00C24A9F"/>
    <w:rsid w:val="00C2520D"/>
    <w:rsid w:val="00C2567E"/>
    <w:rsid w:val="00C25B7F"/>
    <w:rsid w:val="00C306DE"/>
    <w:rsid w:val="00C3187B"/>
    <w:rsid w:val="00C34006"/>
    <w:rsid w:val="00C34F1B"/>
    <w:rsid w:val="00C35313"/>
    <w:rsid w:val="00C40DF3"/>
    <w:rsid w:val="00C41C22"/>
    <w:rsid w:val="00C41D6A"/>
    <w:rsid w:val="00C426B1"/>
    <w:rsid w:val="00C4309B"/>
    <w:rsid w:val="00C434F9"/>
    <w:rsid w:val="00C43915"/>
    <w:rsid w:val="00C46797"/>
    <w:rsid w:val="00C4792D"/>
    <w:rsid w:val="00C52FD6"/>
    <w:rsid w:val="00C5558B"/>
    <w:rsid w:val="00C56BDF"/>
    <w:rsid w:val="00C57379"/>
    <w:rsid w:val="00C60250"/>
    <w:rsid w:val="00C64F95"/>
    <w:rsid w:val="00C654E0"/>
    <w:rsid w:val="00C66160"/>
    <w:rsid w:val="00C66B9F"/>
    <w:rsid w:val="00C7078B"/>
    <w:rsid w:val="00C721AC"/>
    <w:rsid w:val="00C7266A"/>
    <w:rsid w:val="00C72AC9"/>
    <w:rsid w:val="00C745B5"/>
    <w:rsid w:val="00C75EC8"/>
    <w:rsid w:val="00C762B6"/>
    <w:rsid w:val="00C814DD"/>
    <w:rsid w:val="00C8288C"/>
    <w:rsid w:val="00C838CA"/>
    <w:rsid w:val="00C83A89"/>
    <w:rsid w:val="00C85616"/>
    <w:rsid w:val="00C86E8B"/>
    <w:rsid w:val="00C871EF"/>
    <w:rsid w:val="00C90D6A"/>
    <w:rsid w:val="00C93231"/>
    <w:rsid w:val="00C93BC8"/>
    <w:rsid w:val="00C97FAD"/>
    <w:rsid w:val="00CA1129"/>
    <w:rsid w:val="00CA235C"/>
    <w:rsid w:val="00CA247E"/>
    <w:rsid w:val="00CB3BC1"/>
    <w:rsid w:val="00CB64D5"/>
    <w:rsid w:val="00CB6CD4"/>
    <w:rsid w:val="00CB6D13"/>
    <w:rsid w:val="00CB7806"/>
    <w:rsid w:val="00CC1A35"/>
    <w:rsid w:val="00CC56DE"/>
    <w:rsid w:val="00CC5E59"/>
    <w:rsid w:val="00CC5F71"/>
    <w:rsid w:val="00CC6292"/>
    <w:rsid w:val="00CC6C11"/>
    <w:rsid w:val="00CC72B6"/>
    <w:rsid w:val="00CC7A73"/>
    <w:rsid w:val="00CD1EFB"/>
    <w:rsid w:val="00CD2B0B"/>
    <w:rsid w:val="00CD4234"/>
    <w:rsid w:val="00CD4454"/>
    <w:rsid w:val="00CD48C9"/>
    <w:rsid w:val="00CD5F9A"/>
    <w:rsid w:val="00CD68B3"/>
    <w:rsid w:val="00CE063B"/>
    <w:rsid w:val="00CE266E"/>
    <w:rsid w:val="00CE4BB1"/>
    <w:rsid w:val="00CE5F6B"/>
    <w:rsid w:val="00CE6742"/>
    <w:rsid w:val="00CE68C0"/>
    <w:rsid w:val="00CE7DA8"/>
    <w:rsid w:val="00CF276E"/>
    <w:rsid w:val="00CF5808"/>
    <w:rsid w:val="00CF66EE"/>
    <w:rsid w:val="00CF72CC"/>
    <w:rsid w:val="00D00C61"/>
    <w:rsid w:val="00D0218D"/>
    <w:rsid w:val="00D0264D"/>
    <w:rsid w:val="00D03E4A"/>
    <w:rsid w:val="00D04902"/>
    <w:rsid w:val="00D04FDF"/>
    <w:rsid w:val="00D06D5F"/>
    <w:rsid w:val="00D0783D"/>
    <w:rsid w:val="00D13850"/>
    <w:rsid w:val="00D212D4"/>
    <w:rsid w:val="00D216FD"/>
    <w:rsid w:val="00D236EC"/>
    <w:rsid w:val="00D24226"/>
    <w:rsid w:val="00D243F8"/>
    <w:rsid w:val="00D250AB"/>
    <w:rsid w:val="00D256C0"/>
    <w:rsid w:val="00D25FB5"/>
    <w:rsid w:val="00D30C26"/>
    <w:rsid w:val="00D3498F"/>
    <w:rsid w:val="00D35321"/>
    <w:rsid w:val="00D366CD"/>
    <w:rsid w:val="00D368DA"/>
    <w:rsid w:val="00D3759D"/>
    <w:rsid w:val="00D40D89"/>
    <w:rsid w:val="00D42393"/>
    <w:rsid w:val="00D4279F"/>
    <w:rsid w:val="00D434F7"/>
    <w:rsid w:val="00D435A8"/>
    <w:rsid w:val="00D44223"/>
    <w:rsid w:val="00D446B3"/>
    <w:rsid w:val="00D50255"/>
    <w:rsid w:val="00D517CE"/>
    <w:rsid w:val="00D54EC7"/>
    <w:rsid w:val="00D55922"/>
    <w:rsid w:val="00D5653D"/>
    <w:rsid w:val="00D606FB"/>
    <w:rsid w:val="00D60EE4"/>
    <w:rsid w:val="00D635E6"/>
    <w:rsid w:val="00D66418"/>
    <w:rsid w:val="00D672F1"/>
    <w:rsid w:val="00D6774E"/>
    <w:rsid w:val="00D76ABA"/>
    <w:rsid w:val="00D77E2C"/>
    <w:rsid w:val="00D81039"/>
    <w:rsid w:val="00D822A8"/>
    <w:rsid w:val="00D830FD"/>
    <w:rsid w:val="00D83367"/>
    <w:rsid w:val="00D87BF8"/>
    <w:rsid w:val="00D87F97"/>
    <w:rsid w:val="00D918ED"/>
    <w:rsid w:val="00D923D8"/>
    <w:rsid w:val="00D93C7A"/>
    <w:rsid w:val="00D946DD"/>
    <w:rsid w:val="00D94710"/>
    <w:rsid w:val="00D9478B"/>
    <w:rsid w:val="00D94B18"/>
    <w:rsid w:val="00D95205"/>
    <w:rsid w:val="00D97DDE"/>
    <w:rsid w:val="00DA0AA5"/>
    <w:rsid w:val="00DA22DA"/>
    <w:rsid w:val="00DA2529"/>
    <w:rsid w:val="00DA3B9D"/>
    <w:rsid w:val="00DA402D"/>
    <w:rsid w:val="00DA42CA"/>
    <w:rsid w:val="00DB043A"/>
    <w:rsid w:val="00DB0E82"/>
    <w:rsid w:val="00DB130A"/>
    <w:rsid w:val="00DB14B1"/>
    <w:rsid w:val="00DB29BB"/>
    <w:rsid w:val="00DB2EBB"/>
    <w:rsid w:val="00DB3522"/>
    <w:rsid w:val="00DB7C56"/>
    <w:rsid w:val="00DC0358"/>
    <w:rsid w:val="00DC105C"/>
    <w:rsid w:val="00DC10A1"/>
    <w:rsid w:val="00DC2FB9"/>
    <w:rsid w:val="00DC4B0F"/>
    <w:rsid w:val="00DC594E"/>
    <w:rsid w:val="00DC60F5"/>
    <w:rsid w:val="00DC655F"/>
    <w:rsid w:val="00DC67D6"/>
    <w:rsid w:val="00DD0B59"/>
    <w:rsid w:val="00DD2B09"/>
    <w:rsid w:val="00DD4018"/>
    <w:rsid w:val="00DD5715"/>
    <w:rsid w:val="00DD6581"/>
    <w:rsid w:val="00DD6AB0"/>
    <w:rsid w:val="00DD6EC0"/>
    <w:rsid w:val="00DD79CB"/>
    <w:rsid w:val="00DD7B6C"/>
    <w:rsid w:val="00DD7EBD"/>
    <w:rsid w:val="00DE1748"/>
    <w:rsid w:val="00DE4028"/>
    <w:rsid w:val="00DF00E9"/>
    <w:rsid w:val="00DF21B4"/>
    <w:rsid w:val="00DF3804"/>
    <w:rsid w:val="00DF4A21"/>
    <w:rsid w:val="00DF5182"/>
    <w:rsid w:val="00DF56B0"/>
    <w:rsid w:val="00DF589B"/>
    <w:rsid w:val="00DF62B6"/>
    <w:rsid w:val="00E009AE"/>
    <w:rsid w:val="00E01067"/>
    <w:rsid w:val="00E03D37"/>
    <w:rsid w:val="00E04779"/>
    <w:rsid w:val="00E050CD"/>
    <w:rsid w:val="00E07225"/>
    <w:rsid w:val="00E11F8E"/>
    <w:rsid w:val="00E1681B"/>
    <w:rsid w:val="00E16B63"/>
    <w:rsid w:val="00E16C92"/>
    <w:rsid w:val="00E1780F"/>
    <w:rsid w:val="00E202DF"/>
    <w:rsid w:val="00E258EA"/>
    <w:rsid w:val="00E25F1B"/>
    <w:rsid w:val="00E2676C"/>
    <w:rsid w:val="00E306E8"/>
    <w:rsid w:val="00E31353"/>
    <w:rsid w:val="00E325FB"/>
    <w:rsid w:val="00E342D3"/>
    <w:rsid w:val="00E34B53"/>
    <w:rsid w:val="00E35CE6"/>
    <w:rsid w:val="00E36A19"/>
    <w:rsid w:val="00E36A78"/>
    <w:rsid w:val="00E37DFF"/>
    <w:rsid w:val="00E4059F"/>
    <w:rsid w:val="00E409F3"/>
    <w:rsid w:val="00E41618"/>
    <w:rsid w:val="00E425FA"/>
    <w:rsid w:val="00E44B4D"/>
    <w:rsid w:val="00E500FA"/>
    <w:rsid w:val="00E50609"/>
    <w:rsid w:val="00E50DE8"/>
    <w:rsid w:val="00E52A6E"/>
    <w:rsid w:val="00E535BD"/>
    <w:rsid w:val="00E5409F"/>
    <w:rsid w:val="00E6100A"/>
    <w:rsid w:val="00E638C3"/>
    <w:rsid w:val="00E63C9F"/>
    <w:rsid w:val="00E65359"/>
    <w:rsid w:val="00E66B62"/>
    <w:rsid w:val="00E67890"/>
    <w:rsid w:val="00E7009E"/>
    <w:rsid w:val="00E7087B"/>
    <w:rsid w:val="00E70E1C"/>
    <w:rsid w:val="00E711DB"/>
    <w:rsid w:val="00E723DB"/>
    <w:rsid w:val="00E72940"/>
    <w:rsid w:val="00E72D31"/>
    <w:rsid w:val="00E72E88"/>
    <w:rsid w:val="00E76780"/>
    <w:rsid w:val="00E76F40"/>
    <w:rsid w:val="00E80304"/>
    <w:rsid w:val="00E81752"/>
    <w:rsid w:val="00E81854"/>
    <w:rsid w:val="00E82B1D"/>
    <w:rsid w:val="00E85CEC"/>
    <w:rsid w:val="00E877A0"/>
    <w:rsid w:val="00E90571"/>
    <w:rsid w:val="00E905EC"/>
    <w:rsid w:val="00E90845"/>
    <w:rsid w:val="00E91B99"/>
    <w:rsid w:val="00E93945"/>
    <w:rsid w:val="00E93C97"/>
    <w:rsid w:val="00E94EA6"/>
    <w:rsid w:val="00E9519A"/>
    <w:rsid w:val="00E95DBE"/>
    <w:rsid w:val="00E9643A"/>
    <w:rsid w:val="00E965A7"/>
    <w:rsid w:val="00E97070"/>
    <w:rsid w:val="00EA2CBD"/>
    <w:rsid w:val="00EA3D04"/>
    <w:rsid w:val="00EA4A1C"/>
    <w:rsid w:val="00EA4EEA"/>
    <w:rsid w:val="00EB06A3"/>
    <w:rsid w:val="00EB106C"/>
    <w:rsid w:val="00EB1A1D"/>
    <w:rsid w:val="00EB1A62"/>
    <w:rsid w:val="00EB3101"/>
    <w:rsid w:val="00EB4CC0"/>
    <w:rsid w:val="00EB4CD2"/>
    <w:rsid w:val="00EC05B4"/>
    <w:rsid w:val="00EC0903"/>
    <w:rsid w:val="00EC277A"/>
    <w:rsid w:val="00EC2AF4"/>
    <w:rsid w:val="00EC35FD"/>
    <w:rsid w:val="00EC4437"/>
    <w:rsid w:val="00EC5CF1"/>
    <w:rsid w:val="00EC61A0"/>
    <w:rsid w:val="00ED0EE3"/>
    <w:rsid w:val="00ED22E3"/>
    <w:rsid w:val="00ED3583"/>
    <w:rsid w:val="00ED5B91"/>
    <w:rsid w:val="00ED7111"/>
    <w:rsid w:val="00EE11F2"/>
    <w:rsid w:val="00EE3AAD"/>
    <w:rsid w:val="00EE3ED3"/>
    <w:rsid w:val="00EE4BD6"/>
    <w:rsid w:val="00EE6488"/>
    <w:rsid w:val="00EE77BF"/>
    <w:rsid w:val="00EE7B4C"/>
    <w:rsid w:val="00EF0E34"/>
    <w:rsid w:val="00EF12E3"/>
    <w:rsid w:val="00EF162C"/>
    <w:rsid w:val="00EF1B86"/>
    <w:rsid w:val="00EF2406"/>
    <w:rsid w:val="00EF5532"/>
    <w:rsid w:val="00EF5EBC"/>
    <w:rsid w:val="00EF7524"/>
    <w:rsid w:val="00F021FA"/>
    <w:rsid w:val="00F0461E"/>
    <w:rsid w:val="00F05552"/>
    <w:rsid w:val="00F06937"/>
    <w:rsid w:val="00F071EE"/>
    <w:rsid w:val="00F0735B"/>
    <w:rsid w:val="00F112BA"/>
    <w:rsid w:val="00F138B3"/>
    <w:rsid w:val="00F147C3"/>
    <w:rsid w:val="00F17F3D"/>
    <w:rsid w:val="00F20FFA"/>
    <w:rsid w:val="00F224C2"/>
    <w:rsid w:val="00F22D12"/>
    <w:rsid w:val="00F23911"/>
    <w:rsid w:val="00F24252"/>
    <w:rsid w:val="00F24D01"/>
    <w:rsid w:val="00F25175"/>
    <w:rsid w:val="00F263E1"/>
    <w:rsid w:val="00F26736"/>
    <w:rsid w:val="00F2738D"/>
    <w:rsid w:val="00F30457"/>
    <w:rsid w:val="00F33EE5"/>
    <w:rsid w:val="00F40AB5"/>
    <w:rsid w:val="00F41141"/>
    <w:rsid w:val="00F4156A"/>
    <w:rsid w:val="00F433BC"/>
    <w:rsid w:val="00F438DB"/>
    <w:rsid w:val="00F44106"/>
    <w:rsid w:val="00F458BE"/>
    <w:rsid w:val="00F46114"/>
    <w:rsid w:val="00F50495"/>
    <w:rsid w:val="00F55722"/>
    <w:rsid w:val="00F559C3"/>
    <w:rsid w:val="00F57CEB"/>
    <w:rsid w:val="00F57EBD"/>
    <w:rsid w:val="00F626DB"/>
    <w:rsid w:val="00F62E97"/>
    <w:rsid w:val="00F63EEB"/>
    <w:rsid w:val="00F64040"/>
    <w:rsid w:val="00F64209"/>
    <w:rsid w:val="00F6558C"/>
    <w:rsid w:val="00F665D0"/>
    <w:rsid w:val="00F6715D"/>
    <w:rsid w:val="00F67372"/>
    <w:rsid w:val="00F67A9A"/>
    <w:rsid w:val="00F703FC"/>
    <w:rsid w:val="00F72CF0"/>
    <w:rsid w:val="00F75B50"/>
    <w:rsid w:val="00F76C60"/>
    <w:rsid w:val="00F77387"/>
    <w:rsid w:val="00F7760E"/>
    <w:rsid w:val="00F80ACE"/>
    <w:rsid w:val="00F81172"/>
    <w:rsid w:val="00F816DC"/>
    <w:rsid w:val="00F818F6"/>
    <w:rsid w:val="00F82CF3"/>
    <w:rsid w:val="00F835DC"/>
    <w:rsid w:val="00F855C2"/>
    <w:rsid w:val="00F91138"/>
    <w:rsid w:val="00F92033"/>
    <w:rsid w:val="00F9215A"/>
    <w:rsid w:val="00F92A23"/>
    <w:rsid w:val="00F92ACB"/>
    <w:rsid w:val="00F93BF5"/>
    <w:rsid w:val="00F94F89"/>
    <w:rsid w:val="00F951FC"/>
    <w:rsid w:val="00F952B2"/>
    <w:rsid w:val="00F9729E"/>
    <w:rsid w:val="00FA0FB3"/>
    <w:rsid w:val="00FA1264"/>
    <w:rsid w:val="00FA22D8"/>
    <w:rsid w:val="00FA41CB"/>
    <w:rsid w:val="00FA5C0C"/>
    <w:rsid w:val="00FA6C4E"/>
    <w:rsid w:val="00FA6FD3"/>
    <w:rsid w:val="00FA7EEE"/>
    <w:rsid w:val="00FB04C7"/>
    <w:rsid w:val="00FB21F9"/>
    <w:rsid w:val="00FB4DE0"/>
    <w:rsid w:val="00FB6C80"/>
    <w:rsid w:val="00FC11E3"/>
    <w:rsid w:val="00FC2459"/>
    <w:rsid w:val="00FC2656"/>
    <w:rsid w:val="00FC3E29"/>
    <w:rsid w:val="00FC654E"/>
    <w:rsid w:val="00FC69DF"/>
    <w:rsid w:val="00FC73EA"/>
    <w:rsid w:val="00FD1057"/>
    <w:rsid w:val="00FD5257"/>
    <w:rsid w:val="00FD68AC"/>
    <w:rsid w:val="00FD6F59"/>
    <w:rsid w:val="00FD7C6E"/>
    <w:rsid w:val="00FE1136"/>
    <w:rsid w:val="00FE2C04"/>
    <w:rsid w:val="00FE2D2C"/>
    <w:rsid w:val="00FE2FCD"/>
    <w:rsid w:val="00FE3EF5"/>
    <w:rsid w:val="00FE5763"/>
    <w:rsid w:val="00FE7175"/>
    <w:rsid w:val="00FF1D72"/>
    <w:rsid w:val="00FF2C83"/>
    <w:rsid w:val="00FF324E"/>
    <w:rsid w:val="00FF342B"/>
    <w:rsid w:val="00FF5BF9"/>
    <w:rsid w:val="00FF62FF"/>
    <w:rsid w:val="00FF654D"/>
    <w:rsid w:val="00FF6CE6"/>
    <w:rsid w:val="00FF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CD8"/>
    <w:pPr>
      <w:widowControl w:val="0"/>
    </w:pPr>
    <w:rPr>
      <w:snapToGrid w:val="0"/>
      <w:kern w:val="28"/>
      <w:sz w:val="22"/>
    </w:rPr>
  </w:style>
  <w:style w:type="paragraph" w:styleId="Heading1">
    <w:name w:val="heading 1"/>
    <w:basedOn w:val="Normal"/>
    <w:next w:val="ParaNum"/>
    <w:link w:val="Heading1Char"/>
    <w:qFormat/>
    <w:rsid w:val="00881CD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81CD8"/>
    <w:pPr>
      <w:keepNext/>
      <w:numPr>
        <w:ilvl w:val="1"/>
        <w:numId w:val="3"/>
      </w:numPr>
      <w:spacing w:after="120"/>
      <w:outlineLvl w:val="1"/>
    </w:pPr>
    <w:rPr>
      <w:b/>
    </w:rPr>
  </w:style>
  <w:style w:type="paragraph" w:styleId="Heading3">
    <w:name w:val="heading 3"/>
    <w:basedOn w:val="Normal"/>
    <w:next w:val="ParaNum"/>
    <w:qFormat/>
    <w:rsid w:val="00881CD8"/>
    <w:pPr>
      <w:keepNext/>
      <w:numPr>
        <w:ilvl w:val="2"/>
        <w:numId w:val="3"/>
      </w:numPr>
      <w:tabs>
        <w:tab w:val="left" w:pos="2160"/>
      </w:tabs>
      <w:spacing w:after="120"/>
      <w:outlineLvl w:val="2"/>
    </w:pPr>
    <w:rPr>
      <w:b/>
    </w:rPr>
  </w:style>
  <w:style w:type="paragraph" w:styleId="Heading4">
    <w:name w:val="heading 4"/>
    <w:basedOn w:val="Normal"/>
    <w:next w:val="ParaNum"/>
    <w:qFormat/>
    <w:rsid w:val="00881CD8"/>
    <w:pPr>
      <w:keepNext/>
      <w:numPr>
        <w:ilvl w:val="3"/>
        <w:numId w:val="3"/>
      </w:numPr>
      <w:tabs>
        <w:tab w:val="left" w:pos="2880"/>
      </w:tabs>
      <w:spacing w:after="120"/>
      <w:outlineLvl w:val="3"/>
    </w:pPr>
    <w:rPr>
      <w:b/>
    </w:rPr>
  </w:style>
  <w:style w:type="paragraph" w:styleId="Heading5">
    <w:name w:val="heading 5"/>
    <w:basedOn w:val="Normal"/>
    <w:next w:val="ParaNum"/>
    <w:qFormat/>
    <w:rsid w:val="00881CD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81CD8"/>
    <w:pPr>
      <w:numPr>
        <w:ilvl w:val="5"/>
        <w:numId w:val="3"/>
      </w:numPr>
      <w:tabs>
        <w:tab w:val="left" w:pos="4320"/>
      </w:tabs>
      <w:spacing w:after="120"/>
      <w:outlineLvl w:val="5"/>
    </w:pPr>
    <w:rPr>
      <w:b/>
    </w:rPr>
  </w:style>
  <w:style w:type="paragraph" w:styleId="Heading7">
    <w:name w:val="heading 7"/>
    <w:basedOn w:val="Normal"/>
    <w:next w:val="ParaNum"/>
    <w:qFormat/>
    <w:rsid w:val="00881CD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81CD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81CD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81C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1CD8"/>
  </w:style>
  <w:style w:type="paragraph" w:customStyle="1" w:styleId="ParaNum">
    <w:name w:val="ParaNum"/>
    <w:basedOn w:val="Normal"/>
    <w:link w:val="ParaNumChar"/>
    <w:rsid w:val="00881CD8"/>
    <w:pPr>
      <w:numPr>
        <w:numId w:val="2"/>
      </w:numPr>
      <w:tabs>
        <w:tab w:val="clear" w:pos="1080"/>
        <w:tab w:val="num" w:pos="1440"/>
      </w:tabs>
      <w:spacing w:after="120"/>
    </w:pPr>
  </w:style>
  <w:style w:type="paragraph" w:styleId="EndnoteText">
    <w:name w:val="endnote text"/>
    <w:basedOn w:val="Normal"/>
    <w:semiHidden/>
    <w:rsid w:val="00881CD8"/>
    <w:rPr>
      <w:sz w:val="20"/>
    </w:rPr>
  </w:style>
  <w:style w:type="character" w:styleId="EndnoteReference">
    <w:name w:val="endnote reference"/>
    <w:semiHidden/>
    <w:rsid w:val="00881CD8"/>
    <w:rPr>
      <w:vertAlign w:val="superscript"/>
    </w:r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2,ALTS FOOTNOTE Char"/>
    <w:link w:val="FootnoteTextChar"/>
    <w:rsid w:val="00881CD8"/>
    <w:pPr>
      <w:spacing w:after="120"/>
    </w:pPr>
  </w:style>
  <w:style w:type="character" w:styleId="FootnoteReference">
    <w:name w:val="footnote reference"/>
    <w:aliases w:val="Style 12,(NECG) Footnote Reference,Appel note de bas de p,Style 124,Style 4,fr,o,Style 13,Style 3,Footnote Reference1,FR,Style 17,Style 6,Footnote Reference/"/>
    <w:rsid w:val="00881CD8"/>
    <w:rPr>
      <w:rFonts w:ascii="Times New Roman" w:hAnsi="Times New Roman"/>
      <w:dstrike w:val="0"/>
      <w:color w:val="auto"/>
      <w:sz w:val="20"/>
      <w:vertAlign w:val="superscript"/>
    </w:rPr>
  </w:style>
  <w:style w:type="paragraph" w:styleId="TOC1">
    <w:name w:val="toc 1"/>
    <w:basedOn w:val="Normal"/>
    <w:next w:val="Normal"/>
    <w:semiHidden/>
    <w:rsid w:val="00881CD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81CD8"/>
    <w:pPr>
      <w:tabs>
        <w:tab w:val="left" w:pos="720"/>
        <w:tab w:val="right" w:leader="dot" w:pos="9360"/>
      </w:tabs>
      <w:suppressAutoHyphens/>
      <w:ind w:left="720" w:right="720" w:hanging="360"/>
    </w:pPr>
    <w:rPr>
      <w:noProof/>
    </w:rPr>
  </w:style>
  <w:style w:type="paragraph" w:styleId="TOC3">
    <w:name w:val="toc 3"/>
    <w:basedOn w:val="Normal"/>
    <w:next w:val="Normal"/>
    <w:semiHidden/>
    <w:rsid w:val="00881CD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81CD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81CD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81CD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81CD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81CD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81CD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81CD8"/>
    <w:pPr>
      <w:tabs>
        <w:tab w:val="right" w:pos="9360"/>
      </w:tabs>
      <w:suppressAutoHyphens/>
    </w:pPr>
  </w:style>
  <w:style w:type="character" w:customStyle="1" w:styleId="EquationCaption">
    <w:name w:val="_Equation Caption"/>
    <w:rsid w:val="00881CD8"/>
  </w:style>
  <w:style w:type="paragraph" w:styleId="Header">
    <w:name w:val="header"/>
    <w:basedOn w:val="Normal"/>
    <w:link w:val="HeaderChar"/>
    <w:autoRedefine/>
    <w:rsid w:val="00881CD8"/>
    <w:pPr>
      <w:tabs>
        <w:tab w:val="center" w:pos="4680"/>
        <w:tab w:val="right" w:pos="9360"/>
      </w:tabs>
    </w:pPr>
    <w:rPr>
      <w:b/>
    </w:rPr>
  </w:style>
  <w:style w:type="paragraph" w:styleId="Footer">
    <w:name w:val="footer"/>
    <w:basedOn w:val="Normal"/>
    <w:rsid w:val="00881CD8"/>
    <w:pPr>
      <w:tabs>
        <w:tab w:val="center" w:pos="4320"/>
        <w:tab w:val="right" w:pos="8640"/>
      </w:tabs>
    </w:pPr>
  </w:style>
  <w:style w:type="character" w:styleId="PageNumber">
    <w:name w:val="page number"/>
    <w:basedOn w:val="DefaultParagraphFont"/>
    <w:rsid w:val="00881CD8"/>
  </w:style>
  <w:style w:type="paragraph" w:styleId="BlockText">
    <w:name w:val="Block Text"/>
    <w:basedOn w:val="Normal"/>
    <w:rsid w:val="00881CD8"/>
    <w:pPr>
      <w:spacing w:after="240"/>
      <w:ind w:left="1440" w:right="1440"/>
    </w:pPr>
  </w:style>
  <w:style w:type="paragraph" w:customStyle="1" w:styleId="Paratitle">
    <w:name w:val="Para title"/>
    <w:basedOn w:val="Normal"/>
    <w:rsid w:val="00881CD8"/>
    <w:pPr>
      <w:tabs>
        <w:tab w:val="center" w:pos="9270"/>
      </w:tabs>
      <w:spacing w:after="240"/>
    </w:pPr>
    <w:rPr>
      <w:spacing w:val="-2"/>
    </w:rPr>
  </w:style>
  <w:style w:type="paragraph" w:customStyle="1" w:styleId="Bullet">
    <w:name w:val="Bullet"/>
    <w:basedOn w:val="Normal"/>
    <w:rsid w:val="00881CD8"/>
    <w:pPr>
      <w:tabs>
        <w:tab w:val="left" w:pos="2160"/>
      </w:tabs>
      <w:spacing w:after="220"/>
      <w:ind w:left="2160" w:hanging="720"/>
    </w:pPr>
  </w:style>
  <w:style w:type="paragraph" w:customStyle="1" w:styleId="TableFormat">
    <w:name w:val="TableFormat"/>
    <w:basedOn w:val="Bullet"/>
    <w:rsid w:val="00881CD8"/>
    <w:pPr>
      <w:tabs>
        <w:tab w:val="clear" w:pos="2160"/>
        <w:tab w:val="left" w:pos="5040"/>
      </w:tabs>
      <w:ind w:left="5040" w:hanging="3600"/>
    </w:pPr>
  </w:style>
  <w:style w:type="paragraph" w:customStyle="1" w:styleId="TOCTitle">
    <w:name w:val="TOC Title"/>
    <w:basedOn w:val="Normal"/>
    <w:rsid w:val="00881CD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81CD8"/>
    <w:pPr>
      <w:jc w:val="center"/>
    </w:pPr>
    <w:rPr>
      <w:rFonts w:ascii="Times New Roman Bold" w:hAnsi="Times New Roman Bold"/>
      <w:b/>
      <w:bCs/>
      <w:caps/>
      <w:szCs w:val="22"/>
    </w:rPr>
  </w:style>
  <w:style w:type="character" w:styleId="Hyperlink">
    <w:name w:val="Hyperlink"/>
    <w:rsid w:val="00881CD8"/>
    <w:rPr>
      <w:color w:val="0000FF"/>
      <w:u w:val="single"/>
    </w:rPr>
  </w:style>
  <w:style w:type="paragraph" w:styleId="BalloonText">
    <w:name w:val="Balloon Text"/>
    <w:basedOn w:val="Normal"/>
    <w:link w:val="BalloonTextChar"/>
    <w:rsid w:val="00F263E1"/>
    <w:rPr>
      <w:rFonts w:ascii="Tahoma" w:hAnsi="Tahoma" w:cs="Tahoma"/>
      <w:snapToGrid/>
      <w:sz w:val="16"/>
      <w:szCs w:val="16"/>
    </w:rPr>
  </w:style>
  <w:style w:type="character" w:customStyle="1" w:styleId="BalloonTextChar">
    <w:name w:val="Balloon Text Char"/>
    <w:basedOn w:val="DefaultParagraphFont"/>
    <w:link w:val="BalloonText"/>
    <w:rsid w:val="00F263E1"/>
    <w:rPr>
      <w:rFonts w:ascii="Tahoma" w:hAnsi="Tahoma" w:cs="Tahoma"/>
      <w:snapToGrid w:val="0"/>
      <w:kern w:val="28"/>
      <w:sz w:val="16"/>
      <w:szCs w:val="16"/>
    </w:rPr>
  </w:style>
  <w:style w:type="character" w:customStyle="1" w:styleId="FootnoteTextChar">
    <w:name w:val="Footnote Text Char"/>
    <w:aliases w:val="rrfootnote Char1,rrfootnote Char Char,Footnote Text Char1 Char Char,Footnote Text Char Char Char Char,Footnote Text Char2 Char Char Char Char,Footnote Text Char1 Char2 Char Char Char Char,Footnote Text Char2 Char"/>
    <w:basedOn w:val="DefaultParagraphFont"/>
    <w:link w:val="FootnoteText"/>
    <w:rsid w:val="009F639D"/>
  </w:style>
  <w:style w:type="character" w:customStyle="1" w:styleId="FootnoteTextChar1">
    <w:name w:val="Footnote Text Char1"/>
    <w:aliases w:val="rrfootnote Char2,Footnote Text Char Char1,rrfootnote Char Char1,Footnote Text Char1 Char Char2,Footnote Text Char Char Char Char1,Footnote Text Char2 Char Char Char Char1,Footnote Text Char1 Char2 Char Char Char Char1"/>
    <w:rsid w:val="00C83A89"/>
  </w:style>
  <w:style w:type="paragraph" w:customStyle="1" w:styleId="par1">
    <w:name w:val="par1"/>
    <w:basedOn w:val="Normal"/>
    <w:link w:val="par1Char"/>
    <w:uiPriority w:val="99"/>
    <w:rsid w:val="000344A5"/>
    <w:pPr>
      <w:numPr>
        <w:numId w:val="7"/>
      </w:numPr>
    </w:pPr>
  </w:style>
  <w:style w:type="character" w:customStyle="1" w:styleId="par1Char">
    <w:name w:val="par1 Char"/>
    <w:link w:val="par1"/>
    <w:locked/>
    <w:rsid w:val="000344A5"/>
    <w:rPr>
      <w:sz w:val="22"/>
    </w:rPr>
  </w:style>
  <w:style w:type="character" w:customStyle="1" w:styleId="Heading2Char">
    <w:name w:val="Heading 2 Char"/>
    <w:basedOn w:val="DefaultParagraphFont"/>
    <w:link w:val="Heading2"/>
    <w:rsid w:val="00C1408E"/>
    <w:rPr>
      <w:b/>
      <w:snapToGrid w:val="0"/>
      <w:kern w:val="28"/>
      <w:sz w:val="22"/>
    </w:rPr>
  </w:style>
  <w:style w:type="character" w:customStyle="1" w:styleId="searchterm">
    <w:name w:val="searchterm"/>
    <w:rsid w:val="006C789B"/>
  </w:style>
  <w:style w:type="character" w:customStyle="1" w:styleId="ParaNumChar">
    <w:name w:val="ParaNum Char"/>
    <w:link w:val="ParaNum"/>
    <w:locked/>
    <w:rsid w:val="009B457B"/>
    <w:rPr>
      <w:snapToGrid w:val="0"/>
      <w:kern w:val="28"/>
      <w:sz w:val="22"/>
    </w:rPr>
  </w:style>
  <w:style w:type="character" w:styleId="CommentReference">
    <w:name w:val="annotation reference"/>
    <w:basedOn w:val="DefaultParagraphFont"/>
    <w:uiPriority w:val="99"/>
    <w:unhideWhenUsed/>
    <w:rsid w:val="0023545E"/>
    <w:rPr>
      <w:sz w:val="16"/>
      <w:szCs w:val="16"/>
    </w:rPr>
  </w:style>
  <w:style w:type="paragraph" w:styleId="CommentText">
    <w:name w:val="annotation text"/>
    <w:basedOn w:val="Normal"/>
    <w:link w:val="CommentTextChar"/>
    <w:uiPriority w:val="99"/>
    <w:unhideWhenUsed/>
    <w:rsid w:val="0023545E"/>
    <w:rPr>
      <w:rFonts w:eastAsiaTheme="minorEastAsia"/>
      <w:sz w:val="20"/>
    </w:rPr>
  </w:style>
  <w:style w:type="character" w:customStyle="1" w:styleId="CommentTextChar">
    <w:name w:val="Comment Text Char"/>
    <w:basedOn w:val="DefaultParagraphFont"/>
    <w:link w:val="CommentText"/>
    <w:uiPriority w:val="99"/>
    <w:rsid w:val="0023545E"/>
    <w:rPr>
      <w:rFonts w:asciiTheme="minorHAnsi" w:eastAsiaTheme="minorEastAsia" w:hAnsiTheme="minorHAnsi" w:cstheme="minorBidi"/>
    </w:rPr>
  </w:style>
  <w:style w:type="paragraph" w:styleId="CommentSubject">
    <w:name w:val="annotation subject"/>
    <w:basedOn w:val="CommentText"/>
    <w:next w:val="CommentText"/>
    <w:link w:val="CommentSubjectChar"/>
    <w:rsid w:val="00487D73"/>
    <w:rPr>
      <w:rFonts w:eastAsia="Times New Roman"/>
      <w:b/>
      <w:bCs/>
      <w:snapToGrid/>
    </w:rPr>
  </w:style>
  <w:style w:type="character" w:customStyle="1" w:styleId="CommentSubjectChar">
    <w:name w:val="Comment Subject Char"/>
    <w:basedOn w:val="CommentTextChar"/>
    <w:link w:val="CommentSubject"/>
    <w:rsid w:val="00487D73"/>
    <w:rPr>
      <w:rFonts w:asciiTheme="minorHAnsi" w:eastAsiaTheme="minorEastAsia" w:hAnsiTheme="minorHAnsi" w:cstheme="minorBidi"/>
      <w:b/>
      <w:bCs/>
      <w:snapToGrid w:val="0"/>
      <w:kern w:val="28"/>
    </w:rPr>
  </w:style>
  <w:style w:type="character" w:customStyle="1" w:styleId="ParaNumChar1">
    <w:name w:val="ParaNum Char1"/>
    <w:locked/>
    <w:rsid w:val="00010736"/>
    <w:rPr>
      <w:snapToGrid w:val="0"/>
      <w:kern w:val="28"/>
      <w:sz w:val="22"/>
    </w:rPr>
  </w:style>
  <w:style w:type="character" w:customStyle="1" w:styleId="Heading1Char">
    <w:name w:val="Heading 1 Char"/>
    <w:basedOn w:val="DefaultParagraphFont"/>
    <w:link w:val="Heading1"/>
    <w:rsid w:val="0013527D"/>
    <w:rPr>
      <w:rFonts w:ascii="Times New Roman Bold" w:hAnsi="Times New Roman Bold"/>
      <w:b/>
      <w:caps/>
      <w:snapToGrid w:val="0"/>
      <w:kern w:val="28"/>
      <w:sz w:val="22"/>
    </w:rPr>
  </w:style>
  <w:style w:type="paragraph" w:customStyle="1" w:styleId="Bullet1">
    <w:name w:val="Bullet 1"/>
    <w:basedOn w:val="Normal"/>
    <w:rsid w:val="00010736"/>
    <w:pPr>
      <w:numPr>
        <w:numId w:val="51"/>
      </w:numPr>
      <w:spacing w:after="220"/>
      <w:ind w:right="720"/>
    </w:pPr>
    <w:rPr>
      <w:snapToGrid/>
    </w:rPr>
  </w:style>
  <w:style w:type="character" w:customStyle="1" w:styleId="bestsection">
    <w:name w:val="bestsection"/>
    <w:basedOn w:val="DefaultParagraphFont"/>
    <w:rsid w:val="008467C0"/>
  </w:style>
  <w:style w:type="paragraph" w:styleId="Revision">
    <w:name w:val="Revision"/>
    <w:hidden/>
    <w:uiPriority w:val="99"/>
    <w:semiHidden/>
    <w:rsid w:val="00E81854"/>
    <w:rPr>
      <w:snapToGrid w:val="0"/>
      <w:kern w:val="28"/>
      <w:sz w:val="22"/>
    </w:rPr>
  </w:style>
  <w:style w:type="paragraph" w:styleId="ListParagraph">
    <w:name w:val="List Paragraph"/>
    <w:basedOn w:val="Normal"/>
    <w:qFormat/>
    <w:rsid w:val="0020646C"/>
    <w:pPr>
      <w:widowControl/>
      <w:ind w:left="720"/>
    </w:pPr>
    <w:rPr>
      <w:snapToGrid/>
      <w:kern w:val="0"/>
      <w:sz w:val="20"/>
    </w:rPr>
  </w:style>
  <w:style w:type="character" w:customStyle="1" w:styleId="documentbody1">
    <w:name w:val="documentbody1"/>
    <w:basedOn w:val="DefaultParagraphFont"/>
    <w:rsid w:val="005726E1"/>
    <w:rPr>
      <w:rFonts w:ascii="Verdana" w:hAnsi="Verdana" w:hint="default"/>
      <w:sz w:val="19"/>
      <w:szCs w:val="19"/>
      <w:shd w:val="clear" w:color="auto" w:fill="FFFFFF"/>
    </w:rPr>
  </w:style>
  <w:style w:type="character" w:customStyle="1" w:styleId="HeaderChar">
    <w:name w:val="Header Char"/>
    <w:basedOn w:val="DefaultParagraphFont"/>
    <w:link w:val="Header"/>
    <w:rsid w:val="00FC69DF"/>
    <w:rPr>
      <w:b/>
      <w:snapToGrid w:val="0"/>
      <w:kern w:val="28"/>
      <w:sz w:val="22"/>
    </w:rPr>
  </w:style>
  <w:style w:type="character" w:styleId="Emphasis">
    <w:name w:val="Emphasis"/>
    <w:basedOn w:val="DefaultParagraphFont"/>
    <w:uiPriority w:val="20"/>
    <w:qFormat/>
    <w:rsid w:val="004C7C3A"/>
    <w:rPr>
      <w:b/>
      <w:bCs/>
      <w:i w:val="0"/>
      <w:iCs w:val="0"/>
    </w:rPr>
  </w:style>
  <w:style w:type="character" w:customStyle="1" w:styleId="st">
    <w:name w:val="st"/>
    <w:basedOn w:val="DefaultParagraphFont"/>
    <w:rsid w:val="004C7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CD8"/>
    <w:pPr>
      <w:widowControl w:val="0"/>
    </w:pPr>
    <w:rPr>
      <w:snapToGrid w:val="0"/>
      <w:kern w:val="28"/>
      <w:sz w:val="22"/>
    </w:rPr>
  </w:style>
  <w:style w:type="paragraph" w:styleId="Heading1">
    <w:name w:val="heading 1"/>
    <w:basedOn w:val="Normal"/>
    <w:next w:val="ParaNum"/>
    <w:link w:val="Heading1Char"/>
    <w:qFormat/>
    <w:rsid w:val="00881CD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81CD8"/>
    <w:pPr>
      <w:keepNext/>
      <w:numPr>
        <w:ilvl w:val="1"/>
        <w:numId w:val="3"/>
      </w:numPr>
      <w:spacing w:after="120"/>
      <w:outlineLvl w:val="1"/>
    </w:pPr>
    <w:rPr>
      <w:b/>
    </w:rPr>
  </w:style>
  <w:style w:type="paragraph" w:styleId="Heading3">
    <w:name w:val="heading 3"/>
    <w:basedOn w:val="Normal"/>
    <w:next w:val="ParaNum"/>
    <w:qFormat/>
    <w:rsid w:val="00881CD8"/>
    <w:pPr>
      <w:keepNext/>
      <w:numPr>
        <w:ilvl w:val="2"/>
        <w:numId w:val="3"/>
      </w:numPr>
      <w:tabs>
        <w:tab w:val="left" w:pos="2160"/>
      </w:tabs>
      <w:spacing w:after="120"/>
      <w:outlineLvl w:val="2"/>
    </w:pPr>
    <w:rPr>
      <w:b/>
    </w:rPr>
  </w:style>
  <w:style w:type="paragraph" w:styleId="Heading4">
    <w:name w:val="heading 4"/>
    <w:basedOn w:val="Normal"/>
    <w:next w:val="ParaNum"/>
    <w:qFormat/>
    <w:rsid w:val="00881CD8"/>
    <w:pPr>
      <w:keepNext/>
      <w:numPr>
        <w:ilvl w:val="3"/>
        <w:numId w:val="3"/>
      </w:numPr>
      <w:tabs>
        <w:tab w:val="left" w:pos="2880"/>
      </w:tabs>
      <w:spacing w:after="120"/>
      <w:outlineLvl w:val="3"/>
    </w:pPr>
    <w:rPr>
      <w:b/>
    </w:rPr>
  </w:style>
  <w:style w:type="paragraph" w:styleId="Heading5">
    <w:name w:val="heading 5"/>
    <w:basedOn w:val="Normal"/>
    <w:next w:val="ParaNum"/>
    <w:qFormat/>
    <w:rsid w:val="00881CD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81CD8"/>
    <w:pPr>
      <w:numPr>
        <w:ilvl w:val="5"/>
        <w:numId w:val="3"/>
      </w:numPr>
      <w:tabs>
        <w:tab w:val="left" w:pos="4320"/>
      </w:tabs>
      <w:spacing w:after="120"/>
      <w:outlineLvl w:val="5"/>
    </w:pPr>
    <w:rPr>
      <w:b/>
    </w:rPr>
  </w:style>
  <w:style w:type="paragraph" w:styleId="Heading7">
    <w:name w:val="heading 7"/>
    <w:basedOn w:val="Normal"/>
    <w:next w:val="ParaNum"/>
    <w:qFormat/>
    <w:rsid w:val="00881CD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81CD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81CD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81C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1CD8"/>
  </w:style>
  <w:style w:type="paragraph" w:customStyle="1" w:styleId="ParaNum">
    <w:name w:val="ParaNum"/>
    <w:basedOn w:val="Normal"/>
    <w:link w:val="ParaNumChar"/>
    <w:rsid w:val="00881CD8"/>
    <w:pPr>
      <w:numPr>
        <w:numId w:val="2"/>
      </w:numPr>
      <w:tabs>
        <w:tab w:val="clear" w:pos="1080"/>
        <w:tab w:val="num" w:pos="1440"/>
      </w:tabs>
      <w:spacing w:after="120"/>
    </w:pPr>
  </w:style>
  <w:style w:type="paragraph" w:styleId="EndnoteText">
    <w:name w:val="endnote text"/>
    <w:basedOn w:val="Normal"/>
    <w:semiHidden/>
    <w:rsid w:val="00881CD8"/>
    <w:rPr>
      <w:sz w:val="20"/>
    </w:rPr>
  </w:style>
  <w:style w:type="character" w:styleId="EndnoteReference">
    <w:name w:val="endnote reference"/>
    <w:semiHidden/>
    <w:rsid w:val="00881CD8"/>
    <w:rPr>
      <w:vertAlign w:val="superscript"/>
    </w:r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2,ALTS FOOTNOTE Char"/>
    <w:link w:val="FootnoteTextChar"/>
    <w:rsid w:val="00881CD8"/>
    <w:pPr>
      <w:spacing w:after="120"/>
    </w:pPr>
  </w:style>
  <w:style w:type="character" w:styleId="FootnoteReference">
    <w:name w:val="footnote reference"/>
    <w:aliases w:val="Style 12,(NECG) Footnote Reference,Appel note de bas de p,Style 124,Style 4,fr,o,Style 13,Style 3,Footnote Reference1,FR,Style 17,Style 6,Footnote Reference/"/>
    <w:rsid w:val="00881CD8"/>
    <w:rPr>
      <w:rFonts w:ascii="Times New Roman" w:hAnsi="Times New Roman"/>
      <w:dstrike w:val="0"/>
      <w:color w:val="auto"/>
      <w:sz w:val="20"/>
      <w:vertAlign w:val="superscript"/>
    </w:rPr>
  </w:style>
  <w:style w:type="paragraph" w:styleId="TOC1">
    <w:name w:val="toc 1"/>
    <w:basedOn w:val="Normal"/>
    <w:next w:val="Normal"/>
    <w:semiHidden/>
    <w:rsid w:val="00881CD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81CD8"/>
    <w:pPr>
      <w:tabs>
        <w:tab w:val="left" w:pos="720"/>
        <w:tab w:val="right" w:leader="dot" w:pos="9360"/>
      </w:tabs>
      <w:suppressAutoHyphens/>
      <w:ind w:left="720" w:right="720" w:hanging="360"/>
    </w:pPr>
    <w:rPr>
      <w:noProof/>
    </w:rPr>
  </w:style>
  <w:style w:type="paragraph" w:styleId="TOC3">
    <w:name w:val="toc 3"/>
    <w:basedOn w:val="Normal"/>
    <w:next w:val="Normal"/>
    <w:semiHidden/>
    <w:rsid w:val="00881CD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81CD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81CD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81CD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81CD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81CD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81CD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81CD8"/>
    <w:pPr>
      <w:tabs>
        <w:tab w:val="right" w:pos="9360"/>
      </w:tabs>
      <w:suppressAutoHyphens/>
    </w:pPr>
  </w:style>
  <w:style w:type="character" w:customStyle="1" w:styleId="EquationCaption">
    <w:name w:val="_Equation Caption"/>
    <w:rsid w:val="00881CD8"/>
  </w:style>
  <w:style w:type="paragraph" w:styleId="Header">
    <w:name w:val="header"/>
    <w:basedOn w:val="Normal"/>
    <w:link w:val="HeaderChar"/>
    <w:autoRedefine/>
    <w:rsid w:val="00881CD8"/>
    <w:pPr>
      <w:tabs>
        <w:tab w:val="center" w:pos="4680"/>
        <w:tab w:val="right" w:pos="9360"/>
      </w:tabs>
    </w:pPr>
    <w:rPr>
      <w:b/>
    </w:rPr>
  </w:style>
  <w:style w:type="paragraph" w:styleId="Footer">
    <w:name w:val="footer"/>
    <w:basedOn w:val="Normal"/>
    <w:rsid w:val="00881CD8"/>
    <w:pPr>
      <w:tabs>
        <w:tab w:val="center" w:pos="4320"/>
        <w:tab w:val="right" w:pos="8640"/>
      </w:tabs>
    </w:pPr>
  </w:style>
  <w:style w:type="character" w:styleId="PageNumber">
    <w:name w:val="page number"/>
    <w:basedOn w:val="DefaultParagraphFont"/>
    <w:rsid w:val="00881CD8"/>
  </w:style>
  <w:style w:type="paragraph" w:styleId="BlockText">
    <w:name w:val="Block Text"/>
    <w:basedOn w:val="Normal"/>
    <w:rsid w:val="00881CD8"/>
    <w:pPr>
      <w:spacing w:after="240"/>
      <w:ind w:left="1440" w:right="1440"/>
    </w:pPr>
  </w:style>
  <w:style w:type="paragraph" w:customStyle="1" w:styleId="Paratitle">
    <w:name w:val="Para title"/>
    <w:basedOn w:val="Normal"/>
    <w:rsid w:val="00881CD8"/>
    <w:pPr>
      <w:tabs>
        <w:tab w:val="center" w:pos="9270"/>
      </w:tabs>
      <w:spacing w:after="240"/>
    </w:pPr>
    <w:rPr>
      <w:spacing w:val="-2"/>
    </w:rPr>
  </w:style>
  <w:style w:type="paragraph" w:customStyle="1" w:styleId="Bullet">
    <w:name w:val="Bullet"/>
    <w:basedOn w:val="Normal"/>
    <w:rsid w:val="00881CD8"/>
    <w:pPr>
      <w:tabs>
        <w:tab w:val="left" w:pos="2160"/>
      </w:tabs>
      <w:spacing w:after="220"/>
      <w:ind w:left="2160" w:hanging="720"/>
    </w:pPr>
  </w:style>
  <w:style w:type="paragraph" w:customStyle="1" w:styleId="TableFormat">
    <w:name w:val="TableFormat"/>
    <w:basedOn w:val="Bullet"/>
    <w:rsid w:val="00881CD8"/>
    <w:pPr>
      <w:tabs>
        <w:tab w:val="clear" w:pos="2160"/>
        <w:tab w:val="left" w:pos="5040"/>
      </w:tabs>
      <w:ind w:left="5040" w:hanging="3600"/>
    </w:pPr>
  </w:style>
  <w:style w:type="paragraph" w:customStyle="1" w:styleId="TOCTitle">
    <w:name w:val="TOC Title"/>
    <w:basedOn w:val="Normal"/>
    <w:rsid w:val="00881CD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81CD8"/>
    <w:pPr>
      <w:jc w:val="center"/>
    </w:pPr>
    <w:rPr>
      <w:rFonts w:ascii="Times New Roman Bold" w:hAnsi="Times New Roman Bold"/>
      <w:b/>
      <w:bCs/>
      <w:caps/>
      <w:szCs w:val="22"/>
    </w:rPr>
  </w:style>
  <w:style w:type="character" w:styleId="Hyperlink">
    <w:name w:val="Hyperlink"/>
    <w:rsid w:val="00881CD8"/>
    <w:rPr>
      <w:color w:val="0000FF"/>
      <w:u w:val="single"/>
    </w:rPr>
  </w:style>
  <w:style w:type="paragraph" w:styleId="BalloonText">
    <w:name w:val="Balloon Text"/>
    <w:basedOn w:val="Normal"/>
    <w:link w:val="BalloonTextChar"/>
    <w:rsid w:val="00F263E1"/>
    <w:rPr>
      <w:rFonts w:ascii="Tahoma" w:hAnsi="Tahoma" w:cs="Tahoma"/>
      <w:snapToGrid/>
      <w:sz w:val="16"/>
      <w:szCs w:val="16"/>
    </w:rPr>
  </w:style>
  <w:style w:type="character" w:customStyle="1" w:styleId="BalloonTextChar">
    <w:name w:val="Balloon Text Char"/>
    <w:basedOn w:val="DefaultParagraphFont"/>
    <w:link w:val="BalloonText"/>
    <w:rsid w:val="00F263E1"/>
    <w:rPr>
      <w:rFonts w:ascii="Tahoma" w:hAnsi="Tahoma" w:cs="Tahoma"/>
      <w:snapToGrid w:val="0"/>
      <w:kern w:val="28"/>
      <w:sz w:val="16"/>
      <w:szCs w:val="16"/>
    </w:rPr>
  </w:style>
  <w:style w:type="character" w:customStyle="1" w:styleId="FootnoteTextChar">
    <w:name w:val="Footnote Text Char"/>
    <w:aliases w:val="rrfootnote Char1,rrfootnote Char Char,Footnote Text Char1 Char Char,Footnote Text Char Char Char Char,Footnote Text Char2 Char Char Char Char,Footnote Text Char1 Char2 Char Char Char Char,Footnote Text Char2 Char"/>
    <w:basedOn w:val="DefaultParagraphFont"/>
    <w:link w:val="FootnoteText"/>
    <w:rsid w:val="009F639D"/>
  </w:style>
  <w:style w:type="character" w:customStyle="1" w:styleId="FootnoteTextChar1">
    <w:name w:val="Footnote Text Char1"/>
    <w:aliases w:val="rrfootnote Char2,Footnote Text Char Char1,rrfootnote Char Char1,Footnote Text Char1 Char Char2,Footnote Text Char Char Char Char1,Footnote Text Char2 Char Char Char Char1,Footnote Text Char1 Char2 Char Char Char Char1"/>
    <w:rsid w:val="00C83A89"/>
  </w:style>
  <w:style w:type="paragraph" w:customStyle="1" w:styleId="par1">
    <w:name w:val="par1"/>
    <w:basedOn w:val="Normal"/>
    <w:link w:val="par1Char"/>
    <w:uiPriority w:val="99"/>
    <w:rsid w:val="000344A5"/>
    <w:pPr>
      <w:numPr>
        <w:numId w:val="7"/>
      </w:numPr>
    </w:pPr>
  </w:style>
  <w:style w:type="character" w:customStyle="1" w:styleId="par1Char">
    <w:name w:val="par1 Char"/>
    <w:link w:val="par1"/>
    <w:locked/>
    <w:rsid w:val="000344A5"/>
    <w:rPr>
      <w:sz w:val="22"/>
    </w:rPr>
  </w:style>
  <w:style w:type="character" w:customStyle="1" w:styleId="Heading2Char">
    <w:name w:val="Heading 2 Char"/>
    <w:basedOn w:val="DefaultParagraphFont"/>
    <w:link w:val="Heading2"/>
    <w:rsid w:val="00C1408E"/>
    <w:rPr>
      <w:b/>
      <w:snapToGrid w:val="0"/>
      <w:kern w:val="28"/>
      <w:sz w:val="22"/>
    </w:rPr>
  </w:style>
  <w:style w:type="character" w:customStyle="1" w:styleId="searchterm">
    <w:name w:val="searchterm"/>
    <w:rsid w:val="006C789B"/>
  </w:style>
  <w:style w:type="character" w:customStyle="1" w:styleId="ParaNumChar">
    <w:name w:val="ParaNum Char"/>
    <w:link w:val="ParaNum"/>
    <w:locked/>
    <w:rsid w:val="009B457B"/>
    <w:rPr>
      <w:snapToGrid w:val="0"/>
      <w:kern w:val="28"/>
      <w:sz w:val="22"/>
    </w:rPr>
  </w:style>
  <w:style w:type="character" w:styleId="CommentReference">
    <w:name w:val="annotation reference"/>
    <w:basedOn w:val="DefaultParagraphFont"/>
    <w:uiPriority w:val="99"/>
    <w:unhideWhenUsed/>
    <w:rsid w:val="0023545E"/>
    <w:rPr>
      <w:sz w:val="16"/>
      <w:szCs w:val="16"/>
    </w:rPr>
  </w:style>
  <w:style w:type="paragraph" w:styleId="CommentText">
    <w:name w:val="annotation text"/>
    <w:basedOn w:val="Normal"/>
    <w:link w:val="CommentTextChar"/>
    <w:uiPriority w:val="99"/>
    <w:unhideWhenUsed/>
    <w:rsid w:val="0023545E"/>
    <w:rPr>
      <w:rFonts w:eastAsiaTheme="minorEastAsia"/>
      <w:sz w:val="20"/>
    </w:rPr>
  </w:style>
  <w:style w:type="character" w:customStyle="1" w:styleId="CommentTextChar">
    <w:name w:val="Comment Text Char"/>
    <w:basedOn w:val="DefaultParagraphFont"/>
    <w:link w:val="CommentText"/>
    <w:uiPriority w:val="99"/>
    <w:rsid w:val="0023545E"/>
    <w:rPr>
      <w:rFonts w:asciiTheme="minorHAnsi" w:eastAsiaTheme="minorEastAsia" w:hAnsiTheme="minorHAnsi" w:cstheme="minorBidi"/>
    </w:rPr>
  </w:style>
  <w:style w:type="paragraph" w:styleId="CommentSubject">
    <w:name w:val="annotation subject"/>
    <w:basedOn w:val="CommentText"/>
    <w:next w:val="CommentText"/>
    <w:link w:val="CommentSubjectChar"/>
    <w:rsid w:val="00487D73"/>
    <w:rPr>
      <w:rFonts w:eastAsia="Times New Roman"/>
      <w:b/>
      <w:bCs/>
      <w:snapToGrid/>
    </w:rPr>
  </w:style>
  <w:style w:type="character" w:customStyle="1" w:styleId="CommentSubjectChar">
    <w:name w:val="Comment Subject Char"/>
    <w:basedOn w:val="CommentTextChar"/>
    <w:link w:val="CommentSubject"/>
    <w:rsid w:val="00487D73"/>
    <w:rPr>
      <w:rFonts w:asciiTheme="minorHAnsi" w:eastAsiaTheme="minorEastAsia" w:hAnsiTheme="minorHAnsi" w:cstheme="minorBidi"/>
      <w:b/>
      <w:bCs/>
      <w:snapToGrid w:val="0"/>
      <w:kern w:val="28"/>
    </w:rPr>
  </w:style>
  <w:style w:type="character" w:customStyle="1" w:styleId="ParaNumChar1">
    <w:name w:val="ParaNum Char1"/>
    <w:locked/>
    <w:rsid w:val="00010736"/>
    <w:rPr>
      <w:snapToGrid w:val="0"/>
      <w:kern w:val="28"/>
      <w:sz w:val="22"/>
    </w:rPr>
  </w:style>
  <w:style w:type="character" w:customStyle="1" w:styleId="Heading1Char">
    <w:name w:val="Heading 1 Char"/>
    <w:basedOn w:val="DefaultParagraphFont"/>
    <w:link w:val="Heading1"/>
    <w:rsid w:val="0013527D"/>
    <w:rPr>
      <w:rFonts w:ascii="Times New Roman Bold" w:hAnsi="Times New Roman Bold"/>
      <w:b/>
      <w:caps/>
      <w:snapToGrid w:val="0"/>
      <w:kern w:val="28"/>
      <w:sz w:val="22"/>
    </w:rPr>
  </w:style>
  <w:style w:type="paragraph" w:customStyle="1" w:styleId="Bullet1">
    <w:name w:val="Bullet 1"/>
    <w:basedOn w:val="Normal"/>
    <w:rsid w:val="00010736"/>
    <w:pPr>
      <w:numPr>
        <w:numId w:val="51"/>
      </w:numPr>
      <w:spacing w:after="220"/>
      <w:ind w:right="720"/>
    </w:pPr>
    <w:rPr>
      <w:snapToGrid/>
    </w:rPr>
  </w:style>
  <w:style w:type="character" w:customStyle="1" w:styleId="bestsection">
    <w:name w:val="bestsection"/>
    <w:basedOn w:val="DefaultParagraphFont"/>
    <w:rsid w:val="008467C0"/>
  </w:style>
  <w:style w:type="paragraph" w:styleId="Revision">
    <w:name w:val="Revision"/>
    <w:hidden/>
    <w:uiPriority w:val="99"/>
    <w:semiHidden/>
    <w:rsid w:val="00E81854"/>
    <w:rPr>
      <w:snapToGrid w:val="0"/>
      <w:kern w:val="28"/>
      <w:sz w:val="22"/>
    </w:rPr>
  </w:style>
  <w:style w:type="paragraph" w:styleId="ListParagraph">
    <w:name w:val="List Paragraph"/>
    <w:basedOn w:val="Normal"/>
    <w:qFormat/>
    <w:rsid w:val="0020646C"/>
    <w:pPr>
      <w:widowControl/>
      <w:ind w:left="720"/>
    </w:pPr>
    <w:rPr>
      <w:snapToGrid/>
      <w:kern w:val="0"/>
      <w:sz w:val="20"/>
    </w:rPr>
  </w:style>
  <w:style w:type="character" w:customStyle="1" w:styleId="documentbody1">
    <w:name w:val="documentbody1"/>
    <w:basedOn w:val="DefaultParagraphFont"/>
    <w:rsid w:val="005726E1"/>
    <w:rPr>
      <w:rFonts w:ascii="Verdana" w:hAnsi="Verdana" w:hint="default"/>
      <w:sz w:val="19"/>
      <w:szCs w:val="19"/>
      <w:shd w:val="clear" w:color="auto" w:fill="FFFFFF"/>
    </w:rPr>
  </w:style>
  <w:style w:type="character" w:customStyle="1" w:styleId="HeaderChar">
    <w:name w:val="Header Char"/>
    <w:basedOn w:val="DefaultParagraphFont"/>
    <w:link w:val="Header"/>
    <w:rsid w:val="00FC69DF"/>
    <w:rPr>
      <w:b/>
      <w:snapToGrid w:val="0"/>
      <w:kern w:val="28"/>
      <w:sz w:val="22"/>
    </w:rPr>
  </w:style>
  <w:style w:type="character" w:styleId="Emphasis">
    <w:name w:val="Emphasis"/>
    <w:basedOn w:val="DefaultParagraphFont"/>
    <w:uiPriority w:val="20"/>
    <w:qFormat/>
    <w:rsid w:val="004C7C3A"/>
    <w:rPr>
      <w:b/>
      <w:bCs/>
      <w:i w:val="0"/>
      <w:iCs w:val="0"/>
    </w:rPr>
  </w:style>
  <w:style w:type="character" w:customStyle="1" w:styleId="st">
    <w:name w:val="st"/>
    <w:basedOn w:val="DefaultParagraphFont"/>
    <w:rsid w:val="004C7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7916">
      <w:bodyDiv w:val="1"/>
      <w:marLeft w:val="0"/>
      <w:marRight w:val="0"/>
      <w:marTop w:val="0"/>
      <w:marBottom w:val="0"/>
      <w:divBdr>
        <w:top w:val="none" w:sz="0" w:space="0" w:color="auto"/>
        <w:left w:val="none" w:sz="0" w:space="0" w:color="auto"/>
        <w:bottom w:val="none" w:sz="0" w:space="0" w:color="auto"/>
        <w:right w:val="none" w:sz="0" w:space="0" w:color="auto"/>
      </w:divBdr>
    </w:div>
    <w:div w:id="545525449">
      <w:bodyDiv w:val="1"/>
      <w:marLeft w:val="30"/>
      <w:marRight w:val="30"/>
      <w:marTop w:val="30"/>
      <w:marBottom w:val="30"/>
      <w:divBdr>
        <w:top w:val="none" w:sz="0" w:space="0" w:color="auto"/>
        <w:left w:val="none" w:sz="0" w:space="0" w:color="auto"/>
        <w:bottom w:val="none" w:sz="0" w:space="0" w:color="auto"/>
        <w:right w:val="none" w:sz="0" w:space="0" w:color="auto"/>
      </w:divBdr>
      <w:divsChild>
        <w:div w:id="788284695">
          <w:marLeft w:val="0"/>
          <w:marRight w:val="0"/>
          <w:marTop w:val="0"/>
          <w:marBottom w:val="0"/>
          <w:divBdr>
            <w:top w:val="none" w:sz="0" w:space="0" w:color="auto"/>
            <w:left w:val="none" w:sz="0" w:space="0" w:color="auto"/>
            <w:bottom w:val="none" w:sz="0" w:space="0" w:color="auto"/>
            <w:right w:val="none" w:sz="0" w:space="0" w:color="auto"/>
          </w:divBdr>
          <w:divsChild>
            <w:div w:id="167444745">
              <w:marLeft w:val="45"/>
              <w:marRight w:val="45"/>
              <w:marTop w:val="45"/>
              <w:marBottom w:val="45"/>
              <w:divBdr>
                <w:top w:val="none" w:sz="0" w:space="0" w:color="auto"/>
                <w:left w:val="none" w:sz="0" w:space="0" w:color="auto"/>
                <w:bottom w:val="none" w:sz="0" w:space="0" w:color="auto"/>
                <w:right w:val="none" w:sz="0" w:space="0" w:color="auto"/>
              </w:divBdr>
              <w:divsChild>
                <w:div w:id="2005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5326">
      <w:bodyDiv w:val="1"/>
      <w:marLeft w:val="0"/>
      <w:marRight w:val="0"/>
      <w:marTop w:val="0"/>
      <w:marBottom w:val="0"/>
      <w:divBdr>
        <w:top w:val="none" w:sz="0" w:space="0" w:color="auto"/>
        <w:left w:val="none" w:sz="0" w:space="0" w:color="auto"/>
        <w:bottom w:val="none" w:sz="0" w:space="0" w:color="auto"/>
        <w:right w:val="none" w:sz="0" w:space="0" w:color="auto"/>
      </w:divBdr>
    </w:div>
    <w:div w:id="921060314">
      <w:bodyDiv w:val="1"/>
      <w:marLeft w:val="30"/>
      <w:marRight w:val="30"/>
      <w:marTop w:val="30"/>
      <w:marBottom w:val="30"/>
      <w:divBdr>
        <w:top w:val="none" w:sz="0" w:space="0" w:color="auto"/>
        <w:left w:val="none" w:sz="0" w:space="0" w:color="auto"/>
        <w:bottom w:val="none" w:sz="0" w:space="0" w:color="auto"/>
        <w:right w:val="none" w:sz="0" w:space="0" w:color="auto"/>
      </w:divBdr>
      <w:divsChild>
        <w:div w:id="1141384366">
          <w:marLeft w:val="0"/>
          <w:marRight w:val="0"/>
          <w:marTop w:val="0"/>
          <w:marBottom w:val="0"/>
          <w:divBdr>
            <w:top w:val="none" w:sz="0" w:space="0" w:color="auto"/>
            <w:left w:val="none" w:sz="0" w:space="0" w:color="auto"/>
            <w:bottom w:val="none" w:sz="0" w:space="0" w:color="auto"/>
            <w:right w:val="none" w:sz="0" w:space="0" w:color="auto"/>
          </w:divBdr>
          <w:divsChild>
            <w:div w:id="1613510742">
              <w:marLeft w:val="45"/>
              <w:marRight w:val="45"/>
              <w:marTop w:val="45"/>
              <w:marBottom w:val="45"/>
              <w:divBdr>
                <w:top w:val="none" w:sz="0" w:space="0" w:color="auto"/>
                <w:left w:val="none" w:sz="0" w:space="0" w:color="auto"/>
                <w:bottom w:val="none" w:sz="0" w:space="0" w:color="auto"/>
                <w:right w:val="none" w:sz="0" w:space="0" w:color="auto"/>
              </w:divBdr>
              <w:divsChild>
                <w:div w:id="8524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1585">
      <w:bodyDiv w:val="1"/>
      <w:marLeft w:val="0"/>
      <w:marRight w:val="0"/>
      <w:marTop w:val="0"/>
      <w:marBottom w:val="0"/>
      <w:divBdr>
        <w:top w:val="none" w:sz="0" w:space="0" w:color="auto"/>
        <w:left w:val="none" w:sz="0" w:space="0" w:color="auto"/>
        <w:bottom w:val="none" w:sz="0" w:space="0" w:color="auto"/>
        <w:right w:val="none" w:sz="0" w:space="0" w:color="auto"/>
      </w:divBdr>
    </w:div>
    <w:div w:id="1233273958">
      <w:bodyDiv w:val="1"/>
      <w:marLeft w:val="30"/>
      <w:marRight w:val="30"/>
      <w:marTop w:val="30"/>
      <w:marBottom w:val="30"/>
      <w:divBdr>
        <w:top w:val="none" w:sz="0" w:space="0" w:color="auto"/>
        <w:left w:val="none" w:sz="0" w:space="0" w:color="auto"/>
        <w:bottom w:val="none" w:sz="0" w:space="0" w:color="auto"/>
        <w:right w:val="none" w:sz="0" w:space="0" w:color="auto"/>
      </w:divBdr>
      <w:divsChild>
        <w:div w:id="363795142">
          <w:marLeft w:val="0"/>
          <w:marRight w:val="0"/>
          <w:marTop w:val="0"/>
          <w:marBottom w:val="0"/>
          <w:divBdr>
            <w:top w:val="none" w:sz="0" w:space="0" w:color="auto"/>
            <w:left w:val="none" w:sz="0" w:space="0" w:color="auto"/>
            <w:bottom w:val="none" w:sz="0" w:space="0" w:color="auto"/>
            <w:right w:val="none" w:sz="0" w:space="0" w:color="auto"/>
          </w:divBdr>
          <w:divsChild>
            <w:div w:id="1142768372">
              <w:marLeft w:val="45"/>
              <w:marRight w:val="45"/>
              <w:marTop w:val="45"/>
              <w:marBottom w:val="45"/>
              <w:divBdr>
                <w:top w:val="none" w:sz="0" w:space="0" w:color="auto"/>
                <w:left w:val="none" w:sz="0" w:space="0" w:color="auto"/>
                <w:bottom w:val="none" w:sz="0" w:space="0" w:color="auto"/>
                <w:right w:val="none" w:sz="0" w:space="0" w:color="auto"/>
              </w:divBdr>
              <w:divsChild>
                <w:div w:id="6061263">
                  <w:marLeft w:val="0"/>
                  <w:marRight w:val="0"/>
                  <w:marTop w:val="0"/>
                  <w:marBottom w:val="0"/>
                  <w:divBdr>
                    <w:top w:val="none" w:sz="0" w:space="0" w:color="auto"/>
                    <w:left w:val="none" w:sz="0" w:space="0" w:color="auto"/>
                    <w:bottom w:val="none" w:sz="0" w:space="0" w:color="auto"/>
                    <w:right w:val="none" w:sz="0" w:space="0" w:color="auto"/>
                  </w:divBdr>
                  <w:divsChild>
                    <w:div w:id="283466154">
                      <w:blockQuote w:val="1"/>
                      <w:marLeft w:val="720"/>
                      <w:marRight w:val="720"/>
                      <w:marTop w:val="100"/>
                      <w:marBottom w:val="100"/>
                      <w:divBdr>
                        <w:top w:val="none" w:sz="0" w:space="0" w:color="auto"/>
                        <w:left w:val="none" w:sz="0" w:space="0" w:color="auto"/>
                        <w:bottom w:val="none" w:sz="0" w:space="0" w:color="auto"/>
                        <w:right w:val="none" w:sz="0" w:space="0" w:color="auto"/>
                      </w:divBdr>
                    </w:div>
                    <w:div w:id="38780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237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42984708">
      <w:bodyDiv w:val="1"/>
      <w:marLeft w:val="30"/>
      <w:marRight w:val="30"/>
      <w:marTop w:val="30"/>
      <w:marBottom w:val="30"/>
      <w:divBdr>
        <w:top w:val="none" w:sz="0" w:space="0" w:color="auto"/>
        <w:left w:val="none" w:sz="0" w:space="0" w:color="auto"/>
        <w:bottom w:val="none" w:sz="0" w:space="0" w:color="auto"/>
        <w:right w:val="none" w:sz="0" w:space="0" w:color="auto"/>
      </w:divBdr>
      <w:divsChild>
        <w:div w:id="196360408">
          <w:marLeft w:val="0"/>
          <w:marRight w:val="0"/>
          <w:marTop w:val="0"/>
          <w:marBottom w:val="0"/>
          <w:divBdr>
            <w:top w:val="none" w:sz="0" w:space="0" w:color="auto"/>
            <w:left w:val="none" w:sz="0" w:space="0" w:color="auto"/>
            <w:bottom w:val="none" w:sz="0" w:space="0" w:color="auto"/>
            <w:right w:val="none" w:sz="0" w:space="0" w:color="auto"/>
          </w:divBdr>
          <w:divsChild>
            <w:div w:id="102462722">
              <w:marLeft w:val="45"/>
              <w:marRight w:val="45"/>
              <w:marTop w:val="45"/>
              <w:marBottom w:val="45"/>
              <w:divBdr>
                <w:top w:val="none" w:sz="0" w:space="0" w:color="auto"/>
                <w:left w:val="none" w:sz="0" w:space="0" w:color="auto"/>
                <w:bottom w:val="none" w:sz="0" w:space="0" w:color="auto"/>
                <w:right w:val="none" w:sz="0" w:space="0" w:color="auto"/>
              </w:divBdr>
              <w:divsChild>
                <w:div w:id="1438255191">
                  <w:marLeft w:val="0"/>
                  <w:marRight w:val="0"/>
                  <w:marTop w:val="0"/>
                  <w:marBottom w:val="0"/>
                  <w:divBdr>
                    <w:top w:val="none" w:sz="0" w:space="0" w:color="auto"/>
                    <w:left w:val="none" w:sz="0" w:space="0" w:color="auto"/>
                    <w:bottom w:val="none" w:sz="0" w:space="0" w:color="auto"/>
                    <w:right w:val="none" w:sz="0" w:space="0" w:color="auto"/>
                  </w:divBdr>
                  <w:divsChild>
                    <w:div w:id="568152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268540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2255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11389032">
      <w:bodyDiv w:val="1"/>
      <w:marLeft w:val="0"/>
      <w:marRight w:val="0"/>
      <w:marTop w:val="0"/>
      <w:marBottom w:val="0"/>
      <w:divBdr>
        <w:top w:val="none" w:sz="0" w:space="0" w:color="auto"/>
        <w:left w:val="none" w:sz="0" w:space="0" w:color="auto"/>
        <w:bottom w:val="none" w:sz="0" w:space="0" w:color="auto"/>
        <w:right w:val="none" w:sz="0" w:space="0" w:color="auto"/>
      </w:divBdr>
    </w:div>
    <w:div w:id="1452438639">
      <w:bodyDiv w:val="1"/>
      <w:marLeft w:val="30"/>
      <w:marRight w:val="30"/>
      <w:marTop w:val="30"/>
      <w:marBottom w:val="30"/>
      <w:divBdr>
        <w:top w:val="none" w:sz="0" w:space="0" w:color="auto"/>
        <w:left w:val="none" w:sz="0" w:space="0" w:color="auto"/>
        <w:bottom w:val="none" w:sz="0" w:space="0" w:color="auto"/>
        <w:right w:val="none" w:sz="0" w:space="0" w:color="auto"/>
      </w:divBdr>
      <w:divsChild>
        <w:div w:id="81031492">
          <w:marLeft w:val="0"/>
          <w:marRight w:val="0"/>
          <w:marTop w:val="0"/>
          <w:marBottom w:val="0"/>
          <w:divBdr>
            <w:top w:val="none" w:sz="0" w:space="0" w:color="auto"/>
            <w:left w:val="none" w:sz="0" w:space="0" w:color="auto"/>
            <w:bottom w:val="none" w:sz="0" w:space="0" w:color="auto"/>
            <w:right w:val="none" w:sz="0" w:space="0" w:color="auto"/>
          </w:divBdr>
          <w:divsChild>
            <w:div w:id="1076048209">
              <w:marLeft w:val="45"/>
              <w:marRight w:val="45"/>
              <w:marTop w:val="45"/>
              <w:marBottom w:val="45"/>
              <w:divBdr>
                <w:top w:val="none" w:sz="0" w:space="0" w:color="auto"/>
                <w:left w:val="none" w:sz="0" w:space="0" w:color="auto"/>
                <w:bottom w:val="none" w:sz="0" w:space="0" w:color="auto"/>
                <w:right w:val="none" w:sz="0" w:space="0" w:color="auto"/>
              </w:divBdr>
              <w:divsChild>
                <w:div w:id="1940023415">
                  <w:marLeft w:val="0"/>
                  <w:marRight w:val="0"/>
                  <w:marTop w:val="0"/>
                  <w:marBottom w:val="0"/>
                  <w:divBdr>
                    <w:top w:val="none" w:sz="0" w:space="0" w:color="auto"/>
                    <w:left w:val="none" w:sz="0" w:space="0" w:color="auto"/>
                    <w:bottom w:val="none" w:sz="0" w:space="0" w:color="auto"/>
                    <w:right w:val="none" w:sz="0" w:space="0" w:color="auto"/>
                  </w:divBdr>
                  <w:divsChild>
                    <w:div w:id="112230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581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477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71242359">
      <w:bodyDiv w:val="1"/>
      <w:marLeft w:val="0"/>
      <w:marRight w:val="0"/>
      <w:marTop w:val="0"/>
      <w:marBottom w:val="0"/>
      <w:divBdr>
        <w:top w:val="none" w:sz="0" w:space="0" w:color="auto"/>
        <w:left w:val="none" w:sz="0" w:space="0" w:color="auto"/>
        <w:bottom w:val="none" w:sz="0" w:space="0" w:color="auto"/>
        <w:right w:val="none" w:sz="0" w:space="0" w:color="auto"/>
      </w:divBdr>
    </w:div>
    <w:div w:id="1524712466">
      <w:bodyDiv w:val="1"/>
      <w:marLeft w:val="30"/>
      <w:marRight w:val="30"/>
      <w:marTop w:val="30"/>
      <w:marBottom w:val="30"/>
      <w:divBdr>
        <w:top w:val="none" w:sz="0" w:space="0" w:color="auto"/>
        <w:left w:val="none" w:sz="0" w:space="0" w:color="auto"/>
        <w:bottom w:val="none" w:sz="0" w:space="0" w:color="auto"/>
        <w:right w:val="none" w:sz="0" w:space="0" w:color="auto"/>
      </w:divBdr>
      <w:divsChild>
        <w:div w:id="1633248485">
          <w:marLeft w:val="0"/>
          <w:marRight w:val="0"/>
          <w:marTop w:val="0"/>
          <w:marBottom w:val="0"/>
          <w:divBdr>
            <w:top w:val="none" w:sz="0" w:space="0" w:color="auto"/>
            <w:left w:val="none" w:sz="0" w:space="0" w:color="auto"/>
            <w:bottom w:val="none" w:sz="0" w:space="0" w:color="auto"/>
            <w:right w:val="none" w:sz="0" w:space="0" w:color="auto"/>
          </w:divBdr>
          <w:divsChild>
            <w:div w:id="1373383822">
              <w:marLeft w:val="45"/>
              <w:marRight w:val="45"/>
              <w:marTop w:val="45"/>
              <w:marBottom w:val="45"/>
              <w:divBdr>
                <w:top w:val="none" w:sz="0" w:space="0" w:color="auto"/>
                <w:left w:val="none" w:sz="0" w:space="0" w:color="auto"/>
                <w:bottom w:val="none" w:sz="0" w:space="0" w:color="auto"/>
                <w:right w:val="none" w:sz="0" w:space="0" w:color="auto"/>
              </w:divBdr>
              <w:divsChild>
                <w:div w:id="1676346103">
                  <w:marLeft w:val="0"/>
                  <w:marRight w:val="0"/>
                  <w:marTop w:val="0"/>
                  <w:marBottom w:val="0"/>
                  <w:divBdr>
                    <w:top w:val="none" w:sz="0" w:space="0" w:color="auto"/>
                    <w:left w:val="none" w:sz="0" w:space="0" w:color="auto"/>
                    <w:bottom w:val="none" w:sz="0" w:space="0" w:color="auto"/>
                    <w:right w:val="none" w:sz="0" w:space="0" w:color="auto"/>
                  </w:divBdr>
                  <w:divsChild>
                    <w:div w:id="690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58041">
      <w:bodyDiv w:val="1"/>
      <w:marLeft w:val="30"/>
      <w:marRight w:val="30"/>
      <w:marTop w:val="30"/>
      <w:marBottom w:val="30"/>
      <w:divBdr>
        <w:top w:val="none" w:sz="0" w:space="0" w:color="auto"/>
        <w:left w:val="none" w:sz="0" w:space="0" w:color="auto"/>
        <w:bottom w:val="none" w:sz="0" w:space="0" w:color="auto"/>
        <w:right w:val="none" w:sz="0" w:space="0" w:color="auto"/>
      </w:divBdr>
      <w:divsChild>
        <w:div w:id="1128862884">
          <w:marLeft w:val="0"/>
          <w:marRight w:val="0"/>
          <w:marTop w:val="0"/>
          <w:marBottom w:val="0"/>
          <w:divBdr>
            <w:top w:val="none" w:sz="0" w:space="0" w:color="auto"/>
            <w:left w:val="none" w:sz="0" w:space="0" w:color="auto"/>
            <w:bottom w:val="none" w:sz="0" w:space="0" w:color="auto"/>
            <w:right w:val="none" w:sz="0" w:space="0" w:color="auto"/>
          </w:divBdr>
          <w:divsChild>
            <w:div w:id="695886586">
              <w:marLeft w:val="45"/>
              <w:marRight w:val="45"/>
              <w:marTop w:val="45"/>
              <w:marBottom w:val="45"/>
              <w:divBdr>
                <w:top w:val="none" w:sz="0" w:space="0" w:color="auto"/>
                <w:left w:val="none" w:sz="0" w:space="0" w:color="auto"/>
                <w:bottom w:val="none" w:sz="0" w:space="0" w:color="auto"/>
                <w:right w:val="none" w:sz="0" w:space="0" w:color="auto"/>
              </w:divBdr>
              <w:divsChild>
                <w:div w:id="6860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7525">
      <w:bodyDiv w:val="1"/>
      <w:marLeft w:val="30"/>
      <w:marRight w:val="30"/>
      <w:marTop w:val="30"/>
      <w:marBottom w:val="30"/>
      <w:divBdr>
        <w:top w:val="none" w:sz="0" w:space="0" w:color="auto"/>
        <w:left w:val="none" w:sz="0" w:space="0" w:color="auto"/>
        <w:bottom w:val="none" w:sz="0" w:space="0" w:color="auto"/>
        <w:right w:val="none" w:sz="0" w:space="0" w:color="auto"/>
      </w:divBdr>
      <w:divsChild>
        <w:div w:id="1127776195">
          <w:marLeft w:val="0"/>
          <w:marRight w:val="0"/>
          <w:marTop w:val="0"/>
          <w:marBottom w:val="0"/>
          <w:divBdr>
            <w:top w:val="none" w:sz="0" w:space="0" w:color="auto"/>
            <w:left w:val="none" w:sz="0" w:space="0" w:color="auto"/>
            <w:bottom w:val="none" w:sz="0" w:space="0" w:color="auto"/>
            <w:right w:val="none" w:sz="0" w:space="0" w:color="auto"/>
          </w:divBdr>
          <w:divsChild>
            <w:div w:id="990403479">
              <w:marLeft w:val="45"/>
              <w:marRight w:val="45"/>
              <w:marTop w:val="45"/>
              <w:marBottom w:val="45"/>
              <w:divBdr>
                <w:top w:val="none" w:sz="0" w:space="0" w:color="auto"/>
                <w:left w:val="none" w:sz="0" w:space="0" w:color="auto"/>
                <w:bottom w:val="none" w:sz="0" w:space="0" w:color="auto"/>
                <w:right w:val="none" w:sz="0" w:space="0" w:color="auto"/>
              </w:divBdr>
              <w:divsChild>
                <w:div w:id="9778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4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rey.Gee@fcc.gov" TargetMode="External"/><Relationship Id="rId13" Type="http://schemas.openxmlformats.org/officeDocument/2006/relationships/hyperlink" Target="mailto:Kalun.Lee@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ffrey.Gee@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vid.Janas@fc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illiam.Kehoe@fc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lun.Lee@fcc.gov" TargetMode="External"/><Relationship Id="rId14" Type="http://schemas.openxmlformats.org/officeDocument/2006/relationships/hyperlink" Target="mailto:David.Janas@fcc.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eb2.westlaw.com/find/default.wl?mt=12&amp;db=4493&amp;tc=-1&amp;rp=%2ffind%2fdefault.wl&amp;findtype=Y&amp;ordoc=2012176198&amp;serialnum=2000473662&amp;vr=2.0&amp;fn=_top&amp;sv=Split&amp;tf=-1&amp;referencepositiontype=S&amp;pbc=4D5572EE&amp;referenceposition=16024&amp;rs=WLW15.01" TargetMode="External"/><Relationship Id="rId1" Type="http://schemas.openxmlformats.org/officeDocument/2006/relationships/hyperlink" Target="http://www.simple2ca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2092</Words>
  <Characters>12019</Characters>
  <Application>Microsoft Office Word</Application>
  <DocSecurity>0</DocSecurity>
  <Lines>199</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2015-05-04T17:31:00Z</dcterms:created>
  <dcterms:modified xsi:type="dcterms:W3CDTF">2015-05-04T17:31:00Z</dcterms:modified>
  <cp:category> </cp:category>
  <cp:contentStatus> </cp:contentStatus>
</cp:coreProperties>
</file>