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7E" w:rsidRDefault="004D2A7E">
      <w:pPr>
        <w:widowControl/>
        <w:jc w:val="center"/>
        <w:rPr>
          <w:b/>
          <w:szCs w:val="22"/>
        </w:rPr>
      </w:pPr>
      <w:bookmarkStart w:id="0" w:name="_GoBack"/>
      <w:bookmarkEnd w:id="0"/>
      <w:r>
        <w:rPr>
          <w:b/>
          <w:szCs w:val="22"/>
        </w:rPr>
        <w:t>Before the</w:t>
      </w:r>
    </w:p>
    <w:p w:rsidR="004D2A7E" w:rsidRDefault="004D2A7E">
      <w:pPr>
        <w:widowControl/>
        <w:jc w:val="center"/>
        <w:rPr>
          <w:b/>
          <w:szCs w:val="22"/>
        </w:rPr>
      </w:pPr>
      <w:r>
        <w:rPr>
          <w:b/>
          <w:szCs w:val="22"/>
        </w:rPr>
        <w:t>Federal Communications Commission</w:t>
      </w:r>
    </w:p>
    <w:p w:rsidR="004D2A7E" w:rsidRDefault="004D2A7E">
      <w:pPr>
        <w:widowControl/>
        <w:jc w:val="center"/>
        <w:rPr>
          <w:b/>
          <w:szCs w:val="22"/>
        </w:rPr>
      </w:pPr>
      <w:r>
        <w:rPr>
          <w:b/>
          <w:szCs w:val="22"/>
        </w:rPr>
        <w:t>Washington, D.C. 20554</w:t>
      </w:r>
    </w:p>
    <w:p w:rsidR="004D2A7E" w:rsidRDefault="004D2A7E">
      <w:pPr>
        <w:widowControl/>
        <w:tabs>
          <w:tab w:val="left" w:pos="-720"/>
        </w:tabs>
        <w:suppressAutoHyphens/>
        <w:spacing w:line="227" w:lineRule="auto"/>
        <w:rPr>
          <w:spacing w:val="-2"/>
          <w:szCs w:val="22"/>
        </w:rPr>
      </w:pPr>
    </w:p>
    <w:p w:rsidR="004D2A7E" w:rsidRDefault="004D2A7E">
      <w:pPr>
        <w:widowControl/>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4D2A7E">
        <w:tc>
          <w:tcPr>
            <w:tcW w:w="4698" w:type="dxa"/>
          </w:tcPr>
          <w:p w:rsidR="004D2A7E" w:rsidRDefault="004D2A7E">
            <w:pPr>
              <w:widowControl/>
              <w:tabs>
                <w:tab w:val="center" w:pos="4680"/>
              </w:tabs>
              <w:suppressAutoHyphens/>
              <w:rPr>
                <w:spacing w:val="-2"/>
                <w:szCs w:val="22"/>
              </w:rPr>
            </w:pPr>
            <w:r>
              <w:rPr>
                <w:spacing w:val="-2"/>
                <w:szCs w:val="22"/>
              </w:rPr>
              <w:t>In the Matter of</w:t>
            </w:r>
          </w:p>
          <w:p w:rsidR="004D2A7E" w:rsidRDefault="004D2A7E">
            <w:pPr>
              <w:widowControl/>
              <w:tabs>
                <w:tab w:val="center" w:pos="4680"/>
              </w:tabs>
              <w:suppressAutoHyphens/>
              <w:rPr>
                <w:spacing w:val="-2"/>
                <w:szCs w:val="22"/>
              </w:rPr>
            </w:pPr>
          </w:p>
          <w:p w:rsidR="004D2A7E" w:rsidRDefault="00EA4E18">
            <w:pPr>
              <w:widowControl/>
              <w:rPr>
                <w:szCs w:val="22"/>
              </w:rPr>
            </w:pPr>
            <w:r>
              <w:rPr>
                <w:szCs w:val="22"/>
              </w:rPr>
              <w:t xml:space="preserve">Arizona Public Service Co.  </w:t>
            </w:r>
          </w:p>
          <w:p w:rsidR="00481556" w:rsidRDefault="00481556">
            <w:pPr>
              <w:widowControl/>
              <w:rPr>
                <w:szCs w:val="22"/>
              </w:rPr>
            </w:pPr>
          </w:p>
          <w:p w:rsidR="00481556" w:rsidRDefault="00481556">
            <w:pPr>
              <w:widowControl/>
              <w:rPr>
                <w:szCs w:val="22"/>
              </w:rPr>
            </w:pPr>
            <w:r>
              <w:rPr>
                <w:szCs w:val="22"/>
              </w:rPr>
              <w:t>and</w:t>
            </w:r>
          </w:p>
          <w:p w:rsidR="00481556" w:rsidRDefault="00481556">
            <w:pPr>
              <w:widowControl/>
              <w:rPr>
                <w:szCs w:val="22"/>
              </w:rPr>
            </w:pPr>
          </w:p>
          <w:p w:rsidR="00481556" w:rsidRDefault="00481556">
            <w:pPr>
              <w:widowControl/>
              <w:rPr>
                <w:szCs w:val="22"/>
              </w:rPr>
            </w:pPr>
            <w:r>
              <w:rPr>
                <w:szCs w:val="22"/>
              </w:rPr>
              <w:t>Sprint Nextel Corp.</w:t>
            </w:r>
          </w:p>
          <w:p w:rsidR="004D2A7E" w:rsidRDefault="004D2A7E">
            <w:pPr>
              <w:widowControl/>
              <w:rPr>
                <w:szCs w:val="22"/>
              </w:rPr>
            </w:pPr>
          </w:p>
          <w:p w:rsidR="004D2A7E" w:rsidRDefault="004D2A7E">
            <w:pPr>
              <w:widowControl/>
              <w:rPr>
                <w:szCs w:val="22"/>
              </w:rPr>
            </w:pPr>
          </w:p>
        </w:tc>
        <w:tc>
          <w:tcPr>
            <w:tcW w:w="630" w:type="dxa"/>
          </w:tcPr>
          <w:p w:rsidR="004D2A7E" w:rsidRDefault="004D2A7E">
            <w:pPr>
              <w:widowControl/>
              <w:tabs>
                <w:tab w:val="center" w:pos="4680"/>
              </w:tabs>
              <w:suppressAutoHyphens/>
              <w:rPr>
                <w:b/>
                <w:spacing w:val="-2"/>
                <w:szCs w:val="22"/>
              </w:rPr>
            </w:pPr>
            <w:r>
              <w:rPr>
                <w:b/>
                <w:spacing w:val="-2"/>
                <w:szCs w:val="22"/>
              </w:rPr>
              <w:t>)</w:t>
            </w:r>
          </w:p>
          <w:p w:rsidR="004D2A7E" w:rsidRDefault="004D2A7E">
            <w:pPr>
              <w:widowControl/>
              <w:tabs>
                <w:tab w:val="center" w:pos="4680"/>
              </w:tabs>
              <w:suppressAutoHyphens/>
              <w:rPr>
                <w:b/>
                <w:spacing w:val="-2"/>
                <w:szCs w:val="22"/>
              </w:rPr>
            </w:pPr>
            <w:r>
              <w:rPr>
                <w:b/>
                <w:spacing w:val="-2"/>
                <w:szCs w:val="22"/>
              </w:rPr>
              <w:t>)</w:t>
            </w:r>
          </w:p>
          <w:p w:rsidR="004D2A7E" w:rsidRDefault="004D2A7E">
            <w:pPr>
              <w:widowControl/>
              <w:tabs>
                <w:tab w:val="center" w:pos="4680"/>
              </w:tabs>
              <w:suppressAutoHyphens/>
              <w:rPr>
                <w:b/>
                <w:spacing w:val="-2"/>
                <w:szCs w:val="22"/>
              </w:rPr>
            </w:pPr>
            <w:r>
              <w:rPr>
                <w:b/>
                <w:spacing w:val="-2"/>
                <w:szCs w:val="22"/>
              </w:rPr>
              <w:t>)</w:t>
            </w:r>
          </w:p>
          <w:p w:rsidR="004D2A7E" w:rsidRDefault="00EA4E18">
            <w:pPr>
              <w:widowControl/>
              <w:tabs>
                <w:tab w:val="center" w:pos="4680"/>
              </w:tabs>
              <w:suppressAutoHyphens/>
              <w:rPr>
                <w:b/>
                <w:spacing w:val="-2"/>
                <w:szCs w:val="22"/>
              </w:rPr>
            </w:pPr>
            <w:r>
              <w:rPr>
                <w:b/>
                <w:spacing w:val="-2"/>
                <w:szCs w:val="22"/>
              </w:rPr>
              <w:t>)</w:t>
            </w:r>
          </w:p>
          <w:p w:rsidR="00EA4E18" w:rsidRDefault="00EA4E18">
            <w:pPr>
              <w:widowControl/>
              <w:tabs>
                <w:tab w:val="center" w:pos="4680"/>
              </w:tabs>
              <w:suppressAutoHyphens/>
              <w:rPr>
                <w:b/>
                <w:spacing w:val="-2"/>
                <w:szCs w:val="22"/>
              </w:rPr>
            </w:pPr>
            <w:r>
              <w:rPr>
                <w:b/>
                <w:spacing w:val="-2"/>
                <w:szCs w:val="22"/>
              </w:rPr>
              <w:t>)</w:t>
            </w:r>
          </w:p>
          <w:p w:rsidR="00481556" w:rsidRDefault="00481556">
            <w:pPr>
              <w:widowControl/>
              <w:tabs>
                <w:tab w:val="center" w:pos="4680"/>
              </w:tabs>
              <w:suppressAutoHyphens/>
              <w:rPr>
                <w:b/>
                <w:spacing w:val="-2"/>
                <w:szCs w:val="22"/>
              </w:rPr>
            </w:pPr>
            <w:r>
              <w:rPr>
                <w:b/>
                <w:spacing w:val="-2"/>
                <w:szCs w:val="22"/>
              </w:rPr>
              <w:t>)</w:t>
            </w:r>
          </w:p>
          <w:p w:rsidR="00481556" w:rsidRDefault="00481556">
            <w:pPr>
              <w:widowControl/>
              <w:tabs>
                <w:tab w:val="center" w:pos="4680"/>
              </w:tabs>
              <w:suppressAutoHyphens/>
              <w:rPr>
                <w:b/>
                <w:spacing w:val="-2"/>
                <w:szCs w:val="22"/>
              </w:rPr>
            </w:pPr>
            <w:r>
              <w:rPr>
                <w:b/>
                <w:spacing w:val="-2"/>
                <w:szCs w:val="22"/>
              </w:rPr>
              <w:t>)</w:t>
            </w:r>
          </w:p>
          <w:p w:rsidR="00481556" w:rsidRPr="00EA4E18" w:rsidRDefault="00481556">
            <w:pPr>
              <w:widowControl/>
              <w:tabs>
                <w:tab w:val="center" w:pos="4680"/>
              </w:tabs>
              <w:suppressAutoHyphens/>
              <w:rPr>
                <w:b/>
                <w:spacing w:val="-2"/>
                <w:szCs w:val="22"/>
              </w:rPr>
            </w:pPr>
          </w:p>
        </w:tc>
        <w:tc>
          <w:tcPr>
            <w:tcW w:w="4248" w:type="dxa"/>
          </w:tcPr>
          <w:p w:rsidR="004D2A7E" w:rsidRDefault="004D2A7E">
            <w:pPr>
              <w:widowControl/>
              <w:tabs>
                <w:tab w:val="center" w:pos="4680"/>
              </w:tabs>
              <w:suppressAutoHyphens/>
              <w:rPr>
                <w:spacing w:val="-2"/>
                <w:szCs w:val="22"/>
              </w:rPr>
            </w:pPr>
          </w:p>
          <w:p w:rsidR="004D2A7E" w:rsidRDefault="004D2A7E">
            <w:pPr>
              <w:widowControl/>
              <w:tabs>
                <w:tab w:val="center" w:pos="4680"/>
              </w:tabs>
              <w:suppressAutoHyphens/>
              <w:rPr>
                <w:spacing w:val="-2"/>
                <w:szCs w:val="22"/>
              </w:rPr>
            </w:pPr>
          </w:p>
          <w:p w:rsidR="004D2A7E" w:rsidRDefault="004D2A7E">
            <w:pPr>
              <w:pStyle w:val="TOAHeading"/>
              <w:widowControl/>
              <w:tabs>
                <w:tab w:val="clear" w:pos="9360"/>
                <w:tab w:val="center" w:pos="4680"/>
              </w:tabs>
              <w:rPr>
                <w:spacing w:val="-2"/>
                <w:szCs w:val="22"/>
              </w:rPr>
            </w:pPr>
          </w:p>
          <w:p w:rsidR="004D2A7E" w:rsidRDefault="004D2A7E">
            <w:pPr>
              <w:widowControl/>
              <w:tabs>
                <w:tab w:val="center" w:pos="4680"/>
              </w:tabs>
              <w:suppressAutoHyphens/>
              <w:rPr>
                <w:spacing w:val="-2"/>
                <w:szCs w:val="22"/>
              </w:rPr>
            </w:pPr>
            <w:r>
              <w:rPr>
                <w:spacing w:val="-2"/>
                <w:szCs w:val="22"/>
              </w:rPr>
              <w:t xml:space="preserve">WT Docket No. </w:t>
            </w:r>
            <w:r w:rsidR="00100C9E">
              <w:rPr>
                <w:spacing w:val="-2"/>
                <w:szCs w:val="22"/>
              </w:rPr>
              <w:t>02-55</w:t>
            </w:r>
          </w:p>
          <w:p w:rsidR="004D2A7E" w:rsidRDefault="004D2A7E">
            <w:pPr>
              <w:widowControl/>
              <w:tabs>
                <w:tab w:val="center" w:pos="4680"/>
              </w:tabs>
              <w:suppressAutoHyphens/>
              <w:rPr>
                <w:spacing w:val="-2"/>
                <w:szCs w:val="22"/>
              </w:rPr>
            </w:pPr>
          </w:p>
        </w:tc>
      </w:tr>
    </w:tbl>
    <w:p w:rsidR="004D2A7E" w:rsidRDefault="004D2A7E">
      <w:pPr>
        <w:widowControl/>
        <w:tabs>
          <w:tab w:val="left" w:pos="-720"/>
        </w:tabs>
        <w:suppressAutoHyphens/>
        <w:spacing w:line="227" w:lineRule="auto"/>
        <w:rPr>
          <w:spacing w:val="-2"/>
          <w:szCs w:val="22"/>
        </w:rPr>
      </w:pPr>
    </w:p>
    <w:p w:rsidR="004D2A7E" w:rsidRDefault="004D2A7E">
      <w:pPr>
        <w:widowControl/>
        <w:tabs>
          <w:tab w:val="left" w:pos="-720"/>
        </w:tabs>
        <w:suppressAutoHyphens/>
        <w:spacing w:line="227" w:lineRule="auto"/>
        <w:rPr>
          <w:spacing w:val="-2"/>
          <w:szCs w:val="22"/>
        </w:rPr>
      </w:pPr>
    </w:p>
    <w:p w:rsidR="004D2A7E" w:rsidRDefault="004D2A7E">
      <w:pPr>
        <w:widowControl/>
        <w:jc w:val="center"/>
        <w:rPr>
          <w:b/>
          <w:szCs w:val="22"/>
        </w:rPr>
      </w:pPr>
      <w:r>
        <w:rPr>
          <w:b/>
          <w:szCs w:val="22"/>
        </w:rPr>
        <w:fldChar w:fldCharType="begin"/>
      </w:r>
      <w:r>
        <w:rPr>
          <w:b/>
          <w:szCs w:val="22"/>
        </w:rPr>
        <w:instrText xml:space="preserve"> AUTOTEXTLIST  \* MERGEFORMAT </w:instrText>
      </w:r>
      <w:r>
        <w:rPr>
          <w:b/>
          <w:szCs w:val="22"/>
        </w:rPr>
        <w:fldChar w:fldCharType="separate"/>
      </w:r>
      <w:r>
        <w:rPr>
          <w:b/>
          <w:szCs w:val="22"/>
        </w:rPr>
        <w:t>ORDER</w:t>
      </w:r>
      <w:r>
        <w:rPr>
          <w:b/>
          <w:szCs w:val="22"/>
        </w:rPr>
        <w:fldChar w:fldCharType="end"/>
      </w:r>
      <w:r>
        <w:rPr>
          <w:b/>
          <w:szCs w:val="22"/>
        </w:rPr>
        <w:t xml:space="preserve"> ON RECONSIDERATION</w:t>
      </w:r>
    </w:p>
    <w:p w:rsidR="004D2A7E" w:rsidRDefault="004D2A7E">
      <w:pPr>
        <w:widowControl/>
        <w:tabs>
          <w:tab w:val="left" w:pos="-720"/>
        </w:tabs>
        <w:suppressAutoHyphens/>
        <w:spacing w:line="227" w:lineRule="auto"/>
        <w:rPr>
          <w:spacing w:val="-2"/>
          <w:szCs w:val="22"/>
        </w:rPr>
      </w:pPr>
    </w:p>
    <w:p w:rsidR="004D2A7E" w:rsidRDefault="004D2A7E" w:rsidP="00D96062">
      <w:pPr>
        <w:widowControl/>
        <w:tabs>
          <w:tab w:val="left" w:pos="720"/>
          <w:tab w:val="right" w:pos="5760"/>
          <w:tab w:val="right" w:pos="9360"/>
        </w:tabs>
        <w:suppressAutoHyphens/>
        <w:spacing w:line="228" w:lineRule="auto"/>
        <w:jc w:val="left"/>
        <w:rPr>
          <w:spacing w:val="-2"/>
          <w:szCs w:val="22"/>
        </w:rPr>
      </w:pPr>
      <w:r>
        <w:rPr>
          <w:b/>
          <w:spacing w:val="-2"/>
          <w:szCs w:val="22"/>
        </w:rPr>
        <w:t xml:space="preserve">Adopted:  </w:t>
      </w:r>
      <w:r w:rsidR="00DA3113">
        <w:rPr>
          <w:b/>
          <w:spacing w:val="-2"/>
          <w:szCs w:val="22"/>
        </w:rPr>
        <w:t xml:space="preserve">May </w:t>
      </w:r>
      <w:r w:rsidR="00A64F4E">
        <w:rPr>
          <w:b/>
          <w:spacing w:val="-2"/>
          <w:szCs w:val="22"/>
        </w:rPr>
        <w:t>4</w:t>
      </w:r>
      <w:r w:rsidR="00DA3113">
        <w:rPr>
          <w:b/>
          <w:spacing w:val="-2"/>
          <w:szCs w:val="22"/>
        </w:rPr>
        <w:t>, 2015</w:t>
      </w:r>
      <w:r>
        <w:rPr>
          <w:b/>
          <w:spacing w:val="-2"/>
          <w:szCs w:val="22"/>
        </w:rPr>
        <w:tab/>
      </w:r>
      <w:r w:rsidR="00270E47">
        <w:rPr>
          <w:b/>
          <w:spacing w:val="-2"/>
          <w:szCs w:val="22"/>
        </w:rPr>
        <w:tab/>
      </w:r>
      <w:r>
        <w:rPr>
          <w:b/>
          <w:spacing w:val="-2"/>
          <w:szCs w:val="22"/>
        </w:rPr>
        <w:t xml:space="preserve">Released:  </w:t>
      </w:r>
      <w:r w:rsidR="00DA3113">
        <w:rPr>
          <w:b/>
          <w:spacing w:val="-2"/>
          <w:szCs w:val="22"/>
        </w:rPr>
        <w:t xml:space="preserve">May </w:t>
      </w:r>
      <w:r w:rsidR="00A64F4E">
        <w:rPr>
          <w:b/>
          <w:spacing w:val="-2"/>
          <w:szCs w:val="22"/>
        </w:rPr>
        <w:t>4</w:t>
      </w:r>
      <w:r w:rsidR="00DA3113">
        <w:rPr>
          <w:b/>
          <w:spacing w:val="-2"/>
          <w:szCs w:val="22"/>
        </w:rPr>
        <w:t>, 2015</w:t>
      </w:r>
    </w:p>
    <w:p w:rsidR="004D2A7E" w:rsidRDefault="004D2A7E">
      <w:pPr>
        <w:widowControl/>
        <w:rPr>
          <w:szCs w:val="22"/>
        </w:rPr>
      </w:pPr>
    </w:p>
    <w:p w:rsidR="004D2A7E" w:rsidRDefault="004D2A7E" w:rsidP="00B5426F">
      <w:pPr>
        <w:widowControl/>
        <w:jc w:val="left"/>
        <w:rPr>
          <w:spacing w:val="-2"/>
          <w:szCs w:val="22"/>
        </w:rPr>
      </w:pPr>
      <w:r>
        <w:rPr>
          <w:szCs w:val="22"/>
        </w:rPr>
        <w:t xml:space="preserve">By the </w:t>
      </w:r>
      <w:r w:rsidR="00270E47">
        <w:rPr>
          <w:szCs w:val="22"/>
        </w:rPr>
        <w:t xml:space="preserve">Deputy </w:t>
      </w:r>
      <w:r>
        <w:rPr>
          <w:spacing w:val="-2"/>
          <w:szCs w:val="22"/>
        </w:rPr>
        <w:t xml:space="preserve">Chief, </w:t>
      </w:r>
      <w:r w:rsidR="00F21021">
        <w:rPr>
          <w:spacing w:val="-2"/>
          <w:szCs w:val="22"/>
        </w:rPr>
        <w:t xml:space="preserve">Policy and Licensing Division </w:t>
      </w:r>
      <w:r>
        <w:rPr>
          <w:spacing w:val="-2"/>
          <w:szCs w:val="22"/>
        </w:rPr>
        <w:t>Public Safety and Homeland Security Bureau:</w:t>
      </w:r>
    </w:p>
    <w:p w:rsidR="004D2A7E" w:rsidRDefault="004D2A7E" w:rsidP="00B5426F">
      <w:pPr>
        <w:widowControl/>
        <w:jc w:val="left"/>
        <w:rPr>
          <w:spacing w:val="-2"/>
          <w:szCs w:val="22"/>
        </w:rPr>
      </w:pPr>
    </w:p>
    <w:p w:rsidR="004D2A7E" w:rsidRDefault="004D2A7E" w:rsidP="00B5426F">
      <w:pPr>
        <w:pStyle w:val="ParaNum"/>
        <w:widowControl/>
        <w:jc w:val="left"/>
        <w:rPr>
          <w:szCs w:val="22"/>
        </w:rPr>
      </w:pPr>
      <w:r>
        <w:rPr>
          <w:szCs w:val="22"/>
        </w:rPr>
        <w:t xml:space="preserve">On </w:t>
      </w:r>
      <w:r w:rsidR="00EA4E18">
        <w:rPr>
          <w:szCs w:val="22"/>
        </w:rPr>
        <w:t>April 9, 2015</w:t>
      </w:r>
      <w:r>
        <w:rPr>
          <w:szCs w:val="22"/>
        </w:rPr>
        <w:t xml:space="preserve">, the </w:t>
      </w:r>
      <w:r w:rsidR="00EA4E18">
        <w:rPr>
          <w:szCs w:val="22"/>
        </w:rPr>
        <w:t xml:space="preserve">Arizona Public </w:t>
      </w:r>
      <w:r w:rsidR="00DD12CC">
        <w:rPr>
          <w:szCs w:val="22"/>
        </w:rPr>
        <w:t>Service</w:t>
      </w:r>
      <w:r w:rsidR="00EA4E18">
        <w:rPr>
          <w:szCs w:val="22"/>
        </w:rPr>
        <w:t xml:space="preserve"> Company (APS</w:t>
      </w:r>
      <w:r w:rsidR="005D1050">
        <w:rPr>
          <w:szCs w:val="22"/>
        </w:rPr>
        <w:t xml:space="preserve"> or Licensee</w:t>
      </w:r>
      <w:r w:rsidR="00EA4E18">
        <w:rPr>
          <w:szCs w:val="22"/>
        </w:rPr>
        <w:t>)</w:t>
      </w:r>
      <w:r>
        <w:rPr>
          <w:szCs w:val="22"/>
        </w:rPr>
        <w:t xml:space="preserve"> filed a Petition for Reconsideration</w:t>
      </w:r>
      <w:r>
        <w:rPr>
          <w:rStyle w:val="FootnoteReference"/>
          <w:szCs w:val="22"/>
        </w:rPr>
        <w:footnoteReference w:id="2"/>
      </w:r>
      <w:r>
        <w:rPr>
          <w:szCs w:val="22"/>
        </w:rPr>
        <w:t xml:space="preserve"> (Petition) of the Public Safety and Homeland Security Bureau's (Bureau) </w:t>
      </w:r>
      <w:r>
        <w:rPr>
          <w:i/>
          <w:szCs w:val="22"/>
        </w:rPr>
        <w:t xml:space="preserve">Memorandum Opinion and Order </w:t>
      </w:r>
      <w:r w:rsidR="00270E47" w:rsidRPr="00D96062">
        <w:rPr>
          <w:szCs w:val="22"/>
        </w:rPr>
        <w:t>(</w:t>
      </w:r>
      <w:r w:rsidR="00270E47" w:rsidRPr="00D96062">
        <w:rPr>
          <w:i/>
          <w:szCs w:val="22"/>
        </w:rPr>
        <w:t>MO&amp;O</w:t>
      </w:r>
      <w:r w:rsidR="00270E47">
        <w:rPr>
          <w:szCs w:val="22"/>
        </w:rPr>
        <w:t>)</w:t>
      </w:r>
      <w:r w:rsidR="009B3068">
        <w:rPr>
          <w:rStyle w:val="FootnoteReference"/>
          <w:szCs w:val="22"/>
        </w:rPr>
        <w:footnoteReference w:id="3"/>
      </w:r>
      <w:r w:rsidR="00270E47">
        <w:rPr>
          <w:szCs w:val="22"/>
        </w:rPr>
        <w:t xml:space="preserve"> in which </w:t>
      </w:r>
      <w:r>
        <w:rPr>
          <w:szCs w:val="22"/>
        </w:rPr>
        <w:t xml:space="preserve">the Bureau </w:t>
      </w:r>
      <w:r w:rsidR="00270E47">
        <w:rPr>
          <w:szCs w:val="22"/>
        </w:rPr>
        <w:t xml:space="preserve">found that </w:t>
      </w:r>
      <w:r w:rsidR="00EA4E18">
        <w:rPr>
          <w:szCs w:val="22"/>
        </w:rPr>
        <w:t xml:space="preserve">APSC </w:t>
      </w:r>
      <w:r w:rsidR="00270E47">
        <w:rPr>
          <w:szCs w:val="22"/>
        </w:rPr>
        <w:t xml:space="preserve">failed to </w:t>
      </w:r>
      <w:r w:rsidR="00EA4E18">
        <w:rPr>
          <w:szCs w:val="22"/>
        </w:rPr>
        <w:t>me</w:t>
      </w:r>
      <w:r w:rsidR="00270E47">
        <w:rPr>
          <w:szCs w:val="22"/>
        </w:rPr>
        <w:t>e</w:t>
      </w:r>
      <w:r w:rsidR="00EA4E18">
        <w:rPr>
          <w:szCs w:val="22"/>
        </w:rPr>
        <w:t xml:space="preserve">t its burden of proof to demonstrate that its estimate of the </w:t>
      </w:r>
      <w:r w:rsidR="00DD12CC">
        <w:rPr>
          <w:szCs w:val="22"/>
        </w:rPr>
        <w:t>cost</w:t>
      </w:r>
      <w:r w:rsidR="00EA4E18">
        <w:rPr>
          <w:szCs w:val="22"/>
        </w:rPr>
        <w:t xml:space="preserve"> to reband its 800 MHz communications system </w:t>
      </w:r>
      <w:r w:rsidR="00DD12CC">
        <w:rPr>
          <w:szCs w:val="22"/>
        </w:rPr>
        <w:t>met</w:t>
      </w:r>
      <w:r w:rsidR="00EA4E18">
        <w:rPr>
          <w:szCs w:val="22"/>
        </w:rPr>
        <w:t xml:space="preserve"> the Commission’s well established Minimum Necessary Cost Standard</w:t>
      </w:r>
      <w:r>
        <w:rPr>
          <w:szCs w:val="22"/>
        </w:rPr>
        <w:t>.</w:t>
      </w:r>
      <w:r>
        <w:rPr>
          <w:rStyle w:val="FootnoteReference"/>
          <w:color w:val="000000"/>
          <w:szCs w:val="22"/>
        </w:rPr>
        <w:footnoteReference w:id="4"/>
      </w:r>
      <w:r>
        <w:rPr>
          <w:szCs w:val="22"/>
        </w:rPr>
        <w:t xml:space="preserve">   For the reasons discussed below, we d</w:t>
      </w:r>
      <w:r w:rsidR="00F21021">
        <w:rPr>
          <w:szCs w:val="22"/>
        </w:rPr>
        <w:t xml:space="preserve">ismiss </w:t>
      </w:r>
      <w:r>
        <w:rPr>
          <w:szCs w:val="22"/>
        </w:rPr>
        <w:t>the Petition.</w:t>
      </w:r>
    </w:p>
    <w:p w:rsidR="0044184B" w:rsidRDefault="004D2A7E" w:rsidP="00B5426F">
      <w:pPr>
        <w:pStyle w:val="Heading1"/>
        <w:widowControl/>
        <w:jc w:val="left"/>
        <w:rPr>
          <w:rFonts w:ascii="Times New Roman" w:hAnsi="Times New Roman"/>
          <w:szCs w:val="22"/>
        </w:rPr>
      </w:pPr>
      <w:r>
        <w:rPr>
          <w:rFonts w:ascii="Times New Roman" w:hAnsi="Times New Roman"/>
          <w:szCs w:val="22"/>
        </w:rPr>
        <w:t>background</w:t>
      </w:r>
    </w:p>
    <w:p w:rsidR="00091E2D" w:rsidRDefault="00091E2D" w:rsidP="00B5426F">
      <w:pPr>
        <w:pStyle w:val="ParaNum"/>
        <w:widowControl/>
        <w:jc w:val="left"/>
      </w:pPr>
      <w:r>
        <w:t>APS is a public utility located in the State of Arizona.</w:t>
      </w:r>
      <w:r w:rsidR="00C2380A">
        <w:rPr>
          <w:rStyle w:val="FootnoteReference"/>
        </w:rPr>
        <w:footnoteReference w:id="5"/>
      </w:r>
      <w:r>
        <w:t xml:space="preserve">  </w:t>
      </w:r>
      <w:r w:rsidR="000B4C90">
        <w:t>Under the terms of t</w:t>
      </w:r>
      <w:r>
        <w:t xml:space="preserve">he </w:t>
      </w:r>
      <w:r>
        <w:rPr>
          <w:i/>
        </w:rPr>
        <w:t xml:space="preserve">800 MHz Report and </w:t>
      </w:r>
      <w:r w:rsidRPr="00464BE8">
        <w:rPr>
          <w:i/>
        </w:rPr>
        <w:t>Order</w:t>
      </w:r>
      <w:r>
        <w:t xml:space="preserve"> </w:t>
      </w:r>
      <w:r w:rsidR="000B4C90">
        <w:t xml:space="preserve">and subsequent orders and precedent, </w:t>
      </w:r>
      <w:r w:rsidR="000A75B5">
        <w:t>APS</w:t>
      </w:r>
      <w:r>
        <w:t xml:space="preserve"> </w:t>
      </w:r>
      <w:r w:rsidR="000B4C90">
        <w:t xml:space="preserve">must </w:t>
      </w:r>
      <w:r>
        <w:t xml:space="preserve">relocate its system within the 800 MHz band at </w:t>
      </w:r>
      <w:r w:rsidR="00F21021">
        <w:t xml:space="preserve">minimum necessary cost, but at </w:t>
      </w:r>
      <w:r>
        <w:t>Sprint</w:t>
      </w:r>
      <w:r w:rsidR="000A75B5">
        <w:t xml:space="preserve"> Corporation</w:t>
      </w:r>
      <w:r>
        <w:t>’s</w:t>
      </w:r>
      <w:r w:rsidR="000A75B5">
        <w:t xml:space="preserve"> (Sprint)</w:t>
      </w:r>
      <w:r w:rsidR="00542BA8" w:rsidRPr="00542BA8">
        <w:rPr>
          <w:vertAlign w:val="superscript"/>
        </w:rPr>
        <w:t xml:space="preserve"> </w:t>
      </w:r>
      <w:r w:rsidR="00542BA8" w:rsidRPr="00542BA8">
        <w:rPr>
          <w:vertAlign w:val="superscript"/>
        </w:rPr>
        <w:footnoteReference w:id="6"/>
      </w:r>
      <w:r>
        <w:t xml:space="preserve"> expense.  </w:t>
      </w:r>
      <w:r w:rsidR="007B1A6F">
        <w:t xml:space="preserve">In its proposed resolution memorandum </w:t>
      </w:r>
      <w:r w:rsidRPr="00091E2D">
        <w:t>APS</w:t>
      </w:r>
      <w:r>
        <w:t xml:space="preserve"> stated that </w:t>
      </w:r>
      <w:r w:rsidR="000B4C90">
        <w:t xml:space="preserve">it needed to reconfigure </w:t>
      </w:r>
      <w:r>
        <w:t>five multicast sites,</w:t>
      </w:r>
      <w:r w:rsidR="000A75B5">
        <w:t xml:space="preserve"> </w:t>
      </w:r>
      <w:r>
        <w:t xml:space="preserve">three pole top </w:t>
      </w:r>
      <w:r>
        <w:lastRenderedPageBreak/>
        <w:t>repeater sites, and approximately 3,100 subscriber radios as part of the 800 MHz rebanding process</w:t>
      </w:r>
      <w:r w:rsidR="000A75B5">
        <w:t xml:space="preserve">.  It </w:t>
      </w:r>
      <w:r>
        <w:t xml:space="preserve">submitted </w:t>
      </w:r>
      <w:r w:rsidR="000A75B5">
        <w:t>a</w:t>
      </w:r>
      <w:r>
        <w:t xml:space="preserve"> cost estimate (Statement of Work or SOW) </w:t>
      </w:r>
      <w:r w:rsidR="000A75B5">
        <w:t xml:space="preserve">of </w:t>
      </w:r>
      <w:r w:rsidR="00464BE8">
        <w:t>$2.67 million.</w:t>
      </w:r>
      <w:r w:rsidR="00C2380A">
        <w:rPr>
          <w:rStyle w:val="FootnoteReference"/>
        </w:rPr>
        <w:footnoteReference w:id="7"/>
      </w:r>
      <w:r w:rsidR="00464BE8">
        <w:t xml:space="preserve">  </w:t>
      </w:r>
    </w:p>
    <w:p w:rsidR="0081304E" w:rsidRDefault="007B1A6F" w:rsidP="00B5426F">
      <w:pPr>
        <w:pStyle w:val="ParaNum"/>
        <w:widowControl/>
        <w:jc w:val="left"/>
      </w:pPr>
      <w:r>
        <w:t xml:space="preserve">The parties were unable to negotiate </w:t>
      </w:r>
      <w:r w:rsidR="000A75B5">
        <w:t xml:space="preserve">a Frequency Reconfiguration Agreement (FRA) for the APS system at </w:t>
      </w:r>
      <w:r>
        <w:t xml:space="preserve">the $2.67 million cost and entered mediation under the auspices of the Transition Administrator (TA) </w:t>
      </w:r>
      <w:r w:rsidR="000A75B5">
        <w:t>M</w:t>
      </w:r>
      <w:r>
        <w:t xml:space="preserve">ediator.  In the course of mediation, </w:t>
      </w:r>
      <w:r w:rsidR="00464BE8">
        <w:t>both APS and the TA Mediator observed that Sprint ha</w:t>
      </w:r>
      <w:r w:rsidR="00A96364">
        <w:t>d</w:t>
      </w:r>
      <w:r w:rsidR="00464BE8">
        <w:t xml:space="preserve"> not </w:t>
      </w:r>
      <w:r>
        <w:t xml:space="preserve">produced </w:t>
      </w:r>
      <w:r w:rsidR="00464BE8">
        <w:t>an alternative quote for rebanding APS’s system</w:t>
      </w:r>
      <w:r>
        <w:t>.  Accordingly</w:t>
      </w:r>
      <w:r w:rsidR="00464BE8">
        <w:t xml:space="preserve">, Sprint </w:t>
      </w:r>
      <w:r w:rsidR="00B41302">
        <w:t xml:space="preserve">obtained a </w:t>
      </w:r>
      <w:r>
        <w:t xml:space="preserve">rebanding </w:t>
      </w:r>
      <w:r w:rsidR="00B41302" w:rsidRPr="00B41302">
        <w:t>quote from Creative Communications of Phoenix, Arizona (the Creative Quote)</w:t>
      </w:r>
      <w:r w:rsidR="00B41302">
        <w:t>.</w:t>
      </w:r>
      <w:r w:rsidR="00C2380A">
        <w:rPr>
          <w:rStyle w:val="FootnoteReference"/>
        </w:rPr>
        <w:footnoteReference w:id="8"/>
      </w:r>
      <w:r w:rsidR="00B41302">
        <w:t xml:space="preserve">  </w:t>
      </w:r>
      <w:r>
        <w:t xml:space="preserve">To </w:t>
      </w:r>
      <w:r w:rsidR="00B41302">
        <w:t xml:space="preserve">obtain this quote </w:t>
      </w:r>
      <w:r w:rsidR="00A96364">
        <w:t xml:space="preserve">Sprint provided Creative with some basic information about the proposed </w:t>
      </w:r>
      <w:r w:rsidR="000A1E5F">
        <w:t xml:space="preserve">rebanding </w:t>
      </w:r>
      <w:r w:rsidR="00A96364">
        <w:t>work.</w:t>
      </w:r>
      <w:r w:rsidR="00B41302">
        <w:t xml:space="preserve"> T</w:t>
      </w:r>
      <w:r w:rsidR="00464BE8">
        <w:t>he Creative quote was significantly lower than APS’s estimate</w:t>
      </w:r>
      <w:r w:rsidR="000A1E5F">
        <w:t>, which was based on the rebanding work being done by the</w:t>
      </w:r>
      <w:r w:rsidR="006033E6">
        <w:t xml:space="preserve"> Harris</w:t>
      </w:r>
      <w:r w:rsidR="000A1E5F">
        <w:t xml:space="preserve"> Corporation (Harris) – a radio equipment manufacturer – notwithstanding that APS’ has a Motorola system.</w:t>
      </w:r>
      <w:r w:rsidR="006A6DF2" w:rsidRPr="006A6DF2">
        <w:rPr>
          <w:vertAlign w:val="superscript"/>
        </w:rPr>
        <w:t xml:space="preserve"> </w:t>
      </w:r>
      <w:r w:rsidR="006A6DF2" w:rsidRPr="006A6DF2">
        <w:rPr>
          <w:vertAlign w:val="superscript"/>
        </w:rPr>
        <w:footnoteReference w:id="9"/>
      </w:r>
      <w:r w:rsidR="006A6DF2" w:rsidRPr="006A6DF2">
        <w:t xml:space="preserve"> </w:t>
      </w:r>
      <w:r w:rsidR="00464BE8">
        <w:t xml:space="preserve">  </w:t>
      </w:r>
    </w:p>
    <w:p w:rsidR="005B26F4" w:rsidRDefault="00464BE8" w:rsidP="00B5426F">
      <w:pPr>
        <w:pStyle w:val="ParaNum"/>
        <w:widowControl/>
        <w:jc w:val="left"/>
      </w:pPr>
      <w:r>
        <w:t xml:space="preserve"> </w:t>
      </w:r>
      <w:r w:rsidR="00091E2D">
        <w:t xml:space="preserve"> </w:t>
      </w:r>
      <w:r w:rsidR="0081304E">
        <w:t>The Commission has stated that relocating licensees</w:t>
      </w:r>
      <w:r w:rsidR="006A6DF2">
        <w:t>, such as APS,</w:t>
      </w:r>
      <w:r w:rsidR="0081304E">
        <w:t xml:space="preserve"> are entitled to </w:t>
      </w:r>
      <w:r w:rsidR="006A6DF2">
        <w:t xml:space="preserve">payment </w:t>
      </w:r>
      <w:r w:rsidR="0081304E">
        <w:t xml:space="preserve">of “any reasonable and prudent expense directly related to the retuning of </w:t>
      </w:r>
      <w:r w:rsidR="000A1E5F">
        <w:t xml:space="preserve">[an] </w:t>
      </w:r>
      <w:r w:rsidR="0081304E">
        <w:t>800 MHz system</w:t>
      </w:r>
      <w:r w:rsidR="006A6DF2">
        <w:t>.</w:t>
      </w:r>
      <w:r w:rsidR="0081304E">
        <w:t>”</w:t>
      </w:r>
      <w:r w:rsidR="003442F7">
        <w:rPr>
          <w:rStyle w:val="FootnoteReference"/>
        </w:rPr>
        <w:footnoteReference w:id="10"/>
      </w:r>
      <w:r w:rsidR="0081304E">
        <w:t xml:space="preserve"> </w:t>
      </w:r>
      <w:r w:rsidR="00542BA8">
        <w:t xml:space="preserve"> </w:t>
      </w:r>
      <w:r w:rsidR="006A6DF2">
        <w:t>The</w:t>
      </w:r>
      <w:r w:rsidR="0081304E">
        <w:t xml:space="preserve"> relocating licensee must certify that “the funds requested for reconfiguration are the minimum necessary to provide facilities comparable to those presently in use.”</w:t>
      </w:r>
      <w:r w:rsidR="003442F7">
        <w:rPr>
          <w:rStyle w:val="FootnoteReference"/>
        </w:rPr>
        <w:footnoteReference w:id="11"/>
      </w:r>
      <w:r w:rsidR="0081304E">
        <w:t xml:space="preserve"> </w:t>
      </w:r>
      <w:r w:rsidR="000A1E5F">
        <w:t>T</w:t>
      </w:r>
      <w:r w:rsidR="0081304E">
        <w:t xml:space="preserve">he licensee bears the burden of proof to show that its claimed expenses meet the </w:t>
      </w:r>
      <w:r w:rsidR="000A1E5F">
        <w:t>M</w:t>
      </w:r>
      <w:r w:rsidR="0081304E">
        <w:t xml:space="preserve">inimum </w:t>
      </w:r>
      <w:r w:rsidR="000A1E5F">
        <w:t>N</w:t>
      </w:r>
      <w:r w:rsidR="0081304E">
        <w:t xml:space="preserve">ecessary </w:t>
      </w:r>
      <w:r w:rsidR="000A1E5F">
        <w:t>C</w:t>
      </w:r>
      <w:r w:rsidR="0081304E">
        <w:t xml:space="preserve">ost </w:t>
      </w:r>
      <w:r w:rsidR="000A1E5F">
        <w:t>S</w:t>
      </w:r>
      <w:r w:rsidR="0081304E">
        <w:t>tandard.</w:t>
      </w:r>
      <w:r w:rsidR="003442F7">
        <w:rPr>
          <w:rStyle w:val="FootnoteReference"/>
        </w:rPr>
        <w:footnoteReference w:id="12"/>
      </w:r>
      <w:r w:rsidR="0081304E">
        <w:t xml:space="preserve">  </w:t>
      </w:r>
    </w:p>
    <w:p w:rsidR="00B41302" w:rsidRDefault="0081304E" w:rsidP="00B5426F">
      <w:pPr>
        <w:pStyle w:val="ParaNum"/>
        <w:widowControl/>
        <w:jc w:val="left"/>
      </w:pPr>
      <w:r>
        <w:t xml:space="preserve">At the Bureau’s </w:t>
      </w:r>
      <w:r w:rsidR="00D902BA">
        <w:t>direction</w:t>
      </w:r>
      <w:r>
        <w:t>, the TA Mediator pro</w:t>
      </w:r>
      <w:r w:rsidR="00D902BA">
        <w:t>vided</w:t>
      </w:r>
      <w:r w:rsidR="00542BA8">
        <w:t xml:space="preserve"> “TA Metrics” </w:t>
      </w:r>
      <w:r w:rsidR="00B41302">
        <w:t xml:space="preserve">reports comparing </w:t>
      </w:r>
      <w:r>
        <w:t>APS’s and Sprint’s cost estimate</w:t>
      </w:r>
      <w:r w:rsidR="00B41302">
        <w:t>s</w:t>
      </w:r>
      <w:r>
        <w:t xml:space="preserve"> to </w:t>
      </w:r>
      <w:r w:rsidR="00B41302">
        <w:t>cost estimates of similarly sized licensees.</w:t>
      </w:r>
      <w:r w:rsidR="005B26F4">
        <w:rPr>
          <w:rStyle w:val="FootnoteReference"/>
        </w:rPr>
        <w:footnoteReference w:id="13"/>
      </w:r>
      <w:r w:rsidR="00B41302">
        <w:t xml:space="preserve">  </w:t>
      </w:r>
      <w:r w:rsidR="00D902BA">
        <w:t xml:space="preserve">In his recommended resolution the TA Mediator cited these reports in support of his conclusion that APS had not met its evidentiary burden.  The Bureau, in its </w:t>
      </w:r>
      <w:r w:rsidR="00542BA8" w:rsidRPr="00542BA8">
        <w:rPr>
          <w:i/>
        </w:rPr>
        <w:t>MO&amp;O</w:t>
      </w:r>
      <w:r w:rsidR="00542BA8">
        <w:rPr>
          <w:i/>
        </w:rPr>
        <w:t>,</w:t>
      </w:r>
      <w:r w:rsidR="005D1050">
        <w:t xml:space="preserve"> </w:t>
      </w:r>
      <w:r w:rsidR="00D902BA">
        <w:t xml:space="preserve">agreed with the TA Mediator’s determination </w:t>
      </w:r>
      <w:r w:rsidR="005D1050">
        <w:t>that APS had not carried its burden to show that its cost estimate me</w:t>
      </w:r>
      <w:r w:rsidR="007C0565">
        <w:t>t</w:t>
      </w:r>
      <w:r w:rsidR="005D1050">
        <w:t xml:space="preserve"> the Commission’s Minimum Necessary Cost Standard.  </w:t>
      </w:r>
    </w:p>
    <w:p w:rsidR="00F40855" w:rsidRPr="00F40855" w:rsidRDefault="007C0565" w:rsidP="00B5426F">
      <w:pPr>
        <w:pStyle w:val="ParaNum"/>
        <w:widowControl/>
        <w:jc w:val="left"/>
      </w:pPr>
      <w:r>
        <w:t xml:space="preserve">In its </w:t>
      </w:r>
      <w:r w:rsidR="00542BA8" w:rsidRPr="00542BA8">
        <w:rPr>
          <w:i/>
        </w:rPr>
        <w:t>MO&amp;O</w:t>
      </w:r>
      <w:r w:rsidR="00542BA8">
        <w:rPr>
          <w:i/>
        </w:rPr>
        <w:t xml:space="preserve"> </w:t>
      </w:r>
      <w:r w:rsidR="005D1050">
        <w:t>the Bureau agree</w:t>
      </w:r>
      <w:r w:rsidR="004000EA">
        <w:t>d</w:t>
      </w:r>
      <w:r w:rsidR="005D1050">
        <w:t xml:space="preserve"> with APS that the Creative Quote </w:t>
      </w:r>
      <w:r w:rsidR="00B41302">
        <w:t xml:space="preserve">was </w:t>
      </w:r>
      <w:r w:rsidR="005D1050">
        <w:t xml:space="preserve">not </w:t>
      </w:r>
      <w:r w:rsidR="00B41302">
        <w:t xml:space="preserve">as </w:t>
      </w:r>
      <w:r w:rsidR="005D1050">
        <w:t xml:space="preserve">complete </w:t>
      </w:r>
      <w:r w:rsidR="00B41302">
        <w:t xml:space="preserve">as the </w:t>
      </w:r>
      <w:r w:rsidR="005D1050">
        <w:t>Harris quote</w:t>
      </w:r>
      <w:r w:rsidR="00B41302">
        <w:t xml:space="preserve"> but was sufficient to show that it was possible to retune APSC’s system at lower cost than the Harris SOW.</w:t>
      </w:r>
      <w:r w:rsidR="005B26F4">
        <w:rPr>
          <w:rStyle w:val="FootnoteReference"/>
        </w:rPr>
        <w:footnoteReference w:id="14"/>
      </w:r>
      <w:r w:rsidR="00F40855">
        <w:t xml:space="preserve">  </w:t>
      </w:r>
      <w:r w:rsidR="00F40855" w:rsidRPr="00F40855">
        <w:t xml:space="preserve">The </w:t>
      </w:r>
      <w:r w:rsidR="00F40855">
        <w:t xml:space="preserve">Bureau approved </w:t>
      </w:r>
      <w:r w:rsidR="00F40855" w:rsidRPr="00F40855">
        <w:t>$1,193,208</w:t>
      </w:r>
      <w:r w:rsidR="00F40855">
        <w:t xml:space="preserve"> for the rebanding of APS’ system. </w:t>
      </w:r>
      <w:r w:rsidR="00542BA8">
        <w:t xml:space="preserve"> </w:t>
      </w:r>
      <w:r w:rsidR="00F40855" w:rsidRPr="00F40855">
        <w:t>The approved amount is $1,435,514 less than APSC’s requested $2,628,722, but $405,913 more than the Creative Quote.</w:t>
      </w:r>
      <w:r w:rsidR="00F40855" w:rsidRPr="00F40855">
        <w:rPr>
          <w:vertAlign w:val="superscript"/>
        </w:rPr>
        <w:footnoteReference w:id="15"/>
      </w:r>
      <w:r w:rsidR="00F40855" w:rsidRPr="00F40855">
        <w:t xml:space="preserve"> </w:t>
      </w:r>
    </w:p>
    <w:p w:rsidR="005D1050" w:rsidRDefault="005D1050" w:rsidP="00B5426F">
      <w:pPr>
        <w:pStyle w:val="ParaNum"/>
        <w:widowControl/>
        <w:jc w:val="left"/>
      </w:pPr>
      <w:r>
        <w:t xml:space="preserve"> </w:t>
      </w:r>
      <w:r w:rsidR="00B41302">
        <w:t>The Bureau found that</w:t>
      </w:r>
      <w:r w:rsidR="00D96062">
        <w:t xml:space="preserve"> </w:t>
      </w:r>
      <w:r w:rsidR="00EA1B14">
        <w:t xml:space="preserve">APS </w:t>
      </w:r>
      <w:r w:rsidR="00B41302">
        <w:t xml:space="preserve">failed to demonstrate </w:t>
      </w:r>
      <w:r w:rsidR="00EA1B14">
        <w:t xml:space="preserve">that its radios </w:t>
      </w:r>
      <w:r w:rsidR="004000EA">
        <w:t>were</w:t>
      </w:r>
      <w:r w:rsidR="00EA1B14">
        <w:t xml:space="preserve"> unique or that its infrastructure </w:t>
      </w:r>
      <w:r w:rsidR="004000EA">
        <w:t>was</w:t>
      </w:r>
      <w:r w:rsidR="00EA1B14">
        <w:t xml:space="preserve"> particularly challenging </w:t>
      </w:r>
      <w:r w:rsidR="00E37BC4">
        <w:t xml:space="preserve">to </w:t>
      </w:r>
      <w:r w:rsidR="00B41302">
        <w:t>warrant its</w:t>
      </w:r>
      <w:r w:rsidR="006A6DF2">
        <w:t xml:space="preserve"> proposed</w:t>
      </w:r>
      <w:r w:rsidR="00B41302">
        <w:t xml:space="preserve"> level of effort.</w:t>
      </w:r>
      <w:r w:rsidR="005B26F4">
        <w:rPr>
          <w:rStyle w:val="FootnoteReference"/>
        </w:rPr>
        <w:footnoteReference w:id="16"/>
      </w:r>
      <w:r w:rsidR="00B41302">
        <w:t xml:space="preserve">  Moreover</w:t>
      </w:r>
      <w:r w:rsidR="00E37BC4">
        <w:t>, even though APS described its system as “a public safety system on steroid</w:t>
      </w:r>
      <w:r w:rsidR="004000EA">
        <w:t>s</w:t>
      </w:r>
      <w:r w:rsidR="00135159">
        <w:t>,</w:t>
      </w:r>
      <w:r w:rsidR="00E37BC4">
        <w:t>”</w:t>
      </w:r>
      <w:r w:rsidR="00C7253B">
        <w:rPr>
          <w:rStyle w:val="FootnoteReference"/>
        </w:rPr>
        <w:footnoteReference w:id="17"/>
      </w:r>
      <w:r w:rsidR="00E37BC4">
        <w:t xml:space="preserve"> it </w:t>
      </w:r>
      <w:r w:rsidR="004000EA">
        <w:t>did not explain</w:t>
      </w:r>
      <w:r w:rsidR="00E37BC4">
        <w:t xml:space="preserve"> how the APS system with equivalent radios and indistinguishable infrastructure differ</w:t>
      </w:r>
      <w:r w:rsidR="004000EA">
        <w:t>ed</w:t>
      </w:r>
      <w:r w:rsidR="00E37BC4">
        <w:t xml:space="preserve"> at all from a comparable public safety system.</w:t>
      </w:r>
      <w:r w:rsidR="00B53F9C">
        <w:rPr>
          <w:rStyle w:val="FootnoteReference"/>
        </w:rPr>
        <w:footnoteReference w:id="18"/>
      </w:r>
      <w:r w:rsidR="00E37BC4">
        <w:t xml:space="preserve">  </w:t>
      </w:r>
    </w:p>
    <w:p w:rsidR="00481556" w:rsidRPr="00091E2D" w:rsidRDefault="007D51AD" w:rsidP="00B5426F">
      <w:pPr>
        <w:pStyle w:val="ParaNum"/>
        <w:widowControl/>
        <w:jc w:val="left"/>
      </w:pPr>
      <w:r>
        <w:t xml:space="preserve">The </w:t>
      </w:r>
      <w:r w:rsidRPr="007D51AD">
        <w:rPr>
          <w:i/>
        </w:rPr>
        <w:t xml:space="preserve">MO&amp;O </w:t>
      </w:r>
      <w:r>
        <w:t xml:space="preserve">required Sprint and APS to meet </w:t>
      </w:r>
      <w:r w:rsidR="007466E8">
        <w:t xml:space="preserve">to conclude an FRA consistent with the </w:t>
      </w:r>
      <w:r w:rsidR="007466E8" w:rsidRPr="007466E8">
        <w:rPr>
          <w:i/>
        </w:rPr>
        <w:t>MO&amp;O</w:t>
      </w:r>
      <w:r w:rsidR="007466E8">
        <w:rPr>
          <w:i/>
        </w:rPr>
        <w:t xml:space="preserve">, </w:t>
      </w:r>
      <w:r w:rsidR="007466E8" w:rsidRPr="007466E8">
        <w:rPr>
          <w:i/>
        </w:rPr>
        <w:t>i.e.</w:t>
      </w:r>
      <w:r w:rsidR="00127F38">
        <w:rPr>
          <w:i/>
        </w:rPr>
        <w:t>,</w:t>
      </w:r>
      <w:r w:rsidR="007466E8">
        <w:rPr>
          <w:i/>
        </w:rPr>
        <w:t xml:space="preserve"> </w:t>
      </w:r>
      <w:r w:rsidR="007466E8">
        <w:t xml:space="preserve">rebanding of APS’ system at a cost of </w:t>
      </w:r>
      <w:r w:rsidR="00D56320" w:rsidRPr="00D56320">
        <w:t>$1,193,208</w:t>
      </w:r>
      <w:r w:rsidR="00D56320">
        <w:t xml:space="preserve">.  Instead, APS filed the instant Petition accompanying it with a revised quotation that it solicited from Creative.  The revised Creative quote included costs for services that had been disallowed in the </w:t>
      </w:r>
      <w:r w:rsidR="00D56320" w:rsidRPr="007B3B1B">
        <w:rPr>
          <w:i/>
        </w:rPr>
        <w:t>MO&amp;O</w:t>
      </w:r>
      <w:r w:rsidR="00D56320">
        <w:t xml:space="preserve">.  </w:t>
      </w:r>
      <w:r w:rsidR="00BA6E96">
        <w:t xml:space="preserve">APS claims that this </w:t>
      </w:r>
      <w:r w:rsidR="00253F76">
        <w:t xml:space="preserve">new, post-decision quote </w:t>
      </w:r>
      <w:r w:rsidR="00BA6E96">
        <w:t>proves that the Harris quote was reasonable</w:t>
      </w:r>
      <w:r w:rsidR="00D20BD3">
        <w:t xml:space="preserve">, </w:t>
      </w:r>
      <w:r w:rsidR="00BA6E96">
        <w:t xml:space="preserve">and therefore </w:t>
      </w:r>
      <w:r w:rsidR="00253F76">
        <w:t xml:space="preserve">that </w:t>
      </w:r>
      <w:r w:rsidR="004000EA">
        <w:t xml:space="preserve">APS </w:t>
      </w:r>
      <w:r w:rsidR="00D20BD3">
        <w:t>is entitled to reconsideration</w:t>
      </w:r>
      <w:r w:rsidR="006A0A2D">
        <w:t xml:space="preserve"> pursuant to Section 1.106</w:t>
      </w:r>
      <w:r w:rsidR="00C062B2">
        <w:rPr>
          <w:rStyle w:val="FootnoteReference"/>
        </w:rPr>
        <w:footnoteReference w:id="19"/>
      </w:r>
      <w:r w:rsidR="006A0A2D">
        <w:t xml:space="preserve"> of the Commission’s Rules</w:t>
      </w:r>
      <w:r w:rsidR="00BA6E96">
        <w:t>.</w:t>
      </w:r>
      <w:r w:rsidR="00B53F9C">
        <w:rPr>
          <w:rStyle w:val="FootnoteReference"/>
        </w:rPr>
        <w:footnoteReference w:id="20"/>
      </w:r>
      <w:r w:rsidR="00BA6E96">
        <w:t xml:space="preserve">  APS also notes that in </w:t>
      </w:r>
      <w:r w:rsidR="00D20BD3">
        <w:t>one rebanding case, the Bureau ordered the parties back into mediation and reopened the record, because it had insufficient information to make a factual determination</w:t>
      </w:r>
      <w:r w:rsidR="004000EA">
        <w:t>.</w:t>
      </w:r>
      <w:r w:rsidR="00B53F9C">
        <w:rPr>
          <w:rStyle w:val="FootnoteReference"/>
        </w:rPr>
        <w:footnoteReference w:id="21"/>
      </w:r>
      <w:r w:rsidR="004000EA">
        <w:t xml:space="preserve"> </w:t>
      </w:r>
      <w:r w:rsidR="0022431D">
        <w:t>APS thus implies that the Bureau should remand this matter to the TA Mediator to admit APS’ revised Creative quote into the record.</w:t>
      </w:r>
    </w:p>
    <w:p w:rsidR="004D2A7E" w:rsidRDefault="004D2A7E" w:rsidP="00B5426F">
      <w:pPr>
        <w:pStyle w:val="Heading1"/>
        <w:widowControl/>
        <w:jc w:val="left"/>
        <w:rPr>
          <w:rFonts w:ascii="Times New Roman" w:hAnsi="Times New Roman"/>
          <w:szCs w:val="22"/>
        </w:rPr>
      </w:pPr>
      <w:r>
        <w:rPr>
          <w:rFonts w:ascii="Times New Roman" w:hAnsi="Times New Roman"/>
          <w:szCs w:val="22"/>
        </w:rPr>
        <w:t>discussion</w:t>
      </w:r>
    </w:p>
    <w:p w:rsidR="00161689" w:rsidRDefault="0022431D" w:rsidP="00B5426F">
      <w:pPr>
        <w:pStyle w:val="ParaNum"/>
        <w:widowControl/>
        <w:jc w:val="left"/>
      </w:pPr>
      <w:r>
        <w:t>APS</w:t>
      </w:r>
      <w:r w:rsidR="000E346E">
        <w:t xml:space="preserve"> is attempting to use its </w:t>
      </w:r>
      <w:r>
        <w:t>P</w:t>
      </w:r>
      <w:r w:rsidR="000E346E">
        <w:t xml:space="preserve">etition as a vehicle </w:t>
      </w:r>
      <w:r w:rsidR="00253F76">
        <w:t xml:space="preserve">to </w:t>
      </w:r>
      <w:r w:rsidR="000E346E">
        <w:t>introduce new evidence into the record.</w:t>
      </w:r>
      <w:r w:rsidR="00806910">
        <w:rPr>
          <w:rStyle w:val="FootnoteReference"/>
        </w:rPr>
        <w:footnoteReference w:id="22"/>
      </w:r>
      <w:r w:rsidR="000E346E">
        <w:t xml:space="preserve">  </w:t>
      </w:r>
      <w:r w:rsidR="00671297">
        <w:t>Precedent, however,</w:t>
      </w:r>
      <w:r w:rsidR="00BD568C">
        <w:t xml:space="preserve"> reminds us that “[w]</w:t>
      </w:r>
      <w:r w:rsidR="00BD568C" w:rsidRPr="004F2C67">
        <w:t>e cannot allow the appellant to sit back and hope that a decision will be in its favor, and then, when it isn't, to parry with an offer of more evidence. No judging process in any branch of government could operate efficiently or accurately if such a procedure were allowed.”</w:t>
      </w:r>
      <w:r w:rsidR="00BD568C">
        <w:rPr>
          <w:rStyle w:val="FootnoteReference"/>
        </w:rPr>
        <w:footnoteReference w:id="23"/>
      </w:r>
      <w:r w:rsidR="00BD568C">
        <w:t xml:space="preserve">  </w:t>
      </w:r>
      <w:r w:rsidR="000E346E">
        <w:t xml:space="preserve"> </w:t>
      </w:r>
    </w:p>
    <w:p w:rsidR="00CD5198" w:rsidRDefault="00CD5198" w:rsidP="00B5426F">
      <w:pPr>
        <w:pStyle w:val="ParaNum"/>
        <w:widowControl/>
        <w:jc w:val="left"/>
      </w:pPr>
      <w:r>
        <w:t>Section 1.106 of the Commission</w:t>
      </w:r>
      <w:r w:rsidR="00591319">
        <w:t>’s rules</w:t>
      </w:r>
      <w:r>
        <w:t xml:space="preserve"> precludes us from considering the Petition</w:t>
      </w:r>
      <w:r w:rsidR="009A225F">
        <w:t xml:space="preserve"> on the merits</w:t>
      </w:r>
      <w:r>
        <w:t xml:space="preserve"> </w:t>
      </w:r>
      <w:r w:rsidR="00253F76">
        <w:t>because</w:t>
      </w:r>
      <w:r w:rsidR="003A318D">
        <w:t xml:space="preserve"> r</w:t>
      </w:r>
      <w:r w:rsidRPr="00E6183E">
        <w:t>econsideration is appropriate only where the petitioner either shows a material error or omission in the original order or raises additional facts not known or existing until after the petitioner's last opportunity to present such matters.</w:t>
      </w:r>
      <w:r>
        <w:rPr>
          <w:rStyle w:val="FootnoteReference"/>
        </w:rPr>
        <w:footnoteReference w:id="24"/>
      </w:r>
      <w:r w:rsidR="0022431D">
        <w:t xml:space="preserve">  APS has shown no material error or omission in the </w:t>
      </w:r>
      <w:r w:rsidR="0022431D" w:rsidRPr="007B3B1B">
        <w:rPr>
          <w:i/>
        </w:rPr>
        <w:t>MO&amp;O</w:t>
      </w:r>
      <w:r w:rsidR="0022431D">
        <w:t xml:space="preserve">.  Based on the record information before it, the Bureau’s </w:t>
      </w:r>
      <w:r w:rsidR="00E77AE7">
        <w:t>decision was correct:  APS had not carried its evidentiary burden of showing that $</w:t>
      </w:r>
      <w:r w:rsidR="00E77AE7" w:rsidRPr="00E77AE7">
        <w:t>2,628,722</w:t>
      </w:r>
      <w:r w:rsidR="00E77AE7">
        <w:t xml:space="preserve"> was the minimum necessary cost of rebanding its system.  Moreover, Section </w:t>
      </w:r>
      <w:r>
        <w:t xml:space="preserve">1.106(c) </w:t>
      </w:r>
      <w:r w:rsidR="00591319">
        <w:t xml:space="preserve">of the Commission’s </w:t>
      </w:r>
      <w:r w:rsidR="009A225F">
        <w:t xml:space="preserve">rules </w:t>
      </w:r>
      <w:r w:rsidR="00591319">
        <w:t>precludes our considering the extra-record revised Creative quote.</w:t>
      </w:r>
      <w:r w:rsidR="00671297">
        <w:rPr>
          <w:rStyle w:val="FootnoteReference"/>
        </w:rPr>
        <w:footnoteReference w:id="25"/>
      </w:r>
      <w:r w:rsidR="00591319">
        <w:t xml:space="preserve">  That rule section </w:t>
      </w:r>
      <w:r>
        <w:t>provides that a petition for reconsideration which relies on facts or arguments not presented to the designated authority will be considered only under the following limited circumstances:</w:t>
      </w:r>
    </w:p>
    <w:p w:rsidR="00CD5198" w:rsidRDefault="00CD5198" w:rsidP="00B5426F">
      <w:pPr>
        <w:pStyle w:val="ParaNum"/>
        <w:widowControl/>
        <w:numPr>
          <w:ilvl w:val="0"/>
          <w:numId w:val="28"/>
        </w:numPr>
        <w:spacing w:after="120"/>
        <w:jc w:val="left"/>
      </w:pPr>
      <w:r>
        <w:t>The petition relies on new facts or changed circumstances;</w:t>
      </w:r>
    </w:p>
    <w:p w:rsidR="00CD5198" w:rsidRDefault="00CD5198" w:rsidP="00B5426F">
      <w:pPr>
        <w:pStyle w:val="ParaNum"/>
        <w:widowControl/>
        <w:numPr>
          <w:ilvl w:val="0"/>
          <w:numId w:val="28"/>
        </w:numPr>
        <w:spacing w:after="120"/>
        <w:jc w:val="left"/>
      </w:pPr>
      <w:r>
        <w:t>The petition relies on facts or arguments unknown to the petitioner, which facts or arguments could not, with diligence, have been raised earlier.</w:t>
      </w:r>
      <w:r>
        <w:rPr>
          <w:rStyle w:val="FootnoteReference"/>
        </w:rPr>
        <w:footnoteReference w:id="26"/>
      </w:r>
      <w:r>
        <w:t xml:space="preserve"> </w:t>
      </w:r>
    </w:p>
    <w:p w:rsidR="006F76F3" w:rsidRDefault="00CC724F" w:rsidP="00B5426F">
      <w:pPr>
        <w:pStyle w:val="ParaNum"/>
        <w:widowControl/>
        <w:jc w:val="left"/>
      </w:pPr>
      <w:r>
        <w:t>The revised Creative Quote is not a matter of record and, in any event, does not constitute “new facts or changed circumstances</w:t>
      </w:r>
      <w:r w:rsidR="00B472CC">
        <w:t>.</w:t>
      </w:r>
      <w:r w:rsidR="00F95206">
        <w:t>”</w:t>
      </w:r>
      <w:r w:rsidR="00B472CC">
        <w:t xml:space="preserve">  Submission of a new proposal does not satisfy the new facts or changed circumstances prong of Section 1.106 of the Commission’s rules.</w:t>
      </w:r>
      <w:r w:rsidR="00B472CC">
        <w:rPr>
          <w:rStyle w:val="FootnoteReference"/>
        </w:rPr>
        <w:footnoteReference w:id="27"/>
      </w:r>
      <w:r w:rsidR="00F95206">
        <w:t xml:space="preserve"> </w:t>
      </w:r>
      <w:r w:rsidR="00CD5048">
        <w:t xml:space="preserve"> </w:t>
      </w:r>
      <w:r w:rsidR="00F95206">
        <w:t>Moreover, APS</w:t>
      </w:r>
      <w:r w:rsidR="006A0968">
        <w:t xml:space="preserve"> cannot rely on facts or arguments associated with the revised Creative Quote because</w:t>
      </w:r>
      <w:r w:rsidR="00F95206">
        <w:t xml:space="preserve">, with diligence, </w:t>
      </w:r>
      <w:r w:rsidR="006A0968">
        <w:t xml:space="preserve">it </w:t>
      </w:r>
      <w:r w:rsidR="00F95206">
        <w:t xml:space="preserve">could have </w:t>
      </w:r>
      <w:r w:rsidR="006A0968">
        <w:t xml:space="preserve">obtained that quote – or some other quote meeting the minimum necessary cost criterion – </w:t>
      </w:r>
      <w:r w:rsidR="009A225F">
        <w:t>before the record closed</w:t>
      </w:r>
      <w:r w:rsidR="006A0968">
        <w:t xml:space="preserve">. </w:t>
      </w:r>
      <w:r w:rsidR="00F95206">
        <w:t xml:space="preserve"> </w:t>
      </w:r>
      <w:r w:rsidR="009A225F">
        <w:t>APS’ implication that the Bureau should have remanded the case for the taking of additional evidence is unavailing:  APS had ample planning time to produce a cost estimate that comported with the Minimum Necessary Cost Standard</w:t>
      </w:r>
      <w:r w:rsidR="006F76F3">
        <w:t>.  It chose, however, to rely on a higher cost estimate, not withdrawing that estimate until after the record had closed and a decision issued.</w:t>
      </w:r>
    </w:p>
    <w:p w:rsidR="00CD5198" w:rsidRDefault="006F76F3" w:rsidP="00B5426F">
      <w:pPr>
        <w:pStyle w:val="ParaNum"/>
        <w:widowControl/>
        <w:jc w:val="left"/>
      </w:pPr>
      <w:r>
        <w:t xml:space="preserve">The Commission has held that </w:t>
      </w:r>
      <w:r w:rsidR="00A72B37">
        <w:t>“</w:t>
      </w:r>
      <w:r>
        <w:t>[p]</w:t>
      </w:r>
      <w:r w:rsidR="00A72B37">
        <w:t>arties’ conformity to the Commission’s procedural rules is essential to the timely completion of 800 MHz rebanding.”</w:t>
      </w:r>
      <w:r w:rsidR="00A72B37">
        <w:rPr>
          <w:rStyle w:val="FootnoteReference"/>
        </w:rPr>
        <w:footnoteReference w:id="28"/>
      </w:r>
      <w:r w:rsidR="00FD74B7">
        <w:t xml:space="preserve">  Accordingly, we do not consider </w:t>
      </w:r>
      <w:r w:rsidR="007C0C71">
        <w:t xml:space="preserve">the </w:t>
      </w:r>
      <w:r w:rsidR="00FD74B7">
        <w:t>extra-record revised Creative Quote and dismiss the Petition.</w:t>
      </w:r>
    </w:p>
    <w:p w:rsidR="004D2A7E" w:rsidRDefault="004D2A7E" w:rsidP="00B5426F">
      <w:pPr>
        <w:pStyle w:val="Heading1"/>
        <w:widowControl/>
        <w:jc w:val="left"/>
        <w:rPr>
          <w:rFonts w:ascii="Times New Roman" w:hAnsi="Times New Roman"/>
          <w:szCs w:val="22"/>
        </w:rPr>
      </w:pPr>
      <w:r>
        <w:rPr>
          <w:rFonts w:ascii="Times New Roman" w:hAnsi="Times New Roman"/>
          <w:szCs w:val="22"/>
        </w:rPr>
        <w:t>decision</w:t>
      </w:r>
      <w:r w:rsidR="003625E4">
        <w:rPr>
          <w:rFonts w:ascii="Times New Roman" w:hAnsi="Times New Roman"/>
          <w:szCs w:val="22"/>
        </w:rPr>
        <w:t xml:space="preserve"> and ORDERING</w:t>
      </w:r>
      <w:r w:rsidR="00BE28F3">
        <w:rPr>
          <w:rFonts w:ascii="Times New Roman" w:hAnsi="Times New Roman"/>
          <w:szCs w:val="22"/>
        </w:rPr>
        <w:t xml:space="preserve"> CLAUSE</w:t>
      </w:r>
    </w:p>
    <w:p w:rsidR="003A318D" w:rsidRPr="003A318D" w:rsidRDefault="003A318D" w:rsidP="00B5426F">
      <w:pPr>
        <w:pStyle w:val="ParaNum"/>
        <w:widowControl/>
        <w:jc w:val="left"/>
      </w:pPr>
      <w:r>
        <w:t>Since APS fail</w:t>
      </w:r>
      <w:r w:rsidR="00BD4432">
        <w:t>s</w:t>
      </w:r>
      <w:r>
        <w:t xml:space="preserve"> to demonstrate how </w:t>
      </w:r>
      <w:r w:rsidR="00BD4432">
        <w:t xml:space="preserve">its </w:t>
      </w:r>
      <w:r w:rsidR="00B5426F">
        <w:t>P</w:t>
      </w:r>
      <w:r w:rsidR="00BD4432">
        <w:t>etition complies with Section 1.106 of the Rules, we are procedurally precluded from addressing it on the merits</w:t>
      </w:r>
      <w:r w:rsidR="003625E4">
        <w:t xml:space="preserve"> and t</w:t>
      </w:r>
      <w:r w:rsidR="00835411">
        <w:t>herefore</w:t>
      </w:r>
      <w:r w:rsidR="003625E4">
        <w:t xml:space="preserve">, must dismiss it. </w:t>
      </w:r>
    </w:p>
    <w:p w:rsidR="004D2A7E" w:rsidRDefault="004D2A7E" w:rsidP="00B5426F">
      <w:pPr>
        <w:pStyle w:val="ParaNum"/>
        <w:widowControl/>
        <w:jc w:val="left"/>
      </w:pPr>
      <w:r>
        <w:t xml:space="preserve">Accordingly, pursuant to the authority of Sections 0.191, 0.392, 1.106 of the Commission's Rules, </w:t>
      </w:r>
      <w:hyperlink r:id="rId8" w:history="1">
        <w:r>
          <w:t>47 C.F.R. §§ 0.191</w:t>
        </w:r>
      </w:hyperlink>
      <w:r>
        <w:t xml:space="preserve">, </w:t>
      </w:r>
      <w:hyperlink r:id="rId9" w:history="1">
        <w:r>
          <w:t>0.392</w:t>
        </w:r>
      </w:hyperlink>
      <w:r>
        <w:t xml:space="preserve">, and </w:t>
      </w:r>
      <w:hyperlink r:id="rId10" w:history="1">
        <w:r>
          <w:t>1.106</w:t>
        </w:r>
      </w:hyperlink>
      <w:r>
        <w:t xml:space="preserve">; and Section 4(i) of the Communications Act of 1934, as amended, </w:t>
      </w:r>
      <w:hyperlink r:id="rId11" w:history="1">
        <w:r>
          <w:t>47 U.S.C. § 154(i)</w:t>
        </w:r>
      </w:hyperlink>
      <w:r>
        <w:t xml:space="preserve"> IT IS ORDERED that the Petition for Reconsideration filed by </w:t>
      </w:r>
      <w:r w:rsidR="00091E2D">
        <w:t xml:space="preserve">Arizona Public Service Company </w:t>
      </w:r>
      <w:r>
        <w:t xml:space="preserve">IS </w:t>
      </w:r>
      <w:r w:rsidR="003625E4">
        <w:t>DISMISSED</w:t>
      </w:r>
      <w:r>
        <w:t>.</w:t>
      </w:r>
    </w:p>
    <w:p w:rsidR="004D2A7E" w:rsidRDefault="00B5426F" w:rsidP="00B5426F">
      <w:pPr>
        <w:pStyle w:val="ParaNum"/>
        <w:widowControl/>
        <w:jc w:val="left"/>
      </w:pPr>
      <w:r>
        <w:br w:type="column"/>
      </w:r>
      <w:r w:rsidR="004D2A7E">
        <w:t xml:space="preserve">This action is taken under delegated authority pursuant to </w:t>
      </w:r>
      <w:hyperlink r:id="rId12" w:history="1">
        <w:r w:rsidR="004D2A7E">
          <w:t>Sections 0.191</w:t>
        </w:r>
      </w:hyperlink>
      <w:r w:rsidR="004D2A7E">
        <w:t xml:space="preserve"> and </w:t>
      </w:r>
      <w:hyperlink r:id="rId13" w:history="1">
        <w:r w:rsidR="004D2A7E">
          <w:t>0.392</w:t>
        </w:r>
      </w:hyperlink>
      <w:r w:rsidR="004D2A7E">
        <w:t xml:space="preserve"> of the Commission's rules, </w:t>
      </w:r>
      <w:hyperlink r:id="rId14" w:history="1">
        <w:r w:rsidR="004D2A7E">
          <w:t>47 C.F.R. §§ 0.191</w:t>
        </w:r>
      </w:hyperlink>
      <w:r w:rsidR="004D2A7E">
        <w:t xml:space="preserve">, </w:t>
      </w:r>
      <w:hyperlink r:id="rId15" w:history="1">
        <w:r w:rsidR="004D2A7E">
          <w:t>0.392</w:t>
        </w:r>
      </w:hyperlink>
      <w:r w:rsidR="004D2A7E">
        <w:t>.</w:t>
      </w:r>
    </w:p>
    <w:p w:rsidR="00270E47" w:rsidRPr="0073788E" w:rsidRDefault="00270E47" w:rsidP="00B5426F">
      <w:pPr>
        <w:keepNext/>
        <w:keepLines/>
        <w:widowControl/>
        <w:ind w:left="2880" w:firstLine="720"/>
      </w:pPr>
      <w:r w:rsidRPr="0073788E">
        <w:t>FEDERAL COMMUNICATIONS COMMISSION</w:t>
      </w:r>
    </w:p>
    <w:p w:rsidR="00270E47" w:rsidRPr="0073788E" w:rsidRDefault="00270E47" w:rsidP="00B5426F">
      <w:pPr>
        <w:keepNext/>
        <w:keepLines/>
        <w:widowControl/>
        <w:ind w:left="2880" w:firstLine="720"/>
        <w:contextualSpacing/>
      </w:pPr>
    </w:p>
    <w:p w:rsidR="00270E47" w:rsidRPr="0073788E" w:rsidRDefault="00270E47" w:rsidP="00B5426F">
      <w:pPr>
        <w:keepNext/>
        <w:keepLines/>
        <w:widowControl/>
        <w:ind w:left="2880" w:firstLine="720"/>
        <w:contextualSpacing/>
      </w:pPr>
    </w:p>
    <w:p w:rsidR="00270E47" w:rsidRPr="0073788E" w:rsidRDefault="00270E47" w:rsidP="00B5426F">
      <w:pPr>
        <w:keepNext/>
        <w:keepLines/>
        <w:widowControl/>
        <w:ind w:left="2880" w:firstLine="720"/>
        <w:contextualSpacing/>
      </w:pPr>
    </w:p>
    <w:p w:rsidR="00270E47" w:rsidRPr="0073788E" w:rsidRDefault="00270E47" w:rsidP="00B5426F">
      <w:pPr>
        <w:keepNext/>
        <w:keepLines/>
        <w:widowControl/>
        <w:contextualSpacing/>
      </w:pPr>
    </w:p>
    <w:p w:rsidR="00270E47" w:rsidRPr="0073788E" w:rsidRDefault="00270E47" w:rsidP="00B5426F">
      <w:pPr>
        <w:keepNext/>
        <w:keepLines/>
        <w:widowControl/>
        <w:ind w:left="2880" w:firstLine="720"/>
        <w:contextualSpacing/>
      </w:pPr>
      <w:r w:rsidRPr="0073788E">
        <w:t>Michael J. Wilhelm</w:t>
      </w:r>
    </w:p>
    <w:p w:rsidR="00270E47" w:rsidRPr="0073788E" w:rsidRDefault="00270E47" w:rsidP="00B5426F">
      <w:pPr>
        <w:keepNext/>
        <w:keepLines/>
        <w:widowControl/>
        <w:ind w:left="2880" w:firstLine="720"/>
        <w:contextualSpacing/>
      </w:pPr>
      <w:r w:rsidRPr="0073788E">
        <w:t>Deputy Chief</w:t>
      </w:r>
    </w:p>
    <w:p w:rsidR="00270E47" w:rsidRPr="0073788E" w:rsidRDefault="00270E47" w:rsidP="00B5426F">
      <w:pPr>
        <w:keepNext/>
        <w:keepLines/>
        <w:widowControl/>
        <w:ind w:left="2880" w:firstLine="720"/>
        <w:contextualSpacing/>
      </w:pPr>
      <w:r w:rsidRPr="0073788E">
        <w:t>Policy and Licensing Division</w:t>
      </w:r>
    </w:p>
    <w:p w:rsidR="00270E47" w:rsidRPr="0073788E" w:rsidRDefault="00270E47" w:rsidP="00B5426F">
      <w:pPr>
        <w:keepNext/>
        <w:keepLines/>
        <w:widowControl/>
        <w:ind w:left="2880" w:firstLine="720"/>
        <w:contextualSpacing/>
      </w:pPr>
      <w:r w:rsidRPr="0073788E">
        <w:t>Public Safety and Homeland Security Bureau</w:t>
      </w:r>
    </w:p>
    <w:p w:rsidR="004D2A7E" w:rsidRDefault="004D2A7E" w:rsidP="002E0FFA">
      <w:pPr>
        <w:pStyle w:val="ParaNum"/>
        <w:widowControl/>
        <w:numPr>
          <w:ilvl w:val="0"/>
          <w:numId w:val="0"/>
        </w:numPr>
        <w:spacing w:after="0"/>
        <w:ind w:left="720"/>
        <w:jc w:val="center"/>
        <w:rPr>
          <w:szCs w:val="22"/>
        </w:rPr>
      </w:pPr>
    </w:p>
    <w:p w:rsidR="004D2A7E" w:rsidRDefault="004D2A7E">
      <w:pPr>
        <w:pStyle w:val="ParaNum"/>
        <w:widowControl/>
        <w:numPr>
          <w:ilvl w:val="0"/>
          <w:numId w:val="0"/>
        </w:numPr>
        <w:spacing w:after="0"/>
        <w:ind w:left="3600"/>
        <w:jc w:val="left"/>
        <w:rPr>
          <w:szCs w:val="22"/>
        </w:rPr>
      </w:pPr>
    </w:p>
    <w:p w:rsidR="004D2A7E" w:rsidRDefault="004D2A7E">
      <w:pPr>
        <w:pStyle w:val="ParaNum"/>
        <w:widowControl/>
        <w:numPr>
          <w:ilvl w:val="0"/>
          <w:numId w:val="0"/>
        </w:numPr>
        <w:spacing w:after="0"/>
        <w:jc w:val="left"/>
        <w:rPr>
          <w:szCs w:val="22"/>
        </w:rPr>
      </w:pPr>
      <w:r>
        <w:rPr>
          <w:color w:val="000000"/>
          <w:w w:val="0"/>
          <w:szCs w:val="22"/>
          <w:u w:color="000000"/>
          <w:bdr w:val="none" w:sz="0" w:space="0" w:color="000000"/>
          <w:shd w:val="clear" w:color="000000" w:fill="000000"/>
          <w:lang w:val="x-none" w:eastAsia="x-none" w:bidi="x-none"/>
        </w:rPr>
        <w:t xml:space="preserve"> </w:t>
      </w:r>
    </w:p>
    <w:sectPr w:rsidR="004D2A7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C5" w:rsidRDefault="002E50C5">
      <w:pPr>
        <w:spacing w:line="20" w:lineRule="exact"/>
      </w:pPr>
    </w:p>
  </w:endnote>
  <w:endnote w:type="continuationSeparator" w:id="0">
    <w:p w:rsidR="002E50C5" w:rsidRDefault="002E50C5">
      <w:r>
        <w:t xml:space="preserve"> </w:t>
      </w:r>
    </w:p>
  </w:endnote>
  <w:endnote w:type="continuationNotice" w:id="1">
    <w:p w:rsidR="002E50C5" w:rsidRDefault="002E50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E" w:rsidRDefault="004D2A7E">
    <w:pPr>
      <w:pStyle w:val="Footer"/>
      <w:framePr w:wrap="around" w:vAnchor="text" w:hAnchor="margin" w:xAlign="center" w:y="1"/>
    </w:pPr>
    <w:r>
      <w:fldChar w:fldCharType="begin"/>
    </w:r>
    <w:r>
      <w:instrText xml:space="preserve">PAGE  </w:instrText>
    </w:r>
    <w:r>
      <w:fldChar w:fldCharType="separate"/>
    </w:r>
    <w:r>
      <w:rPr>
        <w:noProof/>
      </w:rPr>
      <w:t>14</w:t>
    </w:r>
    <w:r>
      <w:fldChar w:fldCharType="end"/>
    </w:r>
  </w:p>
  <w:p w:rsidR="004D2A7E" w:rsidRDefault="004D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E" w:rsidRDefault="004D2A7E">
    <w:pPr>
      <w:pStyle w:val="Footer"/>
      <w:framePr w:wrap="around" w:vAnchor="text" w:hAnchor="margin" w:xAlign="center" w:y="1"/>
    </w:pPr>
    <w:r>
      <w:fldChar w:fldCharType="begin"/>
    </w:r>
    <w:r>
      <w:instrText xml:space="preserve">PAGE  </w:instrText>
    </w:r>
    <w:r>
      <w:fldChar w:fldCharType="separate"/>
    </w:r>
    <w:r w:rsidR="00A64F4E">
      <w:rPr>
        <w:noProof/>
      </w:rPr>
      <w:t>5</w:t>
    </w:r>
    <w:r>
      <w:fldChar w:fldCharType="end"/>
    </w:r>
  </w:p>
  <w:p w:rsidR="004D2A7E" w:rsidRDefault="004D2A7E">
    <w:pPr>
      <w:spacing w:before="140" w:line="100" w:lineRule="exact"/>
      <w:rPr>
        <w:sz w:val="10"/>
      </w:rPr>
    </w:pPr>
  </w:p>
  <w:p w:rsidR="004D2A7E" w:rsidRDefault="004D2A7E">
    <w:pPr>
      <w:suppressAutoHyphens/>
      <w:spacing w:line="227" w:lineRule="auto"/>
    </w:pPr>
  </w:p>
  <w:p w:rsidR="004D2A7E" w:rsidRDefault="004D2A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E" w:rsidRDefault="004D2A7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C5" w:rsidRDefault="002E50C5">
      <w:r>
        <w:separator/>
      </w:r>
    </w:p>
  </w:footnote>
  <w:footnote w:type="continuationSeparator" w:id="0">
    <w:p w:rsidR="002E50C5" w:rsidRDefault="002E50C5">
      <w:pPr>
        <w:rPr>
          <w:sz w:val="20"/>
        </w:rPr>
      </w:pPr>
      <w:r>
        <w:rPr>
          <w:sz w:val="20"/>
        </w:rPr>
        <w:t xml:space="preserve">(Continued from previous page)  </w:t>
      </w:r>
      <w:r>
        <w:rPr>
          <w:sz w:val="20"/>
        </w:rPr>
        <w:separator/>
      </w:r>
    </w:p>
  </w:footnote>
  <w:footnote w:type="continuationNotice" w:id="1">
    <w:p w:rsidR="002E50C5" w:rsidRDefault="002E50C5">
      <w:pPr>
        <w:rPr>
          <w:sz w:val="20"/>
        </w:rPr>
      </w:pPr>
      <w:r>
        <w:rPr>
          <w:sz w:val="20"/>
        </w:rPr>
        <w:t>(continued….)</w:t>
      </w:r>
    </w:p>
  </w:footnote>
  <w:footnote w:id="2">
    <w:p w:rsidR="004D2A7E" w:rsidRDefault="004D2A7E" w:rsidP="00BF2140">
      <w:pPr>
        <w:pStyle w:val="FootnoteText"/>
      </w:pPr>
      <w:r>
        <w:rPr>
          <w:rStyle w:val="FootnoteReference"/>
        </w:rPr>
        <w:footnoteRef/>
      </w:r>
      <w:r>
        <w:t xml:space="preserve"> Petition for Reconsideration filed by </w:t>
      </w:r>
      <w:r w:rsidR="009B3068">
        <w:t>Arizona Public Service Company</w:t>
      </w:r>
      <w:r>
        <w:t xml:space="preserve"> (</w:t>
      </w:r>
      <w:r w:rsidR="009B3068">
        <w:t>filed April</w:t>
      </w:r>
      <w:r>
        <w:t xml:space="preserve"> </w:t>
      </w:r>
      <w:r w:rsidR="009B3068">
        <w:t>9, 2015</w:t>
      </w:r>
      <w:r>
        <w:t>)(Petition).</w:t>
      </w:r>
      <w:r w:rsidR="005E2708">
        <w:t xml:space="preserve">  </w:t>
      </w:r>
      <w:r w:rsidR="005E2708" w:rsidRPr="005E2708">
        <w:t>Nextel Communications, Inc.</w:t>
      </w:r>
      <w:r w:rsidR="005E2708">
        <w:t xml:space="preserve"> filed an Opposition to Petition for Reconsideration (filed April 20, 2015)(Opposition) and Arizona Public Service Company filed a Reply of Arizona Public Service </w:t>
      </w:r>
      <w:r w:rsidR="00251F77">
        <w:t xml:space="preserve">(filed </w:t>
      </w:r>
      <w:r w:rsidR="005E2708">
        <w:t>April 27, 2015</w:t>
      </w:r>
      <w:r w:rsidR="00251F77">
        <w:t>)</w:t>
      </w:r>
      <w:r w:rsidR="005E2708">
        <w:t>(Reply).</w:t>
      </w:r>
      <w:r w:rsidR="00251F77">
        <w:t xml:space="preserve">  With the exception of the procedural arguments raised by Nextel Communications, Inc. in its Opposition, </w:t>
      </w:r>
      <w:r w:rsidR="00493A5E">
        <w:t xml:space="preserve">Opposition at 3-4, </w:t>
      </w:r>
      <w:r w:rsidR="00251F77">
        <w:t>we do not reach the arguments</w:t>
      </w:r>
      <w:r w:rsidR="00493A5E">
        <w:t>,</w:t>
      </w:r>
      <w:r w:rsidR="00251F77">
        <w:t xml:space="preserve"> counter-arguments</w:t>
      </w:r>
      <w:r w:rsidR="00493A5E">
        <w:t xml:space="preserve"> or fact assertions</w:t>
      </w:r>
      <w:r w:rsidR="00251F77">
        <w:t xml:space="preserve"> made on the merits by either party</w:t>
      </w:r>
      <w:r w:rsidR="00493A5E">
        <w:t xml:space="preserve">.  As developed herein, we are foreclosed from reaching same by Commission rule and precedent.  </w:t>
      </w:r>
    </w:p>
  </w:footnote>
  <w:footnote w:id="3">
    <w:p w:rsidR="009B3068" w:rsidRPr="009B3068" w:rsidRDefault="009B3068">
      <w:pPr>
        <w:pStyle w:val="FootnoteText"/>
      </w:pPr>
      <w:r>
        <w:rPr>
          <w:rStyle w:val="FootnoteReference"/>
        </w:rPr>
        <w:footnoteRef/>
      </w:r>
      <w:r>
        <w:t xml:space="preserve"> Arizona Public S</w:t>
      </w:r>
      <w:r w:rsidR="005E2708">
        <w:t xml:space="preserve">ervice </w:t>
      </w:r>
      <w:r>
        <w:t xml:space="preserve">Company and Nextel Communications, Inc., </w:t>
      </w:r>
      <w:r>
        <w:rPr>
          <w:i/>
        </w:rPr>
        <w:t xml:space="preserve">Memorandum Opinion and Order, </w:t>
      </w:r>
      <w:r w:rsidR="00C2380A" w:rsidRPr="00C2380A">
        <w:t xml:space="preserve">61 Communications Reg. (P&amp;F) 1727 </w:t>
      </w:r>
      <w:r>
        <w:t>(PSHSB 2015) (</w:t>
      </w:r>
      <w:r>
        <w:rPr>
          <w:i/>
        </w:rPr>
        <w:t>MO&amp;O)</w:t>
      </w:r>
      <w:r>
        <w:t xml:space="preserve">.  </w:t>
      </w:r>
    </w:p>
  </w:footnote>
  <w:footnote w:id="4">
    <w:p w:rsidR="004D2A7E" w:rsidRDefault="004D2A7E" w:rsidP="00BF2140">
      <w:pPr>
        <w:pStyle w:val="FootnoteText"/>
      </w:pPr>
      <w:r>
        <w:rPr>
          <w:rStyle w:val="FootnoteReference"/>
        </w:rPr>
        <w:footnoteRef/>
      </w:r>
      <w:r>
        <w:t xml:space="preserve"> </w:t>
      </w:r>
      <w:r w:rsidRPr="00E60D4F">
        <w:rPr>
          <w:i/>
        </w:rPr>
        <w:t>Id</w:t>
      </w:r>
      <w:r>
        <w:t>.</w:t>
      </w:r>
    </w:p>
  </w:footnote>
  <w:footnote w:id="5">
    <w:p w:rsidR="00C2380A" w:rsidRDefault="00C2380A">
      <w:pPr>
        <w:pStyle w:val="FootnoteText"/>
      </w:pPr>
      <w:r>
        <w:rPr>
          <w:rStyle w:val="FootnoteReference"/>
        </w:rPr>
        <w:footnoteRef/>
      </w:r>
      <w:r>
        <w:t xml:space="preserve"> </w:t>
      </w:r>
      <w:r w:rsidRPr="002C552D">
        <w:t>TA Recommended Resolution, Mediation No. TAM-45</w:t>
      </w:r>
      <w:r>
        <w:t>0</w:t>
      </w:r>
      <w:r w:rsidRPr="002C552D">
        <w:t>1</w:t>
      </w:r>
      <w:r>
        <w:t>0</w:t>
      </w:r>
      <w:r w:rsidRPr="002C552D">
        <w:t xml:space="preserve">, filed </w:t>
      </w:r>
      <w:r>
        <w:t>September 8</w:t>
      </w:r>
      <w:r w:rsidRPr="002C552D">
        <w:t>, 2014 (RR).</w:t>
      </w:r>
    </w:p>
  </w:footnote>
  <w:footnote w:id="6">
    <w:p w:rsidR="00542BA8" w:rsidRDefault="00542BA8" w:rsidP="00542BA8">
      <w:pPr>
        <w:pStyle w:val="FootnoteText"/>
      </w:pPr>
      <w:r>
        <w:rPr>
          <w:rStyle w:val="FootnoteReference"/>
        </w:rPr>
        <w:footnoteRef/>
      </w:r>
      <w:r>
        <w:t xml:space="preserve"> </w:t>
      </w:r>
      <w:r w:rsidRPr="002C552D">
        <w:rPr>
          <w:i/>
        </w:rPr>
        <w:t>800 MHz Report &amp; Order</w:t>
      </w:r>
      <w:r w:rsidRPr="002C552D">
        <w:t xml:space="preserve">, 19 FCC Rcd </w:t>
      </w:r>
      <w:r>
        <w:t xml:space="preserve">at </w:t>
      </w:r>
      <w:r w:rsidRPr="002C552D">
        <w:t>14977</w:t>
      </w:r>
      <w:r>
        <w:t xml:space="preserve">, </w:t>
      </w:r>
      <w:r w:rsidRPr="000D7C38">
        <w:t>¶ 1</w:t>
      </w:r>
      <w:r>
        <w:t>1</w:t>
      </w:r>
      <w:r w:rsidRPr="002C552D">
        <w:t>.</w:t>
      </w:r>
      <w:r>
        <w:t xml:space="preserve">  For purposes of uniformity in 800 MHz rebanding orders, we refer to subsidiaries of Sprint Corp., such as Nextel Communications, Inc. as their parent company, Sprint.</w:t>
      </w:r>
    </w:p>
  </w:footnote>
  <w:footnote w:id="7">
    <w:p w:rsidR="00C2380A" w:rsidRDefault="00C2380A">
      <w:pPr>
        <w:pStyle w:val="FootnoteText"/>
      </w:pPr>
      <w:r>
        <w:rPr>
          <w:rStyle w:val="FootnoteReference"/>
        </w:rPr>
        <w:footnoteRef/>
      </w:r>
      <w:r>
        <w:t xml:space="preserve"> </w:t>
      </w:r>
      <w:r w:rsidRPr="0050220F">
        <w:t xml:space="preserve">Proposed Resolution Memorandum of </w:t>
      </w:r>
      <w:r>
        <w:t>Licensee</w:t>
      </w:r>
      <w:r w:rsidRPr="0050220F">
        <w:t xml:space="preserve"> dated August </w:t>
      </w:r>
      <w:r>
        <w:t>7</w:t>
      </w:r>
      <w:r w:rsidRPr="0050220F">
        <w:t>, 2014 (</w:t>
      </w:r>
      <w:r w:rsidR="00CD5048">
        <w:t>APS</w:t>
      </w:r>
      <w:r w:rsidRPr="0050220F">
        <w:t xml:space="preserve"> PRM)</w:t>
      </w:r>
      <w:r>
        <w:t xml:space="preserve"> at 2</w:t>
      </w:r>
      <w:r>
        <w:rPr>
          <w:i/>
        </w:rPr>
        <w:t xml:space="preserve">; See </w:t>
      </w:r>
      <w:r>
        <w:t>RR at 2.</w:t>
      </w:r>
    </w:p>
  </w:footnote>
  <w:footnote w:id="8">
    <w:p w:rsidR="00C2380A" w:rsidRDefault="00C2380A">
      <w:pPr>
        <w:pStyle w:val="FootnoteText"/>
      </w:pPr>
      <w:r>
        <w:rPr>
          <w:rStyle w:val="FootnoteReference"/>
        </w:rPr>
        <w:footnoteRef/>
      </w:r>
      <w:r>
        <w:t xml:space="preserve"> RR at 11.</w:t>
      </w:r>
    </w:p>
  </w:footnote>
  <w:footnote w:id="9">
    <w:p w:rsidR="006A6DF2" w:rsidRDefault="006A6DF2" w:rsidP="006A6DF2">
      <w:pPr>
        <w:pStyle w:val="FootnoteText"/>
      </w:pPr>
      <w:r>
        <w:rPr>
          <w:rStyle w:val="FootnoteReference"/>
        </w:rPr>
        <w:footnoteRef/>
      </w:r>
      <w:r>
        <w:t xml:space="preserve"> </w:t>
      </w:r>
      <w:r>
        <w:rPr>
          <w:i/>
        </w:rPr>
        <w:t xml:space="preserve">Id. </w:t>
      </w:r>
      <w:r w:rsidRPr="00E7789B">
        <w:t>at 3</w:t>
      </w:r>
      <w:r>
        <w:t>.</w:t>
      </w:r>
    </w:p>
  </w:footnote>
  <w:footnote w:id="10">
    <w:p w:rsidR="003442F7" w:rsidRDefault="003442F7">
      <w:pPr>
        <w:pStyle w:val="FootnoteText"/>
      </w:pPr>
      <w:r>
        <w:rPr>
          <w:rStyle w:val="FootnoteReference"/>
        </w:rPr>
        <w:footnoteRef/>
      </w:r>
      <w:r>
        <w:t xml:space="preserve"> </w:t>
      </w:r>
      <w:r w:rsidRPr="000D7C38">
        <w:rPr>
          <w:i/>
        </w:rPr>
        <w:t>800 MHz Supplemental Order</w:t>
      </w:r>
      <w:r w:rsidRPr="000D7C38">
        <w:t>, 19 FCC Rcd at 25152</w:t>
      </w:r>
      <w:r>
        <w:t xml:space="preserve">, </w:t>
      </w:r>
      <w:r w:rsidRPr="000D7C38">
        <w:t>¶ 71.</w:t>
      </w:r>
    </w:p>
  </w:footnote>
  <w:footnote w:id="11">
    <w:p w:rsidR="003442F7" w:rsidRDefault="003442F7">
      <w:pPr>
        <w:pStyle w:val="FootnoteText"/>
      </w:pPr>
      <w:r>
        <w:rPr>
          <w:rStyle w:val="FootnoteReference"/>
        </w:rPr>
        <w:footnoteRef/>
      </w:r>
      <w:r>
        <w:t xml:space="preserve"> </w:t>
      </w:r>
      <w:r w:rsidRPr="000D7C38">
        <w:rPr>
          <w:i/>
        </w:rPr>
        <w:t xml:space="preserve">800 MHz </w:t>
      </w:r>
      <w:r>
        <w:rPr>
          <w:i/>
        </w:rPr>
        <w:t xml:space="preserve">Report and </w:t>
      </w:r>
      <w:r w:rsidRPr="000D7C38">
        <w:rPr>
          <w:i/>
        </w:rPr>
        <w:t>Order</w:t>
      </w:r>
      <w:r w:rsidRPr="000D7C38">
        <w:t>, 19 FCC Rcd at 15074</w:t>
      </w:r>
      <w:r>
        <w:t xml:space="preserve">, </w:t>
      </w:r>
      <w:r w:rsidRPr="000D7C38">
        <w:t>¶ 198</w:t>
      </w:r>
      <w:r>
        <w:t>.</w:t>
      </w:r>
    </w:p>
  </w:footnote>
  <w:footnote w:id="12">
    <w:p w:rsidR="003442F7" w:rsidRDefault="003442F7">
      <w:pPr>
        <w:pStyle w:val="FootnoteText"/>
      </w:pPr>
      <w:r>
        <w:rPr>
          <w:rStyle w:val="FootnoteReference"/>
        </w:rPr>
        <w:footnoteRef/>
      </w:r>
      <w:r>
        <w:t xml:space="preserve"> </w:t>
      </w:r>
      <w:r>
        <w:rPr>
          <w:i/>
          <w:iCs/>
        </w:rPr>
        <w:t xml:space="preserve">See </w:t>
      </w:r>
      <w:r>
        <w:t xml:space="preserve">Wireless Telecommunications Bureau Announces Procedures for </w:t>
      </w:r>
      <w:r>
        <w:rPr>
          <w:i/>
        </w:rPr>
        <w:t>De Novo</w:t>
      </w:r>
      <w:r>
        <w:t xml:space="preserve"> Review in the 800 MHz Public Safety Proceeding, WT Docket 02-55, </w:t>
      </w:r>
      <w:r>
        <w:rPr>
          <w:i/>
          <w:iCs/>
        </w:rPr>
        <w:t xml:space="preserve">Public Notice, </w:t>
      </w:r>
      <w:r>
        <w:t xml:space="preserve">21 FCC Rcd 758 (WTB 2006).  </w:t>
      </w:r>
    </w:p>
  </w:footnote>
  <w:footnote w:id="13">
    <w:p w:rsidR="005B26F4" w:rsidRDefault="005B26F4">
      <w:pPr>
        <w:pStyle w:val="FootnoteText"/>
      </w:pPr>
      <w:r>
        <w:rPr>
          <w:rStyle w:val="FootnoteReference"/>
        </w:rPr>
        <w:footnoteRef/>
      </w:r>
      <w:r>
        <w:t xml:space="preserve"> </w:t>
      </w:r>
      <w:r>
        <w:rPr>
          <w:i/>
        </w:rPr>
        <w:t xml:space="preserve">See </w:t>
      </w:r>
      <w:r w:rsidRPr="00B02E58">
        <w:t>Supplemental Statement of Position of Sprint Corporation, filed Nov. 10, 2014</w:t>
      </w:r>
      <w:r>
        <w:t xml:space="preserve"> </w:t>
      </w:r>
      <w:r w:rsidRPr="00B02E58">
        <w:t>(Sprint Supplemental SOP) and Comments on Transition Administrator Metrics of Arizona Public Service Company, filed Nov. 10, 2014 (APSC Supplemental SOP).</w:t>
      </w:r>
    </w:p>
  </w:footnote>
  <w:footnote w:id="14">
    <w:p w:rsidR="005B26F4" w:rsidRDefault="005B26F4">
      <w:pPr>
        <w:pStyle w:val="FootnoteText"/>
      </w:pPr>
      <w:r>
        <w:rPr>
          <w:rStyle w:val="FootnoteReference"/>
        </w:rPr>
        <w:footnoteRef/>
      </w:r>
      <w:r>
        <w:t xml:space="preserve"> </w:t>
      </w:r>
      <w:r w:rsidR="00B53F9C" w:rsidRPr="004B3361">
        <w:rPr>
          <w:i/>
        </w:rPr>
        <w:t xml:space="preserve">See </w:t>
      </w:r>
      <w:r w:rsidR="00B53F9C">
        <w:t xml:space="preserve">Statement of Position </w:t>
      </w:r>
      <w:r w:rsidR="00B53F9C" w:rsidRPr="004B3361">
        <w:t xml:space="preserve">of </w:t>
      </w:r>
      <w:r w:rsidR="00B53F9C">
        <w:t>Arizona Public Service Company, filed September 22</w:t>
      </w:r>
      <w:r w:rsidR="00B53F9C" w:rsidRPr="004B3361">
        <w:t>, 2014 (</w:t>
      </w:r>
      <w:r w:rsidR="00CD5048">
        <w:t>APS</w:t>
      </w:r>
      <w:r w:rsidR="00B53F9C" w:rsidRPr="0044378E">
        <w:t xml:space="preserve"> SOP</w:t>
      </w:r>
      <w:r w:rsidR="00B53F9C" w:rsidRPr="004B3361">
        <w:t>)</w:t>
      </w:r>
      <w:r w:rsidR="00B53F9C">
        <w:t xml:space="preserve"> at 4.  </w:t>
      </w:r>
    </w:p>
  </w:footnote>
  <w:footnote w:id="15">
    <w:p w:rsidR="00F40855" w:rsidRDefault="00F40855" w:rsidP="00F40855">
      <w:pPr>
        <w:pStyle w:val="FootnoteText"/>
      </w:pPr>
      <w:r>
        <w:rPr>
          <w:rStyle w:val="FootnoteReference"/>
        </w:rPr>
        <w:footnoteRef/>
      </w:r>
      <w:r>
        <w:t xml:space="preserve"> TA Metrics Report, DL8910418957, Arizona Public Service Company, TAM 45010 (Oct. 28, 2014).</w:t>
      </w:r>
    </w:p>
  </w:footnote>
  <w:footnote w:id="16">
    <w:p w:rsidR="005B26F4" w:rsidRDefault="005B26F4">
      <w:pPr>
        <w:pStyle w:val="FootnoteText"/>
      </w:pPr>
      <w:r>
        <w:rPr>
          <w:rStyle w:val="FootnoteReference"/>
        </w:rPr>
        <w:footnoteRef/>
      </w:r>
      <w:r>
        <w:t xml:space="preserve"> </w:t>
      </w:r>
      <w:r w:rsidR="00B53F9C">
        <w:rPr>
          <w:i/>
        </w:rPr>
        <w:t xml:space="preserve">MO&amp;O </w:t>
      </w:r>
      <w:r w:rsidR="00B53F9C">
        <w:t xml:space="preserve">at 18.  </w:t>
      </w:r>
    </w:p>
  </w:footnote>
  <w:footnote w:id="17">
    <w:p w:rsidR="00C7253B" w:rsidRDefault="00C7253B">
      <w:pPr>
        <w:pStyle w:val="FootnoteText"/>
      </w:pPr>
      <w:r>
        <w:rPr>
          <w:rStyle w:val="FootnoteReference"/>
        </w:rPr>
        <w:footnoteRef/>
      </w:r>
      <w:r>
        <w:t xml:space="preserve"> </w:t>
      </w:r>
      <w:r w:rsidRPr="0050220F">
        <w:t xml:space="preserve">Proposed Resolution Memorandum of </w:t>
      </w:r>
      <w:r>
        <w:t>Licensee</w:t>
      </w:r>
      <w:r w:rsidRPr="0050220F">
        <w:t xml:space="preserve"> dated August </w:t>
      </w:r>
      <w:r>
        <w:t>7</w:t>
      </w:r>
      <w:r w:rsidRPr="0050220F">
        <w:t>, 2014 (</w:t>
      </w:r>
      <w:r w:rsidR="00CD5048">
        <w:t>APS</w:t>
      </w:r>
      <w:r w:rsidRPr="0050220F">
        <w:t xml:space="preserve"> PRM)</w:t>
      </w:r>
      <w:r>
        <w:t xml:space="preserve"> at 58 n.36.</w:t>
      </w:r>
    </w:p>
  </w:footnote>
  <w:footnote w:id="18">
    <w:p w:rsidR="00B53F9C" w:rsidRDefault="00B53F9C">
      <w:pPr>
        <w:pStyle w:val="FootnoteText"/>
      </w:pPr>
      <w:r>
        <w:rPr>
          <w:rStyle w:val="FootnoteReference"/>
        </w:rPr>
        <w:footnoteRef/>
      </w:r>
      <w:r>
        <w:t xml:space="preserve"> </w:t>
      </w:r>
      <w:r w:rsidR="00C7253B">
        <w:rPr>
          <w:i/>
        </w:rPr>
        <w:t xml:space="preserve">MO&amp;O </w:t>
      </w:r>
      <w:r w:rsidR="00C7253B">
        <w:t xml:space="preserve">at 18.  </w:t>
      </w:r>
      <w:r w:rsidR="006A6DF2">
        <w:t>The comparable</w:t>
      </w:r>
      <w:r w:rsidR="007D51AD">
        <w:t xml:space="preserve"> </w:t>
      </w:r>
      <w:r w:rsidR="006A6DF2">
        <w:t>s</w:t>
      </w:r>
      <w:r w:rsidR="007D51AD">
        <w:t>ystems</w:t>
      </w:r>
      <w:r w:rsidR="006A6DF2">
        <w:t xml:space="preserve"> that the TA Mediator used</w:t>
      </w:r>
      <w:r w:rsidR="007D51AD">
        <w:t xml:space="preserve"> were for public safety systems.</w:t>
      </w:r>
    </w:p>
  </w:footnote>
  <w:footnote w:id="19">
    <w:p w:rsidR="00C062B2" w:rsidRDefault="00C062B2">
      <w:pPr>
        <w:pStyle w:val="FootnoteText"/>
      </w:pPr>
      <w:r>
        <w:rPr>
          <w:rStyle w:val="FootnoteReference"/>
        </w:rPr>
        <w:footnoteRef/>
      </w:r>
      <w:r>
        <w:t xml:space="preserve"> 47 C.F.R. §1.106</w:t>
      </w:r>
    </w:p>
  </w:footnote>
  <w:footnote w:id="20">
    <w:p w:rsidR="00B53F9C" w:rsidRDefault="00B53F9C">
      <w:pPr>
        <w:pStyle w:val="FootnoteText"/>
      </w:pPr>
      <w:r>
        <w:rPr>
          <w:rStyle w:val="FootnoteReference"/>
        </w:rPr>
        <w:footnoteRef/>
      </w:r>
      <w:r>
        <w:t xml:space="preserve"> </w:t>
      </w:r>
      <w:r w:rsidR="00C062B2">
        <w:t xml:space="preserve">Petition at 3.  </w:t>
      </w:r>
    </w:p>
  </w:footnote>
  <w:footnote w:id="21">
    <w:p w:rsidR="00B53F9C" w:rsidRPr="00C062B2" w:rsidRDefault="00B53F9C">
      <w:pPr>
        <w:pStyle w:val="FootnoteText"/>
      </w:pPr>
      <w:r>
        <w:rPr>
          <w:rStyle w:val="FootnoteReference"/>
        </w:rPr>
        <w:footnoteRef/>
      </w:r>
      <w:r>
        <w:t xml:space="preserve"> </w:t>
      </w:r>
      <w:r w:rsidR="00C062B2">
        <w:rPr>
          <w:i/>
        </w:rPr>
        <w:t xml:space="preserve">Id. </w:t>
      </w:r>
      <w:r w:rsidR="00C062B2">
        <w:t xml:space="preserve">at 2.  </w:t>
      </w:r>
      <w:r w:rsidR="00C062B2">
        <w:rPr>
          <w:i/>
        </w:rPr>
        <w:t>See also</w:t>
      </w:r>
      <w:r w:rsidR="00C062B2">
        <w:t xml:space="preserve"> Mississippi State University and Nextel Communications, Inc., WT Docket 02-55, </w:t>
      </w:r>
      <w:r w:rsidR="00C062B2">
        <w:rPr>
          <w:i/>
        </w:rPr>
        <w:t xml:space="preserve">Second Order Reopening the Record, </w:t>
      </w:r>
      <w:r w:rsidR="00C062B2">
        <w:t xml:space="preserve">28 FCC Rcd 61 (PSHSB 2013).  </w:t>
      </w:r>
    </w:p>
  </w:footnote>
  <w:footnote w:id="22">
    <w:p w:rsidR="00806910" w:rsidRDefault="00806910">
      <w:pPr>
        <w:pStyle w:val="FootnoteText"/>
      </w:pPr>
      <w:r>
        <w:rPr>
          <w:rStyle w:val="FootnoteReference"/>
        </w:rPr>
        <w:footnoteRef/>
      </w:r>
      <w:r>
        <w:t xml:space="preserve"> APS has not filed a motion to reopen the record.</w:t>
      </w:r>
    </w:p>
  </w:footnote>
  <w:footnote w:id="23">
    <w:p w:rsidR="00BD568C" w:rsidRDefault="00BD568C" w:rsidP="00BD568C">
      <w:pPr>
        <w:spacing w:after="120"/>
      </w:pPr>
      <w:r>
        <w:rPr>
          <w:rStyle w:val="FootnoteReference"/>
        </w:rPr>
        <w:footnoteRef/>
      </w:r>
      <w:r w:rsidR="00937AA2">
        <w:t xml:space="preserve"> </w:t>
      </w:r>
      <w:r w:rsidR="0030668D">
        <w:rPr>
          <w:snapToGrid/>
          <w:kern w:val="0"/>
          <w:sz w:val="20"/>
        </w:rPr>
        <w:t xml:space="preserve">Canyon Area Residents </w:t>
      </w:r>
      <w:r>
        <w:rPr>
          <w:snapToGrid/>
          <w:kern w:val="0"/>
          <w:sz w:val="20"/>
        </w:rPr>
        <w:t xml:space="preserve">for the Environment, </w:t>
      </w:r>
      <w:r w:rsidRPr="000F642C">
        <w:rPr>
          <w:i/>
          <w:snapToGrid/>
          <w:kern w:val="0"/>
          <w:sz w:val="20"/>
        </w:rPr>
        <w:t>Memorandum Opinion and Order</w:t>
      </w:r>
      <w:r>
        <w:rPr>
          <w:i/>
          <w:snapToGrid/>
          <w:kern w:val="0"/>
          <w:sz w:val="20"/>
        </w:rPr>
        <w:t>,</w:t>
      </w:r>
      <w:r>
        <w:rPr>
          <w:snapToGrid/>
          <w:kern w:val="0"/>
          <w:sz w:val="20"/>
        </w:rPr>
        <w:t xml:space="preserve"> 14 FCC Rcd</w:t>
      </w:r>
      <w:r w:rsidRPr="000F642C">
        <w:rPr>
          <w:snapToGrid/>
          <w:kern w:val="0"/>
          <w:sz w:val="20"/>
        </w:rPr>
        <w:t xml:space="preserve"> 8152</w:t>
      </w:r>
      <w:r>
        <w:rPr>
          <w:snapToGrid/>
          <w:kern w:val="0"/>
          <w:sz w:val="20"/>
        </w:rPr>
        <w:t xml:space="preserve">, 8154 ¶7 (1999) </w:t>
      </w:r>
      <w:r w:rsidRPr="000F642C">
        <w:rPr>
          <w:i/>
          <w:snapToGrid/>
          <w:kern w:val="0"/>
          <w:sz w:val="20"/>
        </w:rPr>
        <w:t>citing</w:t>
      </w:r>
      <w:r>
        <w:rPr>
          <w:snapToGrid/>
          <w:kern w:val="0"/>
          <w:sz w:val="20"/>
        </w:rPr>
        <w:t xml:space="preserve"> </w:t>
      </w:r>
      <w:r w:rsidRPr="001F5839">
        <w:rPr>
          <w:i/>
          <w:snapToGrid/>
          <w:kern w:val="0"/>
          <w:sz w:val="20"/>
        </w:rPr>
        <w:t>Colorado Radio Corp. v. FCC</w:t>
      </w:r>
      <w:r w:rsidRPr="001F5839">
        <w:rPr>
          <w:snapToGrid/>
          <w:kern w:val="0"/>
          <w:sz w:val="20"/>
        </w:rPr>
        <w:t>, 118 F.2d 24, 26 (</w:t>
      </w:r>
      <w:r>
        <w:rPr>
          <w:snapToGrid/>
          <w:kern w:val="0"/>
          <w:sz w:val="20"/>
        </w:rPr>
        <w:t xml:space="preserve">D.C. Cir. </w:t>
      </w:r>
      <w:r w:rsidRPr="001F5839">
        <w:rPr>
          <w:snapToGrid/>
          <w:kern w:val="0"/>
          <w:sz w:val="20"/>
        </w:rPr>
        <w:t>1941)</w:t>
      </w:r>
      <w:r>
        <w:rPr>
          <w:snapToGrid/>
          <w:kern w:val="0"/>
          <w:sz w:val="20"/>
        </w:rPr>
        <w:t>.</w:t>
      </w:r>
    </w:p>
  </w:footnote>
  <w:footnote w:id="24">
    <w:p w:rsidR="00CD5198" w:rsidRDefault="00CD5198" w:rsidP="00CD5198">
      <w:pPr>
        <w:pStyle w:val="FootnoteText"/>
      </w:pPr>
      <w:r>
        <w:rPr>
          <w:rStyle w:val="FootnoteReference"/>
        </w:rPr>
        <w:footnoteRef/>
      </w:r>
      <w:r>
        <w:t xml:space="preserve"> </w:t>
      </w:r>
      <w:r w:rsidRPr="00E6183E">
        <w:rPr>
          <w:i/>
        </w:rPr>
        <w:t>WWIZ, Inc</w:t>
      </w:r>
      <w:r w:rsidRPr="00E6183E">
        <w:t xml:space="preserve">., 37 FCC 685, 686 (1964), </w:t>
      </w:r>
      <w:r w:rsidRPr="00E6183E">
        <w:rPr>
          <w:i/>
        </w:rPr>
        <w:t>aff'd sub nom. Lorain Journal Co. v. FCC</w:t>
      </w:r>
      <w:r w:rsidRPr="00E6183E">
        <w:t xml:space="preserve">, 351 F. 2d 824 (D.C. Cir. 1965), </w:t>
      </w:r>
      <w:r w:rsidRPr="00E6183E">
        <w:rPr>
          <w:i/>
        </w:rPr>
        <w:t>cert. denied,</w:t>
      </w:r>
      <w:r w:rsidRPr="00E6183E">
        <w:t xml:space="preserve"> 383 U.S. 967 (1966); 47 C.F.R. § 1.106(c).</w:t>
      </w:r>
    </w:p>
  </w:footnote>
  <w:footnote w:id="25">
    <w:p w:rsidR="00671297" w:rsidRDefault="00671297">
      <w:pPr>
        <w:pStyle w:val="FootnoteText"/>
      </w:pPr>
      <w:r>
        <w:rPr>
          <w:rStyle w:val="FootnoteReference"/>
        </w:rPr>
        <w:footnoteRef/>
      </w:r>
      <w:r>
        <w:t xml:space="preserve"> See Opposition at 3-4.</w:t>
      </w:r>
    </w:p>
  </w:footnote>
  <w:footnote w:id="26">
    <w:p w:rsidR="00CD5198" w:rsidRDefault="00CD5198" w:rsidP="00CD5198">
      <w:pPr>
        <w:pStyle w:val="FootnoteText"/>
      </w:pPr>
      <w:r>
        <w:rPr>
          <w:rStyle w:val="FootnoteReference"/>
        </w:rPr>
        <w:footnoteRef/>
      </w:r>
      <w:r>
        <w:t xml:space="preserve"> 47 C.F.R. § 1.106(b)(2)(i)-(ii).</w:t>
      </w:r>
    </w:p>
  </w:footnote>
  <w:footnote w:id="27">
    <w:p w:rsidR="00B472CC" w:rsidRDefault="00B472CC">
      <w:pPr>
        <w:pStyle w:val="FootnoteText"/>
      </w:pPr>
      <w:r>
        <w:rPr>
          <w:rStyle w:val="FootnoteReference"/>
        </w:rPr>
        <w:footnoteRef/>
      </w:r>
      <w:r>
        <w:t xml:space="preserve"> </w:t>
      </w:r>
      <w:r w:rsidR="00550E5B">
        <w:t xml:space="preserve">See, </w:t>
      </w:r>
      <w:r w:rsidR="00550E5B" w:rsidRPr="00127F38">
        <w:rPr>
          <w:i/>
          <w:color w:val="010101"/>
        </w:rPr>
        <w:t>e.g.,</w:t>
      </w:r>
      <w:r w:rsidR="00550E5B">
        <w:rPr>
          <w:color w:val="010101"/>
        </w:rPr>
        <w:t xml:space="preserve"> Jones Eastern of the Outer Banks, </w:t>
      </w:r>
      <w:r w:rsidR="00550E5B" w:rsidRPr="00550E5B">
        <w:rPr>
          <w:i/>
          <w:color w:val="010101"/>
        </w:rPr>
        <w:t>Memorandum Opinion and Order</w:t>
      </w:r>
      <w:r w:rsidR="00550E5B">
        <w:rPr>
          <w:i/>
          <w:color w:val="010101"/>
        </w:rPr>
        <w:t xml:space="preserve">, </w:t>
      </w:r>
      <w:r w:rsidR="00550E5B">
        <w:rPr>
          <w:color w:val="010101"/>
        </w:rPr>
        <w:t>7 FCC Rcd 6800, 6802 (1992)(“</w:t>
      </w:r>
      <w:r w:rsidR="00550E5B" w:rsidRPr="00550E5B">
        <w:rPr>
          <w:color w:val="010101"/>
        </w:rPr>
        <w:t>Petitioner's decision to assign a management person to the ma</w:t>
      </w:r>
      <w:r w:rsidR="00550E5B">
        <w:rPr>
          <w:color w:val="010101"/>
        </w:rPr>
        <w:t>in studio represents neither a ‘</w:t>
      </w:r>
      <w:r w:rsidR="00550E5B" w:rsidRPr="00550E5B">
        <w:rPr>
          <w:color w:val="010101"/>
        </w:rPr>
        <w:t>newly discovered fact</w:t>
      </w:r>
      <w:r w:rsidR="00550E5B">
        <w:rPr>
          <w:color w:val="010101"/>
        </w:rPr>
        <w:t>’</w:t>
      </w:r>
      <w:r w:rsidR="00550E5B" w:rsidRPr="00550E5B">
        <w:rPr>
          <w:color w:val="010101"/>
        </w:rPr>
        <w:t xml:space="preserve"> nor a </w:t>
      </w:r>
      <w:r w:rsidR="00550E5B">
        <w:rPr>
          <w:color w:val="010101"/>
        </w:rPr>
        <w:t>‘</w:t>
      </w:r>
      <w:r w:rsidR="00550E5B" w:rsidRPr="00550E5B">
        <w:rPr>
          <w:color w:val="010101"/>
        </w:rPr>
        <w:t>changed circumstance,</w:t>
      </w:r>
      <w:r w:rsidR="00550E5B">
        <w:rPr>
          <w:color w:val="010101"/>
        </w:rPr>
        <w:t>’</w:t>
      </w:r>
      <w:r w:rsidR="00550E5B" w:rsidRPr="00550E5B">
        <w:rPr>
          <w:color w:val="010101"/>
        </w:rPr>
        <w:t xml:space="preserve"> but is merely a new proposa</w:t>
      </w:r>
      <w:r w:rsidR="00550E5B">
        <w:rPr>
          <w:color w:val="010101"/>
        </w:rPr>
        <w:t>l.”)</w:t>
      </w:r>
    </w:p>
  </w:footnote>
  <w:footnote w:id="28">
    <w:p w:rsidR="00A72B37" w:rsidRDefault="00A72B37">
      <w:pPr>
        <w:pStyle w:val="FootnoteText"/>
      </w:pPr>
      <w:r>
        <w:rPr>
          <w:rStyle w:val="FootnoteReference"/>
        </w:rPr>
        <w:footnoteRef/>
      </w:r>
      <w:r>
        <w:t xml:space="preserve"> State of Indiana and Nextel Communications, Inc., </w:t>
      </w:r>
      <w:r w:rsidRPr="003C5172">
        <w:rPr>
          <w:i/>
        </w:rPr>
        <w:t xml:space="preserve">Memorandum Opinion and Order </w:t>
      </w:r>
      <w:r>
        <w:t>, 27 FCC Rcd 11469, 11474 ¶</w:t>
      </w:r>
      <w:r w:rsidR="00FD74B7">
        <w:t xml:space="preserve">16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DA" w:rsidRDefault="00CC5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E" w:rsidRDefault="004D2A7E">
    <w:pPr>
      <w:pStyle w:val="Header"/>
      <w:pBdr>
        <w:bottom w:val="single" w:sz="12" w:space="1" w:color="auto"/>
      </w:pBdr>
      <w:rPr>
        <w:b w:val="0"/>
      </w:rPr>
    </w:pPr>
    <w:r>
      <w:tab/>
      <w:t>Federal Communications Commission</w:t>
    </w:r>
    <w:r>
      <w:tab/>
      <w:t xml:space="preserve">DA </w:t>
    </w:r>
    <w:r w:rsidR="00A64F4E" w:rsidRPr="00A64F4E">
      <w:t>15-531</w:t>
    </w:r>
  </w:p>
  <w:p w:rsidR="004D2A7E" w:rsidRDefault="004D2A7E">
    <w:pPr>
      <w:tabs>
        <w:tab w:val="left" w:pos="-720"/>
      </w:tabs>
      <w:suppressAutoHyphens/>
      <w:spacing w:line="19" w:lineRule="exact"/>
      <w:rPr>
        <w:spacing w:val="-2"/>
      </w:rPr>
    </w:pPr>
  </w:p>
  <w:p w:rsidR="004D2A7E" w:rsidRDefault="004D2A7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E" w:rsidRDefault="004D2A7E">
    <w:pPr>
      <w:pStyle w:val="Header"/>
      <w:pBdr>
        <w:bottom w:val="single" w:sz="12" w:space="1" w:color="auto"/>
      </w:pBdr>
    </w:pPr>
    <w:r>
      <w:tab/>
      <w:t>Federal Communications Commission</w:t>
    </w:r>
    <w:r>
      <w:tab/>
      <w:t xml:space="preserve">DA </w:t>
    </w:r>
    <w:r w:rsidR="00A64F4E" w:rsidRPr="00A64F4E">
      <w:t>15-531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B27"/>
    <w:multiLevelType w:val="multilevel"/>
    <w:tmpl w:val="0D827A86"/>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1">
    <w:nsid w:val="1842600C"/>
    <w:multiLevelType w:val="hybridMultilevel"/>
    <w:tmpl w:val="0D827A86"/>
    <w:lvl w:ilvl="0" w:tplc="0409000B">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9D90250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630246B"/>
    <w:multiLevelType w:val="hybridMultilevel"/>
    <w:tmpl w:val="C8B0911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DB17258"/>
    <w:multiLevelType w:val="hybridMultilevel"/>
    <w:tmpl w:val="CEA41730"/>
    <w:lvl w:ilvl="0" w:tplc="4906C4B6">
      <w:start w:val="1"/>
      <w:numFmt w:val="decimal"/>
      <w:lvlText w:val="%1.     "/>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C3223"/>
    <w:multiLevelType w:val="hybridMultilevel"/>
    <w:tmpl w:val="22D6C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892113"/>
    <w:multiLevelType w:val="hybridMultilevel"/>
    <w:tmpl w:val="F62200C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6"/>
  </w:num>
  <w:num w:numId="5">
    <w:abstractNumId w:val="6"/>
  </w:num>
  <w:num w:numId="6">
    <w:abstractNumId w:val="4"/>
  </w:num>
  <w:num w:numId="7">
    <w:abstractNumId w:val="6"/>
  </w:num>
  <w:num w:numId="8">
    <w:abstractNumId w:val="1"/>
  </w:num>
  <w:num w:numId="9">
    <w:abstractNumId w:val="0"/>
  </w:num>
  <w:num w:numId="10">
    <w:abstractNumId w:val="5"/>
  </w:num>
  <w:num w:numId="11">
    <w:abstractNumId w:val="6"/>
  </w:num>
  <w:num w:numId="12">
    <w:abstractNumId w:val="6"/>
  </w:num>
  <w:num w:numId="13">
    <w:abstractNumId w:val="6"/>
  </w:num>
  <w:num w:numId="14">
    <w:abstractNumId w:val="9"/>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num>
  <w:num w:numId="27">
    <w:abstractNumId w:val="7"/>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40"/>
    <w:rsid w:val="000208B9"/>
    <w:rsid w:val="00091E2D"/>
    <w:rsid w:val="000A1E5F"/>
    <w:rsid w:val="000A75B5"/>
    <w:rsid w:val="000B4C90"/>
    <w:rsid w:val="000C4490"/>
    <w:rsid w:val="000E346E"/>
    <w:rsid w:val="00100C9E"/>
    <w:rsid w:val="00127F38"/>
    <w:rsid w:val="00135159"/>
    <w:rsid w:val="0015512B"/>
    <w:rsid w:val="00161689"/>
    <w:rsid w:val="001B48FF"/>
    <w:rsid w:val="00207C13"/>
    <w:rsid w:val="0022431D"/>
    <w:rsid w:val="00251F77"/>
    <w:rsid w:val="00253F76"/>
    <w:rsid w:val="00270E47"/>
    <w:rsid w:val="002E0FFA"/>
    <w:rsid w:val="002E50C5"/>
    <w:rsid w:val="002E679C"/>
    <w:rsid w:val="0030668D"/>
    <w:rsid w:val="003442F7"/>
    <w:rsid w:val="003625E4"/>
    <w:rsid w:val="00371736"/>
    <w:rsid w:val="00372BD9"/>
    <w:rsid w:val="003A318D"/>
    <w:rsid w:val="003A658A"/>
    <w:rsid w:val="004000EA"/>
    <w:rsid w:val="0044184B"/>
    <w:rsid w:val="00464BE8"/>
    <w:rsid w:val="0047219F"/>
    <w:rsid w:val="00481556"/>
    <w:rsid w:val="00493A5E"/>
    <w:rsid w:val="004B4A6F"/>
    <w:rsid w:val="004D2A7E"/>
    <w:rsid w:val="00542BA8"/>
    <w:rsid w:val="00550E5B"/>
    <w:rsid w:val="00591319"/>
    <w:rsid w:val="005B26F4"/>
    <w:rsid w:val="005D1050"/>
    <w:rsid w:val="005E2708"/>
    <w:rsid w:val="006033E6"/>
    <w:rsid w:val="00671297"/>
    <w:rsid w:val="006A0968"/>
    <w:rsid w:val="006A0A2D"/>
    <w:rsid w:val="006A6DF2"/>
    <w:rsid w:val="006C7804"/>
    <w:rsid w:val="006F76F3"/>
    <w:rsid w:val="00723F0E"/>
    <w:rsid w:val="007466E8"/>
    <w:rsid w:val="00757C2E"/>
    <w:rsid w:val="00780EC0"/>
    <w:rsid w:val="007B1A6F"/>
    <w:rsid w:val="007C0565"/>
    <w:rsid w:val="007C0C71"/>
    <w:rsid w:val="007C3BCB"/>
    <w:rsid w:val="007D51AD"/>
    <w:rsid w:val="00806910"/>
    <w:rsid w:val="0081304E"/>
    <w:rsid w:val="00835411"/>
    <w:rsid w:val="008D6BA5"/>
    <w:rsid w:val="00910BF6"/>
    <w:rsid w:val="00937AA2"/>
    <w:rsid w:val="009769F8"/>
    <w:rsid w:val="009A225F"/>
    <w:rsid w:val="009B3068"/>
    <w:rsid w:val="009C725A"/>
    <w:rsid w:val="00A64F4E"/>
    <w:rsid w:val="00A72B37"/>
    <w:rsid w:val="00A96364"/>
    <w:rsid w:val="00AF6964"/>
    <w:rsid w:val="00B41302"/>
    <w:rsid w:val="00B472CC"/>
    <w:rsid w:val="00B53F9C"/>
    <w:rsid w:val="00B5426F"/>
    <w:rsid w:val="00B83179"/>
    <w:rsid w:val="00BA6E96"/>
    <w:rsid w:val="00BD4432"/>
    <w:rsid w:val="00BD568C"/>
    <w:rsid w:val="00BE28F3"/>
    <w:rsid w:val="00BF2140"/>
    <w:rsid w:val="00C062B2"/>
    <w:rsid w:val="00C2380A"/>
    <w:rsid w:val="00C23F40"/>
    <w:rsid w:val="00C7253B"/>
    <w:rsid w:val="00CC5EDA"/>
    <w:rsid w:val="00CC724F"/>
    <w:rsid w:val="00CD5048"/>
    <w:rsid w:val="00CD5198"/>
    <w:rsid w:val="00D20BD3"/>
    <w:rsid w:val="00D5258E"/>
    <w:rsid w:val="00D56320"/>
    <w:rsid w:val="00D60464"/>
    <w:rsid w:val="00D6473A"/>
    <w:rsid w:val="00D902BA"/>
    <w:rsid w:val="00D90733"/>
    <w:rsid w:val="00D96062"/>
    <w:rsid w:val="00DA3113"/>
    <w:rsid w:val="00DC78B4"/>
    <w:rsid w:val="00DD12CC"/>
    <w:rsid w:val="00DD1C36"/>
    <w:rsid w:val="00E37BC4"/>
    <w:rsid w:val="00E60D4F"/>
    <w:rsid w:val="00E77AE7"/>
    <w:rsid w:val="00E94873"/>
    <w:rsid w:val="00EA1B14"/>
    <w:rsid w:val="00EA48F5"/>
    <w:rsid w:val="00EA4E18"/>
    <w:rsid w:val="00F21021"/>
    <w:rsid w:val="00F40855"/>
    <w:rsid w:val="00F740B7"/>
    <w:rsid w:val="00F95206"/>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 Char Char,Footnote Text Char1 Char1 Char,Footnote Text Char1,Footnote Text Char1 Char Char,Footnote Text Char Char,Footnote Text Char1 Char1"/>
    <w:link w:val="FootnoteTextChar2"/>
    <w:autoRedefine/>
    <w:rsid w:val="00BF2140"/>
    <w:pPr>
      <w:tabs>
        <w:tab w:val="left" w:pos="720"/>
        <w:tab w:val="left" w:pos="1440"/>
      </w:tabs>
      <w:spacing w:after="120"/>
      <w:ind w:right="144"/>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2">
    <w:name w:val="Footnote Text Char2"/>
    <w:aliases w:val="Footnote Text Char Char1,Footnote Text Char1 Char Char1,Footnote Text Char1 Char Char Char Char,Footnote Text Char Char Char Char,Footnote Text Char1 Char1 Char Char,Footnote Text Char1 Char2,Footnote Text Char1 Char Char Char1"/>
    <w:link w:val="FootnoteText"/>
    <w:rsid w:val="00BF2140"/>
    <w:rPr>
      <w:lang w:val="en-US" w:eastAsia="en-US" w:bidi="ar-SA"/>
    </w:rPr>
  </w:style>
  <w:style w:type="character" w:customStyle="1" w:styleId="ParaNumChar">
    <w:name w:val="ParaNum Char"/>
    <w:rPr>
      <w:kern w:val="1"/>
      <w:sz w:val="22"/>
      <w:lang w:val="en-US" w:eastAsia="ar-SA" w:bidi="ar-SA"/>
    </w:rPr>
  </w:style>
  <w:style w:type="character" w:customStyle="1" w:styleId="FootnoteCharacters">
    <w:name w:val="Footnote Characters"/>
    <w:rPr>
      <w:rFonts w:ascii="Times New Roman" w:hAnsi="Times New Roman"/>
      <w:strike w:val="0"/>
      <w:dstrike w:val="0"/>
      <w:color w:val="auto"/>
      <w:sz w:val="22"/>
      <w:vertAlign w:val="superscript"/>
    </w:rPr>
  </w:style>
  <w:style w:type="paragraph" w:styleId="Caption">
    <w:name w:val="caption"/>
    <w:basedOn w:val="Normal"/>
    <w:next w:val="Normal"/>
    <w:qFormat/>
    <w:pPr>
      <w:widowControl/>
      <w:spacing w:before="120" w:after="120"/>
      <w:jc w:val="left"/>
    </w:pPr>
    <w:rPr>
      <w:b/>
      <w:snapToGrid/>
      <w:kern w:val="0"/>
      <w:sz w:val="24"/>
      <w:szCs w:val="24"/>
    </w:rPr>
  </w:style>
  <w:style w:type="paragraph" w:customStyle="1" w:styleId="NumberedList">
    <w:name w:val="Numbered List"/>
    <w:basedOn w:val="Normal"/>
    <w:pPr>
      <w:widowControl/>
      <w:numPr>
        <w:numId w:val="6"/>
      </w:numPr>
      <w:tabs>
        <w:tab w:val="clear" w:pos="1080"/>
      </w:tabs>
      <w:spacing w:after="220"/>
      <w:ind w:firstLine="0"/>
      <w:jc w:val="left"/>
    </w:pPr>
    <w:rPr>
      <w:snapToGrid/>
      <w:kern w:val="0"/>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11pt">
    <w:name w:val="Style 11 pt"/>
    <w:basedOn w:val="Normal"/>
    <w:link w:val="Style11ptChar"/>
    <w:autoRedefine/>
    <w:pPr>
      <w:widowControl/>
      <w:jc w:val="left"/>
    </w:pPr>
    <w:rPr>
      <w:snapToGrid/>
      <w:kern w:val="0"/>
    </w:rPr>
  </w:style>
  <w:style w:type="character" w:customStyle="1" w:styleId="Style11ptChar">
    <w:name w:val="Style 11 pt Char"/>
    <w:link w:val="Style11p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Pr>
      <w:rFonts w:ascii="Times New Roman Bold" w:hAnsi="Times New Roman Bold"/>
      <w:b/>
      <w:caps/>
      <w:snapToGrid w:val="0"/>
      <w:kern w:val="28"/>
      <w:sz w:val="22"/>
      <w:lang w:val="en-US" w:eastAsia="en-US" w:bidi="ar-SA"/>
    </w:rPr>
  </w:style>
  <w:style w:type="paragraph" w:styleId="ListParagraph">
    <w:name w:val="List Paragraph"/>
    <w:basedOn w:val="Normal"/>
    <w:uiPriority w:val="34"/>
    <w:qFormat/>
    <w:rsid w:val="00F4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 Char Char,Footnote Text Char1 Char1 Char,Footnote Text Char1,Footnote Text Char1 Char Char,Footnote Text Char Char,Footnote Text Char1 Char1"/>
    <w:link w:val="FootnoteTextChar2"/>
    <w:autoRedefine/>
    <w:rsid w:val="00BF2140"/>
    <w:pPr>
      <w:tabs>
        <w:tab w:val="left" w:pos="720"/>
        <w:tab w:val="left" w:pos="1440"/>
      </w:tabs>
      <w:spacing w:after="120"/>
      <w:ind w:right="144"/>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2">
    <w:name w:val="Footnote Text Char2"/>
    <w:aliases w:val="Footnote Text Char Char1,Footnote Text Char1 Char Char1,Footnote Text Char1 Char Char Char Char,Footnote Text Char Char Char Char,Footnote Text Char1 Char1 Char Char,Footnote Text Char1 Char2,Footnote Text Char1 Char Char Char1"/>
    <w:link w:val="FootnoteText"/>
    <w:rsid w:val="00BF2140"/>
    <w:rPr>
      <w:lang w:val="en-US" w:eastAsia="en-US" w:bidi="ar-SA"/>
    </w:rPr>
  </w:style>
  <w:style w:type="character" w:customStyle="1" w:styleId="ParaNumChar">
    <w:name w:val="ParaNum Char"/>
    <w:rPr>
      <w:kern w:val="1"/>
      <w:sz w:val="22"/>
      <w:lang w:val="en-US" w:eastAsia="ar-SA" w:bidi="ar-SA"/>
    </w:rPr>
  </w:style>
  <w:style w:type="character" w:customStyle="1" w:styleId="FootnoteCharacters">
    <w:name w:val="Footnote Characters"/>
    <w:rPr>
      <w:rFonts w:ascii="Times New Roman" w:hAnsi="Times New Roman"/>
      <w:strike w:val="0"/>
      <w:dstrike w:val="0"/>
      <w:color w:val="auto"/>
      <w:sz w:val="22"/>
      <w:vertAlign w:val="superscript"/>
    </w:rPr>
  </w:style>
  <w:style w:type="paragraph" w:styleId="Caption">
    <w:name w:val="caption"/>
    <w:basedOn w:val="Normal"/>
    <w:next w:val="Normal"/>
    <w:qFormat/>
    <w:pPr>
      <w:widowControl/>
      <w:spacing w:before="120" w:after="120"/>
      <w:jc w:val="left"/>
    </w:pPr>
    <w:rPr>
      <w:b/>
      <w:snapToGrid/>
      <w:kern w:val="0"/>
      <w:sz w:val="24"/>
      <w:szCs w:val="24"/>
    </w:rPr>
  </w:style>
  <w:style w:type="paragraph" w:customStyle="1" w:styleId="NumberedList">
    <w:name w:val="Numbered List"/>
    <w:basedOn w:val="Normal"/>
    <w:pPr>
      <w:widowControl/>
      <w:numPr>
        <w:numId w:val="6"/>
      </w:numPr>
      <w:tabs>
        <w:tab w:val="clear" w:pos="1080"/>
      </w:tabs>
      <w:spacing w:after="220"/>
      <w:ind w:firstLine="0"/>
      <w:jc w:val="left"/>
    </w:pPr>
    <w:rPr>
      <w:snapToGrid/>
      <w:kern w:val="0"/>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11pt">
    <w:name w:val="Style 11 pt"/>
    <w:basedOn w:val="Normal"/>
    <w:link w:val="Style11ptChar"/>
    <w:autoRedefine/>
    <w:pPr>
      <w:widowControl/>
      <w:jc w:val="left"/>
    </w:pPr>
    <w:rPr>
      <w:snapToGrid/>
      <w:kern w:val="0"/>
    </w:rPr>
  </w:style>
  <w:style w:type="character" w:customStyle="1" w:styleId="Style11ptChar">
    <w:name w:val="Style 11 pt Char"/>
    <w:link w:val="Style11p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Pr>
      <w:rFonts w:ascii="Times New Roman Bold" w:hAnsi="Times New Roman Bold"/>
      <w:b/>
      <w:caps/>
      <w:snapToGrid w:val="0"/>
      <w:kern w:val="28"/>
      <w:sz w:val="22"/>
      <w:lang w:val="en-US" w:eastAsia="en-US" w:bidi="ar-SA"/>
    </w:rPr>
  </w:style>
  <w:style w:type="paragraph" w:styleId="ListParagraph">
    <w:name w:val="List Paragraph"/>
    <w:basedOn w:val="Normal"/>
    <w:uiPriority w:val="34"/>
    <w:qFormat/>
    <w:rsid w:val="00F4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7CFRS0.191&amp;FindType=L" TargetMode="External"/><Relationship Id="rId13" Type="http://schemas.openxmlformats.org/officeDocument/2006/relationships/hyperlink" Target="http://www.westlaw.com/Find/Default.wl?rs=dfa1.0&amp;vr=2.0&amp;DB=1000547&amp;DocName=47CFRS0.392&amp;FindTyp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stlaw.com/Find/Default.wl?rs=dfa1.0&amp;vr=2.0&amp;DB=1000547&amp;DocName=47CFRS0.191&amp;FindType=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154&amp;FindType=L&amp;ReferencePositionType=T&amp;ReferencePosition=SP_17a3000024864" TargetMode="External"/><Relationship Id="rId5" Type="http://schemas.openxmlformats.org/officeDocument/2006/relationships/webSettings" Target="webSettings.xml"/><Relationship Id="rId15" Type="http://schemas.openxmlformats.org/officeDocument/2006/relationships/hyperlink" Target="http://www.westlaw.com/Find/Default.wl?rs=dfa1.0&amp;vr=2.0&amp;DB=1000547&amp;DocName=47CFRS0.392&amp;FindType=L" TargetMode="External"/><Relationship Id="rId23" Type="http://schemas.openxmlformats.org/officeDocument/2006/relationships/theme" Target="theme/theme1.xml"/><Relationship Id="rId10" Type="http://schemas.openxmlformats.org/officeDocument/2006/relationships/hyperlink" Target="http://www.westlaw.com/Find/Default.wl?rs=dfa1.0&amp;vr=2.0&amp;DB=1000547&amp;DocName=47CFRS1.298&amp;FindType=L&amp;ReferencePositionType=T&amp;ReferencePosition=SP_8b3b0000958a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stlaw.com/Find/Default.wl?rs=dfa1.0&amp;vr=2.0&amp;DB=1000547&amp;DocName=47CFRS0.392&amp;FindType=L" TargetMode="External"/><Relationship Id="rId14" Type="http://schemas.openxmlformats.org/officeDocument/2006/relationships/hyperlink" Target="http://www.westlaw.com/Find/Default.wl?rs=dfa1.0&amp;vr=2.0&amp;DB=1000547&amp;DocName=47CFRS0.191&amp;FindType=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1338</Words>
  <Characters>7122</Characters>
  <Application>Microsoft Office Word</Application>
  <DocSecurity>0</DocSecurity>
  <Lines>139</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8481</CharactersWithSpaces>
  <SharedDoc>false</SharedDoc>
  <HyperlinkBase> </HyperlinkBase>
  <HLinks>
    <vt:vector size="48" baseType="variant">
      <vt:variant>
        <vt:i4>1769502</vt:i4>
      </vt:variant>
      <vt:variant>
        <vt:i4>24</vt:i4>
      </vt:variant>
      <vt:variant>
        <vt:i4>0</vt:i4>
      </vt:variant>
      <vt:variant>
        <vt:i4>5</vt:i4>
      </vt:variant>
      <vt:variant>
        <vt:lpwstr>http://www.westlaw.com/Find/Default.wl?rs=dfa1.0&amp;vr=2.0&amp;DB=1000547&amp;DocName=47CFRS0.392&amp;FindType=L</vt:lpwstr>
      </vt:variant>
      <vt:variant>
        <vt:lpwstr/>
      </vt:variant>
      <vt:variant>
        <vt:i4>1703966</vt:i4>
      </vt:variant>
      <vt:variant>
        <vt:i4>21</vt:i4>
      </vt:variant>
      <vt:variant>
        <vt:i4>0</vt:i4>
      </vt:variant>
      <vt:variant>
        <vt:i4>5</vt:i4>
      </vt:variant>
      <vt:variant>
        <vt:lpwstr>http://www.westlaw.com/Find/Default.wl?rs=dfa1.0&amp;vr=2.0&amp;DB=1000547&amp;DocName=47CFRS0.191&amp;FindType=L</vt:lpwstr>
      </vt:variant>
      <vt:variant>
        <vt:lpwstr/>
      </vt:variant>
      <vt:variant>
        <vt:i4>1769502</vt:i4>
      </vt:variant>
      <vt:variant>
        <vt:i4>18</vt:i4>
      </vt:variant>
      <vt:variant>
        <vt:i4>0</vt:i4>
      </vt:variant>
      <vt:variant>
        <vt:i4>5</vt:i4>
      </vt:variant>
      <vt:variant>
        <vt:lpwstr>http://www.westlaw.com/Find/Default.wl?rs=dfa1.0&amp;vr=2.0&amp;DB=1000547&amp;DocName=47CFRS0.392&amp;FindType=L</vt:lpwstr>
      </vt:variant>
      <vt:variant>
        <vt:lpwstr/>
      </vt:variant>
      <vt:variant>
        <vt:i4>1703966</vt:i4>
      </vt:variant>
      <vt:variant>
        <vt:i4>15</vt:i4>
      </vt:variant>
      <vt:variant>
        <vt:i4>0</vt:i4>
      </vt:variant>
      <vt:variant>
        <vt:i4>5</vt:i4>
      </vt:variant>
      <vt:variant>
        <vt:lpwstr>http://www.westlaw.com/Find/Default.wl?rs=dfa1.0&amp;vr=2.0&amp;DB=1000547&amp;DocName=47CFRS0.191&amp;FindType=L</vt:lpwstr>
      </vt:variant>
      <vt:variant>
        <vt:lpwstr/>
      </vt:variant>
      <vt:variant>
        <vt:i4>4325411</vt:i4>
      </vt:variant>
      <vt:variant>
        <vt:i4>12</vt:i4>
      </vt:variant>
      <vt:variant>
        <vt:i4>0</vt:i4>
      </vt:variant>
      <vt:variant>
        <vt:i4>5</vt:i4>
      </vt:variant>
      <vt:variant>
        <vt:lpwstr>http://www.westlaw.com/Find/Default.wl?rs=dfa1.0&amp;vr=2.0&amp;DB=1000546&amp;DocName=47USCAS154&amp;FindType=L&amp;ReferencePositionType=T&amp;ReferencePosition=SP_17a3000024864</vt:lpwstr>
      </vt:variant>
      <vt:variant>
        <vt:lpwstr/>
      </vt:variant>
      <vt:variant>
        <vt:i4>5963874</vt:i4>
      </vt:variant>
      <vt:variant>
        <vt:i4>9</vt:i4>
      </vt:variant>
      <vt:variant>
        <vt:i4>0</vt:i4>
      </vt:variant>
      <vt:variant>
        <vt:i4>5</vt:i4>
      </vt:variant>
      <vt:variant>
        <vt:lpwstr>http://www.westlaw.com/Find/Default.wl?rs=dfa1.0&amp;vr=2.0&amp;DB=1000547&amp;DocName=47CFRS1.298&amp;FindType=L&amp;ReferencePositionType=T&amp;ReferencePosition=SP_8b3b0000958a4</vt:lpwstr>
      </vt:variant>
      <vt:variant>
        <vt:lpwstr/>
      </vt:variant>
      <vt:variant>
        <vt:i4>1769502</vt:i4>
      </vt:variant>
      <vt:variant>
        <vt:i4>6</vt:i4>
      </vt:variant>
      <vt:variant>
        <vt:i4>0</vt:i4>
      </vt:variant>
      <vt:variant>
        <vt:i4>5</vt:i4>
      </vt:variant>
      <vt:variant>
        <vt:lpwstr>http://www.westlaw.com/Find/Default.wl?rs=dfa1.0&amp;vr=2.0&amp;DB=1000547&amp;DocName=47CFRS0.392&amp;FindType=L</vt:lpwstr>
      </vt:variant>
      <vt:variant>
        <vt:lpwstr/>
      </vt:variant>
      <vt:variant>
        <vt:i4>1703966</vt:i4>
      </vt:variant>
      <vt:variant>
        <vt:i4>3</vt:i4>
      </vt:variant>
      <vt:variant>
        <vt:i4>0</vt:i4>
      </vt:variant>
      <vt:variant>
        <vt:i4>5</vt:i4>
      </vt:variant>
      <vt:variant>
        <vt:lpwstr>http://www.westlaw.com/Find/Default.wl?rs=dfa1.0&amp;vr=2.0&amp;DB=1000547&amp;DocName=47CFRS0.191&amp;FindType=L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2012-04-20T15:23:00Z</cp:lastPrinted>
  <dcterms:created xsi:type="dcterms:W3CDTF">2015-05-04T17:15:00Z</dcterms:created>
  <dcterms:modified xsi:type="dcterms:W3CDTF">2015-05-04T17:15:00Z</dcterms:modified>
  <cp:category> </cp:category>
  <cp:contentStatus> </cp:contentStatus>
</cp:coreProperties>
</file>