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5C" w:rsidRDefault="009A5D5C">
      <w:pPr>
        <w:jc w:val="right"/>
        <w:rPr>
          <w:b/>
          <w:szCs w:val="22"/>
        </w:rPr>
      </w:pPr>
      <w:bookmarkStart w:id="0" w:name="_GoBack"/>
      <w:bookmarkEnd w:id="0"/>
    </w:p>
    <w:p w:rsidR="009A5D5C" w:rsidRDefault="00606FDB" w:rsidP="009A5D5C">
      <w:pPr>
        <w:jc w:val="right"/>
        <w:rPr>
          <w:b/>
          <w:szCs w:val="22"/>
        </w:rPr>
      </w:pPr>
      <w:r w:rsidRPr="00A86EEB">
        <w:rPr>
          <w:b/>
          <w:szCs w:val="22"/>
        </w:rPr>
        <w:t>DA 15-</w:t>
      </w:r>
      <w:r w:rsidR="004F785B">
        <w:rPr>
          <w:b/>
          <w:szCs w:val="22"/>
        </w:rPr>
        <w:t>542</w:t>
      </w:r>
    </w:p>
    <w:p w:rsidR="00817A7D" w:rsidRPr="00A86EEB" w:rsidRDefault="00606FDB">
      <w:pPr>
        <w:spacing w:before="60"/>
        <w:jc w:val="right"/>
        <w:rPr>
          <w:b/>
          <w:szCs w:val="22"/>
        </w:rPr>
      </w:pPr>
      <w:r w:rsidRPr="00A86EEB">
        <w:rPr>
          <w:b/>
          <w:szCs w:val="22"/>
        </w:rPr>
        <w:t xml:space="preserve">Released: </w:t>
      </w:r>
      <w:r w:rsidR="009A5D5C">
        <w:rPr>
          <w:b/>
          <w:szCs w:val="22"/>
        </w:rPr>
        <w:t xml:space="preserve"> </w:t>
      </w:r>
      <w:r w:rsidR="009502AE" w:rsidRPr="009A5D5C">
        <w:rPr>
          <w:b/>
          <w:szCs w:val="22"/>
        </w:rPr>
        <w:t>May 6</w:t>
      </w:r>
      <w:r w:rsidRPr="00A86EEB">
        <w:rPr>
          <w:b/>
          <w:szCs w:val="22"/>
        </w:rPr>
        <w:t>, 2015</w:t>
      </w:r>
    </w:p>
    <w:p w:rsidR="00817A7D" w:rsidRDefault="00817A7D">
      <w:pPr>
        <w:jc w:val="right"/>
        <w:rPr>
          <w:sz w:val="24"/>
        </w:rPr>
      </w:pPr>
    </w:p>
    <w:p w:rsidR="00B24890" w:rsidRDefault="00B24890" w:rsidP="00B24890">
      <w:pPr>
        <w:jc w:val="center"/>
        <w:rPr>
          <w:b/>
          <w:szCs w:val="22"/>
        </w:rPr>
      </w:pPr>
      <w:r>
        <w:rPr>
          <w:b/>
          <w:szCs w:val="22"/>
        </w:rPr>
        <w:t>PARTIES ASKED TO REFRESH RECORD REGARDING PETITION TO RECONSIDER COST ALLOCATORS USED TO CALCULATE THE TELECOM RATE FOR POLE ATTACHMENT</w:t>
      </w:r>
      <w:r w:rsidR="001D16D6">
        <w:rPr>
          <w:b/>
          <w:szCs w:val="22"/>
        </w:rPr>
        <w:t>S</w:t>
      </w:r>
      <w:r>
        <w:rPr>
          <w:b/>
          <w:szCs w:val="22"/>
        </w:rPr>
        <w:t xml:space="preserve"> </w:t>
      </w:r>
    </w:p>
    <w:p w:rsidR="00B24890" w:rsidRDefault="00B24890" w:rsidP="00B24890">
      <w:pPr>
        <w:jc w:val="center"/>
        <w:rPr>
          <w:b/>
          <w:szCs w:val="22"/>
        </w:rPr>
      </w:pPr>
    </w:p>
    <w:p w:rsidR="00B24890" w:rsidRDefault="00B24890" w:rsidP="00B24890">
      <w:pPr>
        <w:jc w:val="center"/>
        <w:rPr>
          <w:b/>
          <w:szCs w:val="22"/>
        </w:rPr>
      </w:pPr>
      <w:r w:rsidRPr="007A4091">
        <w:rPr>
          <w:b/>
          <w:szCs w:val="22"/>
        </w:rPr>
        <w:t xml:space="preserve">WC Docket No. 07-245 </w:t>
      </w:r>
    </w:p>
    <w:p w:rsidR="00B24890" w:rsidRDefault="00B24890" w:rsidP="00B24890">
      <w:pPr>
        <w:jc w:val="center"/>
        <w:rPr>
          <w:b/>
          <w:szCs w:val="22"/>
        </w:rPr>
      </w:pPr>
      <w:r w:rsidRPr="007A4091">
        <w:rPr>
          <w:b/>
          <w:szCs w:val="22"/>
        </w:rPr>
        <w:t>GN Docket No. 09-51</w:t>
      </w:r>
      <w:r w:rsidR="00221C92">
        <w:rPr>
          <w:b/>
          <w:szCs w:val="22"/>
        </w:rPr>
        <w:t xml:space="preserve"> </w:t>
      </w:r>
    </w:p>
    <w:p w:rsidR="00B24890" w:rsidRDefault="00B24890" w:rsidP="00B24890">
      <w:pPr>
        <w:rPr>
          <w:b/>
          <w:szCs w:val="22"/>
        </w:rPr>
      </w:pPr>
    </w:p>
    <w:p w:rsidR="00B24890" w:rsidRDefault="00B24890" w:rsidP="00B24890">
      <w:pPr>
        <w:rPr>
          <w:b/>
          <w:szCs w:val="22"/>
        </w:rPr>
      </w:pPr>
      <w:r>
        <w:rPr>
          <w:b/>
          <w:szCs w:val="22"/>
        </w:rPr>
        <w:t xml:space="preserve">Comment Date:  </w:t>
      </w:r>
      <w:r w:rsidR="009502AE">
        <w:rPr>
          <w:b/>
          <w:szCs w:val="22"/>
        </w:rPr>
        <w:t>21 days after publication in the Federal Register</w:t>
      </w:r>
    </w:p>
    <w:p w:rsidR="00F816EE" w:rsidRDefault="00F816EE" w:rsidP="00B24890">
      <w:pPr>
        <w:rPr>
          <w:b/>
          <w:szCs w:val="22"/>
        </w:rPr>
      </w:pPr>
      <w:r>
        <w:rPr>
          <w:b/>
          <w:szCs w:val="22"/>
        </w:rPr>
        <w:t xml:space="preserve">Reply Date:  </w:t>
      </w:r>
      <w:r w:rsidR="009502AE">
        <w:rPr>
          <w:b/>
          <w:szCs w:val="22"/>
        </w:rPr>
        <w:t>31 days after publication in the Federal Register</w:t>
      </w:r>
    </w:p>
    <w:p w:rsidR="00B24890" w:rsidRDefault="00B24890" w:rsidP="00B24890">
      <w:pPr>
        <w:rPr>
          <w:b/>
          <w:szCs w:val="22"/>
        </w:rPr>
      </w:pPr>
    </w:p>
    <w:p w:rsidR="00B24890" w:rsidRDefault="00B24890" w:rsidP="00B24890">
      <w:pPr>
        <w:spacing w:after="120"/>
        <w:ind w:firstLine="720"/>
        <w:rPr>
          <w:szCs w:val="22"/>
        </w:rPr>
      </w:pPr>
      <w:r>
        <w:rPr>
          <w:szCs w:val="22"/>
        </w:rPr>
        <w:t xml:space="preserve">By this Public Notice, the Wireline Competition Bureau (Bureau) seeks to refresh the record on a petition for reconsideration or clarification filed by </w:t>
      </w:r>
      <w:r>
        <w:t xml:space="preserve">the </w:t>
      </w:r>
      <w:r w:rsidRPr="00F225EB">
        <w:rPr>
          <w:szCs w:val="22"/>
        </w:rPr>
        <w:t>National Cable and Telecommunications Association</w:t>
      </w:r>
      <w:r>
        <w:rPr>
          <w:szCs w:val="22"/>
        </w:rPr>
        <w:t xml:space="preserve"> (NCTA)</w:t>
      </w:r>
      <w:r w:rsidRPr="00F225EB">
        <w:rPr>
          <w:szCs w:val="22"/>
        </w:rPr>
        <w:t>, C</w:t>
      </w:r>
      <w:r>
        <w:rPr>
          <w:szCs w:val="22"/>
        </w:rPr>
        <w:t>OMPTEL</w:t>
      </w:r>
      <w:r w:rsidRPr="00F225EB">
        <w:rPr>
          <w:szCs w:val="22"/>
        </w:rPr>
        <w:t xml:space="preserve">, and </w:t>
      </w:r>
      <w:r>
        <w:rPr>
          <w:szCs w:val="22"/>
        </w:rPr>
        <w:t>tw</w:t>
      </w:r>
      <w:r w:rsidRPr="00F225EB">
        <w:rPr>
          <w:szCs w:val="22"/>
        </w:rPr>
        <w:t xml:space="preserve"> </w:t>
      </w:r>
      <w:r>
        <w:rPr>
          <w:szCs w:val="22"/>
        </w:rPr>
        <w:t>t</w:t>
      </w:r>
      <w:r w:rsidRPr="00F225EB">
        <w:rPr>
          <w:szCs w:val="22"/>
        </w:rPr>
        <w:t>elecom</w:t>
      </w:r>
      <w:r>
        <w:rPr>
          <w:szCs w:val="22"/>
        </w:rPr>
        <w:t xml:space="preserve"> inc</w:t>
      </w:r>
      <w:r w:rsidRPr="00F225EB">
        <w:rPr>
          <w:szCs w:val="22"/>
        </w:rPr>
        <w:t>.</w:t>
      </w:r>
      <w:r>
        <w:rPr>
          <w:szCs w:val="22"/>
        </w:rPr>
        <w:t xml:space="preserve"> (</w:t>
      </w:r>
      <w:r w:rsidR="00782202">
        <w:rPr>
          <w:szCs w:val="22"/>
        </w:rPr>
        <w:t>P</w:t>
      </w:r>
      <w:r>
        <w:rPr>
          <w:szCs w:val="22"/>
        </w:rPr>
        <w:t>etitioners) on June 8, 2011 in the above-referenced proceedings.</w:t>
      </w:r>
      <w:r>
        <w:rPr>
          <w:rStyle w:val="FootnoteReference"/>
          <w:szCs w:val="22"/>
        </w:rPr>
        <w:footnoteReference w:id="1"/>
      </w:r>
      <w:r>
        <w:rPr>
          <w:szCs w:val="22"/>
        </w:rPr>
        <w:t xml:space="preserve">  </w:t>
      </w:r>
    </w:p>
    <w:p w:rsidR="00AE0836" w:rsidRDefault="00B24890" w:rsidP="00AE0836">
      <w:pPr>
        <w:pStyle w:val="FootnoteText"/>
        <w:spacing w:after="120"/>
        <w:ind w:firstLine="720"/>
        <w:rPr>
          <w:szCs w:val="22"/>
        </w:rPr>
      </w:pPr>
      <w:r>
        <w:rPr>
          <w:szCs w:val="22"/>
        </w:rPr>
        <w:t>With respect to the rule concerning the calculation of pole attachment rates charged to telecommunications providers</w:t>
      </w:r>
      <w:r w:rsidR="004A65C5">
        <w:rPr>
          <w:szCs w:val="22"/>
        </w:rPr>
        <w:t xml:space="preserve"> pursuant to section 224(e) of the Communications Act</w:t>
      </w:r>
      <w:r>
        <w:rPr>
          <w:szCs w:val="22"/>
        </w:rPr>
        <w:t xml:space="preserve">, </w:t>
      </w:r>
      <w:r w:rsidR="00AE0836">
        <w:rPr>
          <w:szCs w:val="22"/>
        </w:rPr>
        <w:t>P</w:t>
      </w:r>
      <w:r>
        <w:rPr>
          <w:szCs w:val="22"/>
        </w:rPr>
        <w:t>etitioners request that “the rules be clarified or amended by specifying [that] the cost allocator to be applied [will be] based on the</w:t>
      </w:r>
      <w:r w:rsidR="004A65C5">
        <w:rPr>
          <w:szCs w:val="22"/>
        </w:rPr>
        <w:t xml:space="preserve"> number of attaching entities</w:t>
      </w:r>
      <w:r w:rsidR="001E0783">
        <w:rPr>
          <w:szCs w:val="22"/>
        </w:rPr>
        <w:t xml:space="preserve"> . . . </w:t>
      </w:r>
      <w:r w:rsidR="004A65C5">
        <w:rPr>
          <w:szCs w:val="22"/>
        </w:rPr>
        <w:t>.”</w:t>
      </w:r>
      <w:r>
        <w:rPr>
          <w:rStyle w:val="FootnoteReference"/>
          <w:szCs w:val="22"/>
        </w:rPr>
        <w:footnoteReference w:id="2"/>
      </w:r>
      <w:r>
        <w:rPr>
          <w:szCs w:val="22"/>
        </w:rPr>
        <w:t xml:space="preserve">  In support of this request, Petitioners state that, in the </w:t>
      </w:r>
      <w:r w:rsidRPr="00156939">
        <w:rPr>
          <w:i/>
          <w:szCs w:val="22"/>
        </w:rPr>
        <w:t>20</w:t>
      </w:r>
      <w:r>
        <w:rPr>
          <w:i/>
          <w:szCs w:val="22"/>
        </w:rPr>
        <w:t>1</w:t>
      </w:r>
      <w:r w:rsidRPr="00156939">
        <w:rPr>
          <w:i/>
          <w:szCs w:val="22"/>
        </w:rPr>
        <w:t>1 Pole Attachment Order</w:t>
      </w:r>
      <w:r>
        <w:rPr>
          <w:szCs w:val="22"/>
        </w:rPr>
        <w:t>, “the new formula adjusts the cost basis to 66 percent in urban service areas and to 44 percent in rural service areas.  When paired with the presumptions that there are five entities on urban poles and three entities on rural poles, the illustrative calculation almost exactly equals the cable rate.”</w:t>
      </w:r>
      <w:r>
        <w:rPr>
          <w:rStyle w:val="FootnoteReference"/>
          <w:szCs w:val="22"/>
        </w:rPr>
        <w:footnoteReference w:id="3"/>
      </w:r>
      <w:r>
        <w:rPr>
          <w:szCs w:val="22"/>
        </w:rPr>
        <w:t xml:space="preserve">  Petitioners </w:t>
      </w:r>
      <w:r w:rsidR="004A65C5">
        <w:rPr>
          <w:szCs w:val="22"/>
        </w:rPr>
        <w:t>assert</w:t>
      </w:r>
      <w:r w:rsidR="009502AE">
        <w:rPr>
          <w:szCs w:val="22"/>
        </w:rPr>
        <w:t>, however, that as written</w:t>
      </w:r>
      <w:r>
        <w:rPr>
          <w:szCs w:val="22"/>
        </w:rPr>
        <w:t xml:space="preserve"> the rule may be read to address only the cases of the presumed three and five attaching en</w:t>
      </w:r>
      <w:r w:rsidR="009502AE">
        <w:rPr>
          <w:szCs w:val="22"/>
        </w:rPr>
        <w:t>tities.</w:t>
      </w:r>
      <w:r>
        <w:rPr>
          <w:rStyle w:val="FootnoteReference"/>
          <w:szCs w:val="22"/>
        </w:rPr>
        <w:footnoteReference w:id="4"/>
      </w:r>
      <w:r w:rsidR="009502AE">
        <w:rPr>
          <w:szCs w:val="22"/>
        </w:rPr>
        <w:t xml:space="preserve">  </w:t>
      </w:r>
      <w:r>
        <w:rPr>
          <w:szCs w:val="22"/>
        </w:rPr>
        <w:t xml:space="preserve">Therefore, </w:t>
      </w:r>
      <w:r w:rsidR="009502AE">
        <w:rPr>
          <w:szCs w:val="22"/>
        </w:rPr>
        <w:t>P</w:t>
      </w:r>
      <w:r>
        <w:rPr>
          <w:szCs w:val="22"/>
        </w:rPr>
        <w:t xml:space="preserve">etitioners request that the Commission clarify or expand </w:t>
      </w:r>
      <w:r w:rsidRPr="00561297">
        <w:rPr>
          <w:szCs w:val="22"/>
        </w:rPr>
        <w:t>the telecom rate formula</w:t>
      </w:r>
      <w:r>
        <w:rPr>
          <w:szCs w:val="22"/>
        </w:rPr>
        <w:t xml:space="preserve"> to</w:t>
      </w:r>
      <w:r w:rsidRPr="00561297">
        <w:rPr>
          <w:szCs w:val="22"/>
        </w:rPr>
        <w:t xml:space="preserve"> </w:t>
      </w:r>
      <w:r>
        <w:rPr>
          <w:szCs w:val="22"/>
        </w:rPr>
        <w:t>“</w:t>
      </w:r>
      <w:r w:rsidRPr="00561297">
        <w:rPr>
          <w:szCs w:val="22"/>
        </w:rPr>
        <w:t>provide the corresponding cost adjustments scaled to other entity counts.</w:t>
      </w:r>
      <w:r>
        <w:rPr>
          <w:szCs w:val="22"/>
        </w:rPr>
        <w:t>”</w:t>
      </w:r>
      <w:r>
        <w:rPr>
          <w:rStyle w:val="FootnoteReference"/>
          <w:szCs w:val="22"/>
        </w:rPr>
        <w:footnoteReference w:id="5"/>
      </w:r>
      <w:r w:rsidR="00AE0836">
        <w:rPr>
          <w:szCs w:val="22"/>
        </w:rPr>
        <w:t xml:space="preserve">  </w:t>
      </w:r>
      <w:r w:rsidRPr="00705068">
        <w:rPr>
          <w:szCs w:val="22"/>
        </w:rPr>
        <w:t xml:space="preserve">Petitioners request, alternatively, </w:t>
      </w:r>
      <w:r>
        <w:rPr>
          <w:szCs w:val="22"/>
        </w:rPr>
        <w:t>that “the</w:t>
      </w:r>
      <w:r w:rsidRPr="00705068">
        <w:rPr>
          <w:szCs w:val="22"/>
        </w:rPr>
        <w:t xml:space="preserve"> Commission </w:t>
      </w:r>
      <w:r>
        <w:rPr>
          <w:szCs w:val="22"/>
        </w:rPr>
        <w:t xml:space="preserve">could adopt the proposal in the </w:t>
      </w:r>
      <w:r w:rsidRPr="00943509">
        <w:rPr>
          <w:i/>
          <w:szCs w:val="22"/>
        </w:rPr>
        <w:t>2010 Pole Attachment FNPRM</w:t>
      </w:r>
      <w:r>
        <w:rPr>
          <w:szCs w:val="22"/>
        </w:rPr>
        <w:t xml:space="preserve"> to establish the maximum just and reasonable rate </w:t>
      </w:r>
      <w:r w:rsidR="00AE0836">
        <w:rPr>
          <w:szCs w:val="22"/>
        </w:rPr>
        <w:t xml:space="preserve">as the higher of the cable rate </w:t>
      </w:r>
      <w:r w:rsidR="00AE0836">
        <w:rPr>
          <w:szCs w:val="22"/>
        </w:rPr>
        <w:lastRenderedPageBreak/>
        <w:t xml:space="preserve">. . . </w:t>
      </w:r>
      <w:r>
        <w:rPr>
          <w:szCs w:val="22"/>
        </w:rPr>
        <w:t>or the ‘lower bound’ telecom rate obtained by excluding capital costs from the definition of ‘cost of providing space’ in the existing telecom rate formula.”</w:t>
      </w:r>
      <w:r>
        <w:rPr>
          <w:rStyle w:val="FootnoteReference"/>
          <w:szCs w:val="22"/>
        </w:rPr>
        <w:footnoteReference w:id="6"/>
      </w:r>
      <w:r>
        <w:rPr>
          <w:szCs w:val="22"/>
        </w:rPr>
        <w:t xml:space="preserve">  </w:t>
      </w:r>
    </w:p>
    <w:p w:rsidR="00B24890" w:rsidRPr="00BD71D5" w:rsidRDefault="003B2F70" w:rsidP="00AE0836">
      <w:pPr>
        <w:pStyle w:val="FootnoteText"/>
        <w:spacing w:after="120"/>
        <w:ind w:firstLine="720"/>
        <w:rPr>
          <w:szCs w:val="22"/>
        </w:rPr>
      </w:pPr>
      <w:r>
        <w:rPr>
          <w:szCs w:val="22"/>
        </w:rPr>
        <w:t>A public notice released on</w:t>
      </w:r>
      <w:r w:rsidR="00B24890">
        <w:rPr>
          <w:szCs w:val="22"/>
        </w:rPr>
        <w:t xml:space="preserve"> June 20, 2011 announced the comment cycle for the Petition.</w:t>
      </w:r>
      <w:r w:rsidR="00B24890">
        <w:rPr>
          <w:rStyle w:val="FootnoteReference"/>
          <w:szCs w:val="22"/>
        </w:rPr>
        <w:footnoteReference w:id="7"/>
      </w:r>
      <w:r w:rsidR="00B24890">
        <w:rPr>
          <w:szCs w:val="22"/>
        </w:rPr>
        <w:t xml:space="preserve">  </w:t>
      </w:r>
      <w:r w:rsidR="009502AE">
        <w:rPr>
          <w:szCs w:val="22"/>
        </w:rPr>
        <w:t>The Commission subsequently published that</w:t>
      </w:r>
      <w:r>
        <w:rPr>
          <w:szCs w:val="22"/>
        </w:rPr>
        <w:t xml:space="preserve"> public notice in the Federal Register</w:t>
      </w:r>
      <w:r w:rsidR="00F92FA4">
        <w:rPr>
          <w:szCs w:val="22"/>
        </w:rPr>
        <w:t>.</w:t>
      </w:r>
      <w:r w:rsidR="00F92FA4">
        <w:rPr>
          <w:rStyle w:val="FootnoteReference"/>
          <w:szCs w:val="22"/>
        </w:rPr>
        <w:footnoteReference w:id="8"/>
      </w:r>
      <w:r w:rsidR="00F92FA4">
        <w:rPr>
          <w:szCs w:val="22"/>
        </w:rPr>
        <w:t xml:space="preserve">  </w:t>
      </w:r>
      <w:r w:rsidR="00B24890" w:rsidRPr="005E2CE8">
        <w:rPr>
          <w:szCs w:val="22"/>
        </w:rPr>
        <w:t>The Commission received comment both for and against the Petition.</w:t>
      </w:r>
      <w:r w:rsidR="00B24890" w:rsidRPr="005E2CE8">
        <w:rPr>
          <w:rStyle w:val="FootnoteReference"/>
          <w:szCs w:val="22"/>
        </w:rPr>
        <w:footnoteReference w:id="9"/>
      </w:r>
      <w:r w:rsidR="00B24890">
        <w:t xml:space="preserve">  </w:t>
      </w:r>
    </w:p>
    <w:p w:rsidR="003B2F70" w:rsidRDefault="009502AE" w:rsidP="00FA2C58">
      <w:pPr>
        <w:spacing w:after="120"/>
        <w:ind w:firstLine="720"/>
        <w:rPr>
          <w:szCs w:val="22"/>
        </w:rPr>
      </w:pPr>
      <w:r>
        <w:rPr>
          <w:szCs w:val="22"/>
        </w:rPr>
        <w:t>After</w:t>
      </w:r>
      <w:r w:rsidR="004A65C5">
        <w:rPr>
          <w:szCs w:val="22"/>
        </w:rPr>
        <w:t xml:space="preserve"> the close of the comment cycle</w:t>
      </w:r>
      <w:r>
        <w:rPr>
          <w:szCs w:val="22"/>
        </w:rPr>
        <w:t xml:space="preserve"> concerning the Petition</w:t>
      </w:r>
      <w:r w:rsidR="004A65C5">
        <w:rPr>
          <w:szCs w:val="22"/>
        </w:rPr>
        <w:t>, o</w:t>
      </w:r>
      <w:r w:rsidR="00B24890">
        <w:rPr>
          <w:szCs w:val="22"/>
        </w:rPr>
        <w:t>n February 26, 2013,</w:t>
      </w:r>
      <w:r w:rsidR="00B24890" w:rsidRPr="006F4662">
        <w:rPr>
          <w:szCs w:val="22"/>
        </w:rPr>
        <w:t xml:space="preserve"> </w:t>
      </w:r>
      <w:r w:rsidR="00B24890">
        <w:rPr>
          <w:szCs w:val="22"/>
        </w:rPr>
        <w:t>t</w:t>
      </w:r>
      <w:r w:rsidR="00B24890" w:rsidRPr="006F4662">
        <w:rPr>
          <w:szCs w:val="22"/>
        </w:rPr>
        <w:t xml:space="preserve">he </w:t>
      </w:r>
      <w:r w:rsidR="00B24890">
        <w:rPr>
          <w:szCs w:val="22"/>
        </w:rPr>
        <w:t xml:space="preserve">U.S. Court of Appeals for the </w:t>
      </w:r>
      <w:r w:rsidR="00B24890" w:rsidRPr="006F4662">
        <w:rPr>
          <w:szCs w:val="22"/>
        </w:rPr>
        <w:t xml:space="preserve">D.C. Circuit upheld the </w:t>
      </w:r>
      <w:r w:rsidR="00B24890" w:rsidRPr="006F4662">
        <w:rPr>
          <w:i/>
          <w:szCs w:val="22"/>
        </w:rPr>
        <w:t>2011 Pole Attachment Order</w:t>
      </w:r>
      <w:r w:rsidR="00B24890" w:rsidRPr="006F4662">
        <w:rPr>
          <w:szCs w:val="22"/>
        </w:rPr>
        <w:t xml:space="preserve">, </w:t>
      </w:r>
      <w:r w:rsidR="004A65C5">
        <w:rPr>
          <w:szCs w:val="22"/>
        </w:rPr>
        <w:t>including the Commission’s rule for calculating the pole attachment rate for providers of telecommunications services.</w:t>
      </w:r>
      <w:r w:rsidR="00B24890">
        <w:rPr>
          <w:rStyle w:val="FootnoteReference"/>
          <w:szCs w:val="22"/>
        </w:rPr>
        <w:footnoteReference w:id="10"/>
      </w:r>
      <w:r w:rsidR="00B24890">
        <w:rPr>
          <w:szCs w:val="22"/>
        </w:rPr>
        <w:t xml:space="preserve">  </w:t>
      </w:r>
      <w:r w:rsidR="004A65C5">
        <w:rPr>
          <w:szCs w:val="22"/>
        </w:rPr>
        <w:t>Among other things, the Court</w:t>
      </w:r>
      <w:r w:rsidR="00FA2C58">
        <w:rPr>
          <w:szCs w:val="22"/>
        </w:rPr>
        <w:t xml:space="preserve"> </w:t>
      </w:r>
      <w:r w:rsidR="004A65C5">
        <w:rPr>
          <w:szCs w:val="22"/>
        </w:rPr>
        <w:t xml:space="preserve">determined that </w:t>
      </w:r>
      <w:r w:rsidR="004A65C5" w:rsidRPr="006F4662">
        <w:rPr>
          <w:szCs w:val="22"/>
        </w:rPr>
        <w:t xml:space="preserve">the term “cost,” </w:t>
      </w:r>
      <w:r w:rsidR="00FA2C58">
        <w:rPr>
          <w:szCs w:val="22"/>
        </w:rPr>
        <w:t xml:space="preserve">as used in section 224(e), </w:t>
      </w:r>
      <w:r w:rsidR="004A65C5" w:rsidRPr="006F4662">
        <w:rPr>
          <w:szCs w:val="22"/>
        </w:rPr>
        <w:t xml:space="preserve">is open to a wide range of reasonable interpretations; </w:t>
      </w:r>
      <w:r w:rsidR="004A65C5">
        <w:rPr>
          <w:szCs w:val="22"/>
        </w:rPr>
        <w:t xml:space="preserve">that </w:t>
      </w:r>
      <w:r w:rsidR="004A65C5" w:rsidRPr="006F4662">
        <w:rPr>
          <w:szCs w:val="22"/>
        </w:rPr>
        <w:t>the Commission</w:t>
      </w:r>
      <w:r w:rsidR="004A65C5">
        <w:rPr>
          <w:szCs w:val="22"/>
        </w:rPr>
        <w:t>’</w:t>
      </w:r>
      <w:r w:rsidR="004A65C5" w:rsidRPr="006F4662">
        <w:rPr>
          <w:szCs w:val="22"/>
        </w:rPr>
        <w:t xml:space="preserve">s methodology </w:t>
      </w:r>
      <w:r w:rsidR="00FA2C58">
        <w:rPr>
          <w:szCs w:val="22"/>
        </w:rPr>
        <w:t xml:space="preserve">for apportioning “cost” among </w:t>
      </w:r>
      <w:r>
        <w:rPr>
          <w:szCs w:val="22"/>
        </w:rPr>
        <w:t xml:space="preserve">pole </w:t>
      </w:r>
      <w:r w:rsidR="00FA2C58">
        <w:rPr>
          <w:szCs w:val="22"/>
        </w:rPr>
        <w:t xml:space="preserve">attachers for purposes of the telecom rate is consistent with section 224(e); and that </w:t>
      </w:r>
      <w:r w:rsidR="004A65C5" w:rsidRPr="006F4662">
        <w:rPr>
          <w:szCs w:val="22"/>
        </w:rPr>
        <w:t>the Commission</w:t>
      </w:r>
      <w:r w:rsidR="004A65C5">
        <w:rPr>
          <w:szCs w:val="22"/>
        </w:rPr>
        <w:t>’</w:t>
      </w:r>
      <w:r w:rsidR="004A65C5" w:rsidRPr="006F4662">
        <w:rPr>
          <w:szCs w:val="22"/>
        </w:rPr>
        <w:t xml:space="preserve">s justifications </w:t>
      </w:r>
      <w:r w:rsidR="00FA2C58">
        <w:rPr>
          <w:szCs w:val="22"/>
        </w:rPr>
        <w:t xml:space="preserve">for its decision concerning the telecom rate were </w:t>
      </w:r>
      <w:r w:rsidR="004A65C5" w:rsidRPr="006F4662">
        <w:rPr>
          <w:szCs w:val="22"/>
        </w:rPr>
        <w:t>reasonable</w:t>
      </w:r>
      <w:r w:rsidR="00FA2C58">
        <w:rPr>
          <w:szCs w:val="22"/>
        </w:rPr>
        <w:t>.  In addition, t</w:t>
      </w:r>
      <w:r w:rsidR="00B24890">
        <w:rPr>
          <w:szCs w:val="22"/>
        </w:rPr>
        <w:t xml:space="preserve">he Commission’s 2015 </w:t>
      </w:r>
      <w:r w:rsidR="00B24890" w:rsidRPr="00F81629">
        <w:rPr>
          <w:i/>
          <w:szCs w:val="22"/>
        </w:rPr>
        <w:t>Open Internet Order</w:t>
      </w:r>
      <w:r w:rsidR="00B24890">
        <w:rPr>
          <w:szCs w:val="22"/>
        </w:rPr>
        <w:t xml:space="preserve"> </w:t>
      </w:r>
      <w:r w:rsidR="00B24890" w:rsidRPr="006F4662">
        <w:rPr>
          <w:szCs w:val="22"/>
        </w:rPr>
        <w:t xml:space="preserve">discussed </w:t>
      </w:r>
      <w:r w:rsidR="00B24890">
        <w:rPr>
          <w:szCs w:val="22"/>
        </w:rPr>
        <w:t xml:space="preserve">the concern raised in the Petition regarding consequences to the goals of the </w:t>
      </w:r>
      <w:r w:rsidR="00B24890" w:rsidRPr="0034361A">
        <w:rPr>
          <w:i/>
          <w:szCs w:val="22"/>
        </w:rPr>
        <w:t>2011 Pole Attachment Order</w:t>
      </w:r>
      <w:r w:rsidR="00B24890" w:rsidRPr="002331C4">
        <w:rPr>
          <w:szCs w:val="22"/>
        </w:rPr>
        <w:t xml:space="preserve"> </w:t>
      </w:r>
      <w:r w:rsidR="00B24890" w:rsidRPr="00647FF5">
        <w:rPr>
          <w:szCs w:val="22"/>
        </w:rPr>
        <w:t xml:space="preserve">if the </w:t>
      </w:r>
      <w:r w:rsidR="00B24890">
        <w:rPr>
          <w:szCs w:val="22"/>
        </w:rPr>
        <w:t xml:space="preserve">cost allocation </w:t>
      </w:r>
      <w:r w:rsidR="00B24890" w:rsidRPr="00647FF5">
        <w:rPr>
          <w:szCs w:val="22"/>
        </w:rPr>
        <w:t xml:space="preserve">rule were interpreted to apply </w:t>
      </w:r>
      <w:r w:rsidR="00B24890">
        <w:rPr>
          <w:szCs w:val="22"/>
        </w:rPr>
        <w:t xml:space="preserve">fully </w:t>
      </w:r>
      <w:r w:rsidR="00B24890" w:rsidRPr="00647FF5">
        <w:rPr>
          <w:szCs w:val="22"/>
        </w:rPr>
        <w:t>only in instances where there are three and five attaching entities</w:t>
      </w:r>
      <w:r w:rsidR="00B24890">
        <w:rPr>
          <w:szCs w:val="22"/>
        </w:rPr>
        <w:t>.</w:t>
      </w:r>
      <w:r w:rsidR="00B24890">
        <w:rPr>
          <w:rStyle w:val="FootnoteReference"/>
          <w:szCs w:val="22"/>
        </w:rPr>
        <w:footnoteReference w:id="11"/>
      </w:r>
      <w:r w:rsidR="00B24890">
        <w:rPr>
          <w:szCs w:val="22"/>
        </w:rPr>
        <w:t xml:space="preserve">  With regard to any possible adverse effect on investment incentives</w:t>
      </w:r>
      <w:r>
        <w:rPr>
          <w:szCs w:val="22"/>
        </w:rPr>
        <w:t xml:space="preserve"> from such an interpretation</w:t>
      </w:r>
      <w:r w:rsidR="00B24890">
        <w:rPr>
          <w:szCs w:val="22"/>
        </w:rPr>
        <w:t xml:space="preserve">, the </w:t>
      </w:r>
      <w:r w:rsidR="00B24890" w:rsidRPr="00F81629">
        <w:rPr>
          <w:i/>
          <w:szCs w:val="22"/>
        </w:rPr>
        <w:t>Open Internet Order</w:t>
      </w:r>
      <w:r w:rsidR="00B24890">
        <w:rPr>
          <w:szCs w:val="22"/>
        </w:rPr>
        <w:t xml:space="preserve"> </w:t>
      </w:r>
      <w:r w:rsidR="00B24890" w:rsidRPr="006F4662">
        <w:rPr>
          <w:szCs w:val="22"/>
        </w:rPr>
        <w:t xml:space="preserve">stated that the Commission would </w:t>
      </w:r>
      <w:r w:rsidR="00B24890">
        <w:rPr>
          <w:szCs w:val="22"/>
        </w:rPr>
        <w:t xml:space="preserve">be </w:t>
      </w:r>
      <w:r w:rsidR="00B24890" w:rsidRPr="006F4662">
        <w:rPr>
          <w:szCs w:val="22"/>
        </w:rPr>
        <w:t xml:space="preserve">“concerned by any potential undermining of the gains the Commission achieved by revising the pole attachment rates paid by telecommunications carriers” </w:t>
      </w:r>
      <w:r>
        <w:rPr>
          <w:szCs w:val="22"/>
        </w:rPr>
        <w:t xml:space="preserve">in 2011 </w:t>
      </w:r>
      <w:r w:rsidR="00B24890" w:rsidRPr="006F4662">
        <w:rPr>
          <w:szCs w:val="22"/>
        </w:rPr>
        <w:t>and accordingly would be “monitoring marketplace developments</w:t>
      </w:r>
      <w:r w:rsidR="007F5D82">
        <w:rPr>
          <w:szCs w:val="22"/>
        </w:rPr>
        <w:t xml:space="preserve"> </w:t>
      </w:r>
      <w:r w:rsidR="00B24890">
        <w:rPr>
          <w:szCs w:val="22"/>
        </w:rPr>
        <w:t>.</w:t>
      </w:r>
      <w:r w:rsidR="007F5D82">
        <w:rPr>
          <w:szCs w:val="22"/>
        </w:rPr>
        <w:t xml:space="preserve"> </w:t>
      </w:r>
      <w:r w:rsidR="00B24890">
        <w:rPr>
          <w:szCs w:val="22"/>
        </w:rPr>
        <w:t>.</w:t>
      </w:r>
      <w:r w:rsidR="007F5D82">
        <w:rPr>
          <w:szCs w:val="22"/>
        </w:rPr>
        <w:t xml:space="preserve"> </w:t>
      </w:r>
      <w:r w:rsidR="00B24890">
        <w:rPr>
          <w:szCs w:val="22"/>
        </w:rPr>
        <w:t>.</w:t>
      </w:r>
      <w:r w:rsidR="007F5D82">
        <w:rPr>
          <w:szCs w:val="22"/>
        </w:rPr>
        <w:t xml:space="preserve"> </w:t>
      </w:r>
      <w:r w:rsidR="00B24890" w:rsidRPr="006F4662">
        <w:rPr>
          <w:szCs w:val="22"/>
        </w:rPr>
        <w:t>and can and will promptly take further action in that regard if warranted.”</w:t>
      </w:r>
      <w:r w:rsidR="00B24890">
        <w:rPr>
          <w:rStyle w:val="FootnoteReference"/>
          <w:szCs w:val="22"/>
        </w:rPr>
        <w:footnoteReference w:id="12"/>
      </w:r>
      <w:r w:rsidR="003B2F70">
        <w:rPr>
          <w:szCs w:val="22"/>
        </w:rPr>
        <w:t xml:space="preserve">  Given the </w:t>
      </w:r>
      <w:r w:rsidR="003B2F70" w:rsidRPr="006F4662">
        <w:rPr>
          <w:szCs w:val="22"/>
        </w:rPr>
        <w:t>time that has elapsed since the filing and original comment cycle on the NCTA Petition, as well as the subsequent events discussed above, we seek to ensure that the record reflects current viewpoints on the issues raised in the NCTA Petition.</w:t>
      </w:r>
    </w:p>
    <w:p w:rsidR="00B24890" w:rsidRDefault="00B24890" w:rsidP="00B24890">
      <w:pPr>
        <w:ind w:firstLine="720"/>
      </w:pPr>
      <w:r w:rsidRPr="00BF372B">
        <w:rPr>
          <w:szCs w:val="22"/>
        </w:rPr>
        <w:t xml:space="preserve">Comments </w:t>
      </w:r>
      <w:r>
        <w:rPr>
          <w:szCs w:val="22"/>
        </w:rPr>
        <w:t xml:space="preserve">are due </w:t>
      </w:r>
      <w:r w:rsidRPr="00BF372B">
        <w:rPr>
          <w:szCs w:val="22"/>
        </w:rPr>
        <w:t>on or before</w:t>
      </w:r>
      <w:r w:rsidR="00AC2931">
        <w:rPr>
          <w:b/>
          <w:szCs w:val="22"/>
        </w:rPr>
        <w:t xml:space="preserve"> </w:t>
      </w:r>
      <w:r>
        <w:rPr>
          <w:b/>
          <w:szCs w:val="22"/>
        </w:rPr>
        <w:t>21 days after publication in the Federal Register</w:t>
      </w:r>
      <w:r w:rsidRPr="00F816EE">
        <w:rPr>
          <w:szCs w:val="22"/>
        </w:rPr>
        <w:t xml:space="preserve">, with reply comments due on or before </w:t>
      </w:r>
      <w:r>
        <w:rPr>
          <w:b/>
          <w:szCs w:val="22"/>
        </w:rPr>
        <w:t>31 days after publication in the Federal Register</w:t>
      </w:r>
      <w:r>
        <w:rPr>
          <w:szCs w:val="22"/>
        </w:rPr>
        <w:t>.  All pleadings are to reference</w:t>
      </w:r>
      <w:r>
        <w:rPr>
          <w:b/>
        </w:rPr>
        <w:t xml:space="preserve"> </w:t>
      </w:r>
      <w:r w:rsidRPr="00534F28">
        <w:rPr>
          <w:b/>
        </w:rPr>
        <w:t>WC Docket No. 07-245</w:t>
      </w:r>
      <w:r>
        <w:rPr>
          <w:b/>
        </w:rPr>
        <w:t xml:space="preserve"> and </w:t>
      </w:r>
      <w:r w:rsidRPr="00534F28">
        <w:rPr>
          <w:b/>
        </w:rPr>
        <w:t>GN Docket No. 09-51</w:t>
      </w:r>
      <w:r>
        <w:rPr>
          <w:b/>
        </w:rPr>
        <w:t>.</w:t>
      </w:r>
      <w:r>
        <w:t xml:space="preserve"> </w:t>
      </w:r>
    </w:p>
    <w:p w:rsidR="00B24890" w:rsidRDefault="00B24890" w:rsidP="00B24890">
      <w:pPr>
        <w:ind w:firstLine="720"/>
      </w:pPr>
      <w:r>
        <w:t xml:space="preserve"> </w:t>
      </w:r>
    </w:p>
    <w:p w:rsidR="00B24890" w:rsidRPr="00E1533E" w:rsidRDefault="00B24890" w:rsidP="00B24890">
      <w:pPr>
        <w:ind w:firstLine="720"/>
        <w:contextualSpacing/>
        <w:rPr>
          <w:rFonts w:eastAsia="Calibri"/>
          <w:color w:val="000000"/>
          <w:szCs w:val="22"/>
        </w:rPr>
      </w:pPr>
      <w:r w:rsidRPr="00E1533E">
        <w:rPr>
          <w:rFonts w:eastAsia="Calibri"/>
          <w:color w:val="000000"/>
          <w:szCs w:val="22"/>
        </w:rPr>
        <w:t xml:space="preserve">Pursuant to sections 1.415 and 1.419 of the Commission’s rules, 47 C.F.R. §§ 1.415, 1.419, interested parties may file comments on or before the date indicated on the first page of this document.  </w:t>
      </w:r>
      <w:r w:rsidRPr="00E1533E">
        <w:rPr>
          <w:rFonts w:eastAsia="Calibri"/>
          <w:color w:val="000000"/>
          <w:szCs w:val="22"/>
        </w:rPr>
        <w:lastRenderedPageBreak/>
        <w:t xml:space="preserve">Comments may be filed using the Commission’s Electronic Comment Filing System (ECFS).  </w:t>
      </w:r>
      <w:r w:rsidRPr="00E1533E">
        <w:rPr>
          <w:rFonts w:eastAsia="Calibri"/>
          <w:i/>
          <w:color w:val="000000"/>
          <w:szCs w:val="22"/>
        </w:rPr>
        <w:t>See</w:t>
      </w:r>
      <w:r w:rsidRPr="00E1533E">
        <w:rPr>
          <w:rFonts w:eastAsia="Calibri"/>
          <w:color w:val="000000"/>
          <w:szCs w:val="22"/>
        </w:rPr>
        <w:t xml:space="preserve"> </w:t>
      </w:r>
      <w:r w:rsidRPr="00E1533E">
        <w:rPr>
          <w:rFonts w:eastAsia="Calibri"/>
          <w:i/>
          <w:color w:val="000000"/>
          <w:szCs w:val="22"/>
        </w:rPr>
        <w:t>Electronic Filing of Documents in Rulemaking Proceedings</w:t>
      </w:r>
      <w:r w:rsidRPr="00E1533E">
        <w:rPr>
          <w:rFonts w:eastAsia="Calibri"/>
          <w:color w:val="000000"/>
          <w:szCs w:val="22"/>
        </w:rPr>
        <w:t>, 63 FR 24121 (1998).</w:t>
      </w:r>
    </w:p>
    <w:p w:rsidR="00B24890" w:rsidRPr="00E1533E" w:rsidRDefault="00B24890" w:rsidP="00B24890">
      <w:pPr>
        <w:contextualSpacing/>
        <w:rPr>
          <w:rFonts w:eastAsia="Calibri"/>
          <w:szCs w:val="22"/>
        </w:rPr>
      </w:pPr>
    </w:p>
    <w:p w:rsidR="00B24890" w:rsidRPr="00E1533E" w:rsidRDefault="00B24890" w:rsidP="00C621CA">
      <w:pPr>
        <w:numPr>
          <w:ilvl w:val="0"/>
          <w:numId w:val="13"/>
        </w:numPr>
        <w:contextualSpacing/>
        <w:rPr>
          <w:rFonts w:eastAsia="Calibri"/>
          <w:szCs w:val="22"/>
        </w:rPr>
      </w:pPr>
      <w:r w:rsidRPr="00E1533E">
        <w:rPr>
          <w:rFonts w:eastAsia="Calibri"/>
          <w:szCs w:val="22"/>
        </w:rPr>
        <w:t xml:space="preserve">Electronic Filers: Comments may be filed electronically using the Internet by accessing the ECFS: </w:t>
      </w:r>
      <w:r w:rsidR="0091011C">
        <w:rPr>
          <w:rFonts w:eastAsia="Calibri"/>
          <w:szCs w:val="22"/>
          <w:u w:val="single"/>
        </w:rPr>
        <w:t>http://apps.fcc.gov/ecfs/</w:t>
      </w:r>
      <w:r w:rsidR="0091011C">
        <w:rPr>
          <w:rFonts w:eastAsia="Calibri"/>
          <w:szCs w:val="22"/>
        </w:rPr>
        <w:t>.</w:t>
      </w:r>
    </w:p>
    <w:p w:rsidR="00B24890" w:rsidRPr="00E1533E" w:rsidRDefault="00B24890" w:rsidP="00B24890">
      <w:pPr>
        <w:contextualSpacing/>
        <w:rPr>
          <w:rFonts w:eastAsia="Calibri"/>
          <w:szCs w:val="22"/>
        </w:rPr>
      </w:pPr>
    </w:p>
    <w:p w:rsidR="00B24890" w:rsidRPr="00E1533E" w:rsidRDefault="00B24890" w:rsidP="00B24890">
      <w:pPr>
        <w:numPr>
          <w:ilvl w:val="0"/>
          <w:numId w:val="13"/>
        </w:numPr>
        <w:contextualSpacing/>
        <w:rPr>
          <w:rFonts w:eastAsia="Calibri"/>
          <w:szCs w:val="22"/>
        </w:rPr>
      </w:pPr>
      <w:r w:rsidRPr="00E1533E">
        <w:rPr>
          <w:rFonts w:eastAsia="Calibri"/>
          <w:szCs w:val="22"/>
        </w:rPr>
        <w:t xml:space="preserve">Paper Filers: Parties who choose to file by paper must file an original and one copy of each filing.  </w:t>
      </w:r>
      <w:r w:rsidR="0091011C">
        <w:rPr>
          <w:rFonts w:eastAsia="Calibri"/>
          <w:szCs w:val="22"/>
        </w:rPr>
        <w:t>Because</w:t>
      </w:r>
      <w:r w:rsidRPr="00E1533E">
        <w:rPr>
          <w:rFonts w:eastAsia="Calibri"/>
          <w:szCs w:val="22"/>
        </w:rPr>
        <w:t xml:space="preserve"> more than one docket number appears in the caption of this proceeding, filers must submit two additional copies for each additional docket number.</w:t>
      </w:r>
    </w:p>
    <w:p w:rsidR="00B24890" w:rsidRPr="00E1533E" w:rsidRDefault="00B24890" w:rsidP="00B24890">
      <w:pPr>
        <w:contextualSpacing/>
        <w:rPr>
          <w:rFonts w:eastAsia="Calibri"/>
          <w:szCs w:val="22"/>
        </w:rPr>
      </w:pPr>
    </w:p>
    <w:p w:rsidR="00B24890" w:rsidRPr="00E1533E" w:rsidRDefault="00B24890" w:rsidP="00B24890">
      <w:pPr>
        <w:ind w:firstLine="720"/>
        <w:contextualSpacing/>
        <w:rPr>
          <w:rFonts w:eastAsia="Calibri"/>
          <w:szCs w:val="22"/>
        </w:rPr>
      </w:pPr>
      <w:r w:rsidRPr="00E1533E">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24890" w:rsidRPr="00E1533E" w:rsidRDefault="00B24890" w:rsidP="00B24890">
      <w:pPr>
        <w:contextualSpacing/>
        <w:rPr>
          <w:rFonts w:eastAsia="Calibri"/>
          <w:szCs w:val="22"/>
        </w:rPr>
      </w:pPr>
    </w:p>
    <w:p w:rsidR="00B24890" w:rsidRPr="00E1533E" w:rsidRDefault="00B24890" w:rsidP="00B24890">
      <w:pPr>
        <w:numPr>
          <w:ilvl w:val="0"/>
          <w:numId w:val="14"/>
        </w:numPr>
        <w:contextualSpacing/>
        <w:rPr>
          <w:rFonts w:eastAsia="Calibri"/>
          <w:szCs w:val="22"/>
        </w:rPr>
      </w:pPr>
      <w:r w:rsidRPr="00E1533E">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E1533E">
        <w:rPr>
          <w:rFonts w:eastAsia="Calibri"/>
          <w:szCs w:val="22"/>
          <w:u w:val="single"/>
        </w:rPr>
        <w:t>before</w:t>
      </w:r>
      <w:r w:rsidRPr="00E1533E">
        <w:rPr>
          <w:rFonts w:eastAsia="Calibri"/>
          <w:szCs w:val="22"/>
        </w:rPr>
        <w:t xml:space="preserve"> entering the building.</w:t>
      </w:r>
    </w:p>
    <w:p w:rsidR="00B24890" w:rsidRPr="00E1533E" w:rsidRDefault="00B24890" w:rsidP="00B24890">
      <w:pPr>
        <w:contextualSpacing/>
        <w:rPr>
          <w:rFonts w:eastAsia="Calibri"/>
          <w:szCs w:val="22"/>
        </w:rPr>
      </w:pPr>
    </w:p>
    <w:p w:rsidR="00B24890" w:rsidRPr="00E1533E" w:rsidRDefault="00B24890" w:rsidP="00B24890">
      <w:pPr>
        <w:numPr>
          <w:ilvl w:val="0"/>
          <w:numId w:val="14"/>
        </w:numPr>
        <w:contextualSpacing/>
        <w:rPr>
          <w:rFonts w:eastAsia="Calibri"/>
          <w:szCs w:val="22"/>
        </w:rPr>
      </w:pPr>
      <w:r w:rsidRPr="00E1533E">
        <w:rPr>
          <w:rFonts w:eastAsia="Calibri"/>
          <w:szCs w:val="22"/>
        </w:rPr>
        <w:t>Commercial overnight mail (other than U.S. Postal Service Express Mail and Priority Mail) must be sent to 9300 East Hampton Drive, Capitol Heights, MD 20743.</w:t>
      </w:r>
    </w:p>
    <w:p w:rsidR="00B24890" w:rsidRPr="00E1533E" w:rsidRDefault="00B24890" w:rsidP="00B24890">
      <w:pPr>
        <w:contextualSpacing/>
        <w:rPr>
          <w:rFonts w:eastAsia="Calibri"/>
          <w:szCs w:val="22"/>
        </w:rPr>
      </w:pPr>
    </w:p>
    <w:p w:rsidR="00B24890" w:rsidRPr="00E1533E" w:rsidRDefault="00B24890" w:rsidP="00B24890">
      <w:pPr>
        <w:numPr>
          <w:ilvl w:val="0"/>
          <w:numId w:val="14"/>
        </w:numPr>
        <w:contextualSpacing/>
        <w:rPr>
          <w:rFonts w:eastAsia="Calibri"/>
          <w:szCs w:val="22"/>
        </w:rPr>
      </w:pPr>
      <w:r w:rsidRPr="00E1533E">
        <w:rPr>
          <w:rFonts w:eastAsia="Calibri"/>
          <w:szCs w:val="22"/>
        </w:rPr>
        <w:t>U.S. Postal Service first-class, Express, and Priority mail must be addressed to 445 12th Street, SW, Washington D.C. 20554.</w:t>
      </w:r>
    </w:p>
    <w:p w:rsidR="00B24890" w:rsidRPr="00E1533E" w:rsidRDefault="00B24890" w:rsidP="00B24890">
      <w:pPr>
        <w:contextualSpacing/>
        <w:rPr>
          <w:rFonts w:eastAsia="Calibri"/>
          <w:szCs w:val="22"/>
        </w:rPr>
      </w:pPr>
    </w:p>
    <w:p w:rsidR="00B24890" w:rsidRPr="00E1533E" w:rsidRDefault="00B24890" w:rsidP="00B24890">
      <w:pPr>
        <w:ind w:firstLine="720"/>
        <w:contextualSpacing/>
        <w:rPr>
          <w:rFonts w:eastAsia="Calibri"/>
          <w:szCs w:val="22"/>
        </w:rPr>
      </w:pPr>
      <w:r w:rsidRPr="00E1533E">
        <w:rPr>
          <w:rFonts w:eastAsia="Calibri"/>
          <w:szCs w:val="22"/>
        </w:rPr>
        <w:t>People with Disabilities: To request materials in accessible formats for people with disabilities</w:t>
      </w:r>
      <w:r>
        <w:rPr>
          <w:rFonts w:eastAsia="Calibri"/>
          <w:szCs w:val="22"/>
        </w:rPr>
        <w:t xml:space="preserve"> </w:t>
      </w:r>
      <w:r w:rsidRPr="00E1533E">
        <w:rPr>
          <w:rFonts w:eastAsia="Calibri"/>
          <w:szCs w:val="22"/>
        </w:rPr>
        <w:t>(</w:t>
      </w:r>
      <w:r>
        <w:rPr>
          <w:rFonts w:eastAsia="Calibri"/>
          <w:szCs w:val="22"/>
        </w:rPr>
        <w:t>b</w:t>
      </w:r>
      <w:r w:rsidRPr="00E1533E">
        <w:rPr>
          <w:rFonts w:eastAsia="Calibri"/>
          <w:szCs w:val="22"/>
        </w:rPr>
        <w:t xml:space="preserve">raille, large print, electronic files, audio format), send an e-mail to </w:t>
      </w:r>
      <w:r w:rsidRPr="00E1533E">
        <w:rPr>
          <w:rFonts w:eastAsia="Calibri"/>
          <w:szCs w:val="22"/>
          <w:u w:val="single"/>
        </w:rPr>
        <w:t xml:space="preserve">fcc504@fcc.gov </w:t>
      </w:r>
      <w:r w:rsidRPr="00E1533E">
        <w:rPr>
          <w:rFonts w:eastAsia="Calibri"/>
          <w:szCs w:val="22"/>
        </w:rPr>
        <w:t>or call the Consumer &amp; Governmental Affairs Bureau at (202) 418-0530 (voice) or (202) 418-0432 (tty).</w:t>
      </w:r>
    </w:p>
    <w:p w:rsidR="00B24890" w:rsidRPr="00E1533E" w:rsidRDefault="00B24890" w:rsidP="00B24890">
      <w:pPr>
        <w:contextualSpacing/>
        <w:rPr>
          <w:rFonts w:eastAsia="Calibri"/>
          <w:szCs w:val="22"/>
        </w:rPr>
      </w:pPr>
    </w:p>
    <w:p w:rsidR="00B24890" w:rsidRPr="00E1533E" w:rsidRDefault="00B24890" w:rsidP="00B24890">
      <w:pPr>
        <w:ind w:firstLine="720"/>
      </w:pPr>
      <w:r w:rsidRPr="00E1533E">
        <w:t>Th</w:t>
      </w:r>
      <w:r>
        <w:t xml:space="preserve">is </w:t>
      </w:r>
      <w:r w:rsidRPr="00E1533E">
        <w:t xml:space="preserve">proceeding </w:t>
      </w:r>
      <w:r>
        <w:t xml:space="preserve">continues to be </w:t>
      </w:r>
      <w:r w:rsidRPr="00E1533E">
        <w:t xml:space="preserve">treated as a “permit-but-disclose” proceeding in accordance with the Commission’s </w:t>
      </w:r>
      <w:r w:rsidRPr="00E1533E">
        <w:rPr>
          <w:i/>
          <w:iCs/>
        </w:rPr>
        <w:t xml:space="preserve">ex parte </w:t>
      </w:r>
      <w:r w:rsidRPr="00E1533E">
        <w:t>rules.</w:t>
      </w:r>
      <w:r w:rsidRPr="00E1533E">
        <w:rPr>
          <w:vertAlign w:val="superscript"/>
        </w:rPr>
        <w:footnoteReference w:id="13"/>
      </w:r>
      <w:r w:rsidRPr="00E1533E">
        <w:t xml:space="preserve">  Persons making </w:t>
      </w:r>
      <w:r w:rsidRPr="00E1533E">
        <w:rPr>
          <w:i/>
        </w:rPr>
        <w:t xml:space="preserve">ex parte </w:t>
      </w:r>
      <w:r w:rsidRPr="00E1533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1533E">
        <w:rPr>
          <w:i/>
          <w:iCs/>
        </w:rPr>
        <w:t xml:space="preserve">ex parte </w:t>
      </w:r>
      <w:r w:rsidRPr="00E1533E">
        <w:t xml:space="preserve">presentations are reminded that memoranda summarizing the presentation must (1) list all persons attending or otherwise participating in the meeting at which the </w:t>
      </w:r>
      <w:r w:rsidRPr="00E1533E">
        <w:rPr>
          <w:i/>
          <w:iCs/>
        </w:rPr>
        <w:t xml:space="preserve">ex parte </w:t>
      </w:r>
      <w:r w:rsidRPr="00E1533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1533E">
        <w:rPr>
          <w:i/>
          <w:iCs/>
        </w:rPr>
        <w:t xml:space="preserve">ex parte </w:t>
      </w:r>
      <w:r w:rsidRPr="00E1533E">
        <w:t xml:space="preserve">meetings are deemed to be written </w:t>
      </w:r>
      <w:r w:rsidRPr="00E1533E">
        <w:rPr>
          <w:i/>
          <w:iCs/>
        </w:rPr>
        <w:t>ex parte</w:t>
      </w:r>
      <w:r w:rsidRPr="00E1533E">
        <w:t xml:space="preserve"> presentations and must be filed consistent with rule 1.1206(b).  In proceedings governed by rule 1.49(f) or for which the Commission has made available a method of electronic filing, written </w:t>
      </w:r>
      <w:r w:rsidRPr="00E1533E">
        <w:rPr>
          <w:i/>
          <w:iCs/>
        </w:rPr>
        <w:t xml:space="preserve">ex parte </w:t>
      </w:r>
      <w:r w:rsidRPr="00E1533E">
        <w:t xml:space="preserve">presentations and memoranda summarizing oral </w:t>
      </w:r>
      <w:r w:rsidRPr="00E1533E">
        <w:rPr>
          <w:i/>
          <w:iCs/>
        </w:rPr>
        <w:t xml:space="preserve">ex parte </w:t>
      </w:r>
      <w:r w:rsidRPr="00E1533E">
        <w:t>presentations, and all attachments thereto, must be filed through the electronic comment filing system available for that proceeding, and must be filed in their native format (</w:t>
      </w:r>
      <w:r w:rsidRPr="00E1533E">
        <w:rPr>
          <w:i/>
          <w:iCs/>
        </w:rPr>
        <w:t>e.g.</w:t>
      </w:r>
      <w:r w:rsidRPr="00E1533E">
        <w:t xml:space="preserve">, .doc, .xml, .ppt, searchable .pdf).  Participants in this proceeding should familiarize themselves with the Commission’s </w:t>
      </w:r>
      <w:r w:rsidRPr="00E1533E">
        <w:rPr>
          <w:i/>
          <w:iCs/>
        </w:rPr>
        <w:t xml:space="preserve">ex parte </w:t>
      </w:r>
      <w:r w:rsidRPr="00E1533E">
        <w:t>rules.</w:t>
      </w:r>
    </w:p>
    <w:p w:rsidR="00B24890" w:rsidRDefault="00B24890" w:rsidP="00B24890">
      <w:pPr>
        <w:ind w:firstLine="720"/>
      </w:pPr>
    </w:p>
    <w:p w:rsidR="00B24890" w:rsidRDefault="00B24890" w:rsidP="00B24890">
      <w:pPr>
        <w:ind w:firstLine="720"/>
      </w:pPr>
      <w:r w:rsidRPr="00D93234">
        <w:rPr>
          <w:szCs w:val="22"/>
        </w:rPr>
        <w:t>For further information, please contact Jonathan Reel</w:t>
      </w:r>
      <w:r w:rsidR="0091011C">
        <w:rPr>
          <w:szCs w:val="22"/>
        </w:rPr>
        <w:t xml:space="preserve">, </w:t>
      </w:r>
      <w:r w:rsidR="0091011C">
        <w:t>Competition Policy Division, Wireline Competition Bureau</w:t>
      </w:r>
      <w:r w:rsidRPr="00D93234">
        <w:rPr>
          <w:szCs w:val="22"/>
        </w:rPr>
        <w:t xml:space="preserve"> at (202) 418-0637,</w:t>
      </w:r>
      <w:r w:rsidR="0091011C">
        <w:rPr>
          <w:szCs w:val="22"/>
        </w:rPr>
        <w:t xml:space="preserve"> or via email at</w:t>
      </w:r>
      <w:r w:rsidRPr="00D93234">
        <w:rPr>
          <w:szCs w:val="22"/>
        </w:rPr>
        <w:t xml:space="preserve"> </w:t>
      </w:r>
      <w:hyperlink r:id="rId8" w:history="1">
        <w:r w:rsidRPr="00D93234">
          <w:rPr>
            <w:rStyle w:val="Hyperlink"/>
            <w:szCs w:val="22"/>
          </w:rPr>
          <w:t>jonathan.reel@fcc.gov</w:t>
        </w:r>
      </w:hyperlink>
      <w:r w:rsidRPr="00D93234">
        <w:t>.</w:t>
      </w:r>
      <w:r>
        <w:t xml:space="preserve"> </w:t>
      </w:r>
    </w:p>
    <w:p w:rsidR="00B24890" w:rsidRDefault="00B24890" w:rsidP="00B24890">
      <w:pPr>
        <w:pStyle w:val="ParaNum0"/>
        <w:widowControl/>
        <w:tabs>
          <w:tab w:val="left" w:pos="1440"/>
        </w:tabs>
        <w:spacing w:after="120"/>
        <w:jc w:val="center"/>
      </w:pPr>
    </w:p>
    <w:p w:rsidR="00B24890" w:rsidRPr="009560EA" w:rsidRDefault="00B24890" w:rsidP="00B24890">
      <w:pPr>
        <w:pStyle w:val="ParaNum0"/>
        <w:widowControl/>
        <w:tabs>
          <w:tab w:val="left" w:pos="1440"/>
        </w:tabs>
        <w:spacing w:after="120"/>
        <w:jc w:val="center"/>
        <w:rPr>
          <w:b/>
        </w:rPr>
      </w:pPr>
      <w:r>
        <w:rPr>
          <w:b/>
        </w:rPr>
        <w:t>- F</w:t>
      </w:r>
      <w:r w:rsidRPr="009560EA">
        <w:rPr>
          <w:b/>
        </w:rPr>
        <w:t>CC</w:t>
      </w:r>
      <w:r>
        <w:rPr>
          <w:b/>
        </w:rPr>
        <w:t xml:space="preserve"> -</w:t>
      </w:r>
    </w:p>
    <w:p w:rsidR="00606FDB" w:rsidRDefault="00606FDB" w:rsidP="00B24890">
      <w:pPr>
        <w:jc w:val="center"/>
        <w:rPr>
          <w:sz w:val="24"/>
        </w:rPr>
      </w:pPr>
    </w:p>
    <w:sectPr w:rsidR="00606FDB" w:rsidSect="00B2489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D1" w:rsidRDefault="002727D1">
      <w:r>
        <w:separator/>
      </w:r>
    </w:p>
  </w:endnote>
  <w:endnote w:type="continuationSeparator" w:id="0">
    <w:p w:rsidR="002727D1" w:rsidRDefault="0027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7D" w:rsidRDefault="00606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17A7D" w:rsidRDefault="0081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A7D" w:rsidRDefault="00606F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C7A">
      <w:rPr>
        <w:rStyle w:val="PageNumber"/>
        <w:noProof/>
      </w:rPr>
      <w:t>2</w:t>
    </w:r>
    <w:r>
      <w:rPr>
        <w:rStyle w:val="PageNumber"/>
      </w:rPr>
      <w:fldChar w:fldCharType="end"/>
    </w:r>
  </w:p>
  <w:p w:rsidR="00817A7D" w:rsidRDefault="00817A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5D" w:rsidRDefault="0065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D1" w:rsidRDefault="002727D1">
      <w:r>
        <w:separator/>
      </w:r>
    </w:p>
  </w:footnote>
  <w:footnote w:type="continuationSeparator" w:id="0">
    <w:p w:rsidR="002727D1" w:rsidRDefault="002727D1">
      <w:r>
        <w:continuationSeparator/>
      </w:r>
    </w:p>
  </w:footnote>
  <w:footnote w:id="1">
    <w:p w:rsidR="00B24890" w:rsidRDefault="00B24890" w:rsidP="004A65C5">
      <w:pPr>
        <w:pStyle w:val="FootnoteText"/>
        <w:spacing w:after="120"/>
      </w:pPr>
      <w:r>
        <w:rPr>
          <w:rStyle w:val="FootnoteReference"/>
        </w:rPr>
        <w:footnoteRef/>
      </w:r>
      <w:r>
        <w:t xml:space="preserve"> </w:t>
      </w:r>
      <w:r w:rsidR="009A5D5C" w:rsidRPr="00B24890">
        <w:rPr>
          <w:sz w:val="20"/>
        </w:rPr>
        <w:t>Petition for Reconsideration or Clarification of the National Cable and Telecommunications Association, COMPTEL, and tw telecom inc.</w:t>
      </w:r>
      <w:r w:rsidR="009A5D5C">
        <w:rPr>
          <w:sz w:val="20"/>
        </w:rPr>
        <w:t>,</w:t>
      </w:r>
      <w:r w:rsidR="009A5D5C" w:rsidRPr="00B24890">
        <w:rPr>
          <w:sz w:val="20"/>
        </w:rPr>
        <w:t xml:space="preserve"> </w:t>
      </w:r>
      <w:r w:rsidRPr="00B24890">
        <w:rPr>
          <w:sz w:val="20"/>
        </w:rPr>
        <w:t xml:space="preserve">WC Docket </w:t>
      </w:r>
      <w:r w:rsidR="009A5D5C">
        <w:rPr>
          <w:sz w:val="20"/>
        </w:rPr>
        <w:t>No. 07-245, GN Docket No. 09-51</w:t>
      </w:r>
      <w:r w:rsidRPr="00B24890">
        <w:rPr>
          <w:sz w:val="20"/>
        </w:rPr>
        <w:t xml:space="preserve"> (filed June 8, 2011)</w:t>
      </w:r>
      <w:r w:rsidR="009502AE">
        <w:rPr>
          <w:sz w:val="20"/>
        </w:rPr>
        <w:t xml:space="preserve">, </w:t>
      </w:r>
      <w:hyperlink r:id="rId1" w:history="1">
        <w:r w:rsidR="009502AE" w:rsidRPr="00F12524">
          <w:rPr>
            <w:rStyle w:val="Hyperlink"/>
            <w:sz w:val="20"/>
          </w:rPr>
          <w:t>http://apps.fcc.gov/ecfs/document/view?id=7021686399</w:t>
        </w:r>
      </w:hyperlink>
      <w:r w:rsidR="00475536" w:rsidRPr="00475536">
        <w:rPr>
          <w:rStyle w:val="Hyperlink"/>
          <w:sz w:val="20"/>
          <w:u w:val="none"/>
        </w:rPr>
        <w:t xml:space="preserve"> </w:t>
      </w:r>
      <w:r w:rsidR="00475536" w:rsidRPr="00B24890">
        <w:rPr>
          <w:sz w:val="20"/>
        </w:rPr>
        <w:t>(NCTA Petition)</w:t>
      </w:r>
      <w:r w:rsidRPr="00B24890">
        <w:rPr>
          <w:sz w:val="20"/>
        </w:rPr>
        <w:t>.</w:t>
      </w:r>
    </w:p>
  </w:footnote>
  <w:footnote w:id="2">
    <w:p w:rsidR="00B24890" w:rsidRDefault="00B24890" w:rsidP="004A65C5">
      <w:pPr>
        <w:pStyle w:val="FootnoteText"/>
        <w:spacing w:after="120"/>
      </w:pPr>
      <w:r>
        <w:rPr>
          <w:rStyle w:val="FootnoteReference"/>
        </w:rPr>
        <w:footnoteRef/>
      </w:r>
      <w:r>
        <w:t xml:space="preserve"> </w:t>
      </w:r>
      <w:r w:rsidR="002047DC">
        <w:rPr>
          <w:i/>
          <w:sz w:val="20"/>
        </w:rPr>
        <w:t>Id.</w:t>
      </w:r>
      <w:r w:rsidRPr="00B24890">
        <w:rPr>
          <w:sz w:val="20"/>
        </w:rPr>
        <w:t xml:space="preserve"> at 1, Attach. B. (proposing revision of 47 C.F.R. § 1.1409, which includes the pole attachment rates formulas).</w:t>
      </w:r>
      <w:r>
        <w:t xml:space="preserve">  </w:t>
      </w:r>
    </w:p>
  </w:footnote>
  <w:footnote w:id="3">
    <w:p w:rsidR="00B24890" w:rsidRPr="0089510C" w:rsidRDefault="00B24890" w:rsidP="004A65C5">
      <w:pPr>
        <w:pStyle w:val="FootnoteText"/>
        <w:spacing w:after="120"/>
        <w:rPr>
          <w:sz w:val="20"/>
        </w:rPr>
      </w:pPr>
      <w:r>
        <w:rPr>
          <w:rStyle w:val="FootnoteReference"/>
        </w:rPr>
        <w:footnoteRef/>
      </w:r>
      <w:r>
        <w:t xml:space="preserve"> </w:t>
      </w:r>
      <w:r w:rsidR="00475536">
        <w:rPr>
          <w:i/>
          <w:sz w:val="20"/>
        </w:rPr>
        <w:t xml:space="preserve">Id. </w:t>
      </w:r>
      <w:r w:rsidR="00475536">
        <w:rPr>
          <w:sz w:val="20"/>
        </w:rPr>
        <w:t xml:space="preserve">at 5.  </w:t>
      </w:r>
      <w:r w:rsidR="00475536">
        <w:rPr>
          <w:i/>
          <w:sz w:val="20"/>
        </w:rPr>
        <w:t>S</w:t>
      </w:r>
      <w:r w:rsidR="0077707F" w:rsidRPr="0089510C">
        <w:rPr>
          <w:i/>
          <w:sz w:val="20"/>
        </w:rPr>
        <w:t>ee</w:t>
      </w:r>
      <w:r w:rsidR="00475536">
        <w:rPr>
          <w:i/>
          <w:sz w:val="20"/>
        </w:rPr>
        <w:t xml:space="preserve"> also</w:t>
      </w:r>
      <w:r w:rsidR="0077707F">
        <w:rPr>
          <w:sz w:val="20"/>
        </w:rPr>
        <w:t xml:space="preserve"> </w:t>
      </w:r>
      <w:r w:rsidRPr="00B24890">
        <w:rPr>
          <w:i/>
          <w:sz w:val="20"/>
        </w:rPr>
        <w:t>Implementation of Section 224 of the Act; A National Broadband Plan for Our Future</w:t>
      </w:r>
      <w:r w:rsidRPr="00B24890">
        <w:rPr>
          <w:sz w:val="20"/>
        </w:rPr>
        <w:t>, WC Docket No. 07-245, GN Docket No. 09-51, Report and Order and Order on Reconsideration, 26 FCC Rcd 5240</w:t>
      </w:r>
      <w:r w:rsidR="0077707F">
        <w:rPr>
          <w:sz w:val="20"/>
        </w:rPr>
        <w:t xml:space="preserve"> (2011)</w:t>
      </w:r>
      <w:r w:rsidRPr="00B24890">
        <w:rPr>
          <w:sz w:val="20"/>
        </w:rPr>
        <w:t xml:space="preserve"> (</w:t>
      </w:r>
      <w:r w:rsidRPr="00B24890">
        <w:rPr>
          <w:i/>
          <w:sz w:val="20"/>
        </w:rPr>
        <w:t>2011 Pole Attachment Order</w:t>
      </w:r>
      <w:r w:rsidR="001E0783" w:rsidRPr="00475536">
        <w:rPr>
          <w:sz w:val="20"/>
        </w:rPr>
        <w:t>)</w:t>
      </w:r>
      <w:r w:rsidR="00475536">
        <w:rPr>
          <w:sz w:val="20"/>
        </w:rPr>
        <w:t>.</w:t>
      </w:r>
    </w:p>
  </w:footnote>
  <w:footnote w:id="4">
    <w:p w:rsidR="00B24890" w:rsidRDefault="00B24890" w:rsidP="004A65C5">
      <w:pPr>
        <w:pStyle w:val="FootnoteText"/>
        <w:spacing w:after="120"/>
      </w:pPr>
      <w:r>
        <w:rPr>
          <w:rStyle w:val="FootnoteReference"/>
        </w:rPr>
        <w:footnoteRef/>
      </w:r>
      <w:r>
        <w:t xml:space="preserve"> </w:t>
      </w:r>
      <w:r w:rsidRPr="00B24890">
        <w:rPr>
          <w:sz w:val="20"/>
        </w:rPr>
        <w:t xml:space="preserve">NCTA Petition at 5.  </w:t>
      </w:r>
    </w:p>
  </w:footnote>
  <w:footnote w:id="5">
    <w:p w:rsidR="00B24890" w:rsidRDefault="00B24890" w:rsidP="004A65C5">
      <w:pPr>
        <w:pStyle w:val="FootnoteText"/>
        <w:spacing w:after="120"/>
      </w:pPr>
      <w:r>
        <w:rPr>
          <w:rStyle w:val="FootnoteReference"/>
        </w:rPr>
        <w:footnoteRef/>
      </w:r>
      <w:r>
        <w:t xml:space="preserve"> </w:t>
      </w:r>
      <w:r w:rsidR="00475536">
        <w:rPr>
          <w:i/>
          <w:sz w:val="20"/>
        </w:rPr>
        <w:t>Id.</w:t>
      </w:r>
      <w:r w:rsidRPr="00B24890">
        <w:rPr>
          <w:sz w:val="20"/>
        </w:rPr>
        <w:t xml:space="preserve"> at 6.</w:t>
      </w:r>
    </w:p>
  </w:footnote>
  <w:footnote w:id="6">
    <w:p w:rsidR="00B24890" w:rsidRDefault="00B24890" w:rsidP="004A65C5">
      <w:pPr>
        <w:pStyle w:val="FootnoteText"/>
        <w:spacing w:after="120"/>
      </w:pPr>
      <w:r>
        <w:rPr>
          <w:rStyle w:val="FootnoteReference"/>
        </w:rPr>
        <w:footnoteRef/>
      </w:r>
      <w:r>
        <w:t xml:space="preserve"> </w:t>
      </w:r>
      <w:r w:rsidR="00475536">
        <w:rPr>
          <w:i/>
          <w:sz w:val="20"/>
        </w:rPr>
        <w:t>Id.</w:t>
      </w:r>
      <w:r w:rsidR="00475536">
        <w:rPr>
          <w:sz w:val="20"/>
        </w:rPr>
        <w:t xml:space="preserve"> at 7.  </w:t>
      </w:r>
      <w:r w:rsidR="00475536" w:rsidRPr="00475536">
        <w:rPr>
          <w:i/>
          <w:sz w:val="20"/>
        </w:rPr>
        <w:t>See also</w:t>
      </w:r>
      <w:r w:rsidRPr="00B24890">
        <w:rPr>
          <w:i/>
          <w:sz w:val="20"/>
        </w:rPr>
        <w:t xml:space="preserve"> Implementation of Section 224 of the Act; A National Broadband Plan for Our Future</w:t>
      </w:r>
      <w:r w:rsidRPr="00B24890">
        <w:rPr>
          <w:sz w:val="20"/>
        </w:rPr>
        <w:t>, WC Docket No. 07-245, GN Docket No. 09-51, Order and Further Notice of Proposed Rulemaking, 25  FCC Rcd 11864, 11917-24, paras. 128-141 (2010) (</w:t>
      </w:r>
      <w:r w:rsidRPr="00B24890">
        <w:rPr>
          <w:i/>
          <w:sz w:val="20"/>
        </w:rPr>
        <w:t>2010 Pole Attachment FNPRM</w:t>
      </w:r>
      <w:r w:rsidRPr="00B24890">
        <w:rPr>
          <w:sz w:val="20"/>
        </w:rPr>
        <w:t>).</w:t>
      </w:r>
    </w:p>
  </w:footnote>
  <w:footnote w:id="7">
    <w:p w:rsidR="00B24890" w:rsidRDefault="00B24890" w:rsidP="004A65C5">
      <w:pPr>
        <w:pStyle w:val="FootnoteText"/>
        <w:spacing w:after="120"/>
      </w:pPr>
      <w:r>
        <w:rPr>
          <w:rStyle w:val="FootnoteReference"/>
        </w:rPr>
        <w:footnoteRef/>
      </w:r>
      <w:r>
        <w:t xml:space="preserve"> </w:t>
      </w:r>
      <w:r w:rsidR="00F92FA4" w:rsidRPr="00D5660D">
        <w:rPr>
          <w:i/>
          <w:sz w:val="20"/>
        </w:rPr>
        <w:t>Petitions for Reconsideration of Action in Rulemaking Proceeding</w:t>
      </w:r>
      <w:r w:rsidR="00F92FA4">
        <w:rPr>
          <w:sz w:val="20"/>
        </w:rPr>
        <w:t>,</w:t>
      </w:r>
      <w:r w:rsidR="00F92FA4" w:rsidRPr="00F92FA4">
        <w:rPr>
          <w:sz w:val="20"/>
        </w:rPr>
        <w:t xml:space="preserve"> </w:t>
      </w:r>
      <w:r w:rsidR="00F92FA4" w:rsidRPr="00B24890">
        <w:rPr>
          <w:sz w:val="20"/>
        </w:rPr>
        <w:t>WC Docket No. 07-245, GN Docket No. 09-51, Public Notice</w:t>
      </w:r>
      <w:r w:rsidR="00F92FA4">
        <w:rPr>
          <w:sz w:val="20"/>
        </w:rPr>
        <w:t>, Report No. 2931</w:t>
      </w:r>
      <w:r w:rsidR="00E000F0">
        <w:rPr>
          <w:sz w:val="20"/>
        </w:rPr>
        <w:t xml:space="preserve"> (</w:t>
      </w:r>
      <w:r w:rsidR="00F2128C">
        <w:rPr>
          <w:sz w:val="20"/>
        </w:rPr>
        <w:t>Cons. &amp; Gov’t Affairs Bur.</w:t>
      </w:r>
      <w:r w:rsidR="00E000F0">
        <w:rPr>
          <w:sz w:val="20"/>
        </w:rPr>
        <w:t xml:space="preserve"> 2011</w:t>
      </w:r>
      <w:r w:rsidR="00F2128C">
        <w:rPr>
          <w:sz w:val="20"/>
        </w:rPr>
        <w:t>)</w:t>
      </w:r>
      <w:r w:rsidR="00E000F0">
        <w:rPr>
          <w:sz w:val="20"/>
        </w:rPr>
        <w:t>.</w:t>
      </w:r>
    </w:p>
  </w:footnote>
  <w:footnote w:id="8">
    <w:p w:rsidR="00F92FA4" w:rsidRDefault="00F92FA4" w:rsidP="004A65C5">
      <w:pPr>
        <w:pStyle w:val="FootnoteText"/>
        <w:spacing w:after="120"/>
      </w:pPr>
      <w:r>
        <w:rPr>
          <w:rStyle w:val="FootnoteReference"/>
        </w:rPr>
        <w:footnoteRef/>
      </w:r>
      <w:r>
        <w:t xml:space="preserve"> </w:t>
      </w:r>
      <w:r w:rsidRPr="001355D7">
        <w:rPr>
          <w:i/>
          <w:sz w:val="20"/>
        </w:rPr>
        <w:t xml:space="preserve">A National Broadband Plan </w:t>
      </w:r>
      <w:r w:rsidR="00475536">
        <w:rPr>
          <w:i/>
          <w:sz w:val="20"/>
        </w:rPr>
        <w:t>f</w:t>
      </w:r>
      <w:r w:rsidRPr="001355D7">
        <w:rPr>
          <w:i/>
          <w:sz w:val="20"/>
        </w:rPr>
        <w:t>or Our Future</w:t>
      </w:r>
      <w:r w:rsidRPr="001355D7">
        <w:rPr>
          <w:sz w:val="20"/>
        </w:rPr>
        <w:t>; Petition for Reconsideration, 76 Fed. Reg. at 44495 (July 26, 2011).</w:t>
      </w:r>
    </w:p>
  </w:footnote>
  <w:footnote w:id="9">
    <w:p w:rsidR="00B24890" w:rsidRPr="00B24890" w:rsidRDefault="00B24890" w:rsidP="004A65C5">
      <w:pPr>
        <w:pStyle w:val="FootnoteText"/>
        <w:spacing w:after="120"/>
        <w:rPr>
          <w:sz w:val="20"/>
        </w:rPr>
      </w:pPr>
      <w:r>
        <w:rPr>
          <w:rStyle w:val="FootnoteReference"/>
        </w:rPr>
        <w:footnoteRef/>
      </w:r>
      <w:r>
        <w:t xml:space="preserve"> </w:t>
      </w:r>
      <w:r w:rsidRPr="00B24890">
        <w:rPr>
          <w:i/>
          <w:sz w:val="20"/>
        </w:rPr>
        <w:t>See, e.g.,</w:t>
      </w:r>
      <w:r w:rsidRPr="00B24890">
        <w:rPr>
          <w:sz w:val="20"/>
        </w:rPr>
        <w:t xml:space="preserve"> AT&amp;T Inc.’s Response to Petitions for Reconsideration, WC Docket No. 07-245, GN Docket No. 09-51, at 10 (</w:t>
      </w:r>
      <w:r w:rsidR="00D5660D">
        <w:rPr>
          <w:sz w:val="20"/>
        </w:rPr>
        <w:t xml:space="preserve">filed </w:t>
      </w:r>
      <w:r w:rsidRPr="00B24890">
        <w:rPr>
          <w:sz w:val="20"/>
        </w:rPr>
        <w:t>July 5, 2011); Opposition of the Edison Electric Institute and the Utilities Telecom Council to Petition for Reconsideration or Clarification of the National Cable &amp; Telecommunications Association, COMPTEL and tw telecom inc., WC Docket No. 07-245, GN Docket No. 09-51 (</w:t>
      </w:r>
      <w:r w:rsidR="00D5660D">
        <w:rPr>
          <w:sz w:val="20"/>
        </w:rPr>
        <w:t xml:space="preserve">filed </w:t>
      </w:r>
      <w:r w:rsidRPr="00B24890">
        <w:rPr>
          <w:sz w:val="20"/>
        </w:rPr>
        <w:t>Aug. 10, 2011); Reply to Opposition, Reconsideration of the National Cable &amp; Telecommunications Association, COMPTEL and tw telecom, Inc., WC Docket No. 07-245, GN Docket No. 09-51 (</w:t>
      </w:r>
      <w:r w:rsidR="00D5660D">
        <w:rPr>
          <w:sz w:val="20"/>
        </w:rPr>
        <w:t xml:space="preserve">filed </w:t>
      </w:r>
      <w:r w:rsidRPr="00B24890">
        <w:rPr>
          <w:sz w:val="20"/>
        </w:rPr>
        <w:t>Aug. 22, 2011).</w:t>
      </w:r>
    </w:p>
  </w:footnote>
  <w:footnote w:id="10">
    <w:p w:rsidR="00B24890" w:rsidRDefault="00B24890" w:rsidP="004A65C5">
      <w:pPr>
        <w:pStyle w:val="FootnoteText"/>
        <w:spacing w:after="120"/>
      </w:pPr>
      <w:r>
        <w:rPr>
          <w:rStyle w:val="FootnoteReference"/>
        </w:rPr>
        <w:footnoteRef/>
      </w:r>
      <w:r>
        <w:t xml:space="preserve"> </w:t>
      </w:r>
      <w:r w:rsidRPr="00B24890">
        <w:rPr>
          <w:i/>
          <w:sz w:val="20"/>
        </w:rPr>
        <w:t>Am. Elec. Power Serv. Corp. v. FCC</w:t>
      </w:r>
      <w:r w:rsidRPr="00B24890">
        <w:rPr>
          <w:sz w:val="20"/>
        </w:rPr>
        <w:t>, 708 F.3d 183, 189-191(D.C. Cir. 2013).</w:t>
      </w:r>
      <w:r>
        <w:t xml:space="preserve"> </w:t>
      </w:r>
    </w:p>
  </w:footnote>
  <w:footnote w:id="11">
    <w:p w:rsidR="00B24890" w:rsidRDefault="00B24890" w:rsidP="004A65C5">
      <w:pPr>
        <w:pStyle w:val="FootnoteText"/>
        <w:spacing w:after="120"/>
      </w:pPr>
      <w:r>
        <w:rPr>
          <w:rStyle w:val="FootnoteReference"/>
        </w:rPr>
        <w:footnoteRef/>
      </w:r>
      <w:r>
        <w:t xml:space="preserve"> </w:t>
      </w:r>
      <w:r w:rsidRPr="00F816EE">
        <w:rPr>
          <w:i/>
          <w:sz w:val="20"/>
        </w:rPr>
        <w:t>Protecting and Promoting the Open Internet</w:t>
      </w:r>
      <w:r w:rsidRPr="00B24890">
        <w:rPr>
          <w:sz w:val="20"/>
        </w:rPr>
        <w:t>, GN Docket No. 14-28, Report and Order on Remand, Declaratory Ruling, and Order, FCC 15-24, para. 483 (rel. Mar. 12, 2015)</w:t>
      </w:r>
      <w:r w:rsidR="00F92FA4" w:rsidRPr="00F92FA4">
        <w:rPr>
          <w:sz w:val="20"/>
        </w:rPr>
        <w:t xml:space="preserve"> </w:t>
      </w:r>
      <w:r w:rsidR="00F92FA4" w:rsidRPr="00B24890">
        <w:rPr>
          <w:sz w:val="20"/>
        </w:rPr>
        <w:t>(</w:t>
      </w:r>
      <w:r w:rsidR="00F92FA4" w:rsidRPr="00B24890">
        <w:rPr>
          <w:i/>
          <w:sz w:val="20"/>
        </w:rPr>
        <w:t>Open Internet Order</w:t>
      </w:r>
      <w:r w:rsidR="00F92FA4" w:rsidRPr="00B24890">
        <w:rPr>
          <w:sz w:val="20"/>
        </w:rPr>
        <w:t>).</w:t>
      </w:r>
    </w:p>
  </w:footnote>
  <w:footnote w:id="12">
    <w:p w:rsidR="00B24890" w:rsidRDefault="00B24890" w:rsidP="004A65C5">
      <w:pPr>
        <w:pStyle w:val="FootnoteText"/>
        <w:spacing w:after="120"/>
      </w:pPr>
      <w:r>
        <w:rPr>
          <w:rStyle w:val="FootnoteReference"/>
        </w:rPr>
        <w:footnoteRef/>
      </w:r>
      <w:r>
        <w:t xml:space="preserve"> </w:t>
      </w:r>
      <w:r w:rsidR="00F92FA4" w:rsidRPr="001355D7">
        <w:rPr>
          <w:i/>
          <w:sz w:val="20"/>
        </w:rPr>
        <w:t>Id</w:t>
      </w:r>
      <w:r w:rsidR="00F92FA4">
        <w:rPr>
          <w:sz w:val="20"/>
        </w:rPr>
        <w:t>.</w:t>
      </w:r>
    </w:p>
  </w:footnote>
  <w:footnote w:id="13">
    <w:p w:rsidR="00B24890" w:rsidRDefault="00B24890" w:rsidP="004A65C5">
      <w:pPr>
        <w:pStyle w:val="FootnoteText"/>
        <w:spacing w:after="120"/>
        <w:rPr>
          <w:i/>
          <w:iCs/>
        </w:rPr>
      </w:pPr>
      <w:r>
        <w:rPr>
          <w:rStyle w:val="FootnoteReference"/>
        </w:rPr>
        <w:footnoteRef/>
      </w:r>
      <w:r>
        <w:t xml:space="preserve"> </w:t>
      </w:r>
      <w:r w:rsidRPr="00B24890">
        <w:rPr>
          <w:sz w:val="20"/>
        </w:rPr>
        <w:t xml:space="preserve">47 C.F.R. §§ 1.1200 </w:t>
      </w:r>
      <w:r w:rsidRPr="00B24890">
        <w:rPr>
          <w:i/>
          <w:iCs/>
          <w:sz w:val="20"/>
        </w:rPr>
        <w:t>et seq.</w:t>
      </w:r>
    </w:p>
    <w:p w:rsidR="00B24890" w:rsidRPr="00E169D5" w:rsidRDefault="00B24890" w:rsidP="00B24890">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5D" w:rsidRDefault="00654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5D" w:rsidRDefault="006541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5C" w:rsidRDefault="009A5D5C" w:rsidP="009A5D5C">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4BEBDA21" wp14:editId="321BFB48">
          <wp:simplePos x="0" y="0"/>
          <wp:positionH relativeFrom="column">
            <wp:posOffset>88265</wp:posOffset>
          </wp:positionH>
          <wp:positionV relativeFrom="paragraph">
            <wp:posOffset>114300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817A7D" w:rsidRDefault="009A5D5C">
    <w:pPr>
      <w:pStyle w:val="Header"/>
      <w:tabs>
        <w:tab w:val="clear" w:pos="4320"/>
        <w:tab w:val="clear" w:pos="8640"/>
        <w:tab w:val="left" w:pos="1080"/>
      </w:tabs>
      <w:spacing w:line="1120" w:lineRule="exact"/>
      <w:ind w:left="720"/>
      <w:rPr>
        <w:b/>
        <w:sz w:val="28"/>
      </w:rPr>
    </w:pPr>
    <w:r>
      <w:rPr>
        <w:b/>
        <w:noProof/>
        <w:sz w:val="24"/>
      </w:rPr>
      <mc:AlternateContent>
        <mc:Choice Requires="wps">
          <w:drawing>
            <wp:anchor distT="0" distB="0" distL="114300" distR="114300" simplePos="0" relativeHeight="251660288" behindDoc="0" locked="0" layoutInCell="1" allowOverlap="1" wp14:anchorId="408B164D" wp14:editId="32E34C9C">
              <wp:simplePos x="0" y="0"/>
              <wp:positionH relativeFrom="column">
                <wp:posOffset>3575050</wp:posOffset>
              </wp:positionH>
              <wp:positionV relativeFrom="paragraph">
                <wp:posOffset>11430</wp:posOffset>
              </wp:positionV>
              <wp:extent cx="2438400" cy="736600"/>
              <wp:effectExtent l="0" t="0" r="0" b="63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A7D" w:rsidRDefault="00606FDB" w:rsidP="009A5D5C">
                          <w:pPr>
                            <w:spacing w:before="40"/>
                            <w:jc w:val="right"/>
                            <w:rPr>
                              <w:sz w:val="16"/>
                            </w:rPr>
                          </w:pPr>
                          <w:r>
                            <w:rPr>
                              <w:sz w:val="16"/>
                            </w:rPr>
                            <w:tab/>
                          </w:r>
                        </w:p>
                        <w:p w:rsidR="009A5D5C" w:rsidRDefault="009A5D5C" w:rsidP="009A5D5C">
                          <w:pPr>
                            <w:spacing w:before="40"/>
                            <w:jc w:val="right"/>
                            <w:rPr>
                              <w:rFonts w:ascii="Arial" w:hAnsi="Arial"/>
                              <w:b/>
                              <w:sz w:val="16"/>
                            </w:rPr>
                          </w:pPr>
                          <w:r>
                            <w:rPr>
                              <w:rFonts w:ascii="Arial" w:hAnsi="Arial"/>
                              <w:b/>
                              <w:sz w:val="16"/>
                            </w:rPr>
                            <w:t>News Media Information 202 / 418-0500</w:t>
                          </w:r>
                        </w:p>
                        <w:p w:rsidR="009A5D5C" w:rsidRDefault="009A5D5C" w:rsidP="009A5D5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A5D5C" w:rsidRDefault="009A5D5C" w:rsidP="009A5D5C">
                          <w:pPr>
                            <w:jc w:val="right"/>
                            <w:rPr>
                              <w:rFonts w:ascii="Arial" w:hAnsi="Arial"/>
                              <w:b/>
                              <w:sz w:val="16"/>
                            </w:rPr>
                          </w:pPr>
                          <w:r>
                            <w:rPr>
                              <w:rFonts w:ascii="Arial" w:hAnsi="Arial"/>
                              <w:b/>
                              <w:sz w:val="16"/>
                            </w:rPr>
                            <w:t>TTY: 1-888-835-5322</w:t>
                          </w:r>
                        </w:p>
                        <w:p w:rsidR="00817A7D" w:rsidRDefault="00817A7D" w:rsidP="009A5D5C">
                          <w:pPr>
                            <w:jc w:val="right"/>
                          </w:pPr>
                        </w:p>
                        <w:p w:rsidR="00817A7D" w:rsidRDefault="00817A7D" w:rsidP="009A5D5C">
                          <w:pPr>
                            <w:jc w:val="right"/>
                            <w:rPr>
                              <w:sz w:val="16"/>
                            </w:rPr>
                          </w:pPr>
                        </w:p>
                        <w:p w:rsidR="00817A7D" w:rsidRDefault="00606FDB" w:rsidP="009A5D5C">
                          <w:pPr>
                            <w:jc w:val="right"/>
                            <w:rPr>
                              <w:sz w:val="16"/>
                            </w:rPr>
                          </w:pPr>
                          <w:r>
                            <w:rPr>
                              <w:sz w:val="16"/>
                            </w:rPr>
                            <w:tab/>
                          </w:r>
                        </w:p>
                        <w:p w:rsidR="00817A7D" w:rsidRDefault="00606FDB" w:rsidP="009A5D5C">
                          <w:pPr>
                            <w:jc w:val="right"/>
                            <w:rPr>
                              <w:sz w:val="16"/>
                            </w:rPr>
                          </w:pP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1.5pt;margin-top:.9pt;width:192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Iv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" stroked="f">
              <v:textbox>
                <w:txbxContent>
                  <w:p w:rsidR="00817A7D" w:rsidRDefault="00606FDB" w:rsidP="009A5D5C">
                    <w:pPr>
                      <w:spacing w:before="40"/>
                      <w:jc w:val="right"/>
                      <w:rPr>
                        <w:sz w:val="16"/>
                      </w:rPr>
                    </w:pPr>
                    <w:r>
                      <w:rPr>
                        <w:sz w:val="16"/>
                      </w:rPr>
                      <w:tab/>
                    </w:r>
                  </w:p>
                  <w:p w:rsidR="009A5D5C" w:rsidRDefault="009A5D5C" w:rsidP="009A5D5C">
                    <w:pPr>
                      <w:spacing w:before="40"/>
                      <w:jc w:val="right"/>
                      <w:rPr>
                        <w:rFonts w:ascii="Arial" w:hAnsi="Arial"/>
                        <w:b/>
                        <w:sz w:val="16"/>
                      </w:rPr>
                    </w:pPr>
                    <w:r>
                      <w:rPr>
                        <w:rFonts w:ascii="Arial" w:hAnsi="Arial"/>
                        <w:b/>
                        <w:sz w:val="16"/>
                      </w:rPr>
                      <w:t>News Media Information 202 / 418-0500</w:t>
                    </w:r>
                  </w:p>
                  <w:p w:rsidR="009A5D5C" w:rsidRDefault="009A5D5C" w:rsidP="009A5D5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A5D5C" w:rsidRDefault="009A5D5C" w:rsidP="009A5D5C">
                    <w:pPr>
                      <w:jc w:val="right"/>
                      <w:rPr>
                        <w:rFonts w:ascii="Arial" w:hAnsi="Arial"/>
                        <w:b/>
                        <w:sz w:val="16"/>
                      </w:rPr>
                    </w:pPr>
                    <w:r>
                      <w:rPr>
                        <w:rFonts w:ascii="Arial" w:hAnsi="Arial"/>
                        <w:b/>
                        <w:sz w:val="16"/>
                      </w:rPr>
                      <w:t>TTY: 1-888-835-5322</w:t>
                    </w:r>
                  </w:p>
                  <w:p w:rsidR="00817A7D" w:rsidRDefault="00817A7D" w:rsidP="009A5D5C">
                    <w:pPr>
                      <w:jc w:val="right"/>
                    </w:pPr>
                  </w:p>
                  <w:p w:rsidR="00817A7D" w:rsidRDefault="00817A7D" w:rsidP="009A5D5C">
                    <w:pPr>
                      <w:jc w:val="right"/>
                      <w:rPr>
                        <w:sz w:val="16"/>
                      </w:rPr>
                    </w:pPr>
                  </w:p>
                  <w:p w:rsidR="00817A7D" w:rsidRDefault="00606FDB" w:rsidP="009A5D5C">
                    <w:pPr>
                      <w:jc w:val="right"/>
                      <w:rPr>
                        <w:sz w:val="16"/>
                      </w:rPr>
                    </w:pPr>
                    <w:r>
                      <w:rPr>
                        <w:sz w:val="16"/>
                      </w:rPr>
                      <w:tab/>
                    </w:r>
                  </w:p>
                  <w:p w:rsidR="00817A7D" w:rsidRDefault="00606FDB" w:rsidP="009A5D5C">
                    <w:pPr>
                      <w:jc w:val="right"/>
                      <w:rPr>
                        <w:sz w:val="16"/>
                      </w:rPr>
                    </w:pPr>
                    <w:r>
                      <w:rPr>
                        <w:sz w:val="16"/>
                      </w:rPr>
                      <w:tab/>
                    </w:r>
                  </w:p>
                </w:txbxContent>
              </v:textbox>
            </v:shape>
          </w:pict>
        </mc:Fallback>
      </mc:AlternateContent>
    </w:r>
    <w:r>
      <w:rPr>
        <w:b/>
        <w:noProof/>
        <w:sz w:val="24"/>
      </w:rPr>
      <mc:AlternateContent>
        <mc:Choice Requires="wps">
          <w:drawing>
            <wp:anchor distT="0" distB="0" distL="114300" distR="114300" simplePos="0" relativeHeight="251658240" behindDoc="0" locked="0" layoutInCell="0" allowOverlap="1" wp14:anchorId="52B366D9" wp14:editId="477D7C08">
              <wp:simplePos x="0" y="0"/>
              <wp:positionH relativeFrom="column">
                <wp:posOffset>-24130</wp:posOffset>
              </wp:positionH>
              <wp:positionV relativeFrom="paragraph">
                <wp:posOffset>105410</wp:posOffset>
              </wp:positionV>
              <wp:extent cx="3108960" cy="640080"/>
              <wp:effectExtent l="0" t="0" r="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D5C" w:rsidRDefault="009A5D5C" w:rsidP="009A5D5C">
                          <w:pPr>
                            <w:rPr>
                              <w:rFonts w:ascii="Arial" w:hAnsi="Arial"/>
                              <w:b/>
                            </w:rPr>
                          </w:pPr>
                          <w:r>
                            <w:rPr>
                              <w:rFonts w:ascii="Arial" w:hAnsi="Arial"/>
                              <w:b/>
                            </w:rPr>
                            <w:t>Federal Communications Commission</w:t>
                          </w:r>
                        </w:p>
                        <w:p w:rsidR="009A5D5C" w:rsidRDefault="009A5D5C" w:rsidP="009A5D5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5D5C" w:rsidRDefault="009A5D5C" w:rsidP="009A5D5C">
                          <w:pPr>
                            <w:rPr>
                              <w:rFonts w:ascii="Arial" w:hAnsi="Arial"/>
                              <w:sz w:val="24"/>
                            </w:rPr>
                          </w:pPr>
                          <w:r>
                            <w:rPr>
                              <w:rFonts w:ascii="Arial" w:hAnsi="Arial"/>
                              <w:b/>
                            </w:rPr>
                            <w:t>Washington, D.C. 20554</w:t>
                          </w:r>
                        </w:p>
                        <w:p w:rsidR="00817A7D" w:rsidRDefault="00817A7D">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9pt;margin-top:8.3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wb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" o:allowincell="f" stroked="f">
              <v:textbox>
                <w:txbxContent>
                  <w:p w:rsidR="009A5D5C" w:rsidRDefault="009A5D5C" w:rsidP="009A5D5C">
                    <w:pPr>
                      <w:rPr>
                        <w:rFonts w:ascii="Arial" w:hAnsi="Arial"/>
                        <w:b/>
                      </w:rPr>
                    </w:pPr>
                    <w:r>
                      <w:rPr>
                        <w:rFonts w:ascii="Arial" w:hAnsi="Arial"/>
                        <w:b/>
                      </w:rPr>
                      <w:t>Federal Communications Commission</w:t>
                    </w:r>
                  </w:p>
                  <w:p w:rsidR="009A5D5C" w:rsidRDefault="009A5D5C" w:rsidP="009A5D5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A5D5C" w:rsidRDefault="009A5D5C" w:rsidP="009A5D5C">
                    <w:pPr>
                      <w:rPr>
                        <w:rFonts w:ascii="Arial" w:hAnsi="Arial"/>
                        <w:sz w:val="24"/>
                      </w:rPr>
                    </w:pPr>
                    <w:r>
                      <w:rPr>
                        <w:rFonts w:ascii="Arial" w:hAnsi="Arial"/>
                        <w:b/>
                      </w:rPr>
                      <w:t>Washington, D.C. 20554</w:t>
                    </w:r>
                  </w:p>
                  <w:p w:rsidR="00817A7D" w:rsidRDefault="00817A7D">
                    <w:pPr>
                      <w:rPr>
                        <w:sz w:val="24"/>
                      </w:rPr>
                    </w:pPr>
                  </w:p>
                </w:txbxContent>
              </v:textbox>
            </v:shape>
          </w:pict>
        </mc:Fallback>
      </mc:AlternateContent>
    </w:r>
  </w:p>
  <w:p w:rsidR="00817A7D" w:rsidRDefault="009A5D5C">
    <w:pPr>
      <w:pStyle w:val="Header"/>
      <w:tabs>
        <w:tab w:val="clear" w:pos="4320"/>
        <w:tab w:val="clear" w:pos="8640"/>
        <w:tab w:val="left" w:pos="1080"/>
      </w:tabs>
      <w:ind w:left="720"/>
      <w:rPr>
        <w:b/>
        <w:sz w:val="24"/>
      </w:rPr>
    </w:pPr>
    <w:r>
      <w:rPr>
        <w:rFonts w:ascii="Arial" w:hAnsi="Arial"/>
        <w:b/>
        <w:noProof/>
      </w:rPr>
      <mc:AlternateContent>
        <mc:Choice Requires="wps">
          <w:drawing>
            <wp:anchor distT="0" distB="0" distL="114300" distR="114300" simplePos="0" relativeHeight="251664384" behindDoc="0" locked="0" layoutInCell="0" allowOverlap="1" wp14:anchorId="5CF95E8B" wp14:editId="65ACEAF6">
              <wp:simplePos x="0" y="0"/>
              <wp:positionH relativeFrom="column">
                <wp:posOffset>-25400</wp:posOffset>
              </wp:positionH>
              <wp:positionV relativeFrom="paragraph">
                <wp:posOffset>137160</wp:posOffset>
              </wp:positionV>
              <wp:extent cx="5956300" cy="0"/>
              <wp:effectExtent l="0" t="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8pt" to="46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V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TGdP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90"/>
    <w:rsid w:val="00017FDD"/>
    <w:rsid w:val="001162A5"/>
    <w:rsid w:val="001355D7"/>
    <w:rsid w:val="001421DA"/>
    <w:rsid w:val="00180C21"/>
    <w:rsid w:val="001D16D6"/>
    <w:rsid w:val="001E0783"/>
    <w:rsid w:val="002047DC"/>
    <w:rsid w:val="00221C92"/>
    <w:rsid w:val="002519A4"/>
    <w:rsid w:val="002727D1"/>
    <w:rsid w:val="003616FE"/>
    <w:rsid w:val="003B2F70"/>
    <w:rsid w:val="00475536"/>
    <w:rsid w:val="004A65C5"/>
    <w:rsid w:val="004B1444"/>
    <w:rsid w:val="004F785B"/>
    <w:rsid w:val="00606FDB"/>
    <w:rsid w:val="0065415D"/>
    <w:rsid w:val="006F6ECC"/>
    <w:rsid w:val="0077707F"/>
    <w:rsid w:val="00782202"/>
    <w:rsid w:val="007F5D82"/>
    <w:rsid w:val="00817A7D"/>
    <w:rsid w:val="0089510C"/>
    <w:rsid w:val="00905BA8"/>
    <w:rsid w:val="0091011C"/>
    <w:rsid w:val="009502AE"/>
    <w:rsid w:val="009A5D5C"/>
    <w:rsid w:val="00A6650A"/>
    <w:rsid w:val="00A86EEB"/>
    <w:rsid w:val="00AB7DE3"/>
    <w:rsid w:val="00AC2931"/>
    <w:rsid w:val="00AE0836"/>
    <w:rsid w:val="00B102EF"/>
    <w:rsid w:val="00B24890"/>
    <w:rsid w:val="00BB30A0"/>
    <w:rsid w:val="00BB6DE6"/>
    <w:rsid w:val="00BD1DEE"/>
    <w:rsid w:val="00BF7CB5"/>
    <w:rsid w:val="00C26C7A"/>
    <w:rsid w:val="00C621CA"/>
    <w:rsid w:val="00D4262A"/>
    <w:rsid w:val="00D5660D"/>
    <w:rsid w:val="00E000F0"/>
    <w:rsid w:val="00E25BB7"/>
    <w:rsid w:val="00F2128C"/>
    <w:rsid w:val="00F816EE"/>
    <w:rsid w:val="00F92FA4"/>
    <w:rsid w:val="00FA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Style 12,(NECG) Footnote Reference,Appel note de bas de p,Style 124,fr,o,Style 3,FR"/>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PageNumber">
    <w:name w:val="page numb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ParaNum0">
    <w:name w:val="ParaNum"/>
    <w:basedOn w:val="Normal"/>
    <w:link w:val="ParaNumChar"/>
    <w:rsid w:val="00B24890"/>
    <w:pPr>
      <w:widowControl w:val="0"/>
      <w:spacing w:after="220"/>
      <w:jc w:val="both"/>
    </w:pPr>
    <w:rPr>
      <w:snapToGrid w:val="0"/>
      <w:kern w:val="28"/>
    </w:rPr>
  </w:style>
  <w:style w:type="character" w:customStyle="1" w:styleId="ParaNumChar">
    <w:name w:val="ParaNum Char"/>
    <w:link w:val="ParaNum0"/>
    <w:locked/>
    <w:rsid w:val="00B24890"/>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B24890"/>
    <w:rPr>
      <w:sz w:val="22"/>
    </w:rPr>
  </w:style>
  <w:style w:type="character" w:styleId="CommentReference">
    <w:name w:val="annotation reference"/>
    <w:rsid w:val="00B24890"/>
    <w:rPr>
      <w:sz w:val="16"/>
      <w:szCs w:val="16"/>
    </w:rPr>
  </w:style>
  <w:style w:type="paragraph" w:styleId="CommentText">
    <w:name w:val="annotation text"/>
    <w:basedOn w:val="Normal"/>
    <w:link w:val="CommentTextChar"/>
    <w:rsid w:val="00B24890"/>
    <w:rPr>
      <w:sz w:val="20"/>
    </w:rPr>
  </w:style>
  <w:style w:type="character" w:customStyle="1" w:styleId="CommentTextChar">
    <w:name w:val="Comment Text Char"/>
    <w:basedOn w:val="DefaultParagraphFont"/>
    <w:link w:val="CommentText"/>
    <w:rsid w:val="00B24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Style 12,(NECG) Footnote Reference,Appel note de bas de p,Style 124,fr,o,Style 3,FR"/>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PageNumber">
    <w:name w:val="page numbe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ParaNum0">
    <w:name w:val="ParaNum"/>
    <w:basedOn w:val="Normal"/>
    <w:link w:val="ParaNumChar"/>
    <w:rsid w:val="00B24890"/>
    <w:pPr>
      <w:widowControl w:val="0"/>
      <w:spacing w:after="220"/>
      <w:jc w:val="both"/>
    </w:pPr>
    <w:rPr>
      <w:snapToGrid w:val="0"/>
      <w:kern w:val="28"/>
    </w:rPr>
  </w:style>
  <w:style w:type="character" w:customStyle="1" w:styleId="ParaNumChar">
    <w:name w:val="ParaNum Char"/>
    <w:link w:val="ParaNum0"/>
    <w:locked/>
    <w:rsid w:val="00B24890"/>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semiHidden/>
    <w:locked/>
    <w:rsid w:val="00B24890"/>
    <w:rPr>
      <w:sz w:val="22"/>
    </w:rPr>
  </w:style>
  <w:style w:type="character" w:styleId="CommentReference">
    <w:name w:val="annotation reference"/>
    <w:rsid w:val="00B24890"/>
    <w:rPr>
      <w:sz w:val="16"/>
      <w:szCs w:val="16"/>
    </w:rPr>
  </w:style>
  <w:style w:type="paragraph" w:styleId="CommentText">
    <w:name w:val="annotation text"/>
    <w:basedOn w:val="Normal"/>
    <w:link w:val="CommentTextChar"/>
    <w:rsid w:val="00B24890"/>
    <w:rPr>
      <w:sz w:val="20"/>
    </w:rPr>
  </w:style>
  <w:style w:type="character" w:customStyle="1" w:styleId="CommentTextChar">
    <w:name w:val="Comment Text Char"/>
    <w:basedOn w:val="DefaultParagraphFont"/>
    <w:link w:val="CommentText"/>
    <w:rsid w:val="00B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reel@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702168639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1266</Words>
  <Characters>6948</Characters>
  <Application>Microsoft Office Word</Application>
  <DocSecurity>0</DocSecurity>
  <Lines>110</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2015-04-03T15:55:00Z</cp:lastPrinted>
  <dcterms:created xsi:type="dcterms:W3CDTF">2015-05-06T16:15:00Z</dcterms:created>
  <dcterms:modified xsi:type="dcterms:W3CDTF">2015-05-06T16:15:00Z</dcterms:modified>
  <cp:category> </cp:category>
  <cp:contentStatus> </cp:contentStatus>
</cp:coreProperties>
</file>