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77" w:rsidRPr="00820C1B" w:rsidRDefault="009A4AA4" w:rsidP="00752B4E">
      <w:pPr>
        <w:tabs>
          <w:tab w:val="left" w:pos="7630"/>
        </w:tabs>
        <w:rPr>
          <w:sz w:val="22"/>
          <w:szCs w:val="22"/>
        </w:rPr>
      </w:pPr>
      <w:bookmarkStart w:id="0" w:name="_GoBack"/>
      <w:bookmarkEnd w:id="0"/>
      <w:r>
        <w:rPr>
          <w:sz w:val="22"/>
          <w:szCs w:val="22"/>
        </w:rPr>
        <w:tab/>
      </w:r>
    </w:p>
    <w:p w:rsidR="009A4AA4" w:rsidRDefault="009A4AA4" w:rsidP="00752B4E">
      <w:pPr>
        <w:autoSpaceDE w:val="0"/>
        <w:autoSpaceDN w:val="0"/>
        <w:adjustRightInd w:val="0"/>
        <w:jc w:val="right"/>
        <w:rPr>
          <w:sz w:val="22"/>
          <w:szCs w:val="22"/>
        </w:rPr>
      </w:pPr>
      <w:r w:rsidRPr="004A1286">
        <w:rPr>
          <w:sz w:val="22"/>
          <w:szCs w:val="22"/>
        </w:rPr>
        <w:t>DA 15-</w:t>
      </w:r>
      <w:r w:rsidR="004A1286" w:rsidRPr="004A1286">
        <w:rPr>
          <w:sz w:val="22"/>
          <w:szCs w:val="22"/>
        </w:rPr>
        <w:t>549</w:t>
      </w:r>
    </w:p>
    <w:p w:rsidR="009A4AA4" w:rsidRDefault="009A4AA4" w:rsidP="00752B4E">
      <w:pPr>
        <w:autoSpaceDE w:val="0"/>
        <w:autoSpaceDN w:val="0"/>
        <w:adjustRightInd w:val="0"/>
        <w:rPr>
          <w:sz w:val="22"/>
          <w:szCs w:val="22"/>
        </w:rPr>
      </w:pPr>
    </w:p>
    <w:p w:rsidR="00AE2227" w:rsidRPr="001B1A16" w:rsidRDefault="00901187" w:rsidP="00752B4E">
      <w:pPr>
        <w:autoSpaceDE w:val="0"/>
        <w:autoSpaceDN w:val="0"/>
        <w:adjustRightInd w:val="0"/>
        <w:rPr>
          <w:sz w:val="22"/>
          <w:szCs w:val="22"/>
        </w:rPr>
      </w:pPr>
      <w:r w:rsidRPr="001B1A16">
        <w:rPr>
          <w:sz w:val="22"/>
          <w:szCs w:val="22"/>
        </w:rPr>
        <w:t xml:space="preserve">Michele Farquhar, Esq. </w:t>
      </w:r>
      <w:r w:rsidRPr="001B1A16">
        <w:rPr>
          <w:sz w:val="22"/>
          <w:szCs w:val="22"/>
        </w:rPr>
        <w:br/>
        <w:t xml:space="preserve">Hogan Lovells (US) LLP </w:t>
      </w:r>
      <w:r w:rsidRPr="001B1A16">
        <w:rPr>
          <w:sz w:val="22"/>
          <w:szCs w:val="22"/>
        </w:rPr>
        <w:br/>
        <w:t>555 13th St</w:t>
      </w:r>
      <w:r w:rsidR="004F2EDF" w:rsidRPr="001B1A16">
        <w:rPr>
          <w:sz w:val="22"/>
          <w:szCs w:val="22"/>
        </w:rPr>
        <w:t>reet</w:t>
      </w:r>
      <w:r w:rsidRPr="001B1A16">
        <w:rPr>
          <w:sz w:val="22"/>
          <w:szCs w:val="22"/>
        </w:rPr>
        <w:t>, NW</w:t>
      </w:r>
      <w:r w:rsidRPr="001B1A16">
        <w:rPr>
          <w:sz w:val="22"/>
          <w:szCs w:val="22"/>
        </w:rPr>
        <w:br/>
        <w:t>Washington, DC 20004</w:t>
      </w:r>
      <w:r w:rsidR="00AE2227" w:rsidRPr="001B1A16">
        <w:rPr>
          <w:sz w:val="22"/>
          <w:szCs w:val="22"/>
        </w:rPr>
        <w:t xml:space="preserve"> </w:t>
      </w:r>
    </w:p>
    <w:p w:rsidR="00D26561" w:rsidRPr="001B1A16" w:rsidRDefault="00D26561" w:rsidP="00752B4E">
      <w:pPr>
        <w:autoSpaceDE w:val="0"/>
        <w:autoSpaceDN w:val="0"/>
        <w:adjustRightInd w:val="0"/>
        <w:rPr>
          <w:sz w:val="22"/>
          <w:szCs w:val="22"/>
        </w:rPr>
      </w:pPr>
    </w:p>
    <w:p w:rsidR="00487DC1" w:rsidRPr="001B1A16" w:rsidRDefault="00782AD3" w:rsidP="00752B4E">
      <w:pPr>
        <w:autoSpaceDE w:val="0"/>
        <w:autoSpaceDN w:val="0"/>
        <w:adjustRightInd w:val="0"/>
        <w:ind w:firstLine="720"/>
        <w:rPr>
          <w:sz w:val="22"/>
          <w:szCs w:val="22"/>
        </w:rPr>
      </w:pPr>
      <w:r w:rsidRPr="001B1A16">
        <w:rPr>
          <w:sz w:val="22"/>
          <w:szCs w:val="22"/>
        </w:rPr>
        <w:t xml:space="preserve">RE: </w:t>
      </w:r>
      <w:r w:rsidR="000C4D0F" w:rsidRPr="001B1A16">
        <w:rPr>
          <w:sz w:val="22"/>
          <w:szCs w:val="22"/>
        </w:rPr>
        <w:t xml:space="preserve"> </w:t>
      </w:r>
      <w:r w:rsidR="00760015" w:rsidRPr="001B1A16">
        <w:rPr>
          <w:sz w:val="22"/>
          <w:szCs w:val="22"/>
          <w:u w:val="single"/>
        </w:rPr>
        <w:t xml:space="preserve">Application </w:t>
      </w:r>
      <w:r w:rsidR="00AF5C01" w:rsidRPr="001B1A16">
        <w:rPr>
          <w:sz w:val="22"/>
          <w:szCs w:val="22"/>
          <w:u w:val="single"/>
        </w:rPr>
        <w:t xml:space="preserve">File Nos. 0006225158 and 0006225216 </w:t>
      </w:r>
    </w:p>
    <w:p w:rsidR="00487DC1" w:rsidRPr="001B1A16" w:rsidRDefault="00487DC1" w:rsidP="00752B4E">
      <w:pPr>
        <w:autoSpaceDE w:val="0"/>
        <w:autoSpaceDN w:val="0"/>
        <w:adjustRightInd w:val="0"/>
        <w:ind w:firstLine="720"/>
        <w:rPr>
          <w:sz w:val="22"/>
          <w:szCs w:val="22"/>
        </w:rPr>
      </w:pPr>
    </w:p>
    <w:p w:rsidR="00BF4376" w:rsidRPr="001B1A16" w:rsidRDefault="00BF4376" w:rsidP="00752B4E">
      <w:pPr>
        <w:autoSpaceDE w:val="0"/>
        <w:autoSpaceDN w:val="0"/>
        <w:adjustRightInd w:val="0"/>
        <w:rPr>
          <w:sz w:val="22"/>
          <w:szCs w:val="22"/>
        </w:rPr>
      </w:pPr>
      <w:r w:rsidRPr="001B1A16">
        <w:rPr>
          <w:sz w:val="22"/>
          <w:szCs w:val="22"/>
        </w:rPr>
        <w:t>Dear</w:t>
      </w:r>
      <w:r w:rsidR="00D81E39" w:rsidRPr="001B1A16">
        <w:rPr>
          <w:sz w:val="22"/>
          <w:szCs w:val="22"/>
        </w:rPr>
        <w:t xml:space="preserve"> </w:t>
      </w:r>
      <w:r w:rsidR="00901187" w:rsidRPr="001B1A16">
        <w:rPr>
          <w:sz w:val="22"/>
          <w:szCs w:val="22"/>
        </w:rPr>
        <w:t>Ms. Farquhar:</w:t>
      </w:r>
    </w:p>
    <w:p w:rsidR="00487DC1" w:rsidRPr="001B1A16" w:rsidRDefault="00487DC1" w:rsidP="00752B4E">
      <w:pPr>
        <w:autoSpaceDE w:val="0"/>
        <w:autoSpaceDN w:val="0"/>
        <w:adjustRightInd w:val="0"/>
        <w:ind w:firstLine="720"/>
        <w:rPr>
          <w:sz w:val="22"/>
          <w:szCs w:val="22"/>
        </w:rPr>
      </w:pPr>
    </w:p>
    <w:p w:rsidR="006800D8" w:rsidRPr="001B1A16" w:rsidRDefault="00AF5C01" w:rsidP="00752B4E">
      <w:pPr>
        <w:autoSpaceDE w:val="0"/>
        <w:autoSpaceDN w:val="0"/>
        <w:adjustRightInd w:val="0"/>
        <w:ind w:firstLine="720"/>
        <w:rPr>
          <w:sz w:val="22"/>
          <w:szCs w:val="22"/>
        </w:rPr>
      </w:pPr>
      <w:r w:rsidRPr="001B1A16">
        <w:rPr>
          <w:sz w:val="22"/>
          <w:szCs w:val="22"/>
        </w:rPr>
        <w:t xml:space="preserve">For the reasons </w:t>
      </w:r>
      <w:r w:rsidR="003D0CAD">
        <w:rPr>
          <w:sz w:val="22"/>
          <w:szCs w:val="22"/>
        </w:rPr>
        <w:t xml:space="preserve">discussed </w:t>
      </w:r>
      <w:r w:rsidR="007B08F2" w:rsidRPr="001B1A16">
        <w:rPr>
          <w:sz w:val="22"/>
          <w:szCs w:val="22"/>
        </w:rPr>
        <w:t>below</w:t>
      </w:r>
      <w:r w:rsidR="003D0CAD">
        <w:rPr>
          <w:sz w:val="22"/>
          <w:szCs w:val="22"/>
        </w:rPr>
        <w:t>,</w:t>
      </w:r>
      <w:r w:rsidR="007B08F2" w:rsidRPr="001B1A16">
        <w:rPr>
          <w:sz w:val="22"/>
          <w:szCs w:val="22"/>
        </w:rPr>
        <w:t xml:space="preserve"> </w:t>
      </w:r>
      <w:r w:rsidR="00901187" w:rsidRPr="001B1A16">
        <w:rPr>
          <w:sz w:val="22"/>
          <w:szCs w:val="22"/>
        </w:rPr>
        <w:t>the Mobility Division of the Wireless Telecommunications Bureau</w:t>
      </w:r>
      <w:r w:rsidR="004F2EDF" w:rsidRPr="001B1A16">
        <w:rPr>
          <w:sz w:val="22"/>
          <w:szCs w:val="22"/>
        </w:rPr>
        <w:t xml:space="preserve"> (Bureau)</w:t>
      </w:r>
      <w:r w:rsidR="00901187" w:rsidRPr="001B1A16">
        <w:rPr>
          <w:sz w:val="22"/>
          <w:szCs w:val="22"/>
        </w:rPr>
        <w:t xml:space="preserve"> hereby </w:t>
      </w:r>
      <w:r w:rsidRPr="001B1A16">
        <w:rPr>
          <w:sz w:val="22"/>
          <w:szCs w:val="22"/>
        </w:rPr>
        <w:t>grant</w:t>
      </w:r>
      <w:r w:rsidR="00901187" w:rsidRPr="001B1A16">
        <w:rPr>
          <w:sz w:val="22"/>
          <w:szCs w:val="22"/>
        </w:rPr>
        <w:t>s</w:t>
      </w:r>
      <w:r w:rsidRPr="001B1A16">
        <w:rPr>
          <w:sz w:val="22"/>
          <w:szCs w:val="22"/>
        </w:rPr>
        <w:t xml:space="preserve"> the above </w:t>
      </w:r>
      <w:r w:rsidR="00CF1EE7">
        <w:rPr>
          <w:sz w:val="22"/>
          <w:szCs w:val="22"/>
        </w:rPr>
        <w:t xml:space="preserve">captioned </w:t>
      </w:r>
      <w:r w:rsidRPr="001B1A16">
        <w:rPr>
          <w:sz w:val="22"/>
          <w:szCs w:val="22"/>
        </w:rPr>
        <w:t xml:space="preserve">applications </w:t>
      </w:r>
      <w:r w:rsidR="003031B9" w:rsidRPr="001B1A16">
        <w:rPr>
          <w:sz w:val="22"/>
          <w:szCs w:val="22"/>
        </w:rPr>
        <w:t xml:space="preserve">for an exchange of </w:t>
      </w:r>
      <w:r w:rsidR="00874D68" w:rsidRPr="001B1A16">
        <w:rPr>
          <w:sz w:val="22"/>
          <w:szCs w:val="22"/>
        </w:rPr>
        <w:t xml:space="preserve">220-222 MHz band (220 MHz Band) </w:t>
      </w:r>
      <w:r w:rsidR="003031B9" w:rsidRPr="001B1A16">
        <w:rPr>
          <w:sz w:val="22"/>
          <w:szCs w:val="22"/>
        </w:rPr>
        <w:t xml:space="preserve">spectrum </w:t>
      </w:r>
      <w:r w:rsidR="00D81E39" w:rsidRPr="001B1A16">
        <w:rPr>
          <w:sz w:val="22"/>
          <w:szCs w:val="22"/>
        </w:rPr>
        <w:t xml:space="preserve">licenses </w:t>
      </w:r>
      <w:r w:rsidR="003031B9" w:rsidRPr="001B1A16">
        <w:rPr>
          <w:sz w:val="22"/>
          <w:szCs w:val="22"/>
        </w:rPr>
        <w:t>between PTC-220, LLC (PTC-220), a joint venture of the nation’s seven Class I freight railroads,</w:t>
      </w:r>
      <w:r w:rsidR="006800D8" w:rsidRPr="001B1A16">
        <w:rPr>
          <w:rStyle w:val="FootnoteReference"/>
          <w:sz w:val="22"/>
          <w:szCs w:val="22"/>
        </w:rPr>
        <w:footnoteReference w:id="1"/>
      </w:r>
      <w:r w:rsidR="003031B9" w:rsidRPr="001B1A16">
        <w:rPr>
          <w:sz w:val="22"/>
          <w:szCs w:val="22"/>
        </w:rPr>
        <w:t xml:space="preserve"> and the Association of American Railroads (AAR), a trade association whose members include</w:t>
      </w:r>
      <w:r w:rsidR="00916938">
        <w:rPr>
          <w:sz w:val="22"/>
          <w:szCs w:val="22"/>
        </w:rPr>
        <w:t xml:space="preserve"> </w:t>
      </w:r>
      <w:r w:rsidR="003C1F70">
        <w:rPr>
          <w:sz w:val="22"/>
          <w:szCs w:val="22"/>
        </w:rPr>
        <w:t xml:space="preserve">the seven Class I </w:t>
      </w:r>
      <w:r w:rsidR="00B41CAE">
        <w:rPr>
          <w:sz w:val="22"/>
          <w:szCs w:val="22"/>
        </w:rPr>
        <w:t xml:space="preserve">and other </w:t>
      </w:r>
      <w:r w:rsidR="003031B9" w:rsidRPr="001B1A16">
        <w:rPr>
          <w:sz w:val="22"/>
          <w:szCs w:val="22"/>
        </w:rPr>
        <w:t>railroads.</w:t>
      </w:r>
      <w:r w:rsidR="00874D68" w:rsidRPr="001B1A16">
        <w:rPr>
          <w:rStyle w:val="FootnoteReference"/>
          <w:sz w:val="22"/>
          <w:szCs w:val="22"/>
        </w:rPr>
        <w:footnoteReference w:id="2"/>
      </w:r>
      <w:r w:rsidR="003031B9" w:rsidRPr="001B1A16">
        <w:rPr>
          <w:sz w:val="22"/>
          <w:szCs w:val="22"/>
        </w:rPr>
        <w:t xml:space="preserve">  We also grant to the extent described below </w:t>
      </w:r>
      <w:r w:rsidR="00D87FB3" w:rsidRPr="001B1A16">
        <w:rPr>
          <w:sz w:val="22"/>
          <w:szCs w:val="22"/>
        </w:rPr>
        <w:t xml:space="preserve">certain </w:t>
      </w:r>
      <w:r w:rsidR="00A51ACB">
        <w:rPr>
          <w:sz w:val="22"/>
          <w:szCs w:val="22"/>
        </w:rPr>
        <w:t xml:space="preserve">related </w:t>
      </w:r>
      <w:r w:rsidRPr="001B1A16">
        <w:rPr>
          <w:sz w:val="22"/>
          <w:szCs w:val="22"/>
        </w:rPr>
        <w:t>waiver requests</w:t>
      </w:r>
      <w:r w:rsidR="00901187" w:rsidRPr="001B1A16">
        <w:rPr>
          <w:sz w:val="22"/>
          <w:szCs w:val="22"/>
        </w:rPr>
        <w:t xml:space="preserve"> and an extension of time</w:t>
      </w:r>
      <w:r w:rsidR="008009AE">
        <w:rPr>
          <w:sz w:val="22"/>
          <w:szCs w:val="22"/>
        </w:rPr>
        <w:t>,</w:t>
      </w:r>
      <w:r w:rsidR="00901187" w:rsidRPr="001B1A16">
        <w:rPr>
          <w:sz w:val="22"/>
          <w:szCs w:val="22"/>
        </w:rPr>
        <w:t xml:space="preserve"> until December 31, 2015</w:t>
      </w:r>
      <w:r w:rsidR="008009AE">
        <w:rPr>
          <w:sz w:val="22"/>
          <w:szCs w:val="22"/>
        </w:rPr>
        <w:t>,</w:t>
      </w:r>
      <w:r w:rsidR="00901187" w:rsidRPr="001B1A16">
        <w:rPr>
          <w:sz w:val="22"/>
          <w:szCs w:val="22"/>
        </w:rPr>
        <w:t xml:space="preserve"> for AAR to make the required substantial service </w:t>
      </w:r>
      <w:r w:rsidR="00740D27">
        <w:rPr>
          <w:sz w:val="22"/>
          <w:szCs w:val="22"/>
        </w:rPr>
        <w:t xml:space="preserve">construction and renewal </w:t>
      </w:r>
      <w:r w:rsidR="00901187" w:rsidRPr="00740D27">
        <w:rPr>
          <w:sz w:val="22"/>
          <w:szCs w:val="22"/>
        </w:rPr>
        <w:t>showing</w:t>
      </w:r>
      <w:r w:rsidR="00740D27" w:rsidRPr="00740D27">
        <w:rPr>
          <w:sz w:val="22"/>
          <w:szCs w:val="22"/>
        </w:rPr>
        <w:t>s</w:t>
      </w:r>
      <w:r w:rsidR="00901187" w:rsidRPr="001B1A16">
        <w:rPr>
          <w:sz w:val="22"/>
          <w:szCs w:val="22"/>
        </w:rPr>
        <w:t xml:space="preserve"> for the licenses it seeks to acquire from PTC-220</w:t>
      </w:r>
      <w:r w:rsidRPr="001B1A16">
        <w:rPr>
          <w:sz w:val="22"/>
          <w:szCs w:val="22"/>
        </w:rPr>
        <w:t>.</w:t>
      </w:r>
      <w:r w:rsidR="006800D8" w:rsidRPr="001B1A16">
        <w:rPr>
          <w:sz w:val="22"/>
          <w:szCs w:val="22"/>
        </w:rPr>
        <w:t xml:space="preserve">  </w:t>
      </w:r>
    </w:p>
    <w:p w:rsidR="006800D8" w:rsidRPr="001B1A16" w:rsidRDefault="006800D8" w:rsidP="00752B4E">
      <w:pPr>
        <w:autoSpaceDE w:val="0"/>
        <w:autoSpaceDN w:val="0"/>
        <w:adjustRightInd w:val="0"/>
        <w:ind w:firstLine="720"/>
        <w:rPr>
          <w:sz w:val="22"/>
          <w:szCs w:val="22"/>
        </w:rPr>
      </w:pPr>
    </w:p>
    <w:p w:rsidR="00DF1ED8" w:rsidRPr="007B0F17" w:rsidRDefault="007B0F17" w:rsidP="00752B4E">
      <w:pPr>
        <w:pStyle w:val="ParaNum"/>
        <w:numPr>
          <w:ilvl w:val="0"/>
          <w:numId w:val="0"/>
        </w:numPr>
        <w:tabs>
          <w:tab w:val="left" w:pos="360"/>
        </w:tabs>
        <w:autoSpaceDE w:val="0"/>
        <w:autoSpaceDN w:val="0"/>
        <w:adjustRightInd w:val="0"/>
        <w:rPr>
          <w:b/>
          <w:szCs w:val="22"/>
        </w:rPr>
      </w:pPr>
      <w:r>
        <w:rPr>
          <w:b/>
          <w:szCs w:val="22"/>
        </w:rPr>
        <w:tab/>
      </w:r>
      <w:r>
        <w:rPr>
          <w:b/>
          <w:szCs w:val="22"/>
        </w:rPr>
        <w:tab/>
      </w:r>
      <w:r w:rsidR="00DF1ED8" w:rsidRPr="007B0F17">
        <w:rPr>
          <w:b/>
          <w:szCs w:val="22"/>
        </w:rPr>
        <w:t>B</w:t>
      </w:r>
      <w:r w:rsidRPr="007B0F17">
        <w:rPr>
          <w:b/>
          <w:szCs w:val="22"/>
        </w:rPr>
        <w:t>ACKGROUND</w:t>
      </w:r>
    </w:p>
    <w:p w:rsidR="00185BA7" w:rsidRPr="001B1A16" w:rsidRDefault="004D1D1C" w:rsidP="00752B4E">
      <w:pPr>
        <w:pStyle w:val="ParaNum"/>
        <w:numPr>
          <w:ilvl w:val="0"/>
          <w:numId w:val="0"/>
        </w:numPr>
        <w:tabs>
          <w:tab w:val="left" w:pos="360"/>
        </w:tabs>
        <w:autoSpaceDE w:val="0"/>
        <w:autoSpaceDN w:val="0"/>
        <w:adjustRightInd w:val="0"/>
        <w:ind w:firstLine="720"/>
        <w:rPr>
          <w:szCs w:val="22"/>
        </w:rPr>
      </w:pPr>
      <w:r w:rsidRPr="001B1A16">
        <w:rPr>
          <w:szCs w:val="22"/>
        </w:rPr>
        <w:t>Pursuant to the Rail Safety Improvement Act of 2008 (RSIA), most freight, intercity passenger,</w:t>
      </w:r>
      <w:r w:rsidR="00A51ACB">
        <w:rPr>
          <w:szCs w:val="22"/>
        </w:rPr>
        <w:t xml:space="preserve"> </w:t>
      </w:r>
      <w:r w:rsidRPr="001B1A16">
        <w:rPr>
          <w:szCs w:val="22"/>
        </w:rPr>
        <w:t>and</w:t>
      </w:r>
      <w:r w:rsidR="00C0515F" w:rsidRPr="001B1A16">
        <w:rPr>
          <w:szCs w:val="22"/>
        </w:rPr>
        <w:t xml:space="preserve"> </w:t>
      </w:r>
      <w:r w:rsidRPr="001B1A16">
        <w:rPr>
          <w:szCs w:val="22"/>
        </w:rPr>
        <w:t xml:space="preserve">commuter railroads are required to install and operate interoperable </w:t>
      </w:r>
      <w:r w:rsidR="008C30B9" w:rsidRPr="001B1A16">
        <w:rPr>
          <w:szCs w:val="22"/>
        </w:rPr>
        <w:t xml:space="preserve">positive train control (PTC) </w:t>
      </w:r>
      <w:r w:rsidRPr="001B1A16">
        <w:rPr>
          <w:szCs w:val="22"/>
        </w:rPr>
        <w:t>systems by December 31, 2015.</w:t>
      </w:r>
      <w:r w:rsidRPr="001B1A16">
        <w:rPr>
          <w:rStyle w:val="FootnoteReference"/>
          <w:szCs w:val="22"/>
        </w:rPr>
        <w:footnoteReference w:id="3"/>
      </w:r>
      <w:r w:rsidR="003031B9" w:rsidRPr="001B1A16">
        <w:rPr>
          <w:szCs w:val="22"/>
        </w:rPr>
        <w:t xml:space="preserve">  </w:t>
      </w:r>
      <w:r w:rsidR="00185BA7" w:rsidRPr="001B1A16">
        <w:rPr>
          <w:szCs w:val="22"/>
        </w:rPr>
        <w:t xml:space="preserve">PTC systems, once implemented, are intended to reduce the risk of rail accidents caused by human error, including train-to-train collisions, derailments caused by excessive speed, and unauthorized train movements in work zones.  </w:t>
      </w:r>
      <w:r w:rsidR="00185BA7" w:rsidRPr="001B1A16">
        <w:rPr>
          <w:rFonts w:eastAsia="Arial"/>
          <w:szCs w:val="22"/>
        </w:rPr>
        <w:t>PTC wireless communications networks are intended to enable real-time information sharing between trains, rail wayside devices, and control centers, regarding train movement authorities, speed restrictions, train consist, position, speed, and the state of signal and switch devices.</w:t>
      </w:r>
    </w:p>
    <w:p w:rsidR="008009AE" w:rsidRDefault="008C30B9" w:rsidP="00752B4E">
      <w:pPr>
        <w:pStyle w:val="ParaNum"/>
        <w:numPr>
          <w:ilvl w:val="0"/>
          <w:numId w:val="0"/>
        </w:numPr>
        <w:tabs>
          <w:tab w:val="left" w:pos="360"/>
        </w:tabs>
        <w:autoSpaceDE w:val="0"/>
        <w:autoSpaceDN w:val="0"/>
        <w:adjustRightInd w:val="0"/>
        <w:ind w:firstLine="720"/>
        <w:rPr>
          <w:szCs w:val="22"/>
        </w:rPr>
      </w:pPr>
      <w:r w:rsidRPr="001B1A16">
        <w:rPr>
          <w:szCs w:val="22"/>
        </w:rPr>
        <w:t xml:space="preserve">PTC-220 has acquired </w:t>
      </w:r>
      <w:r w:rsidR="00185BA7" w:rsidRPr="001B1A16">
        <w:rPr>
          <w:szCs w:val="22"/>
        </w:rPr>
        <w:t xml:space="preserve">nationwide and other </w:t>
      </w:r>
      <w:r w:rsidRPr="001B1A16">
        <w:rPr>
          <w:szCs w:val="22"/>
        </w:rPr>
        <w:t xml:space="preserve">220 MHz Band spectrum </w:t>
      </w:r>
      <w:r w:rsidR="003C1466">
        <w:rPr>
          <w:szCs w:val="22"/>
        </w:rPr>
        <w:t xml:space="preserve">licenses </w:t>
      </w:r>
      <w:r w:rsidRPr="001B1A16">
        <w:rPr>
          <w:szCs w:val="22"/>
        </w:rPr>
        <w:t>to enable the deployment of</w:t>
      </w:r>
      <w:r w:rsidR="00185BA7" w:rsidRPr="001B1A16">
        <w:rPr>
          <w:szCs w:val="22"/>
        </w:rPr>
        <w:t xml:space="preserve"> </w:t>
      </w:r>
      <w:r w:rsidRPr="001B1A16">
        <w:rPr>
          <w:szCs w:val="22"/>
        </w:rPr>
        <w:t>PTC systems by its members and other railroads, including commuter railroads, in the United States.</w:t>
      </w:r>
      <w:r w:rsidRPr="001B1A16">
        <w:rPr>
          <w:rStyle w:val="FootnoteReference"/>
          <w:szCs w:val="22"/>
        </w:rPr>
        <w:footnoteReference w:id="4"/>
      </w:r>
      <w:r w:rsidRPr="001B1A16">
        <w:rPr>
          <w:szCs w:val="22"/>
        </w:rPr>
        <w:t xml:space="preserve">  </w:t>
      </w:r>
      <w:r w:rsidR="001157C1" w:rsidRPr="001B1A16">
        <w:rPr>
          <w:szCs w:val="22"/>
        </w:rPr>
        <w:t>PTC-220</w:t>
      </w:r>
      <w:r w:rsidR="00606EAB" w:rsidRPr="001B1A16">
        <w:rPr>
          <w:szCs w:val="22"/>
        </w:rPr>
        <w:t xml:space="preserve">’s </w:t>
      </w:r>
      <w:r w:rsidR="00A51ACB">
        <w:rPr>
          <w:szCs w:val="22"/>
        </w:rPr>
        <w:t xml:space="preserve">220 MHz licenses </w:t>
      </w:r>
      <w:r w:rsidR="00606EAB" w:rsidRPr="001B1A16">
        <w:rPr>
          <w:szCs w:val="22"/>
        </w:rPr>
        <w:t xml:space="preserve">include </w:t>
      </w:r>
      <w:r w:rsidR="001157C1" w:rsidRPr="001B1A16">
        <w:rPr>
          <w:szCs w:val="22"/>
        </w:rPr>
        <w:t>six regional economic area licenses</w:t>
      </w:r>
      <w:r w:rsidR="00EA7C25" w:rsidRPr="001B1A16">
        <w:rPr>
          <w:szCs w:val="22"/>
        </w:rPr>
        <w:t xml:space="preserve"> (the “J Block Licenses”),</w:t>
      </w:r>
      <w:r w:rsidR="00B8679F">
        <w:rPr>
          <w:rStyle w:val="FootnoteReference"/>
          <w:szCs w:val="22"/>
        </w:rPr>
        <w:footnoteReference w:id="5"/>
      </w:r>
      <w:r w:rsidR="00EA7C25" w:rsidRPr="001B1A16">
        <w:rPr>
          <w:szCs w:val="22"/>
        </w:rPr>
        <w:t xml:space="preserve"> which together form a </w:t>
      </w:r>
      <w:r w:rsidR="00EA7C25" w:rsidRPr="001B1A16">
        <w:rPr>
          <w:i/>
          <w:szCs w:val="22"/>
        </w:rPr>
        <w:t>de facto</w:t>
      </w:r>
      <w:r w:rsidR="00EA7C25" w:rsidRPr="001B1A16">
        <w:rPr>
          <w:szCs w:val="22"/>
        </w:rPr>
        <w:t xml:space="preserve"> nationwide license.</w:t>
      </w:r>
      <w:r w:rsidR="006800D8" w:rsidRPr="001B1A16">
        <w:rPr>
          <w:rStyle w:val="FootnoteReference"/>
          <w:szCs w:val="22"/>
        </w:rPr>
        <w:footnoteReference w:id="6"/>
      </w:r>
    </w:p>
    <w:p w:rsidR="008009AE" w:rsidRDefault="001157C1" w:rsidP="00752B4E">
      <w:pPr>
        <w:pStyle w:val="ParaNum"/>
        <w:numPr>
          <w:ilvl w:val="0"/>
          <w:numId w:val="0"/>
        </w:numPr>
        <w:tabs>
          <w:tab w:val="left" w:pos="360"/>
        </w:tabs>
        <w:autoSpaceDE w:val="0"/>
        <w:autoSpaceDN w:val="0"/>
        <w:adjustRightInd w:val="0"/>
        <w:ind w:firstLine="720"/>
        <w:rPr>
          <w:rFonts w:cs="Arial"/>
          <w:szCs w:val="22"/>
        </w:rPr>
      </w:pPr>
      <w:r w:rsidRPr="001B1A16">
        <w:rPr>
          <w:szCs w:val="22"/>
        </w:rPr>
        <w:lastRenderedPageBreak/>
        <w:t xml:space="preserve">AAR holds </w:t>
      </w:r>
      <w:r w:rsidR="00082026" w:rsidRPr="001B1A16">
        <w:rPr>
          <w:szCs w:val="22"/>
        </w:rPr>
        <w:t xml:space="preserve">certain spectrum licenses for the benefit of its members, including </w:t>
      </w:r>
      <w:r w:rsidRPr="001B1A16">
        <w:rPr>
          <w:szCs w:val="22"/>
        </w:rPr>
        <w:t xml:space="preserve">a </w:t>
      </w:r>
      <w:r w:rsidR="00874D68" w:rsidRPr="001B1A16">
        <w:rPr>
          <w:szCs w:val="22"/>
        </w:rPr>
        <w:t xml:space="preserve">nationwide </w:t>
      </w:r>
      <w:r w:rsidRPr="001B1A16">
        <w:rPr>
          <w:szCs w:val="22"/>
        </w:rPr>
        <w:t>220 MHz license (WPWY753, the “Nationwide License”).</w:t>
      </w:r>
      <w:r w:rsidR="006800D8" w:rsidRPr="001B1A16">
        <w:rPr>
          <w:rStyle w:val="FootnoteReference"/>
          <w:szCs w:val="22"/>
        </w:rPr>
        <w:footnoteReference w:id="7"/>
      </w:r>
      <w:r w:rsidRPr="001B1A16">
        <w:rPr>
          <w:szCs w:val="22"/>
        </w:rPr>
        <w:t xml:space="preserve">  </w:t>
      </w:r>
      <w:r w:rsidR="00325747" w:rsidRPr="001B1A16">
        <w:rPr>
          <w:szCs w:val="22"/>
        </w:rPr>
        <w:t xml:space="preserve">Several </w:t>
      </w:r>
      <w:r w:rsidRPr="001B1A16">
        <w:rPr>
          <w:szCs w:val="22"/>
        </w:rPr>
        <w:t xml:space="preserve">AAR freight railroad members use the Nationwide License for the remote control of locomotives (RCL) </w:t>
      </w:r>
      <w:r w:rsidR="00A37E66">
        <w:rPr>
          <w:szCs w:val="22"/>
        </w:rPr>
        <w:t xml:space="preserve">to </w:t>
      </w:r>
      <w:r w:rsidRPr="001B1A16">
        <w:rPr>
          <w:szCs w:val="22"/>
        </w:rPr>
        <w:t>assembl</w:t>
      </w:r>
      <w:r w:rsidR="00A37E66">
        <w:rPr>
          <w:szCs w:val="22"/>
        </w:rPr>
        <w:t>e</w:t>
      </w:r>
      <w:r w:rsidRPr="001B1A16">
        <w:rPr>
          <w:szCs w:val="22"/>
        </w:rPr>
        <w:t xml:space="preserve"> and disassembl</w:t>
      </w:r>
      <w:r w:rsidR="00A37E66">
        <w:rPr>
          <w:szCs w:val="22"/>
        </w:rPr>
        <w:t>e</w:t>
      </w:r>
      <w:r w:rsidRPr="001B1A16">
        <w:rPr>
          <w:szCs w:val="22"/>
        </w:rPr>
        <w:t xml:space="preserve"> </w:t>
      </w:r>
      <w:r w:rsidR="00A37E66">
        <w:rPr>
          <w:szCs w:val="22"/>
        </w:rPr>
        <w:t xml:space="preserve">trains </w:t>
      </w:r>
      <w:r w:rsidRPr="001B1A16">
        <w:rPr>
          <w:szCs w:val="22"/>
        </w:rPr>
        <w:t xml:space="preserve">in </w:t>
      </w:r>
      <w:r w:rsidR="00082026" w:rsidRPr="001B1A16">
        <w:rPr>
          <w:szCs w:val="22"/>
        </w:rPr>
        <w:t>rail yards</w:t>
      </w:r>
      <w:r w:rsidRPr="001B1A16">
        <w:rPr>
          <w:szCs w:val="22"/>
        </w:rPr>
        <w:t>.</w:t>
      </w:r>
      <w:r w:rsidRPr="001B1A16">
        <w:rPr>
          <w:szCs w:val="22"/>
          <w:vertAlign w:val="superscript"/>
        </w:rPr>
        <w:footnoteReference w:id="8"/>
      </w:r>
      <w:r w:rsidR="00606EAB" w:rsidRPr="001B1A16">
        <w:rPr>
          <w:szCs w:val="22"/>
        </w:rPr>
        <w:t xml:space="preserve">  </w:t>
      </w:r>
      <w:r w:rsidR="00992F90" w:rsidRPr="001B1A16">
        <w:rPr>
          <w:rFonts w:cs="Arial"/>
          <w:szCs w:val="22"/>
        </w:rPr>
        <w:t xml:space="preserve">RCL is intended to increase the safety of rail workers during train assembly </w:t>
      </w:r>
      <w:r w:rsidR="00A37E66">
        <w:rPr>
          <w:rFonts w:cs="Arial"/>
          <w:szCs w:val="22"/>
        </w:rPr>
        <w:t xml:space="preserve">and disassembly </w:t>
      </w:r>
      <w:r w:rsidR="00992F90" w:rsidRPr="001B1A16">
        <w:rPr>
          <w:rFonts w:cs="Arial"/>
          <w:szCs w:val="22"/>
        </w:rPr>
        <w:t>by replacing hand signals and voice commands between railroad personnel with remote control operations.</w:t>
      </w:r>
    </w:p>
    <w:p w:rsidR="00125DBE" w:rsidRPr="001B1A16" w:rsidRDefault="003C1F70" w:rsidP="00752B4E">
      <w:pPr>
        <w:pStyle w:val="ParaNum"/>
        <w:numPr>
          <w:ilvl w:val="0"/>
          <w:numId w:val="0"/>
        </w:numPr>
        <w:tabs>
          <w:tab w:val="left" w:pos="360"/>
        </w:tabs>
        <w:autoSpaceDE w:val="0"/>
        <w:autoSpaceDN w:val="0"/>
        <w:adjustRightInd w:val="0"/>
        <w:ind w:firstLine="720"/>
        <w:rPr>
          <w:szCs w:val="22"/>
        </w:rPr>
      </w:pPr>
      <w:r w:rsidRPr="001B1A16">
        <w:rPr>
          <w:szCs w:val="22"/>
        </w:rPr>
        <w:t xml:space="preserve">PTC-220 and AAR seek Commission consent to the assignment of the J Block Licenses to AAR and the Nationwide License to PTC-220.  </w:t>
      </w:r>
    </w:p>
    <w:p w:rsidR="007B0F17" w:rsidRPr="007B0F17" w:rsidRDefault="007B0F17" w:rsidP="00752B4E">
      <w:pPr>
        <w:pStyle w:val="ParaNum"/>
        <w:numPr>
          <w:ilvl w:val="0"/>
          <w:numId w:val="0"/>
        </w:numPr>
        <w:tabs>
          <w:tab w:val="left" w:pos="360"/>
        </w:tabs>
        <w:autoSpaceDE w:val="0"/>
        <w:autoSpaceDN w:val="0"/>
        <w:adjustRightInd w:val="0"/>
        <w:ind w:firstLine="720"/>
        <w:rPr>
          <w:b/>
          <w:szCs w:val="22"/>
        </w:rPr>
      </w:pPr>
      <w:r w:rsidRPr="007B0F17">
        <w:rPr>
          <w:b/>
          <w:szCs w:val="22"/>
        </w:rPr>
        <w:t>DISCUSSION</w:t>
      </w:r>
    </w:p>
    <w:p w:rsidR="008B5E40" w:rsidRPr="001B1A16" w:rsidRDefault="008B5E40" w:rsidP="00752B4E">
      <w:pPr>
        <w:pStyle w:val="ParaNum"/>
        <w:numPr>
          <w:ilvl w:val="0"/>
          <w:numId w:val="0"/>
        </w:numPr>
        <w:tabs>
          <w:tab w:val="left" w:pos="360"/>
        </w:tabs>
        <w:autoSpaceDE w:val="0"/>
        <w:autoSpaceDN w:val="0"/>
        <w:adjustRightInd w:val="0"/>
        <w:ind w:firstLine="720"/>
        <w:rPr>
          <w:rFonts w:eastAsia="Arial"/>
          <w:szCs w:val="22"/>
        </w:rPr>
      </w:pPr>
      <w:r w:rsidRPr="001B1A16">
        <w:rPr>
          <w:szCs w:val="22"/>
        </w:rPr>
        <w:t>T</w:t>
      </w:r>
      <w:r w:rsidR="006800D8" w:rsidRPr="001B1A16">
        <w:rPr>
          <w:szCs w:val="22"/>
        </w:rPr>
        <w:t xml:space="preserve">he </w:t>
      </w:r>
      <w:r w:rsidR="00831131" w:rsidRPr="001B1A16">
        <w:rPr>
          <w:szCs w:val="22"/>
        </w:rPr>
        <w:t xml:space="preserve">parties </w:t>
      </w:r>
      <w:r w:rsidR="00BF3AB3" w:rsidRPr="001B1A16">
        <w:rPr>
          <w:szCs w:val="22"/>
        </w:rPr>
        <w:t xml:space="preserve">state </w:t>
      </w:r>
      <w:r w:rsidR="00831131" w:rsidRPr="001B1A16">
        <w:rPr>
          <w:szCs w:val="22"/>
        </w:rPr>
        <w:t xml:space="preserve">that the </w:t>
      </w:r>
      <w:r w:rsidR="006800D8" w:rsidRPr="001B1A16">
        <w:rPr>
          <w:szCs w:val="22"/>
        </w:rPr>
        <w:t xml:space="preserve">J Block Licenses </w:t>
      </w:r>
      <w:r w:rsidR="008C30B9" w:rsidRPr="001B1A16">
        <w:rPr>
          <w:szCs w:val="22"/>
        </w:rPr>
        <w:t xml:space="preserve">have limited utility </w:t>
      </w:r>
      <w:r w:rsidRPr="001B1A16">
        <w:rPr>
          <w:szCs w:val="22"/>
        </w:rPr>
        <w:t xml:space="preserve">for </w:t>
      </w:r>
      <w:r w:rsidR="00E648A7" w:rsidRPr="001B1A16">
        <w:rPr>
          <w:szCs w:val="22"/>
        </w:rPr>
        <w:t xml:space="preserve">PTC </w:t>
      </w:r>
      <w:r w:rsidR="006800D8" w:rsidRPr="001B1A16">
        <w:rPr>
          <w:szCs w:val="22"/>
        </w:rPr>
        <w:t>deploy</w:t>
      </w:r>
      <w:r w:rsidRPr="001B1A16">
        <w:rPr>
          <w:szCs w:val="22"/>
        </w:rPr>
        <w:t xml:space="preserve">ment </w:t>
      </w:r>
      <w:r w:rsidR="006800D8" w:rsidRPr="001B1A16">
        <w:rPr>
          <w:szCs w:val="22"/>
        </w:rPr>
        <w:t xml:space="preserve">because of </w:t>
      </w:r>
      <w:r w:rsidR="00185BA7" w:rsidRPr="001B1A16">
        <w:rPr>
          <w:szCs w:val="22"/>
        </w:rPr>
        <w:t>a 2</w:t>
      </w:r>
      <w:r w:rsidR="003C1466">
        <w:rPr>
          <w:szCs w:val="22"/>
        </w:rPr>
        <w:t xml:space="preserve"> </w:t>
      </w:r>
      <w:r w:rsidR="00185BA7" w:rsidRPr="001B1A16">
        <w:rPr>
          <w:szCs w:val="22"/>
        </w:rPr>
        <w:t xml:space="preserve">watt </w:t>
      </w:r>
      <w:r w:rsidR="00755D54" w:rsidRPr="001B1A16">
        <w:rPr>
          <w:szCs w:val="22"/>
        </w:rPr>
        <w:t xml:space="preserve">effective radiated </w:t>
      </w:r>
      <w:r w:rsidR="006800D8" w:rsidRPr="001B1A16">
        <w:rPr>
          <w:szCs w:val="22"/>
        </w:rPr>
        <w:t xml:space="preserve">power </w:t>
      </w:r>
      <w:r w:rsidR="003C1466">
        <w:rPr>
          <w:szCs w:val="22"/>
        </w:rPr>
        <w:t xml:space="preserve">(ERP) </w:t>
      </w:r>
      <w:r w:rsidR="00185BA7" w:rsidRPr="001B1A16">
        <w:rPr>
          <w:szCs w:val="22"/>
        </w:rPr>
        <w:t xml:space="preserve">limit </w:t>
      </w:r>
      <w:r w:rsidR="003C1466">
        <w:rPr>
          <w:szCs w:val="22"/>
        </w:rPr>
        <w:t xml:space="preserve">and </w:t>
      </w:r>
      <w:r w:rsidR="00755D54" w:rsidRPr="001B1A16">
        <w:rPr>
          <w:szCs w:val="22"/>
        </w:rPr>
        <w:t xml:space="preserve">a maximum antenna </w:t>
      </w:r>
      <w:r w:rsidR="00831131" w:rsidRPr="001B1A16">
        <w:rPr>
          <w:szCs w:val="22"/>
        </w:rPr>
        <w:t>H</w:t>
      </w:r>
      <w:r w:rsidR="00755D54" w:rsidRPr="001B1A16">
        <w:rPr>
          <w:szCs w:val="22"/>
        </w:rPr>
        <w:t>eight Above Average Terrain of 20 feet</w:t>
      </w:r>
      <w:r w:rsidR="003C1466">
        <w:rPr>
          <w:szCs w:val="22"/>
        </w:rPr>
        <w:t xml:space="preserve"> for transmissions on base station transmit Channels 196-220,</w:t>
      </w:r>
      <w:r w:rsidR="006800D8" w:rsidRPr="001B1A16">
        <w:rPr>
          <w:szCs w:val="22"/>
          <w:vertAlign w:val="superscript"/>
        </w:rPr>
        <w:footnoteReference w:id="9"/>
      </w:r>
      <w:r w:rsidR="003C1466">
        <w:rPr>
          <w:szCs w:val="22"/>
        </w:rPr>
        <w:t xml:space="preserve"> </w:t>
      </w:r>
      <w:r w:rsidR="00831131" w:rsidRPr="001B1A16">
        <w:rPr>
          <w:szCs w:val="22"/>
        </w:rPr>
        <w:t>but</w:t>
      </w:r>
      <w:r w:rsidR="003C1F70">
        <w:rPr>
          <w:szCs w:val="22"/>
        </w:rPr>
        <w:t xml:space="preserve"> the licenses</w:t>
      </w:r>
      <w:r w:rsidR="00831131" w:rsidRPr="001B1A16">
        <w:rPr>
          <w:szCs w:val="22"/>
        </w:rPr>
        <w:t xml:space="preserve"> </w:t>
      </w:r>
      <w:r w:rsidRPr="001B1A16">
        <w:rPr>
          <w:szCs w:val="22"/>
        </w:rPr>
        <w:t xml:space="preserve">are well suited </w:t>
      </w:r>
      <w:r w:rsidR="006800D8" w:rsidRPr="001B1A16">
        <w:rPr>
          <w:szCs w:val="22"/>
        </w:rPr>
        <w:t>for RCL operations</w:t>
      </w:r>
      <w:r w:rsidR="00185BA7" w:rsidRPr="001B1A16">
        <w:rPr>
          <w:szCs w:val="22"/>
        </w:rPr>
        <w:t xml:space="preserve">, which could operate consistent with the 2 watt </w:t>
      </w:r>
      <w:r w:rsidR="003C1466">
        <w:rPr>
          <w:szCs w:val="22"/>
        </w:rPr>
        <w:t xml:space="preserve">ERP </w:t>
      </w:r>
      <w:r w:rsidR="00185BA7" w:rsidRPr="001B1A16">
        <w:rPr>
          <w:szCs w:val="22"/>
        </w:rPr>
        <w:t>limit.</w:t>
      </w:r>
      <w:r w:rsidR="00185BA7" w:rsidRPr="001B1A16">
        <w:rPr>
          <w:rStyle w:val="FootnoteReference"/>
          <w:szCs w:val="22"/>
        </w:rPr>
        <w:footnoteReference w:id="10"/>
      </w:r>
      <w:r w:rsidR="00185BA7" w:rsidRPr="001B1A16">
        <w:rPr>
          <w:szCs w:val="22"/>
        </w:rPr>
        <w:t xml:space="preserve">  </w:t>
      </w:r>
      <w:r w:rsidR="00E648A7" w:rsidRPr="001B1A16">
        <w:rPr>
          <w:szCs w:val="22"/>
        </w:rPr>
        <w:t xml:space="preserve">PTC-220 </w:t>
      </w:r>
      <w:r w:rsidR="003C1F70">
        <w:rPr>
          <w:szCs w:val="22"/>
        </w:rPr>
        <w:t>s</w:t>
      </w:r>
      <w:r w:rsidR="008009AE">
        <w:rPr>
          <w:szCs w:val="22"/>
        </w:rPr>
        <w:t>t</w:t>
      </w:r>
      <w:r w:rsidR="003C1F70">
        <w:rPr>
          <w:szCs w:val="22"/>
        </w:rPr>
        <w:t xml:space="preserve">ates </w:t>
      </w:r>
      <w:r w:rsidR="00A37E66">
        <w:rPr>
          <w:szCs w:val="22"/>
        </w:rPr>
        <w:t xml:space="preserve">that it </w:t>
      </w:r>
      <w:r w:rsidR="00E648A7" w:rsidRPr="001B1A16">
        <w:rPr>
          <w:szCs w:val="22"/>
        </w:rPr>
        <w:t xml:space="preserve">will be able to </w:t>
      </w:r>
      <w:r w:rsidR="00831131" w:rsidRPr="001B1A16">
        <w:rPr>
          <w:szCs w:val="22"/>
        </w:rPr>
        <w:t xml:space="preserve">efficiently </w:t>
      </w:r>
      <w:r w:rsidR="00E648A7" w:rsidRPr="001B1A16">
        <w:rPr>
          <w:szCs w:val="22"/>
        </w:rPr>
        <w:t xml:space="preserve">deploy PTC service on the Nationwide License </w:t>
      </w:r>
      <w:r w:rsidR="00831131" w:rsidRPr="001B1A16">
        <w:rPr>
          <w:szCs w:val="22"/>
        </w:rPr>
        <w:t>by combin</w:t>
      </w:r>
      <w:r w:rsidR="003C1466">
        <w:rPr>
          <w:szCs w:val="22"/>
        </w:rPr>
        <w:t>in</w:t>
      </w:r>
      <w:r w:rsidR="00831131" w:rsidRPr="001B1A16">
        <w:rPr>
          <w:szCs w:val="22"/>
        </w:rPr>
        <w:t xml:space="preserve">g it </w:t>
      </w:r>
      <w:r w:rsidR="00E648A7" w:rsidRPr="001B1A16">
        <w:rPr>
          <w:szCs w:val="22"/>
        </w:rPr>
        <w:t xml:space="preserve">with its other nationwide 220 MHz </w:t>
      </w:r>
      <w:r w:rsidR="003C1466">
        <w:rPr>
          <w:szCs w:val="22"/>
        </w:rPr>
        <w:t xml:space="preserve">licenses </w:t>
      </w:r>
      <w:r w:rsidR="00E648A7" w:rsidRPr="001B1A16">
        <w:rPr>
          <w:szCs w:val="22"/>
        </w:rPr>
        <w:t xml:space="preserve">with similar power and height limits, </w:t>
      </w:r>
      <w:r w:rsidR="00A37E66">
        <w:rPr>
          <w:szCs w:val="22"/>
        </w:rPr>
        <w:t xml:space="preserve">thereby </w:t>
      </w:r>
      <w:r w:rsidR="00E648A7" w:rsidRPr="001B1A16">
        <w:rPr>
          <w:szCs w:val="22"/>
        </w:rPr>
        <w:t xml:space="preserve">simplifying </w:t>
      </w:r>
      <w:r w:rsidR="008009AE">
        <w:rPr>
          <w:szCs w:val="22"/>
        </w:rPr>
        <w:t xml:space="preserve">PTC </w:t>
      </w:r>
      <w:r w:rsidR="00E648A7" w:rsidRPr="001B1A16">
        <w:rPr>
          <w:szCs w:val="22"/>
        </w:rPr>
        <w:t>network design.</w:t>
      </w:r>
      <w:r w:rsidR="00185BA7" w:rsidRPr="001B1A16">
        <w:rPr>
          <w:rStyle w:val="FootnoteReference"/>
          <w:szCs w:val="22"/>
        </w:rPr>
        <w:footnoteReference w:id="11"/>
      </w:r>
      <w:r w:rsidR="00607415" w:rsidRPr="001B1A16">
        <w:rPr>
          <w:szCs w:val="22"/>
        </w:rPr>
        <w:t xml:space="preserve">  </w:t>
      </w:r>
      <w:r w:rsidR="00992F90" w:rsidRPr="001B1A16">
        <w:rPr>
          <w:szCs w:val="22"/>
        </w:rPr>
        <w:t xml:space="preserve">After the spectrum swap, </w:t>
      </w:r>
      <w:r w:rsidR="00256A8A" w:rsidRPr="001B1A16">
        <w:rPr>
          <w:szCs w:val="22"/>
        </w:rPr>
        <w:t xml:space="preserve">AAR members would also use the </w:t>
      </w:r>
      <w:r w:rsidR="00992F90" w:rsidRPr="001B1A16">
        <w:rPr>
          <w:szCs w:val="22"/>
        </w:rPr>
        <w:t xml:space="preserve">J Block Licenses for </w:t>
      </w:r>
      <w:r w:rsidR="00831131" w:rsidRPr="001B1A16">
        <w:rPr>
          <w:szCs w:val="22"/>
        </w:rPr>
        <w:t xml:space="preserve">specialized </w:t>
      </w:r>
      <w:r w:rsidR="00877120">
        <w:rPr>
          <w:szCs w:val="22"/>
        </w:rPr>
        <w:t xml:space="preserve">low-power </w:t>
      </w:r>
      <w:r w:rsidR="00992F90" w:rsidRPr="001B1A16">
        <w:rPr>
          <w:szCs w:val="22"/>
        </w:rPr>
        <w:t>PTC applications</w:t>
      </w:r>
      <w:r w:rsidR="00831131" w:rsidRPr="001B1A16">
        <w:rPr>
          <w:szCs w:val="22"/>
        </w:rPr>
        <w:t xml:space="preserve"> (in tunnels for example)</w:t>
      </w:r>
      <w:r w:rsidR="00992F90" w:rsidRPr="001B1A16">
        <w:rPr>
          <w:szCs w:val="22"/>
        </w:rPr>
        <w:t xml:space="preserve">, primarily </w:t>
      </w:r>
      <w:r w:rsidR="00831131" w:rsidRPr="001B1A16">
        <w:rPr>
          <w:szCs w:val="22"/>
        </w:rPr>
        <w:t xml:space="preserve">in </w:t>
      </w:r>
      <w:r w:rsidR="00992F90" w:rsidRPr="001B1A16">
        <w:rPr>
          <w:szCs w:val="22"/>
        </w:rPr>
        <w:t>the Northeast and Mid-Atlantic, where RCL operations are not currently envisioned.</w:t>
      </w:r>
      <w:r w:rsidR="00992F90" w:rsidRPr="001B1A16">
        <w:rPr>
          <w:szCs w:val="22"/>
          <w:vertAlign w:val="superscript"/>
        </w:rPr>
        <w:footnoteReference w:id="12"/>
      </w:r>
      <w:r w:rsidR="00D635EF">
        <w:rPr>
          <w:szCs w:val="22"/>
        </w:rPr>
        <w:t xml:space="preserve">  </w:t>
      </w:r>
      <w:r w:rsidR="00256A8A" w:rsidRPr="001B1A16">
        <w:rPr>
          <w:rFonts w:eastAsia="Arial"/>
          <w:szCs w:val="22"/>
        </w:rPr>
        <w:t xml:space="preserve">The parties </w:t>
      </w:r>
      <w:r w:rsidR="003C1F70">
        <w:rPr>
          <w:rFonts w:eastAsia="Arial"/>
          <w:szCs w:val="22"/>
        </w:rPr>
        <w:t>state</w:t>
      </w:r>
      <w:r w:rsidR="00256A8A" w:rsidRPr="001B1A16">
        <w:rPr>
          <w:rFonts w:eastAsia="Arial"/>
          <w:szCs w:val="22"/>
        </w:rPr>
        <w:t xml:space="preserve"> that</w:t>
      </w:r>
      <w:r w:rsidR="00E648A7" w:rsidRPr="001B1A16">
        <w:rPr>
          <w:szCs w:val="22"/>
        </w:rPr>
        <w:t xml:space="preserve"> c</w:t>
      </w:r>
      <w:r w:rsidR="006800D8" w:rsidRPr="001B1A16">
        <w:rPr>
          <w:szCs w:val="22"/>
        </w:rPr>
        <w:t>urrent RCL operations are directly adjacent to PTC operations, creating a potential for interference</w:t>
      </w:r>
      <w:r w:rsidR="00256A8A" w:rsidRPr="001B1A16">
        <w:rPr>
          <w:szCs w:val="22"/>
        </w:rPr>
        <w:t xml:space="preserve"> and that </w:t>
      </w:r>
      <w:r w:rsidR="008C30B9" w:rsidRPr="001B1A16">
        <w:rPr>
          <w:szCs w:val="22"/>
        </w:rPr>
        <w:t xml:space="preserve">relocating </w:t>
      </w:r>
      <w:r w:rsidR="006800D8" w:rsidRPr="001B1A16">
        <w:rPr>
          <w:szCs w:val="22"/>
        </w:rPr>
        <w:t>RCL operations to the J Block Licenses will remove this adjacency.</w:t>
      </w:r>
      <w:r w:rsidR="008F15BE" w:rsidRPr="001B1A16">
        <w:rPr>
          <w:rStyle w:val="FootnoteReference"/>
          <w:szCs w:val="22"/>
        </w:rPr>
        <w:footnoteReference w:id="13"/>
      </w:r>
      <w:r w:rsidR="00BF3AB3" w:rsidRPr="001B1A16">
        <w:rPr>
          <w:color w:val="000000"/>
          <w:szCs w:val="22"/>
        </w:rPr>
        <w:t xml:space="preserve">  I</w:t>
      </w:r>
      <w:r w:rsidR="00BF3AB3" w:rsidRPr="001B1A16">
        <w:rPr>
          <w:szCs w:val="22"/>
        </w:rPr>
        <w:t xml:space="preserve">n most areas, the swap would create between 118 and 200 kHz of </w:t>
      </w:r>
      <w:r w:rsidR="003D0CAD">
        <w:rPr>
          <w:szCs w:val="22"/>
        </w:rPr>
        <w:t xml:space="preserve">spectral </w:t>
      </w:r>
      <w:r w:rsidR="00BF3AB3" w:rsidRPr="001B1A16">
        <w:rPr>
          <w:szCs w:val="22"/>
        </w:rPr>
        <w:t xml:space="preserve">separation, with 100 kHz of </w:t>
      </w:r>
      <w:r w:rsidR="003D0CAD">
        <w:rPr>
          <w:szCs w:val="22"/>
        </w:rPr>
        <w:t xml:space="preserve">spectral </w:t>
      </w:r>
      <w:r w:rsidR="00BF3AB3" w:rsidRPr="001B1A16">
        <w:rPr>
          <w:szCs w:val="22"/>
        </w:rPr>
        <w:t>separation yielding roughly 30 dB of advantage.</w:t>
      </w:r>
      <w:r w:rsidR="00BF3AB3" w:rsidRPr="001B1A16">
        <w:rPr>
          <w:rStyle w:val="FootnoteReference"/>
          <w:szCs w:val="22"/>
        </w:rPr>
        <w:footnoteReference w:id="14"/>
      </w:r>
      <w:r w:rsidR="00E648A7" w:rsidRPr="001B1A16">
        <w:rPr>
          <w:szCs w:val="22"/>
        </w:rPr>
        <w:t xml:space="preserve">  </w:t>
      </w:r>
    </w:p>
    <w:p w:rsidR="008F15BE" w:rsidRPr="001B1A16" w:rsidRDefault="008B5E40" w:rsidP="00752B4E">
      <w:pPr>
        <w:pStyle w:val="ParaNum"/>
        <w:numPr>
          <w:ilvl w:val="0"/>
          <w:numId w:val="0"/>
        </w:numPr>
        <w:tabs>
          <w:tab w:val="left" w:pos="360"/>
        </w:tabs>
        <w:autoSpaceDE w:val="0"/>
        <w:autoSpaceDN w:val="0"/>
        <w:adjustRightInd w:val="0"/>
        <w:ind w:firstLine="720"/>
        <w:rPr>
          <w:rFonts w:cs="Arial"/>
          <w:szCs w:val="22"/>
        </w:rPr>
      </w:pPr>
      <w:r w:rsidRPr="001B1A16">
        <w:rPr>
          <w:szCs w:val="22"/>
        </w:rPr>
        <w:t xml:space="preserve">  We find that the contemplated spectrum swap will serve the public interest in rail safety </w:t>
      </w:r>
      <w:r w:rsidR="00256A8A" w:rsidRPr="001B1A16">
        <w:rPr>
          <w:szCs w:val="22"/>
        </w:rPr>
        <w:t xml:space="preserve">and spectrum efficiency </w:t>
      </w:r>
      <w:r w:rsidRPr="001B1A16">
        <w:rPr>
          <w:szCs w:val="22"/>
        </w:rPr>
        <w:t xml:space="preserve">because it will increase the amount of </w:t>
      </w:r>
      <w:r w:rsidR="00256A8A" w:rsidRPr="001B1A16">
        <w:rPr>
          <w:szCs w:val="22"/>
        </w:rPr>
        <w:t xml:space="preserve">usable </w:t>
      </w:r>
      <w:r w:rsidRPr="001B1A16">
        <w:rPr>
          <w:szCs w:val="22"/>
        </w:rPr>
        <w:t>spectrum available for PTC and RCL operations,</w:t>
      </w:r>
      <w:r w:rsidR="00992F90" w:rsidRPr="001B1A16">
        <w:rPr>
          <w:rStyle w:val="FootnoteReference"/>
          <w:szCs w:val="22"/>
        </w:rPr>
        <w:footnoteReference w:id="15"/>
      </w:r>
      <w:r w:rsidRPr="001B1A16">
        <w:rPr>
          <w:szCs w:val="22"/>
        </w:rPr>
        <w:t xml:space="preserve"> while reducing the risk of interference between the two services.  </w:t>
      </w:r>
      <w:r w:rsidRPr="001B1A16">
        <w:rPr>
          <w:rFonts w:cs="Arial"/>
          <w:szCs w:val="22"/>
        </w:rPr>
        <w:t xml:space="preserve">We also find that the contemplated spectrum swap </w:t>
      </w:r>
      <w:r w:rsidR="00755D54" w:rsidRPr="001B1A16">
        <w:rPr>
          <w:rFonts w:cs="Arial"/>
          <w:szCs w:val="22"/>
        </w:rPr>
        <w:t xml:space="preserve">will serve the </w:t>
      </w:r>
      <w:r w:rsidRPr="001B1A16">
        <w:rPr>
          <w:rFonts w:cs="Arial"/>
          <w:szCs w:val="22"/>
        </w:rPr>
        <w:t xml:space="preserve">public interest </w:t>
      </w:r>
      <w:r w:rsidRPr="001B1A16">
        <w:rPr>
          <w:szCs w:val="22"/>
        </w:rPr>
        <w:t xml:space="preserve">because it will facilitate the deployment of </w:t>
      </w:r>
      <w:r w:rsidR="00185BA7" w:rsidRPr="001B1A16">
        <w:rPr>
          <w:szCs w:val="22"/>
        </w:rPr>
        <w:t xml:space="preserve">Congressionally-mandated </w:t>
      </w:r>
      <w:r w:rsidRPr="001B1A16">
        <w:rPr>
          <w:szCs w:val="22"/>
        </w:rPr>
        <w:t>PTC systems, and “promot[e] safety of life and property.”</w:t>
      </w:r>
      <w:r w:rsidRPr="001B1A16">
        <w:rPr>
          <w:szCs w:val="22"/>
          <w:vertAlign w:val="superscript"/>
        </w:rPr>
        <w:footnoteReference w:id="16"/>
      </w:r>
      <w:r w:rsidR="008F15BE" w:rsidRPr="001B1A16">
        <w:rPr>
          <w:szCs w:val="22"/>
        </w:rPr>
        <w:t xml:space="preserve">  </w:t>
      </w:r>
    </w:p>
    <w:p w:rsidR="00892B83" w:rsidRDefault="008F15BE" w:rsidP="00752B4E">
      <w:pPr>
        <w:autoSpaceDE w:val="0"/>
        <w:autoSpaceDN w:val="0"/>
        <w:adjustRightInd w:val="0"/>
        <w:ind w:firstLine="720"/>
        <w:rPr>
          <w:rFonts w:cs="Arial"/>
          <w:sz w:val="22"/>
          <w:szCs w:val="22"/>
        </w:rPr>
      </w:pPr>
      <w:r w:rsidRPr="001B1A16">
        <w:rPr>
          <w:rFonts w:cs="Arial"/>
          <w:i/>
          <w:sz w:val="22"/>
          <w:szCs w:val="22"/>
        </w:rPr>
        <w:t>Rule Waivers</w:t>
      </w:r>
      <w:r w:rsidRPr="001B1A16">
        <w:rPr>
          <w:rFonts w:cs="Arial"/>
          <w:sz w:val="22"/>
          <w:szCs w:val="22"/>
        </w:rPr>
        <w:t xml:space="preserve">.  </w:t>
      </w:r>
      <w:r w:rsidR="00892B83" w:rsidRPr="00892B83">
        <w:rPr>
          <w:rFonts w:cs="Arial"/>
          <w:sz w:val="22"/>
          <w:szCs w:val="22"/>
        </w:rPr>
        <w:t>The Commission may grant a request for a waiver when: (i) the underlying purpose of the rules(s)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892B83" w:rsidRPr="00892B83">
        <w:rPr>
          <w:rFonts w:cs="Arial"/>
          <w:sz w:val="22"/>
          <w:szCs w:val="22"/>
          <w:vertAlign w:val="superscript"/>
        </w:rPr>
        <w:footnoteReference w:id="17"/>
      </w:r>
      <w:r w:rsidR="00892B83" w:rsidRPr="00892B83">
        <w:rPr>
          <w:rFonts w:cs="Arial"/>
          <w:sz w:val="22"/>
          <w:szCs w:val="22"/>
        </w:rPr>
        <w:t xml:space="preserve">  The Commission also may waive a rule, in whole or in part, on its own motion or on petition if good cause therefor is shown.</w:t>
      </w:r>
      <w:r w:rsidR="00892B83" w:rsidRPr="00892B83">
        <w:rPr>
          <w:rFonts w:cs="Arial"/>
          <w:sz w:val="22"/>
          <w:szCs w:val="22"/>
          <w:vertAlign w:val="superscript"/>
        </w:rPr>
        <w:footnoteReference w:id="18"/>
      </w:r>
    </w:p>
    <w:p w:rsidR="00892B83" w:rsidRDefault="00892B83" w:rsidP="00752B4E">
      <w:pPr>
        <w:autoSpaceDE w:val="0"/>
        <w:autoSpaceDN w:val="0"/>
        <w:adjustRightInd w:val="0"/>
        <w:ind w:firstLine="720"/>
        <w:rPr>
          <w:rFonts w:cs="Arial"/>
          <w:sz w:val="22"/>
          <w:szCs w:val="22"/>
        </w:rPr>
      </w:pPr>
    </w:p>
    <w:p w:rsidR="00C236AD" w:rsidRPr="001B1A16" w:rsidRDefault="00C236AD" w:rsidP="00752B4E">
      <w:pPr>
        <w:autoSpaceDE w:val="0"/>
        <w:autoSpaceDN w:val="0"/>
        <w:adjustRightInd w:val="0"/>
        <w:ind w:firstLine="720"/>
        <w:rPr>
          <w:rFonts w:cs="Arial"/>
          <w:sz w:val="22"/>
          <w:szCs w:val="22"/>
        </w:rPr>
      </w:pPr>
      <w:r w:rsidRPr="001B1A16">
        <w:rPr>
          <w:rFonts w:cs="Arial"/>
          <w:sz w:val="22"/>
          <w:szCs w:val="22"/>
        </w:rPr>
        <w:t xml:space="preserve">AAR </w:t>
      </w:r>
      <w:r w:rsidR="00CC57C2" w:rsidRPr="001B1A16">
        <w:rPr>
          <w:sz w:val="22"/>
          <w:szCs w:val="22"/>
        </w:rPr>
        <w:t>request</w:t>
      </w:r>
      <w:r w:rsidRPr="001B1A16">
        <w:rPr>
          <w:sz w:val="22"/>
          <w:szCs w:val="22"/>
        </w:rPr>
        <w:t>s</w:t>
      </w:r>
      <w:r w:rsidR="00CC57C2" w:rsidRPr="001B1A16">
        <w:rPr>
          <w:sz w:val="22"/>
          <w:szCs w:val="22"/>
        </w:rPr>
        <w:t xml:space="preserve"> that </w:t>
      </w:r>
      <w:r w:rsidR="002A6496" w:rsidRPr="001B1A16">
        <w:rPr>
          <w:sz w:val="22"/>
          <w:szCs w:val="22"/>
        </w:rPr>
        <w:t xml:space="preserve">two </w:t>
      </w:r>
      <w:r w:rsidR="00BF3AB3" w:rsidRPr="001B1A16">
        <w:rPr>
          <w:sz w:val="22"/>
          <w:szCs w:val="22"/>
        </w:rPr>
        <w:t xml:space="preserve">rule </w:t>
      </w:r>
      <w:r w:rsidR="00CC57C2" w:rsidRPr="001B1A16">
        <w:rPr>
          <w:sz w:val="22"/>
          <w:szCs w:val="22"/>
        </w:rPr>
        <w:t xml:space="preserve">waivers granted in the </w:t>
      </w:r>
      <w:r w:rsidR="00CC57C2" w:rsidRPr="001B1A16">
        <w:rPr>
          <w:i/>
          <w:sz w:val="22"/>
          <w:szCs w:val="22"/>
        </w:rPr>
        <w:t>PTC-220 2009 Waiver Order</w:t>
      </w:r>
      <w:r w:rsidR="00CC57C2" w:rsidRPr="00E44B8F">
        <w:rPr>
          <w:sz w:val="22"/>
          <w:szCs w:val="22"/>
          <w:vertAlign w:val="superscript"/>
        </w:rPr>
        <w:footnoteReference w:id="19"/>
      </w:r>
      <w:r w:rsidR="00CC57C2" w:rsidRPr="001B1A16">
        <w:rPr>
          <w:sz w:val="22"/>
          <w:szCs w:val="22"/>
        </w:rPr>
        <w:t xml:space="preserve"> </w:t>
      </w:r>
      <w:r w:rsidRPr="001B1A16">
        <w:rPr>
          <w:rFonts w:cs="Arial"/>
          <w:sz w:val="22"/>
          <w:szCs w:val="22"/>
        </w:rPr>
        <w:t>to facilitate the use of the J Block Licenses for PTC service</w:t>
      </w:r>
      <w:r w:rsidR="00CC57C2" w:rsidRPr="001B1A16">
        <w:rPr>
          <w:sz w:val="22"/>
          <w:szCs w:val="22"/>
        </w:rPr>
        <w:t>—waivers of Section 90.715(a) (base/mobile configuration)</w:t>
      </w:r>
      <w:r w:rsidR="00FF215D" w:rsidRPr="001B1A16">
        <w:rPr>
          <w:rFonts w:cs="Arial"/>
          <w:sz w:val="22"/>
          <w:szCs w:val="22"/>
          <w:vertAlign w:val="superscript"/>
        </w:rPr>
        <w:footnoteReference w:id="20"/>
      </w:r>
      <w:r w:rsidR="00CC57C2" w:rsidRPr="001B1A16">
        <w:rPr>
          <w:sz w:val="22"/>
          <w:szCs w:val="22"/>
        </w:rPr>
        <w:t xml:space="preserve"> and 90.735 (station identification)</w:t>
      </w:r>
      <w:r w:rsidR="00FF215D">
        <w:rPr>
          <w:rStyle w:val="FootnoteReference"/>
          <w:sz w:val="22"/>
          <w:szCs w:val="22"/>
        </w:rPr>
        <w:footnoteReference w:id="21"/>
      </w:r>
      <w:r w:rsidR="00CC57C2" w:rsidRPr="001B1A16">
        <w:rPr>
          <w:sz w:val="22"/>
          <w:szCs w:val="22"/>
        </w:rPr>
        <w:t>—be assigned with that spectrum to AAR.</w:t>
      </w:r>
      <w:r w:rsidR="00E146FB" w:rsidRPr="001B1A16">
        <w:rPr>
          <w:rStyle w:val="FootnoteReference"/>
          <w:sz w:val="22"/>
          <w:szCs w:val="22"/>
        </w:rPr>
        <w:footnoteReference w:id="22"/>
      </w:r>
      <w:r w:rsidRPr="001B1A16">
        <w:rPr>
          <w:sz w:val="22"/>
          <w:szCs w:val="22"/>
        </w:rPr>
        <w:t xml:space="preserve">  </w:t>
      </w:r>
      <w:r w:rsidR="002A6496" w:rsidRPr="001B1A16">
        <w:rPr>
          <w:sz w:val="22"/>
          <w:szCs w:val="22"/>
        </w:rPr>
        <w:t>It states that w</w:t>
      </w:r>
      <w:r w:rsidR="00D0098E" w:rsidRPr="001B1A16">
        <w:rPr>
          <w:rFonts w:cs="Arial"/>
          <w:sz w:val="22"/>
          <w:szCs w:val="22"/>
        </w:rPr>
        <w:t>aiver of Section 90.715(a)’s base/mobile provision</w:t>
      </w:r>
      <w:r w:rsidR="00BF3AB3" w:rsidRPr="001B1A16">
        <w:rPr>
          <w:rFonts w:cs="Arial"/>
          <w:sz w:val="22"/>
          <w:szCs w:val="22"/>
        </w:rPr>
        <w:t>s</w:t>
      </w:r>
      <w:r w:rsidR="00E44B8F">
        <w:rPr>
          <w:rFonts w:cs="Arial"/>
          <w:sz w:val="22"/>
          <w:szCs w:val="22"/>
        </w:rPr>
        <w:t xml:space="preserve">, relief provided to it in the </w:t>
      </w:r>
      <w:r w:rsidR="00E44B8F" w:rsidRPr="00E44B8F">
        <w:rPr>
          <w:rFonts w:cs="Arial"/>
          <w:i/>
          <w:sz w:val="22"/>
          <w:szCs w:val="22"/>
        </w:rPr>
        <w:t>2003 AAR Waiver Order</w:t>
      </w:r>
      <w:r w:rsidR="00E44B8F" w:rsidRPr="00E44B8F">
        <w:rPr>
          <w:rFonts w:cs="Arial"/>
          <w:sz w:val="22"/>
          <w:szCs w:val="22"/>
        </w:rPr>
        <w:t xml:space="preserve"> to facilitate RCL deployment</w:t>
      </w:r>
      <w:r w:rsidR="00E44B8F">
        <w:rPr>
          <w:rFonts w:cs="Arial"/>
          <w:sz w:val="22"/>
          <w:szCs w:val="22"/>
        </w:rPr>
        <w:t>,</w:t>
      </w:r>
      <w:r w:rsidR="00E44B8F" w:rsidRPr="00E44B8F">
        <w:rPr>
          <w:sz w:val="22"/>
          <w:szCs w:val="22"/>
          <w:vertAlign w:val="superscript"/>
        </w:rPr>
        <w:footnoteReference w:id="23"/>
      </w:r>
      <w:r w:rsidR="00D0098E" w:rsidRPr="001B1A16">
        <w:rPr>
          <w:rFonts w:cs="Arial"/>
          <w:sz w:val="22"/>
          <w:szCs w:val="22"/>
        </w:rPr>
        <w:t xml:space="preserve"> is necessary because RCL service can provide mobile-to-mobile and portable-to-mobile connectivity.</w:t>
      </w:r>
      <w:r w:rsidR="002A6496" w:rsidRPr="001B1A16">
        <w:rPr>
          <w:rFonts w:cs="Arial"/>
          <w:sz w:val="22"/>
          <w:szCs w:val="22"/>
          <w:vertAlign w:val="superscript"/>
        </w:rPr>
        <w:footnoteReference w:id="24"/>
      </w:r>
      <w:r w:rsidR="00D0098E" w:rsidRPr="001B1A16">
        <w:rPr>
          <w:rFonts w:cs="Arial"/>
          <w:sz w:val="22"/>
          <w:szCs w:val="22"/>
        </w:rPr>
        <w:t xml:space="preserve">  </w:t>
      </w:r>
      <w:r w:rsidR="00BF3AB3" w:rsidRPr="001B1A16">
        <w:rPr>
          <w:rFonts w:cs="Arial"/>
          <w:sz w:val="22"/>
          <w:szCs w:val="22"/>
        </w:rPr>
        <w:t xml:space="preserve">AAR explains </w:t>
      </w:r>
      <w:r w:rsidR="002A6496" w:rsidRPr="001B1A16">
        <w:rPr>
          <w:rFonts w:cs="Arial"/>
          <w:sz w:val="22"/>
          <w:szCs w:val="22"/>
        </w:rPr>
        <w:t>that o</w:t>
      </w:r>
      <w:r w:rsidR="00D0098E" w:rsidRPr="001B1A16">
        <w:rPr>
          <w:rFonts w:cs="Arial"/>
          <w:sz w:val="22"/>
          <w:szCs w:val="22"/>
        </w:rPr>
        <w:t xml:space="preserve">n the J Block, RCL will need to operate on an inverted duplex mode, so that the lower-powered portable and mobile RCL radios can transmit in the lower portion of the J Block (the base transmit band) where the 2 watt </w:t>
      </w:r>
      <w:r w:rsidR="00A70DE2">
        <w:rPr>
          <w:rFonts w:cs="Arial"/>
          <w:sz w:val="22"/>
          <w:szCs w:val="22"/>
        </w:rPr>
        <w:t xml:space="preserve">ERP </w:t>
      </w:r>
      <w:r w:rsidR="00D0098E" w:rsidRPr="001B1A16">
        <w:rPr>
          <w:rFonts w:cs="Arial"/>
          <w:sz w:val="22"/>
          <w:szCs w:val="22"/>
        </w:rPr>
        <w:t>limit applies, with fixed stations transmitting in the upper (base receive) portion of the band.</w:t>
      </w:r>
      <w:r w:rsidR="00D0098E" w:rsidRPr="001B1A16">
        <w:rPr>
          <w:rStyle w:val="FootnoteReference"/>
          <w:rFonts w:cs="Arial"/>
          <w:sz w:val="22"/>
          <w:szCs w:val="22"/>
        </w:rPr>
        <w:footnoteReference w:id="25"/>
      </w:r>
      <w:r w:rsidR="002A6496" w:rsidRPr="001B1A16">
        <w:rPr>
          <w:rFonts w:cs="Arial"/>
          <w:sz w:val="22"/>
          <w:szCs w:val="22"/>
        </w:rPr>
        <w:t xml:space="preserve">  </w:t>
      </w:r>
      <w:r w:rsidR="00D65A37" w:rsidRPr="001B1A16">
        <w:rPr>
          <w:rFonts w:cs="Arial"/>
          <w:sz w:val="22"/>
          <w:szCs w:val="22"/>
        </w:rPr>
        <w:t xml:space="preserve">AAR </w:t>
      </w:r>
      <w:r w:rsidR="009C17FF">
        <w:rPr>
          <w:rFonts w:cs="Arial"/>
          <w:sz w:val="22"/>
          <w:szCs w:val="22"/>
        </w:rPr>
        <w:t xml:space="preserve">further </w:t>
      </w:r>
      <w:r w:rsidR="00D65A37" w:rsidRPr="001B1A16">
        <w:rPr>
          <w:rFonts w:cs="Arial"/>
          <w:sz w:val="22"/>
          <w:szCs w:val="22"/>
        </w:rPr>
        <w:t>state</w:t>
      </w:r>
      <w:r w:rsidR="00256A8A" w:rsidRPr="001B1A16">
        <w:rPr>
          <w:rFonts w:cs="Arial"/>
          <w:sz w:val="22"/>
          <w:szCs w:val="22"/>
        </w:rPr>
        <w:t>s</w:t>
      </w:r>
      <w:r w:rsidR="00D65A37" w:rsidRPr="001B1A16">
        <w:rPr>
          <w:rFonts w:cs="Arial"/>
          <w:sz w:val="22"/>
          <w:szCs w:val="22"/>
        </w:rPr>
        <w:t xml:space="preserve"> that </w:t>
      </w:r>
      <w:r w:rsidR="002A6496" w:rsidRPr="001B1A16">
        <w:rPr>
          <w:rFonts w:cs="Arial"/>
          <w:sz w:val="22"/>
          <w:szCs w:val="22"/>
        </w:rPr>
        <w:t>b</w:t>
      </w:r>
      <w:r w:rsidR="00992F90" w:rsidRPr="001B1A16">
        <w:rPr>
          <w:sz w:val="22"/>
          <w:szCs w:val="22"/>
        </w:rPr>
        <w:t xml:space="preserve">ecause </w:t>
      </w:r>
      <w:r w:rsidRPr="001B1A16">
        <w:rPr>
          <w:rFonts w:cs="Arial"/>
          <w:sz w:val="22"/>
          <w:szCs w:val="22"/>
        </w:rPr>
        <w:t xml:space="preserve">AAR </w:t>
      </w:r>
      <w:r w:rsidR="002A6496" w:rsidRPr="001B1A16">
        <w:rPr>
          <w:rFonts w:cs="Arial"/>
          <w:sz w:val="22"/>
          <w:szCs w:val="22"/>
        </w:rPr>
        <w:t xml:space="preserve">members </w:t>
      </w:r>
      <w:r w:rsidR="00D65A37" w:rsidRPr="001B1A16">
        <w:rPr>
          <w:rFonts w:cs="Arial"/>
          <w:sz w:val="22"/>
          <w:szCs w:val="22"/>
        </w:rPr>
        <w:t xml:space="preserve">will </w:t>
      </w:r>
      <w:r w:rsidR="00D0098E" w:rsidRPr="001B1A16">
        <w:rPr>
          <w:rFonts w:cs="Arial"/>
          <w:sz w:val="22"/>
          <w:szCs w:val="22"/>
        </w:rPr>
        <w:t xml:space="preserve">also </w:t>
      </w:r>
      <w:r w:rsidRPr="001B1A16">
        <w:rPr>
          <w:rFonts w:cs="Arial"/>
          <w:sz w:val="22"/>
          <w:szCs w:val="22"/>
        </w:rPr>
        <w:t xml:space="preserve">use the J Block Licenses </w:t>
      </w:r>
      <w:r w:rsidR="008767AE">
        <w:rPr>
          <w:rFonts w:cs="Arial"/>
          <w:sz w:val="22"/>
          <w:szCs w:val="22"/>
        </w:rPr>
        <w:t xml:space="preserve">for low-power, specialized </w:t>
      </w:r>
      <w:r w:rsidRPr="001B1A16">
        <w:rPr>
          <w:rFonts w:cs="Arial"/>
          <w:sz w:val="22"/>
          <w:szCs w:val="22"/>
        </w:rPr>
        <w:t>PTC</w:t>
      </w:r>
      <w:r w:rsidR="008767AE">
        <w:rPr>
          <w:rFonts w:cs="Arial"/>
          <w:sz w:val="22"/>
          <w:szCs w:val="22"/>
        </w:rPr>
        <w:t xml:space="preserve"> applications </w:t>
      </w:r>
      <w:r w:rsidR="001C016E">
        <w:rPr>
          <w:rFonts w:cs="Arial"/>
          <w:sz w:val="22"/>
          <w:szCs w:val="22"/>
        </w:rPr>
        <w:t>in certain spectrum constrained areas</w:t>
      </w:r>
      <w:r w:rsidRPr="001B1A16">
        <w:rPr>
          <w:rFonts w:cs="Arial"/>
          <w:sz w:val="22"/>
          <w:szCs w:val="22"/>
        </w:rPr>
        <w:t>,</w:t>
      </w:r>
      <w:r w:rsidR="00B8679F">
        <w:rPr>
          <w:rStyle w:val="FootnoteReference"/>
          <w:rFonts w:cs="Arial"/>
          <w:sz w:val="22"/>
          <w:szCs w:val="22"/>
        </w:rPr>
        <w:footnoteReference w:id="26"/>
      </w:r>
      <w:r w:rsidRPr="001B1A16">
        <w:rPr>
          <w:rFonts w:cs="Arial"/>
          <w:sz w:val="22"/>
          <w:szCs w:val="22"/>
        </w:rPr>
        <w:t xml:space="preserve"> waiver of </w:t>
      </w:r>
      <w:r w:rsidR="002A6496" w:rsidRPr="001B1A16">
        <w:rPr>
          <w:rFonts w:cs="Arial"/>
          <w:sz w:val="22"/>
          <w:szCs w:val="22"/>
        </w:rPr>
        <w:t xml:space="preserve">the base/mobile provisions </w:t>
      </w:r>
      <w:r w:rsidR="00631206" w:rsidRPr="001B1A16">
        <w:rPr>
          <w:rFonts w:cs="Arial"/>
          <w:sz w:val="22"/>
          <w:szCs w:val="22"/>
        </w:rPr>
        <w:t xml:space="preserve">is </w:t>
      </w:r>
      <w:r w:rsidRPr="001B1A16">
        <w:rPr>
          <w:rFonts w:cs="Arial"/>
          <w:sz w:val="22"/>
          <w:szCs w:val="22"/>
        </w:rPr>
        <w:t>appropriate.</w:t>
      </w:r>
      <w:r w:rsidR="00A70DE2">
        <w:rPr>
          <w:rStyle w:val="FootnoteReference"/>
          <w:rFonts w:cs="Arial"/>
          <w:sz w:val="22"/>
          <w:szCs w:val="22"/>
        </w:rPr>
        <w:footnoteReference w:id="27"/>
      </w:r>
      <w:r w:rsidR="00256A8A" w:rsidRPr="001B1A16">
        <w:rPr>
          <w:rFonts w:cs="Arial"/>
          <w:sz w:val="22"/>
          <w:szCs w:val="22"/>
        </w:rPr>
        <w:t xml:space="preserve">  We </w:t>
      </w:r>
      <w:r w:rsidR="00BF3AB3" w:rsidRPr="001B1A16">
        <w:rPr>
          <w:rFonts w:cs="Arial"/>
          <w:sz w:val="22"/>
          <w:szCs w:val="22"/>
        </w:rPr>
        <w:t xml:space="preserve">agree with AAR’s stated rationale and </w:t>
      </w:r>
      <w:r w:rsidR="00256A8A" w:rsidRPr="001B1A16">
        <w:rPr>
          <w:rFonts w:cs="Arial"/>
          <w:sz w:val="22"/>
          <w:szCs w:val="22"/>
        </w:rPr>
        <w:t>find that waiver of the base/mobile provisions will serve the public interest in rail safety by facilitating both RCL and PTC operations</w:t>
      </w:r>
      <w:r w:rsidR="001130C3">
        <w:rPr>
          <w:rFonts w:cs="Arial"/>
          <w:sz w:val="22"/>
          <w:szCs w:val="22"/>
        </w:rPr>
        <w:t xml:space="preserve"> and </w:t>
      </w:r>
      <w:r w:rsidR="00892B83">
        <w:rPr>
          <w:rFonts w:cs="Arial"/>
          <w:sz w:val="22"/>
          <w:szCs w:val="22"/>
        </w:rPr>
        <w:t xml:space="preserve">find </w:t>
      </w:r>
      <w:r w:rsidR="001130C3">
        <w:rPr>
          <w:rFonts w:cs="Arial"/>
          <w:sz w:val="22"/>
          <w:szCs w:val="22"/>
        </w:rPr>
        <w:t>that the underlying purpose of th</w:t>
      </w:r>
      <w:r w:rsidR="00892B83">
        <w:rPr>
          <w:rFonts w:cs="Arial"/>
          <w:sz w:val="22"/>
          <w:szCs w:val="22"/>
        </w:rPr>
        <w:t>is</w:t>
      </w:r>
      <w:r w:rsidR="001130C3">
        <w:rPr>
          <w:rFonts w:cs="Arial"/>
          <w:sz w:val="22"/>
          <w:szCs w:val="22"/>
        </w:rPr>
        <w:t xml:space="preserve"> rule would not be served by strict application here</w:t>
      </w:r>
      <w:r w:rsidR="00256A8A" w:rsidRPr="001B1A16">
        <w:rPr>
          <w:rFonts w:cs="Arial"/>
          <w:sz w:val="22"/>
          <w:szCs w:val="22"/>
        </w:rPr>
        <w:t>.</w:t>
      </w:r>
      <w:r w:rsidR="00892B83">
        <w:rPr>
          <w:rStyle w:val="FootnoteReference"/>
          <w:rFonts w:cs="Arial"/>
          <w:sz w:val="22"/>
          <w:szCs w:val="22"/>
        </w:rPr>
        <w:footnoteReference w:id="28"/>
      </w:r>
      <w:r w:rsidRPr="001B1A16">
        <w:rPr>
          <w:rFonts w:cs="Arial"/>
          <w:sz w:val="22"/>
          <w:szCs w:val="22"/>
        </w:rPr>
        <w:t xml:space="preserve">  </w:t>
      </w:r>
      <w:r w:rsidR="00D65A37" w:rsidRPr="001B1A16">
        <w:rPr>
          <w:rFonts w:cs="Arial"/>
          <w:sz w:val="22"/>
          <w:szCs w:val="22"/>
        </w:rPr>
        <w:t xml:space="preserve">We </w:t>
      </w:r>
      <w:r w:rsidR="00256A8A" w:rsidRPr="001B1A16">
        <w:rPr>
          <w:rFonts w:cs="Arial"/>
          <w:sz w:val="22"/>
          <w:szCs w:val="22"/>
        </w:rPr>
        <w:t xml:space="preserve">also </w:t>
      </w:r>
      <w:r w:rsidR="00D65A37" w:rsidRPr="001B1A16">
        <w:rPr>
          <w:rFonts w:cs="Arial"/>
          <w:sz w:val="22"/>
          <w:szCs w:val="22"/>
        </w:rPr>
        <w:t xml:space="preserve">agree with AAR </w:t>
      </w:r>
      <w:r w:rsidRPr="001B1A16">
        <w:rPr>
          <w:rFonts w:cs="Arial"/>
          <w:sz w:val="22"/>
          <w:szCs w:val="22"/>
        </w:rPr>
        <w:t xml:space="preserve">that a waiver of Section 90.735 (station identification) is appropriate because the J Block Licenses form a </w:t>
      </w:r>
      <w:r w:rsidRPr="001B1A16">
        <w:rPr>
          <w:rFonts w:cs="Arial"/>
          <w:i/>
          <w:sz w:val="22"/>
          <w:szCs w:val="22"/>
        </w:rPr>
        <w:t xml:space="preserve">de facto </w:t>
      </w:r>
      <w:r w:rsidRPr="001B1A16">
        <w:rPr>
          <w:rFonts w:cs="Arial"/>
          <w:sz w:val="22"/>
          <w:szCs w:val="22"/>
        </w:rPr>
        <w:t xml:space="preserve">nationwide license, and AAR will be </w:t>
      </w:r>
      <w:r w:rsidR="00631206" w:rsidRPr="001B1A16">
        <w:rPr>
          <w:rFonts w:cs="Arial"/>
          <w:sz w:val="22"/>
          <w:szCs w:val="22"/>
        </w:rPr>
        <w:t xml:space="preserve">readily </w:t>
      </w:r>
      <w:r w:rsidRPr="001B1A16">
        <w:rPr>
          <w:rFonts w:cs="Arial"/>
          <w:sz w:val="22"/>
          <w:szCs w:val="22"/>
        </w:rPr>
        <w:t>identifiable in Commission records as the licensee of the J Block Licenses.</w:t>
      </w:r>
      <w:r w:rsidR="00256A8A" w:rsidRPr="001B1A16">
        <w:rPr>
          <w:rStyle w:val="FootnoteReference"/>
          <w:rFonts w:cs="Arial"/>
          <w:sz w:val="22"/>
          <w:szCs w:val="22"/>
        </w:rPr>
        <w:footnoteReference w:id="29"/>
      </w:r>
      <w:r w:rsidR="001130C3">
        <w:rPr>
          <w:rFonts w:cs="Arial"/>
          <w:sz w:val="22"/>
          <w:szCs w:val="22"/>
        </w:rPr>
        <w:t xml:space="preserve">  </w:t>
      </w:r>
    </w:p>
    <w:p w:rsidR="00D0098E" w:rsidRPr="001B1A16" w:rsidRDefault="00D0098E" w:rsidP="00752B4E">
      <w:pPr>
        <w:autoSpaceDE w:val="0"/>
        <w:autoSpaceDN w:val="0"/>
        <w:adjustRightInd w:val="0"/>
        <w:ind w:firstLine="720"/>
        <w:rPr>
          <w:rFonts w:cs="Arial"/>
          <w:sz w:val="22"/>
          <w:szCs w:val="22"/>
        </w:rPr>
      </w:pPr>
    </w:p>
    <w:p w:rsidR="00C236AD" w:rsidRPr="001B1A16" w:rsidRDefault="00C236AD" w:rsidP="00752B4E">
      <w:pPr>
        <w:autoSpaceDE w:val="0"/>
        <w:autoSpaceDN w:val="0"/>
        <w:adjustRightInd w:val="0"/>
        <w:ind w:firstLine="720"/>
        <w:rPr>
          <w:rFonts w:cs="Arial"/>
          <w:sz w:val="22"/>
          <w:szCs w:val="22"/>
        </w:rPr>
      </w:pPr>
      <w:r w:rsidRPr="001B1A16">
        <w:rPr>
          <w:sz w:val="22"/>
          <w:szCs w:val="22"/>
        </w:rPr>
        <w:t xml:space="preserve">PTC-220 </w:t>
      </w:r>
      <w:r w:rsidR="00CC57C2" w:rsidRPr="001B1A16">
        <w:rPr>
          <w:sz w:val="22"/>
          <w:szCs w:val="22"/>
        </w:rPr>
        <w:t>request</w:t>
      </w:r>
      <w:r w:rsidRPr="001B1A16">
        <w:rPr>
          <w:sz w:val="22"/>
          <w:szCs w:val="22"/>
        </w:rPr>
        <w:t>s</w:t>
      </w:r>
      <w:r w:rsidR="00CC57C2" w:rsidRPr="001B1A16">
        <w:rPr>
          <w:sz w:val="22"/>
          <w:szCs w:val="22"/>
        </w:rPr>
        <w:t xml:space="preserve"> that </w:t>
      </w:r>
      <w:r w:rsidR="002A6496" w:rsidRPr="001B1A16">
        <w:rPr>
          <w:sz w:val="22"/>
          <w:szCs w:val="22"/>
        </w:rPr>
        <w:t xml:space="preserve">certain </w:t>
      </w:r>
      <w:r w:rsidR="00CC57C2" w:rsidRPr="001B1A16">
        <w:rPr>
          <w:sz w:val="22"/>
          <w:szCs w:val="22"/>
        </w:rPr>
        <w:t xml:space="preserve">waivers granted in the </w:t>
      </w:r>
      <w:r w:rsidR="00B07307" w:rsidRPr="00877120">
        <w:rPr>
          <w:i/>
          <w:sz w:val="22"/>
          <w:szCs w:val="22"/>
        </w:rPr>
        <w:t xml:space="preserve">2003 </w:t>
      </w:r>
      <w:r w:rsidR="00CC57C2" w:rsidRPr="00877120">
        <w:rPr>
          <w:i/>
          <w:sz w:val="22"/>
          <w:szCs w:val="22"/>
        </w:rPr>
        <w:t>A</w:t>
      </w:r>
      <w:r w:rsidR="00CC57C2" w:rsidRPr="001B1A16">
        <w:rPr>
          <w:i/>
          <w:sz w:val="22"/>
          <w:szCs w:val="22"/>
        </w:rPr>
        <w:t>AR Waiver Order</w:t>
      </w:r>
      <w:r w:rsidR="00CC57C2" w:rsidRPr="00E44B8F">
        <w:rPr>
          <w:sz w:val="22"/>
          <w:szCs w:val="22"/>
          <w:vertAlign w:val="superscript"/>
        </w:rPr>
        <w:footnoteReference w:id="30"/>
      </w:r>
      <w:r w:rsidR="00CC57C2" w:rsidRPr="001B1A16">
        <w:rPr>
          <w:sz w:val="22"/>
          <w:szCs w:val="22"/>
        </w:rPr>
        <w:t xml:space="preserve"> for the Nationwide License—waivers of Section 90.715(a) (base/mobile configuration)</w:t>
      </w:r>
      <w:r w:rsidR="00FF215D" w:rsidRPr="001B1A16">
        <w:rPr>
          <w:rFonts w:cs="Arial"/>
          <w:sz w:val="22"/>
          <w:szCs w:val="22"/>
          <w:vertAlign w:val="superscript"/>
        </w:rPr>
        <w:footnoteReference w:id="31"/>
      </w:r>
      <w:r w:rsidR="00CC57C2" w:rsidRPr="001B1A16">
        <w:rPr>
          <w:sz w:val="22"/>
          <w:szCs w:val="22"/>
        </w:rPr>
        <w:t xml:space="preserve"> and Sections 90.713(a) and 90.717(b) (</w:t>
      </w:r>
      <w:r w:rsidRPr="001B1A16">
        <w:rPr>
          <w:sz w:val="22"/>
          <w:szCs w:val="22"/>
        </w:rPr>
        <w:t>limit</w:t>
      </w:r>
      <w:r w:rsidR="00992F90" w:rsidRPr="001B1A16">
        <w:rPr>
          <w:sz w:val="22"/>
          <w:szCs w:val="22"/>
        </w:rPr>
        <w:t>ing</w:t>
      </w:r>
      <w:r w:rsidRPr="001B1A16">
        <w:rPr>
          <w:sz w:val="22"/>
          <w:szCs w:val="22"/>
        </w:rPr>
        <w:t xml:space="preserve"> the use of the Nationwide License to commercial operations</w:t>
      </w:r>
      <w:r w:rsidR="00CC57C2" w:rsidRPr="001B1A16">
        <w:rPr>
          <w:sz w:val="22"/>
          <w:szCs w:val="22"/>
        </w:rPr>
        <w:t>)</w:t>
      </w:r>
      <w:r w:rsidR="00FF215D">
        <w:rPr>
          <w:rStyle w:val="FootnoteReference"/>
          <w:sz w:val="22"/>
          <w:szCs w:val="22"/>
        </w:rPr>
        <w:footnoteReference w:id="32"/>
      </w:r>
      <w:r w:rsidR="00CC57C2" w:rsidRPr="001B1A16">
        <w:rPr>
          <w:sz w:val="22"/>
          <w:szCs w:val="22"/>
        </w:rPr>
        <w:t>—be assigned with that spectrum to PTC-220</w:t>
      </w:r>
      <w:r w:rsidRPr="001B1A16">
        <w:rPr>
          <w:sz w:val="22"/>
          <w:szCs w:val="22"/>
        </w:rPr>
        <w:t xml:space="preserve"> </w:t>
      </w:r>
      <w:r w:rsidRPr="001B1A16">
        <w:rPr>
          <w:rFonts w:cs="Arial"/>
          <w:sz w:val="22"/>
          <w:szCs w:val="22"/>
        </w:rPr>
        <w:t>because the same relief is relevant to PTC service</w:t>
      </w:r>
      <w:r w:rsidR="00CC57C2" w:rsidRPr="001B1A16">
        <w:rPr>
          <w:sz w:val="22"/>
          <w:szCs w:val="22"/>
        </w:rPr>
        <w:t>.</w:t>
      </w:r>
      <w:r w:rsidR="00256A8A" w:rsidRPr="001B1A16">
        <w:rPr>
          <w:rStyle w:val="FootnoteReference"/>
          <w:sz w:val="22"/>
          <w:szCs w:val="22"/>
        </w:rPr>
        <w:footnoteReference w:id="33"/>
      </w:r>
      <w:r w:rsidR="00256A8A" w:rsidRPr="001B1A16">
        <w:rPr>
          <w:sz w:val="22"/>
          <w:szCs w:val="22"/>
        </w:rPr>
        <w:t xml:space="preserve">  </w:t>
      </w:r>
      <w:r w:rsidR="00CC197D" w:rsidRPr="001B1A16">
        <w:rPr>
          <w:sz w:val="22"/>
          <w:szCs w:val="22"/>
        </w:rPr>
        <w:t xml:space="preserve">We </w:t>
      </w:r>
      <w:r w:rsidR="00BF3AB3" w:rsidRPr="001B1A16">
        <w:rPr>
          <w:sz w:val="22"/>
          <w:szCs w:val="22"/>
        </w:rPr>
        <w:t xml:space="preserve">agree and </w:t>
      </w:r>
      <w:r w:rsidR="00CC197D" w:rsidRPr="001B1A16">
        <w:rPr>
          <w:sz w:val="22"/>
          <w:szCs w:val="22"/>
        </w:rPr>
        <w:t>find that w</w:t>
      </w:r>
      <w:r w:rsidR="00631206" w:rsidRPr="001B1A16">
        <w:rPr>
          <w:sz w:val="22"/>
          <w:szCs w:val="22"/>
        </w:rPr>
        <w:t>ai</w:t>
      </w:r>
      <w:r w:rsidR="00125DBE" w:rsidRPr="001B1A16">
        <w:rPr>
          <w:sz w:val="22"/>
          <w:szCs w:val="22"/>
        </w:rPr>
        <w:t>v</w:t>
      </w:r>
      <w:r w:rsidR="00631206" w:rsidRPr="001B1A16">
        <w:rPr>
          <w:sz w:val="22"/>
          <w:szCs w:val="22"/>
        </w:rPr>
        <w:t xml:space="preserve">er of Sections 90.713(a) and 90.717(b) is appropriate because </w:t>
      </w:r>
      <w:r w:rsidR="008F15BE" w:rsidRPr="001B1A16">
        <w:rPr>
          <w:rFonts w:cs="Arial"/>
          <w:sz w:val="22"/>
          <w:szCs w:val="22"/>
        </w:rPr>
        <w:t xml:space="preserve">PTC-220 </w:t>
      </w:r>
      <w:r w:rsidR="00FF215D">
        <w:rPr>
          <w:rFonts w:cs="Arial"/>
          <w:sz w:val="22"/>
          <w:szCs w:val="22"/>
        </w:rPr>
        <w:t xml:space="preserve">members and other railroads </w:t>
      </w:r>
      <w:r w:rsidR="008F15BE" w:rsidRPr="001B1A16">
        <w:rPr>
          <w:rFonts w:cs="Arial"/>
          <w:sz w:val="22"/>
          <w:szCs w:val="22"/>
        </w:rPr>
        <w:t xml:space="preserve">operate </w:t>
      </w:r>
      <w:r w:rsidR="00631206" w:rsidRPr="001B1A16">
        <w:rPr>
          <w:rFonts w:cs="Arial"/>
          <w:sz w:val="22"/>
          <w:szCs w:val="22"/>
        </w:rPr>
        <w:t>PTC system</w:t>
      </w:r>
      <w:r w:rsidR="00FF215D">
        <w:rPr>
          <w:rFonts w:cs="Arial"/>
          <w:sz w:val="22"/>
          <w:szCs w:val="22"/>
        </w:rPr>
        <w:t>s</w:t>
      </w:r>
      <w:r w:rsidR="00631206" w:rsidRPr="001B1A16">
        <w:rPr>
          <w:rFonts w:cs="Arial"/>
          <w:sz w:val="22"/>
          <w:szCs w:val="22"/>
        </w:rPr>
        <w:t xml:space="preserve"> </w:t>
      </w:r>
      <w:r w:rsidR="008F15BE" w:rsidRPr="001B1A16">
        <w:rPr>
          <w:rFonts w:cs="Arial"/>
          <w:sz w:val="22"/>
          <w:szCs w:val="22"/>
        </w:rPr>
        <w:t>on a private, non-commercial basis.</w:t>
      </w:r>
      <w:r w:rsidR="009710FD">
        <w:rPr>
          <w:rFonts w:cs="Arial"/>
          <w:sz w:val="22"/>
          <w:szCs w:val="22"/>
        </w:rPr>
        <w:t xml:space="preserve">  </w:t>
      </w:r>
      <w:r w:rsidR="00BF3AB3" w:rsidRPr="001B1A16">
        <w:rPr>
          <w:rFonts w:cs="Arial"/>
          <w:sz w:val="22"/>
          <w:szCs w:val="22"/>
        </w:rPr>
        <w:t xml:space="preserve">We note that </w:t>
      </w:r>
      <w:r w:rsidR="008F15BE" w:rsidRPr="001B1A16">
        <w:rPr>
          <w:rFonts w:cs="Arial"/>
          <w:sz w:val="22"/>
          <w:szCs w:val="22"/>
        </w:rPr>
        <w:t>PTC</w:t>
      </w:r>
      <w:r w:rsidR="00631206" w:rsidRPr="001B1A16">
        <w:rPr>
          <w:rFonts w:cs="Arial"/>
          <w:sz w:val="22"/>
          <w:szCs w:val="22"/>
        </w:rPr>
        <w:t xml:space="preserve">-220 </w:t>
      </w:r>
      <w:r w:rsidR="008F15BE" w:rsidRPr="001B1A16">
        <w:rPr>
          <w:rFonts w:cs="Arial"/>
          <w:sz w:val="22"/>
          <w:szCs w:val="22"/>
        </w:rPr>
        <w:t>employs time division duplex (TDD) technology</w:t>
      </w:r>
      <w:r w:rsidR="008767AE">
        <w:rPr>
          <w:rFonts w:cs="Arial"/>
          <w:sz w:val="22"/>
          <w:szCs w:val="22"/>
        </w:rPr>
        <w:t>.  I</w:t>
      </w:r>
      <w:r w:rsidR="00B41CAE">
        <w:rPr>
          <w:rFonts w:cs="Arial"/>
          <w:sz w:val="22"/>
          <w:szCs w:val="22"/>
        </w:rPr>
        <w:t xml:space="preserve">n the </w:t>
      </w:r>
      <w:r w:rsidR="00B41CAE" w:rsidRPr="00B41CAE">
        <w:rPr>
          <w:rFonts w:cs="Arial"/>
          <w:i/>
          <w:sz w:val="22"/>
          <w:szCs w:val="22"/>
        </w:rPr>
        <w:t>PTC-220 2009 Waiver Order</w:t>
      </w:r>
      <w:r w:rsidR="00B41CAE">
        <w:rPr>
          <w:rFonts w:cs="Arial"/>
          <w:i/>
          <w:sz w:val="22"/>
          <w:szCs w:val="22"/>
        </w:rPr>
        <w:t>,</w:t>
      </w:r>
      <w:r w:rsidR="00B41CAE" w:rsidRPr="00B41CAE">
        <w:rPr>
          <w:rFonts w:cs="Arial"/>
          <w:sz w:val="22"/>
          <w:szCs w:val="22"/>
        </w:rPr>
        <w:t xml:space="preserve"> </w:t>
      </w:r>
      <w:r w:rsidR="0082786A">
        <w:rPr>
          <w:rFonts w:cs="Arial"/>
          <w:sz w:val="22"/>
          <w:szCs w:val="22"/>
        </w:rPr>
        <w:t xml:space="preserve">the Bureau granted PTC-220 </w:t>
      </w:r>
      <w:r w:rsidR="00FF215D">
        <w:rPr>
          <w:rFonts w:cs="Arial"/>
          <w:sz w:val="22"/>
          <w:szCs w:val="22"/>
        </w:rPr>
        <w:t xml:space="preserve">waiver relief to use </w:t>
      </w:r>
      <w:r w:rsidR="008F15BE" w:rsidRPr="001B1A16">
        <w:rPr>
          <w:rFonts w:cs="Arial"/>
          <w:sz w:val="22"/>
          <w:szCs w:val="22"/>
        </w:rPr>
        <w:t xml:space="preserve">both the upper and lower portions of the 220 MHz </w:t>
      </w:r>
      <w:r w:rsidR="00631206" w:rsidRPr="001B1A16">
        <w:rPr>
          <w:rFonts w:cs="Arial"/>
          <w:sz w:val="22"/>
          <w:szCs w:val="22"/>
        </w:rPr>
        <w:t>B</w:t>
      </w:r>
      <w:r w:rsidR="008F15BE" w:rsidRPr="001B1A16">
        <w:rPr>
          <w:rFonts w:cs="Arial"/>
          <w:sz w:val="22"/>
          <w:szCs w:val="22"/>
        </w:rPr>
        <w:t>and for base and mobile transmissions</w:t>
      </w:r>
      <w:r w:rsidR="00EE3825">
        <w:rPr>
          <w:rFonts w:cs="Arial"/>
          <w:sz w:val="22"/>
          <w:szCs w:val="22"/>
        </w:rPr>
        <w:t>, finding that there was limited potential that such operations would cause co-channel interference</w:t>
      </w:r>
      <w:r w:rsidR="008767AE">
        <w:rPr>
          <w:rFonts w:cs="Arial"/>
          <w:sz w:val="22"/>
          <w:szCs w:val="22"/>
        </w:rPr>
        <w:t xml:space="preserve"> because there will be no co-channel users in close geographic proximity</w:t>
      </w:r>
      <w:r w:rsidR="008F15BE" w:rsidRPr="001B1A16">
        <w:rPr>
          <w:rFonts w:cs="Arial"/>
          <w:sz w:val="22"/>
          <w:szCs w:val="22"/>
        </w:rPr>
        <w:t>.</w:t>
      </w:r>
      <w:r w:rsidR="00BF3AB3" w:rsidRPr="001B1A16">
        <w:rPr>
          <w:rStyle w:val="FootnoteReference"/>
          <w:rFonts w:cs="Arial"/>
          <w:sz w:val="22"/>
          <w:szCs w:val="22"/>
        </w:rPr>
        <w:footnoteReference w:id="34"/>
      </w:r>
      <w:r w:rsidR="008F15BE" w:rsidRPr="001B1A16">
        <w:rPr>
          <w:rFonts w:cs="Arial"/>
          <w:sz w:val="22"/>
          <w:szCs w:val="22"/>
        </w:rPr>
        <w:t xml:space="preserve">  A waiver </w:t>
      </w:r>
      <w:r w:rsidR="00631206" w:rsidRPr="001B1A16">
        <w:rPr>
          <w:rFonts w:cs="Arial"/>
          <w:sz w:val="22"/>
          <w:szCs w:val="22"/>
        </w:rPr>
        <w:t xml:space="preserve">of Section 90.715(a)’s </w:t>
      </w:r>
      <w:r w:rsidR="008F15BE" w:rsidRPr="001B1A16">
        <w:rPr>
          <w:rFonts w:cs="Arial"/>
          <w:sz w:val="22"/>
          <w:szCs w:val="22"/>
        </w:rPr>
        <w:t xml:space="preserve">base/mobile </w:t>
      </w:r>
      <w:r w:rsidR="00631206" w:rsidRPr="001B1A16">
        <w:rPr>
          <w:rFonts w:cs="Arial"/>
          <w:sz w:val="22"/>
          <w:szCs w:val="22"/>
        </w:rPr>
        <w:t xml:space="preserve">provisions </w:t>
      </w:r>
      <w:r w:rsidR="00637824">
        <w:rPr>
          <w:rFonts w:cs="Arial"/>
          <w:sz w:val="22"/>
          <w:szCs w:val="22"/>
        </w:rPr>
        <w:t xml:space="preserve">here </w:t>
      </w:r>
      <w:r w:rsidR="00B41CAE">
        <w:rPr>
          <w:rFonts w:cs="Arial"/>
          <w:sz w:val="22"/>
          <w:szCs w:val="22"/>
        </w:rPr>
        <w:t xml:space="preserve">will enable </w:t>
      </w:r>
      <w:r w:rsidR="008F15BE" w:rsidRPr="001B1A16">
        <w:rPr>
          <w:rFonts w:cs="Arial"/>
          <w:sz w:val="22"/>
          <w:szCs w:val="22"/>
        </w:rPr>
        <w:t xml:space="preserve">PTC-220 </w:t>
      </w:r>
      <w:r w:rsidR="00B41CAE">
        <w:rPr>
          <w:rFonts w:cs="Arial"/>
          <w:sz w:val="22"/>
          <w:szCs w:val="22"/>
        </w:rPr>
        <w:t xml:space="preserve">to similarly </w:t>
      </w:r>
      <w:r w:rsidR="008F15BE" w:rsidRPr="001B1A16">
        <w:rPr>
          <w:rFonts w:cs="Arial"/>
          <w:sz w:val="22"/>
          <w:szCs w:val="22"/>
        </w:rPr>
        <w:t>transmit and receive on any of the frequencies included in the Nationwide License</w:t>
      </w:r>
      <w:r w:rsidR="00892B83">
        <w:rPr>
          <w:rFonts w:cs="Arial"/>
          <w:sz w:val="22"/>
          <w:szCs w:val="22"/>
        </w:rPr>
        <w:t>.</w:t>
      </w:r>
      <w:r w:rsidR="00992F90" w:rsidRPr="001B1A16">
        <w:rPr>
          <w:rStyle w:val="FootnoteReference"/>
          <w:rFonts w:cs="Arial"/>
          <w:sz w:val="22"/>
          <w:szCs w:val="22"/>
        </w:rPr>
        <w:footnoteReference w:id="35"/>
      </w:r>
      <w:r w:rsidR="00892B83">
        <w:rPr>
          <w:rFonts w:cs="Arial"/>
          <w:sz w:val="22"/>
          <w:szCs w:val="22"/>
        </w:rPr>
        <w:t xml:space="preserve"> </w:t>
      </w:r>
      <w:r w:rsidR="00820C1B" w:rsidRPr="001B1A16">
        <w:rPr>
          <w:rFonts w:cs="Arial"/>
          <w:sz w:val="22"/>
          <w:szCs w:val="22"/>
        </w:rPr>
        <w:t xml:space="preserve"> </w:t>
      </w:r>
      <w:r w:rsidR="00892B83">
        <w:rPr>
          <w:rFonts w:cs="Arial"/>
          <w:sz w:val="22"/>
          <w:szCs w:val="22"/>
        </w:rPr>
        <w:t xml:space="preserve">We find that waiver of </w:t>
      </w:r>
      <w:r w:rsidR="00892B83" w:rsidRPr="001B1A16">
        <w:rPr>
          <w:rFonts w:cs="Arial"/>
          <w:sz w:val="22"/>
          <w:szCs w:val="22"/>
        </w:rPr>
        <w:t>Section 90.715(a)</w:t>
      </w:r>
      <w:r w:rsidR="00892B83">
        <w:rPr>
          <w:rFonts w:cs="Arial"/>
          <w:sz w:val="22"/>
          <w:szCs w:val="22"/>
        </w:rPr>
        <w:t xml:space="preserve"> will </w:t>
      </w:r>
      <w:r w:rsidR="00820C1B" w:rsidRPr="001B1A16">
        <w:rPr>
          <w:rFonts w:cs="Arial"/>
          <w:sz w:val="22"/>
          <w:szCs w:val="22"/>
        </w:rPr>
        <w:t>serve the public interest in rail safety by facilitating PTC operations</w:t>
      </w:r>
      <w:r w:rsidR="00892B83">
        <w:rPr>
          <w:rFonts w:cs="Arial"/>
          <w:sz w:val="22"/>
          <w:szCs w:val="22"/>
        </w:rPr>
        <w:t>, and find that the underlying purpose of this rule would not be served by strict application here</w:t>
      </w:r>
      <w:r w:rsidR="00892B83" w:rsidRPr="001B1A16">
        <w:rPr>
          <w:rFonts w:cs="Arial"/>
          <w:sz w:val="22"/>
          <w:szCs w:val="22"/>
        </w:rPr>
        <w:t>.</w:t>
      </w:r>
      <w:r w:rsidR="00892B83">
        <w:rPr>
          <w:rStyle w:val="FootnoteReference"/>
          <w:rFonts w:cs="Arial"/>
          <w:sz w:val="22"/>
          <w:szCs w:val="22"/>
        </w:rPr>
        <w:footnoteReference w:id="36"/>
      </w:r>
      <w:r w:rsidR="00820C1B" w:rsidRPr="001B1A16">
        <w:rPr>
          <w:rFonts w:cs="Arial"/>
          <w:sz w:val="22"/>
          <w:szCs w:val="22"/>
        </w:rPr>
        <w:t xml:space="preserve"> </w:t>
      </w:r>
    </w:p>
    <w:p w:rsidR="00820C1B" w:rsidRPr="001B1A16" w:rsidRDefault="008F15BE" w:rsidP="00752B4E">
      <w:pPr>
        <w:autoSpaceDE w:val="0"/>
        <w:autoSpaceDN w:val="0"/>
        <w:adjustRightInd w:val="0"/>
        <w:ind w:firstLine="720"/>
        <w:rPr>
          <w:rFonts w:cs="Arial"/>
          <w:sz w:val="22"/>
          <w:szCs w:val="22"/>
        </w:rPr>
      </w:pPr>
      <w:r w:rsidRPr="001B1A16">
        <w:rPr>
          <w:rFonts w:cs="Arial"/>
          <w:sz w:val="22"/>
          <w:szCs w:val="22"/>
        </w:rPr>
        <w:t xml:space="preserve"> </w:t>
      </w:r>
    </w:p>
    <w:p w:rsidR="00C179B4" w:rsidRPr="001B1A16" w:rsidRDefault="00820C1B" w:rsidP="00752B4E">
      <w:pPr>
        <w:autoSpaceDE w:val="0"/>
        <w:autoSpaceDN w:val="0"/>
        <w:adjustRightInd w:val="0"/>
        <w:ind w:firstLine="720"/>
        <w:rPr>
          <w:rFonts w:cs="Arial"/>
          <w:sz w:val="22"/>
          <w:szCs w:val="22"/>
        </w:rPr>
      </w:pPr>
      <w:r w:rsidRPr="001B1A16">
        <w:rPr>
          <w:rFonts w:cs="Arial"/>
          <w:sz w:val="22"/>
          <w:szCs w:val="22"/>
        </w:rPr>
        <w:t xml:space="preserve">We </w:t>
      </w:r>
      <w:r w:rsidR="0082786A">
        <w:rPr>
          <w:rFonts w:cs="Arial"/>
          <w:sz w:val="22"/>
          <w:szCs w:val="22"/>
        </w:rPr>
        <w:t xml:space="preserve">also </w:t>
      </w:r>
      <w:r w:rsidRPr="001B1A16">
        <w:rPr>
          <w:rFonts w:cs="Arial"/>
          <w:sz w:val="22"/>
          <w:szCs w:val="22"/>
        </w:rPr>
        <w:t>note that t</w:t>
      </w:r>
      <w:r w:rsidR="008F15BE" w:rsidRPr="001B1A16">
        <w:rPr>
          <w:rFonts w:cs="Arial"/>
          <w:sz w:val="22"/>
          <w:szCs w:val="22"/>
        </w:rPr>
        <w:t xml:space="preserve">he Bureau </w:t>
      </w:r>
      <w:r w:rsidR="00156814" w:rsidRPr="001B1A16">
        <w:rPr>
          <w:rFonts w:cs="Arial"/>
          <w:sz w:val="22"/>
          <w:szCs w:val="22"/>
        </w:rPr>
        <w:t xml:space="preserve">previously </w:t>
      </w:r>
      <w:r w:rsidR="008F15BE" w:rsidRPr="001B1A16">
        <w:rPr>
          <w:rFonts w:cs="Arial"/>
          <w:sz w:val="22"/>
          <w:szCs w:val="22"/>
        </w:rPr>
        <w:t xml:space="preserve">determined </w:t>
      </w:r>
      <w:r w:rsidR="00C21AD2" w:rsidRPr="001B1A16">
        <w:rPr>
          <w:rFonts w:cs="Arial"/>
          <w:sz w:val="22"/>
          <w:szCs w:val="22"/>
        </w:rPr>
        <w:t xml:space="preserve">and we reiterate here </w:t>
      </w:r>
      <w:r w:rsidR="008F15BE" w:rsidRPr="001B1A16">
        <w:rPr>
          <w:rFonts w:cs="Arial"/>
          <w:sz w:val="22"/>
          <w:szCs w:val="22"/>
        </w:rPr>
        <w:t xml:space="preserve">that the waivers requested above are in the public interest.  In the </w:t>
      </w:r>
      <w:r w:rsidR="00877120" w:rsidRPr="00877120">
        <w:rPr>
          <w:rFonts w:cs="Arial"/>
          <w:i/>
          <w:sz w:val="22"/>
          <w:szCs w:val="22"/>
        </w:rPr>
        <w:t xml:space="preserve">2003 </w:t>
      </w:r>
      <w:r w:rsidR="008F15BE" w:rsidRPr="00877120">
        <w:rPr>
          <w:rFonts w:cs="Arial"/>
          <w:i/>
          <w:sz w:val="22"/>
          <w:szCs w:val="22"/>
        </w:rPr>
        <w:t>A</w:t>
      </w:r>
      <w:r w:rsidR="008F15BE" w:rsidRPr="001B1A16">
        <w:rPr>
          <w:rFonts w:cs="Arial"/>
          <w:i/>
          <w:sz w:val="22"/>
          <w:szCs w:val="22"/>
        </w:rPr>
        <w:t>AR Waiver Order</w:t>
      </w:r>
      <w:r w:rsidR="00156814" w:rsidRPr="001B1A16">
        <w:rPr>
          <w:rFonts w:cs="Arial"/>
          <w:sz w:val="22"/>
          <w:szCs w:val="22"/>
        </w:rPr>
        <w:t xml:space="preserve">, the Bureau </w:t>
      </w:r>
      <w:r w:rsidR="00EF2B0D" w:rsidRPr="001B1A16">
        <w:rPr>
          <w:rFonts w:cs="Arial"/>
          <w:sz w:val="22"/>
          <w:szCs w:val="22"/>
        </w:rPr>
        <w:t xml:space="preserve">found </w:t>
      </w:r>
      <w:r w:rsidR="00156814" w:rsidRPr="001B1A16">
        <w:rPr>
          <w:rFonts w:cs="Arial"/>
          <w:sz w:val="22"/>
          <w:szCs w:val="22"/>
        </w:rPr>
        <w:t xml:space="preserve">that a waiver of Sections 90.713(a) and 90.717(b) to permit the private use of 220 MHz spectrum for RCL would serve “the public interest because of </w:t>
      </w:r>
      <w:r w:rsidR="00EF2B0D" w:rsidRPr="001B1A16">
        <w:rPr>
          <w:rFonts w:cs="Arial"/>
          <w:sz w:val="22"/>
          <w:szCs w:val="22"/>
        </w:rPr>
        <w:t xml:space="preserve">its </w:t>
      </w:r>
      <w:r w:rsidR="00156814" w:rsidRPr="001B1A16">
        <w:rPr>
          <w:rFonts w:cs="Arial"/>
          <w:sz w:val="22"/>
          <w:szCs w:val="22"/>
        </w:rPr>
        <w:t>public safety, spectrum, and efficiency benefits</w:t>
      </w:r>
      <w:r w:rsidR="00EF2B0D" w:rsidRPr="001B1A16">
        <w:rPr>
          <w:rFonts w:cs="Arial"/>
          <w:sz w:val="22"/>
          <w:szCs w:val="22"/>
        </w:rPr>
        <w:t>,” and would serve “the Commission’s policies regarding flexible spectrum use.”</w:t>
      </w:r>
      <w:r w:rsidR="00156814" w:rsidRPr="001B1A16">
        <w:rPr>
          <w:rStyle w:val="FootnoteReference"/>
          <w:rFonts w:cs="Arial"/>
          <w:sz w:val="22"/>
          <w:szCs w:val="22"/>
        </w:rPr>
        <w:footnoteReference w:id="37"/>
      </w:r>
      <w:r w:rsidR="00EF2B0D" w:rsidRPr="001B1A16">
        <w:rPr>
          <w:rFonts w:cs="Arial"/>
          <w:sz w:val="22"/>
          <w:szCs w:val="22"/>
        </w:rPr>
        <w:t xml:space="preserve">  I</w:t>
      </w:r>
      <w:r w:rsidR="00156814" w:rsidRPr="001B1A16">
        <w:rPr>
          <w:rFonts w:cs="Arial"/>
          <w:sz w:val="22"/>
          <w:szCs w:val="22"/>
        </w:rPr>
        <w:t xml:space="preserve">n the </w:t>
      </w:r>
      <w:r w:rsidR="008F15BE" w:rsidRPr="001B1A16">
        <w:rPr>
          <w:rFonts w:cs="Arial"/>
          <w:i/>
          <w:sz w:val="22"/>
          <w:szCs w:val="22"/>
        </w:rPr>
        <w:t xml:space="preserve">PTC-220 </w:t>
      </w:r>
      <w:r w:rsidR="00992F90" w:rsidRPr="001B1A16">
        <w:rPr>
          <w:rFonts w:cs="Arial"/>
          <w:i/>
          <w:sz w:val="22"/>
          <w:szCs w:val="22"/>
        </w:rPr>
        <w:t xml:space="preserve">2009 </w:t>
      </w:r>
      <w:r w:rsidR="008F15BE" w:rsidRPr="001B1A16">
        <w:rPr>
          <w:rFonts w:cs="Arial"/>
          <w:i/>
          <w:sz w:val="22"/>
          <w:szCs w:val="22"/>
        </w:rPr>
        <w:t>Waiver Order</w:t>
      </w:r>
      <w:r w:rsidR="008F15BE" w:rsidRPr="001B1A16">
        <w:rPr>
          <w:rFonts w:cs="Arial"/>
          <w:sz w:val="22"/>
          <w:szCs w:val="22"/>
        </w:rPr>
        <w:t xml:space="preserve">, </w:t>
      </w:r>
      <w:r w:rsidR="00156814" w:rsidRPr="001B1A16">
        <w:rPr>
          <w:rFonts w:cs="Arial"/>
          <w:sz w:val="22"/>
          <w:szCs w:val="22"/>
        </w:rPr>
        <w:t xml:space="preserve">the Bureau </w:t>
      </w:r>
      <w:r w:rsidR="00EF2B0D" w:rsidRPr="001B1A16">
        <w:rPr>
          <w:rFonts w:cs="Arial"/>
          <w:sz w:val="22"/>
          <w:szCs w:val="22"/>
        </w:rPr>
        <w:t xml:space="preserve">recognized these same benefits in waiving Sections </w:t>
      </w:r>
      <w:r w:rsidR="00156814" w:rsidRPr="001B1A16">
        <w:rPr>
          <w:rFonts w:cs="Arial"/>
          <w:sz w:val="22"/>
          <w:szCs w:val="22"/>
        </w:rPr>
        <w:t xml:space="preserve">90.713(a) and 90.717(b) to permit the private use of </w:t>
      </w:r>
      <w:r w:rsidR="00A70DE2">
        <w:rPr>
          <w:rFonts w:cs="Arial"/>
          <w:sz w:val="22"/>
          <w:szCs w:val="22"/>
        </w:rPr>
        <w:t xml:space="preserve">certain </w:t>
      </w:r>
      <w:r w:rsidR="00156814" w:rsidRPr="001B1A16">
        <w:rPr>
          <w:rFonts w:cs="Arial"/>
          <w:sz w:val="22"/>
          <w:szCs w:val="22"/>
        </w:rPr>
        <w:t xml:space="preserve">220 MHz spectrum </w:t>
      </w:r>
      <w:r w:rsidR="00A70DE2">
        <w:rPr>
          <w:rFonts w:cs="Arial"/>
          <w:sz w:val="22"/>
          <w:szCs w:val="22"/>
        </w:rPr>
        <w:t xml:space="preserve">licenses </w:t>
      </w:r>
      <w:r w:rsidR="00156814" w:rsidRPr="001B1A16">
        <w:rPr>
          <w:rFonts w:cs="Arial"/>
          <w:sz w:val="22"/>
          <w:szCs w:val="22"/>
        </w:rPr>
        <w:t>for PTC</w:t>
      </w:r>
      <w:r w:rsidR="008F15BE" w:rsidRPr="001B1A16">
        <w:rPr>
          <w:rFonts w:cs="Arial"/>
          <w:sz w:val="22"/>
          <w:szCs w:val="22"/>
        </w:rPr>
        <w:t>.</w:t>
      </w:r>
      <w:r w:rsidR="008F15BE" w:rsidRPr="001B1A16">
        <w:rPr>
          <w:rFonts w:cs="Arial"/>
          <w:sz w:val="22"/>
          <w:szCs w:val="22"/>
          <w:vertAlign w:val="superscript"/>
        </w:rPr>
        <w:footnoteReference w:id="38"/>
      </w:r>
      <w:r w:rsidR="00C21AD2" w:rsidRPr="001B1A16">
        <w:rPr>
          <w:rFonts w:cs="Arial"/>
          <w:sz w:val="22"/>
          <w:szCs w:val="22"/>
        </w:rPr>
        <w:t xml:space="preserve">  </w:t>
      </w:r>
      <w:r w:rsidR="00EF2B0D" w:rsidRPr="001B1A16">
        <w:rPr>
          <w:rFonts w:cs="Arial"/>
          <w:sz w:val="22"/>
          <w:szCs w:val="22"/>
        </w:rPr>
        <w:t xml:space="preserve">The Bureau </w:t>
      </w:r>
      <w:r w:rsidR="00C179B4" w:rsidRPr="001B1A16">
        <w:rPr>
          <w:rFonts w:cs="Arial"/>
          <w:sz w:val="22"/>
          <w:szCs w:val="22"/>
        </w:rPr>
        <w:t xml:space="preserve">has </w:t>
      </w:r>
      <w:r w:rsidR="008F15BE" w:rsidRPr="001B1A16">
        <w:rPr>
          <w:rFonts w:cs="Arial"/>
          <w:sz w:val="22"/>
          <w:szCs w:val="22"/>
        </w:rPr>
        <w:t>also</w:t>
      </w:r>
      <w:r w:rsidR="00C179B4" w:rsidRPr="001B1A16">
        <w:rPr>
          <w:rFonts w:cs="Arial"/>
          <w:sz w:val="22"/>
          <w:szCs w:val="22"/>
        </w:rPr>
        <w:t xml:space="preserve"> previously determined</w:t>
      </w:r>
      <w:r w:rsidR="008F15BE" w:rsidRPr="001B1A16">
        <w:rPr>
          <w:rFonts w:cs="Arial"/>
          <w:sz w:val="22"/>
          <w:szCs w:val="22"/>
        </w:rPr>
        <w:t xml:space="preserve"> that a waiver of the base/mobile use restriction</w:t>
      </w:r>
      <w:r w:rsidR="0082786A">
        <w:rPr>
          <w:rFonts w:cs="Arial"/>
          <w:sz w:val="22"/>
          <w:szCs w:val="22"/>
        </w:rPr>
        <w:t>s</w:t>
      </w:r>
      <w:r w:rsidR="008F15BE" w:rsidRPr="001B1A16">
        <w:rPr>
          <w:rFonts w:cs="Arial"/>
          <w:sz w:val="22"/>
          <w:szCs w:val="22"/>
        </w:rPr>
        <w:t xml:space="preserve"> for RCL and PTC operations is in the public interest </w:t>
      </w:r>
      <w:r w:rsidR="00C179B4" w:rsidRPr="001B1A16">
        <w:rPr>
          <w:rFonts w:cs="Arial"/>
          <w:sz w:val="22"/>
          <w:szCs w:val="22"/>
        </w:rPr>
        <w:t>noting that</w:t>
      </w:r>
      <w:r w:rsidR="008F15BE" w:rsidRPr="001B1A16">
        <w:rPr>
          <w:rFonts w:cs="Arial"/>
          <w:sz w:val="22"/>
          <w:szCs w:val="22"/>
        </w:rPr>
        <w:t xml:space="preserve"> the waiver </w:t>
      </w:r>
      <w:r w:rsidR="00C179B4" w:rsidRPr="001B1A16">
        <w:rPr>
          <w:rFonts w:cs="Arial"/>
          <w:sz w:val="22"/>
          <w:szCs w:val="22"/>
        </w:rPr>
        <w:t>will facilitate PTC in “highly congested areas shared by multiple freight and commuter railroads</w:t>
      </w:r>
      <w:r w:rsidR="008F15BE" w:rsidRPr="001B1A16">
        <w:rPr>
          <w:rFonts w:cs="Arial"/>
          <w:sz w:val="22"/>
          <w:szCs w:val="22"/>
        </w:rPr>
        <w:t>”</w:t>
      </w:r>
      <w:r w:rsidR="008F15BE" w:rsidRPr="001B1A16">
        <w:rPr>
          <w:rFonts w:cs="Arial"/>
          <w:sz w:val="22"/>
          <w:szCs w:val="22"/>
          <w:vertAlign w:val="superscript"/>
        </w:rPr>
        <w:footnoteReference w:id="39"/>
      </w:r>
      <w:r w:rsidR="008F15BE" w:rsidRPr="001B1A16">
        <w:rPr>
          <w:rFonts w:cs="Arial"/>
          <w:sz w:val="22"/>
          <w:szCs w:val="22"/>
        </w:rPr>
        <w:t xml:space="preserve"> and will permit </w:t>
      </w:r>
      <w:r w:rsidR="00C179B4" w:rsidRPr="001B1A16">
        <w:rPr>
          <w:rFonts w:cs="Arial"/>
          <w:sz w:val="22"/>
          <w:szCs w:val="22"/>
        </w:rPr>
        <w:t xml:space="preserve">RCL </w:t>
      </w:r>
      <w:r w:rsidR="008F15BE" w:rsidRPr="001B1A16">
        <w:rPr>
          <w:rFonts w:cs="Arial"/>
          <w:sz w:val="22"/>
          <w:szCs w:val="22"/>
        </w:rPr>
        <w:t xml:space="preserve">portable-to-mobile and mobile-to-mobile </w:t>
      </w:r>
      <w:r w:rsidR="00C179B4" w:rsidRPr="001B1A16">
        <w:rPr>
          <w:rFonts w:cs="Arial"/>
          <w:sz w:val="22"/>
          <w:szCs w:val="22"/>
        </w:rPr>
        <w:t>communications</w:t>
      </w:r>
      <w:r w:rsidR="008F15BE" w:rsidRPr="001B1A16">
        <w:rPr>
          <w:rFonts w:cs="Arial"/>
          <w:sz w:val="22"/>
          <w:szCs w:val="22"/>
        </w:rPr>
        <w:t>.</w:t>
      </w:r>
      <w:r w:rsidR="008F15BE" w:rsidRPr="001B1A16">
        <w:rPr>
          <w:rFonts w:cs="Arial"/>
          <w:sz w:val="22"/>
          <w:szCs w:val="22"/>
          <w:vertAlign w:val="superscript"/>
        </w:rPr>
        <w:footnoteReference w:id="40"/>
      </w:r>
    </w:p>
    <w:p w:rsidR="00C21AD2" w:rsidRPr="001B1A16" w:rsidRDefault="00C21AD2" w:rsidP="00752B4E">
      <w:pPr>
        <w:autoSpaceDE w:val="0"/>
        <w:autoSpaceDN w:val="0"/>
        <w:adjustRightInd w:val="0"/>
        <w:ind w:firstLine="720"/>
        <w:rPr>
          <w:rFonts w:cs="Arial"/>
          <w:sz w:val="22"/>
          <w:szCs w:val="22"/>
        </w:rPr>
      </w:pPr>
    </w:p>
    <w:p w:rsidR="00A86441" w:rsidRPr="0082786A" w:rsidRDefault="00992F90" w:rsidP="00752B4E">
      <w:pPr>
        <w:autoSpaceDE w:val="0"/>
        <w:autoSpaceDN w:val="0"/>
        <w:adjustRightInd w:val="0"/>
        <w:ind w:firstLine="720"/>
        <w:rPr>
          <w:rFonts w:cs="Arial"/>
          <w:sz w:val="22"/>
          <w:szCs w:val="22"/>
        </w:rPr>
      </w:pPr>
      <w:r w:rsidRPr="0082786A">
        <w:rPr>
          <w:rFonts w:cs="Arial"/>
          <w:sz w:val="22"/>
          <w:szCs w:val="22"/>
        </w:rPr>
        <w:t>For</w:t>
      </w:r>
      <w:r w:rsidR="00C21AD2" w:rsidRPr="0082786A">
        <w:rPr>
          <w:rFonts w:cs="Arial"/>
          <w:sz w:val="22"/>
          <w:szCs w:val="22"/>
        </w:rPr>
        <w:t xml:space="preserve"> all of </w:t>
      </w:r>
      <w:r w:rsidRPr="0082786A">
        <w:rPr>
          <w:rFonts w:cs="Arial"/>
          <w:sz w:val="22"/>
          <w:szCs w:val="22"/>
        </w:rPr>
        <w:t xml:space="preserve">the </w:t>
      </w:r>
      <w:r w:rsidR="008F15BE" w:rsidRPr="0082786A">
        <w:rPr>
          <w:rFonts w:cs="Arial"/>
          <w:sz w:val="22"/>
          <w:szCs w:val="22"/>
        </w:rPr>
        <w:t>reasons stated</w:t>
      </w:r>
      <w:r w:rsidR="00C236AD" w:rsidRPr="0082786A">
        <w:rPr>
          <w:rFonts w:cs="Arial"/>
          <w:sz w:val="22"/>
          <w:szCs w:val="22"/>
        </w:rPr>
        <w:t xml:space="preserve"> above</w:t>
      </w:r>
      <w:r w:rsidR="008F15BE" w:rsidRPr="0082786A">
        <w:rPr>
          <w:rFonts w:cs="Arial"/>
          <w:sz w:val="22"/>
          <w:szCs w:val="22"/>
        </w:rPr>
        <w:t xml:space="preserve">, </w:t>
      </w:r>
      <w:r w:rsidR="00C236AD" w:rsidRPr="0082786A">
        <w:rPr>
          <w:rFonts w:cs="Arial"/>
          <w:sz w:val="22"/>
          <w:szCs w:val="22"/>
        </w:rPr>
        <w:t xml:space="preserve">we conclude that </w:t>
      </w:r>
      <w:r w:rsidR="008F15BE" w:rsidRPr="0082786A">
        <w:rPr>
          <w:rFonts w:cs="Arial"/>
          <w:sz w:val="22"/>
          <w:szCs w:val="22"/>
        </w:rPr>
        <w:t xml:space="preserve">the public interest will be served by </w:t>
      </w:r>
      <w:r w:rsidR="0082786A" w:rsidRPr="0082786A">
        <w:rPr>
          <w:rFonts w:cs="Arial"/>
          <w:sz w:val="22"/>
          <w:szCs w:val="22"/>
        </w:rPr>
        <w:t xml:space="preserve">granting </w:t>
      </w:r>
      <w:r w:rsidR="008F15BE" w:rsidRPr="0082786A">
        <w:rPr>
          <w:rFonts w:cs="Arial"/>
          <w:sz w:val="22"/>
          <w:szCs w:val="22"/>
        </w:rPr>
        <w:t xml:space="preserve">the requested waivers from the </w:t>
      </w:r>
      <w:r w:rsidR="00877120" w:rsidRPr="00877120">
        <w:rPr>
          <w:rFonts w:cs="Arial"/>
          <w:i/>
          <w:sz w:val="22"/>
          <w:szCs w:val="22"/>
        </w:rPr>
        <w:t xml:space="preserve">2003 </w:t>
      </w:r>
      <w:r w:rsidR="008F15BE" w:rsidRPr="00877120">
        <w:rPr>
          <w:rFonts w:cs="Arial"/>
          <w:i/>
          <w:sz w:val="22"/>
          <w:szCs w:val="22"/>
        </w:rPr>
        <w:t>A</w:t>
      </w:r>
      <w:r w:rsidR="008F15BE" w:rsidRPr="0082786A">
        <w:rPr>
          <w:rFonts w:cs="Arial"/>
          <w:i/>
          <w:sz w:val="22"/>
          <w:szCs w:val="22"/>
        </w:rPr>
        <w:t>AR Waiver Order</w:t>
      </w:r>
      <w:r w:rsidR="008F15BE" w:rsidRPr="0082786A">
        <w:rPr>
          <w:rFonts w:cs="Arial"/>
          <w:sz w:val="22"/>
          <w:szCs w:val="22"/>
        </w:rPr>
        <w:t xml:space="preserve"> to PTC-220 and </w:t>
      </w:r>
      <w:r w:rsidR="0082786A" w:rsidRPr="0082786A">
        <w:rPr>
          <w:rFonts w:cs="Arial"/>
          <w:sz w:val="22"/>
          <w:szCs w:val="22"/>
        </w:rPr>
        <w:t xml:space="preserve">granting </w:t>
      </w:r>
      <w:r w:rsidR="008F15BE" w:rsidRPr="0082786A">
        <w:rPr>
          <w:rFonts w:cs="Arial"/>
          <w:sz w:val="22"/>
          <w:szCs w:val="22"/>
        </w:rPr>
        <w:t xml:space="preserve">the </w:t>
      </w:r>
      <w:r w:rsidR="00820C1B" w:rsidRPr="0082786A">
        <w:rPr>
          <w:rFonts w:cs="Arial"/>
          <w:sz w:val="22"/>
          <w:szCs w:val="22"/>
        </w:rPr>
        <w:t xml:space="preserve">requested </w:t>
      </w:r>
      <w:r w:rsidR="008F15BE" w:rsidRPr="0082786A">
        <w:rPr>
          <w:rFonts w:cs="Arial"/>
          <w:sz w:val="22"/>
          <w:szCs w:val="22"/>
        </w:rPr>
        <w:t>waivers from the</w:t>
      </w:r>
      <w:r w:rsidR="008F15BE" w:rsidRPr="0082786A">
        <w:rPr>
          <w:rFonts w:cs="Arial"/>
          <w:i/>
          <w:sz w:val="22"/>
          <w:szCs w:val="22"/>
        </w:rPr>
        <w:t xml:space="preserve"> PTC-220 </w:t>
      </w:r>
      <w:r w:rsidR="00C236AD" w:rsidRPr="0082786A">
        <w:rPr>
          <w:rFonts w:cs="Arial"/>
          <w:i/>
          <w:sz w:val="22"/>
          <w:szCs w:val="22"/>
        </w:rPr>
        <w:t xml:space="preserve">2009 </w:t>
      </w:r>
      <w:r w:rsidR="008F15BE" w:rsidRPr="0082786A">
        <w:rPr>
          <w:rFonts w:cs="Arial"/>
          <w:i/>
          <w:sz w:val="22"/>
          <w:szCs w:val="22"/>
        </w:rPr>
        <w:t>Waiver Order</w:t>
      </w:r>
      <w:r w:rsidR="008F15BE" w:rsidRPr="0082786A">
        <w:rPr>
          <w:rFonts w:cs="Arial"/>
          <w:sz w:val="22"/>
          <w:szCs w:val="22"/>
        </w:rPr>
        <w:t xml:space="preserve"> to AAR.</w:t>
      </w:r>
    </w:p>
    <w:p w:rsidR="00C21AD2" w:rsidRPr="0082786A" w:rsidRDefault="00C21AD2" w:rsidP="00752B4E">
      <w:pPr>
        <w:autoSpaceDE w:val="0"/>
        <w:autoSpaceDN w:val="0"/>
        <w:adjustRightInd w:val="0"/>
        <w:ind w:firstLine="720"/>
        <w:rPr>
          <w:rFonts w:cs="Arial"/>
          <w:sz w:val="22"/>
          <w:szCs w:val="22"/>
        </w:rPr>
      </w:pPr>
    </w:p>
    <w:p w:rsidR="0082786A" w:rsidRDefault="007B0F17" w:rsidP="00752B4E">
      <w:pPr>
        <w:autoSpaceDE w:val="0"/>
        <w:autoSpaceDN w:val="0"/>
        <w:adjustRightInd w:val="0"/>
        <w:ind w:firstLine="720"/>
        <w:rPr>
          <w:sz w:val="22"/>
          <w:szCs w:val="22"/>
        </w:rPr>
      </w:pPr>
      <w:r w:rsidRPr="0082786A">
        <w:rPr>
          <w:i/>
          <w:sz w:val="22"/>
          <w:szCs w:val="22"/>
        </w:rPr>
        <w:t>S</w:t>
      </w:r>
      <w:r w:rsidRPr="007B0F17">
        <w:rPr>
          <w:i/>
          <w:sz w:val="22"/>
          <w:szCs w:val="22"/>
        </w:rPr>
        <w:t>ubstantial Service Showings</w:t>
      </w:r>
      <w:r>
        <w:rPr>
          <w:sz w:val="22"/>
          <w:szCs w:val="22"/>
        </w:rPr>
        <w:t xml:space="preserve">.  </w:t>
      </w:r>
      <w:r w:rsidR="001C016E">
        <w:rPr>
          <w:sz w:val="22"/>
          <w:szCs w:val="22"/>
        </w:rPr>
        <w:t xml:space="preserve">As explained below, the Bureau recently conditionally renewed the J Block licenses, contingent on PTC-220 making the </w:t>
      </w:r>
      <w:r w:rsidR="001C016E" w:rsidRPr="00840A00">
        <w:rPr>
          <w:sz w:val="22"/>
          <w:szCs w:val="22"/>
        </w:rPr>
        <w:t xml:space="preserve">separate renewal and construction </w:t>
      </w:r>
      <w:r w:rsidR="001C016E">
        <w:rPr>
          <w:sz w:val="22"/>
          <w:szCs w:val="22"/>
        </w:rPr>
        <w:t xml:space="preserve">substantial service </w:t>
      </w:r>
      <w:r w:rsidR="001C016E" w:rsidRPr="00840A00">
        <w:rPr>
          <w:sz w:val="22"/>
          <w:szCs w:val="22"/>
        </w:rPr>
        <w:t xml:space="preserve">showings </w:t>
      </w:r>
      <w:r w:rsidR="001C016E" w:rsidRPr="00F943CE">
        <w:rPr>
          <w:sz w:val="22"/>
          <w:szCs w:val="22"/>
        </w:rPr>
        <w:t xml:space="preserve">for the </w:t>
      </w:r>
      <w:r w:rsidR="001C016E">
        <w:rPr>
          <w:sz w:val="22"/>
          <w:szCs w:val="22"/>
        </w:rPr>
        <w:t xml:space="preserve">licenses by December 31, 2015.  </w:t>
      </w:r>
      <w:r w:rsidR="00A86441" w:rsidRPr="00F943CE">
        <w:rPr>
          <w:sz w:val="22"/>
          <w:szCs w:val="22"/>
        </w:rPr>
        <w:t>AAR request</w:t>
      </w:r>
      <w:r w:rsidR="0082786A">
        <w:rPr>
          <w:sz w:val="22"/>
          <w:szCs w:val="22"/>
        </w:rPr>
        <w:t>s</w:t>
      </w:r>
      <w:r w:rsidR="00C21AD2" w:rsidRPr="00F943CE">
        <w:rPr>
          <w:sz w:val="22"/>
          <w:szCs w:val="22"/>
        </w:rPr>
        <w:t xml:space="preserve"> </w:t>
      </w:r>
      <w:r w:rsidR="00500C13">
        <w:rPr>
          <w:sz w:val="22"/>
          <w:szCs w:val="22"/>
        </w:rPr>
        <w:t xml:space="preserve">a waiver so </w:t>
      </w:r>
      <w:r w:rsidR="00793653">
        <w:rPr>
          <w:sz w:val="22"/>
          <w:szCs w:val="22"/>
        </w:rPr>
        <w:t xml:space="preserve">that it </w:t>
      </w:r>
      <w:r w:rsidR="001C016E">
        <w:rPr>
          <w:sz w:val="22"/>
          <w:szCs w:val="22"/>
        </w:rPr>
        <w:t xml:space="preserve">too </w:t>
      </w:r>
      <w:r w:rsidR="00500C13">
        <w:rPr>
          <w:sz w:val="22"/>
          <w:szCs w:val="22"/>
        </w:rPr>
        <w:t xml:space="preserve">will </w:t>
      </w:r>
      <w:r w:rsidR="00793653">
        <w:rPr>
          <w:sz w:val="22"/>
          <w:szCs w:val="22"/>
        </w:rPr>
        <w:t xml:space="preserve">have </w:t>
      </w:r>
      <w:r w:rsidR="00893D25">
        <w:rPr>
          <w:sz w:val="22"/>
          <w:szCs w:val="22"/>
        </w:rPr>
        <w:t xml:space="preserve">until December 31, 2015, </w:t>
      </w:r>
      <w:r w:rsidR="00A86441" w:rsidRPr="00F943CE">
        <w:rPr>
          <w:sz w:val="22"/>
          <w:szCs w:val="22"/>
        </w:rPr>
        <w:t xml:space="preserve">to </w:t>
      </w:r>
      <w:r w:rsidR="00C21AD2" w:rsidRPr="00F943CE">
        <w:rPr>
          <w:sz w:val="22"/>
          <w:szCs w:val="22"/>
        </w:rPr>
        <w:t xml:space="preserve">make </w:t>
      </w:r>
      <w:r w:rsidR="00840A00">
        <w:rPr>
          <w:sz w:val="22"/>
          <w:szCs w:val="22"/>
        </w:rPr>
        <w:t>the</w:t>
      </w:r>
      <w:r w:rsidR="004F094F">
        <w:rPr>
          <w:sz w:val="22"/>
          <w:szCs w:val="22"/>
        </w:rPr>
        <w:t xml:space="preserve"> </w:t>
      </w:r>
      <w:r w:rsidR="004F094F" w:rsidRPr="00840A00">
        <w:rPr>
          <w:sz w:val="22"/>
          <w:szCs w:val="22"/>
        </w:rPr>
        <w:t xml:space="preserve">separate renewal and construction </w:t>
      </w:r>
      <w:r w:rsidR="004F094F">
        <w:rPr>
          <w:sz w:val="22"/>
          <w:szCs w:val="22"/>
        </w:rPr>
        <w:t xml:space="preserve">substantial service </w:t>
      </w:r>
      <w:r w:rsidR="004F094F" w:rsidRPr="00840A00">
        <w:rPr>
          <w:sz w:val="22"/>
          <w:szCs w:val="22"/>
        </w:rPr>
        <w:t xml:space="preserve">showings </w:t>
      </w:r>
      <w:r w:rsidR="004F094F" w:rsidRPr="00F943CE">
        <w:rPr>
          <w:sz w:val="22"/>
          <w:szCs w:val="22"/>
        </w:rPr>
        <w:t>for the J Block Licenses</w:t>
      </w:r>
      <w:r w:rsidR="00C21AD2" w:rsidRPr="00F943CE">
        <w:rPr>
          <w:sz w:val="22"/>
          <w:szCs w:val="22"/>
        </w:rPr>
        <w:t>.</w:t>
      </w:r>
      <w:r w:rsidR="00A86441" w:rsidRPr="00F943CE">
        <w:rPr>
          <w:rStyle w:val="FootnoteReference"/>
          <w:sz w:val="22"/>
          <w:szCs w:val="22"/>
        </w:rPr>
        <w:footnoteReference w:id="41"/>
      </w:r>
      <w:r w:rsidR="00DB17C8">
        <w:rPr>
          <w:sz w:val="22"/>
          <w:szCs w:val="22"/>
        </w:rPr>
        <w:t xml:space="preserve">  </w:t>
      </w:r>
      <w:r w:rsidR="0082786A" w:rsidRPr="00AF3B48">
        <w:rPr>
          <w:sz w:val="22"/>
          <w:szCs w:val="22"/>
        </w:rPr>
        <w:t xml:space="preserve">AAR states that member railroads </w:t>
      </w:r>
      <w:r w:rsidR="00692207">
        <w:rPr>
          <w:sz w:val="22"/>
          <w:szCs w:val="22"/>
        </w:rPr>
        <w:t xml:space="preserve">need </w:t>
      </w:r>
      <w:r w:rsidR="00F87307">
        <w:rPr>
          <w:sz w:val="22"/>
          <w:szCs w:val="22"/>
        </w:rPr>
        <w:t xml:space="preserve">more </w:t>
      </w:r>
      <w:r w:rsidR="0082786A" w:rsidRPr="00AF3B48">
        <w:rPr>
          <w:sz w:val="22"/>
          <w:szCs w:val="22"/>
        </w:rPr>
        <w:t xml:space="preserve">time to transition their RCL operations to the J Block, </w:t>
      </w:r>
      <w:r w:rsidR="00893D25">
        <w:rPr>
          <w:sz w:val="22"/>
          <w:szCs w:val="22"/>
        </w:rPr>
        <w:t xml:space="preserve">which will </w:t>
      </w:r>
      <w:r w:rsidR="00637824">
        <w:rPr>
          <w:sz w:val="22"/>
          <w:szCs w:val="22"/>
        </w:rPr>
        <w:t xml:space="preserve">clear </w:t>
      </w:r>
      <w:r w:rsidR="00893D25">
        <w:rPr>
          <w:sz w:val="22"/>
          <w:szCs w:val="22"/>
        </w:rPr>
        <w:t>the N</w:t>
      </w:r>
      <w:r w:rsidR="0082786A" w:rsidRPr="00AF3B48">
        <w:rPr>
          <w:sz w:val="22"/>
          <w:szCs w:val="22"/>
        </w:rPr>
        <w:t xml:space="preserve">ationwide </w:t>
      </w:r>
      <w:r w:rsidR="00893D25">
        <w:rPr>
          <w:sz w:val="22"/>
          <w:szCs w:val="22"/>
        </w:rPr>
        <w:t xml:space="preserve">License for </w:t>
      </w:r>
      <w:r w:rsidR="0082786A" w:rsidRPr="00AF3B48">
        <w:rPr>
          <w:sz w:val="22"/>
          <w:szCs w:val="22"/>
        </w:rPr>
        <w:t>PTC use.</w:t>
      </w:r>
      <w:r w:rsidR="0082786A" w:rsidRPr="00AF3B48">
        <w:rPr>
          <w:rStyle w:val="FootnoteReference"/>
          <w:sz w:val="22"/>
          <w:szCs w:val="22"/>
        </w:rPr>
        <w:footnoteReference w:id="42"/>
      </w:r>
      <w:r w:rsidR="0082786A" w:rsidRPr="00AF3B48">
        <w:rPr>
          <w:sz w:val="22"/>
          <w:szCs w:val="22"/>
        </w:rPr>
        <w:t xml:space="preserve">  </w:t>
      </w:r>
      <w:r w:rsidR="00DB17C8">
        <w:rPr>
          <w:sz w:val="22"/>
          <w:szCs w:val="22"/>
        </w:rPr>
        <w:t xml:space="preserve">It </w:t>
      </w:r>
      <w:r w:rsidR="0082786A" w:rsidRPr="00AF3B48">
        <w:rPr>
          <w:sz w:val="22"/>
          <w:szCs w:val="22"/>
        </w:rPr>
        <w:t>state</w:t>
      </w:r>
      <w:r w:rsidR="0082786A">
        <w:rPr>
          <w:sz w:val="22"/>
          <w:szCs w:val="22"/>
        </w:rPr>
        <w:t>s</w:t>
      </w:r>
      <w:r w:rsidR="0082786A" w:rsidRPr="00AF3B48">
        <w:rPr>
          <w:sz w:val="22"/>
          <w:szCs w:val="22"/>
        </w:rPr>
        <w:t xml:space="preserve"> that deployment of RCL on the J Block has already occurred</w:t>
      </w:r>
      <w:r w:rsidR="0082786A">
        <w:rPr>
          <w:sz w:val="22"/>
          <w:szCs w:val="22"/>
        </w:rPr>
        <w:t xml:space="preserve"> </w:t>
      </w:r>
      <w:r w:rsidR="0082786A" w:rsidRPr="00AF3B48">
        <w:rPr>
          <w:sz w:val="22"/>
          <w:szCs w:val="22"/>
        </w:rPr>
        <w:t xml:space="preserve">because </w:t>
      </w:r>
      <w:r w:rsidR="00DB17C8">
        <w:rPr>
          <w:sz w:val="22"/>
          <w:szCs w:val="22"/>
        </w:rPr>
        <w:t xml:space="preserve">AAR </w:t>
      </w:r>
      <w:r w:rsidR="0082786A" w:rsidRPr="00AF3B48">
        <w:rPr>
          <w:sz w:val="22"/>
          <w:szCs w:val="22"/>
        </w:rPr>
        <w:t xml:space="preserve">members have </w:t>
      </w:r>
      <w:r w:rsidR="00692207">
        <w:rPr>
          <w:sz w:val="22"/>
          <w:szCs w:val="22"/>
        </w:rPr>
        <w:t xml:space="preserve">had </w:t>
      </w:r>
      <w:r w:rsidR="0082786A" w:rsidRPr="00AF3B48">
        <w:rPr>
          <w:sz w:val="22"/>
          <w:szCs w:val="22"/>
        </w:rPr>
        <w:t>access to the J Block through PTC-220 spectrum manager leases</w:t>
      </w:r>
      <w:r w:rsidR="0082786A">
        <w:rPr>
          <w:sz w:val="22"/>
          <w:szCs w:val="22"/>
        </w:rPr>
        <w:t>.</w:t>
      </w:r>
      <w:r w:rsidR="0082786A" w:rsidRPr="00AF3B48">
        <w:rPr>
          <w:rStyle w:val="FootnoteReference"/>
          <w:sz w:val="22"/>
          <w:szCs w:val="22"/>
        </w:rPr>
        <w:footnoteReference w:id="43"/>
      </w:r>
      <w:r w:rsidR="0082786A">
        <w:rPr>
          <w:sz w:val="22"/>
          <w:szCs w:val="22"/>
        </w:rPr>
        <w:t xml:space="preserve">  </w:t>
      </w:r>
      <w:r w:rsidR="0082786A" w:rsidRPr="00AF3B48">
        <w:rPr>
          <w:sz w:val="22"/>
          <w:szCs w:val="22"/>
        </w:rPr>
        <w:t>AAR states that its members believe that most RCL cutovers, as well as construction of planned new RCL locations</w:t>
      </w:r>
      <w:r w:rsidR="0082786A" w:rsidRPr="00AF3B48">
        <w:rPr>
          <w:i/>
          <w:iCs/>
          <w:sz w:val="22"/>
          <w:szCs w:val="22"/>
        </w:rPr>
        <w:t xml:space="preserve">, </w:t>
      </w:r>
      <w:r w:rsidR="0082786A" w:rsidRPr="00AF3B48">
        <w:rPr>
          <w:sz w:val="22"/>
          <w:szCs w:val="22"/>
        </w:rPr>
        <w:t>can be completed by December 31, 2015.</w:t>
      </w:r>
      <w:r w:rsidR="0082786A" w:rsidRPr="00AF3B48">
        <w:rPr>
          <w:rStyle w:val="FootnoteReference"/>
          <w:sz w:val="22"/>
          <w:szCs w:val="22"/>
        </w:rPr>
        <w:footnoteReference w:id="44"/>
      </w:r>
    </w:p>
    <w:p w:rsidR="0082786A" w:rsidRDefault="0082786A" w:rsidP="00752B4E">
      <w:pPr>
        <w:autoSpaceDE w:val="0"/>
        <w:autoSpaceDN w:val="0"/>
        <w:adjustRightInd w:val="0"/>
        <w:ind w:firstLine="720"/>
        <w:rPr>
          <w:sz w:val="22"/>
          <w:szCs w:val="22"/>
        </w:rPr>
      </w:pPr>
    </w:p>
    <w:p w:rsidR="00893D25" w:rsidRPr="001B1A16" w:rsidRDefault="00DB17C8" w:rsidP="00752B4E">
      <w:pPr>
        <w:autoSpaceDE w:val="0"/>
        <w:autoSpaceDN w:val="0"/>
        <w:adjustRightInd w:val="0"/>
        <w:ind w:firstLine="720"/>
        <w:rPr>
          <w:sz w:val="22"/>
          <w:szCs w:val="22"/>
        </w:rPr>
      </w:pPr>
      <w:r w:rsidRPr="00D77393">
        <w:rPr>
          <w:sz w:val="22"/>
          <w:szCs w:val="22"/>
        </w:rPr>
        <w:t>When AAR filed its appl</w:t>
      </w:r>
      <w:r>
        <w:rPr>
          <w:sz w:val="22"/>
          <w:szCs w:val="22"/>
        </w:rPr>
        <w:t>i</w:t>
      </w:r>
      <w:r w:rsidRPr="00D77393">
        <w:rPr>
          <w:sz w:val="22"/>
          <w:szCs w:val="22"/>
        </w:rPr>
        <w:t>cation</w:t>
      </w:r>
      <w:r w:rsidR="00793653">
        <w:rPr>
          <w:sz w:val="22"/>
          <w:szCs w:val="22"/>
        </w:rPr>
        <w:t xml:space="preserve"> </w:t>
      </w:r>
      <w:r>
        <w:rPr>
          <w:sz w:val="22"/>
          <w:szCs w:val="22"/>
        </w:rPr>
        <w:t>to acquire the J Block Licenses</w:t>
      </w:r>
      <w:r w:rsidRPr="00D77393">
        <w:rPr>
          <w:sz w:val="22"/>
          <w:szCs w:val="22"/>
        </w:rPr>
        <w:t xml:space="preserve">, the deadline </w:t>
      </w:r>
      <w:r w:rsidR="00793653">
        <w:rPr>
          <w:sz w:val="22"/>
          <w:szCs w:val="22"/>
        </w:rPr>
        <w:t xml:space="preserve">for PTC-220 to make the separate </w:t>
      </w:r>
      <w:r w:rsidR="00793653" w:rsidRPr="00840A00">
        <w:rPr>
          <w:sz w:val="22"/>
          <w:szCs w:val="22"/>
        </w:rPr>
        <w:t xml:space="preserve">renewal and construction showings </w:t>
      </w:r>
      <w:r w:rsidR="00793653" w:rsidRPr="00F943CE">
        <w:rPr>
          <w:sz w:val="22"/>
          <w:szCs w:val="22"/>
        </w:rPr>
        <w:t xml:space="preserve">for the </w:t>
      </w:r>
      <w:r w:rsidR="00793653">
        <w:rPr>
          <w:sz w:val="22"/>
          <w:szCs w:val="22"/>
        </w:rPr>
        <w:t xml:space="preserve">licenses </w:t>
      </w:r>
      <w:r w:rsidRPr="00D77393">
        <w:rPr>
          <w:sz w:val="22"/>
          <w:szCs w:val="22"/>
        </w:rPr>
        <w:t>was March 22, 2014.</w:t>
      </w:r>
      <w:r>
        <w:rPr>
          <w:sz w:val="22"/>
          <w:szCs w:val="22"/>
        </w:rPr>
        <w:t xml:space="preserve">  PTC-220 however had previously and timely requested </w:t>
      </w:r>
      <w:r w:rsidRPr="00F943CE">
        <w:rPr>
          <w:sz w:val="22"/>
          <w:szCs w:val="22"/>
        </w:rPr>
        <w:t xml:space="preserve">an extension of time, until December 31, 2015, to make </w:t>
      </w:r>
      <w:r>
        <w:rPr>
          <w:sz w:val="22"/>
          <w:szCs w:val="22"/>
        </w:rPr>
        <w:t xml:space="preserve">these </w:t>
      </w:r>
      <w:r w:rsidRPr="00F943CE">
        <w:rPr>
          <w:sz w:val="22"/>
          <w:szCs w:val="22"/>
        </w:rPr>
        <w:t>showings</w:t>
      </w:r>
      <w:r w:rsidR="00793653">
        <w:rPr>
          <w:sz w:val="22"/>
          <w:szCs w:val="22"/>
        </w:rPr>
        <w:t>,</w:t>
      </w:r>
      <w:r>
        <w:rPr>
          <w:rStyle w:val="FootnoteReference"/>
          <w:sz w:val="22"/>
          <w:szCs w:val="22"/>
        </w:rPr>
        <w:footnoteReference w:id="45"/>
      </w:r>
      <w:r w:rsidR="00793653">
        <w:rPr>
          <w:sz w:val="22"/>
          <w:szCs w:val="22"/>
        </w:rPr>
        <w:t xml:space="preserve"> which w</w:t>
      </w:r>
      <w:r>
        <w:rPr>
          <w:sz w:val="22"/>
          <w:szCs w:val="22"/>
        </w:rPr>
        <w:t xml:space="preserve">e </w:t>
      </w:r>
      <w:r w:rsidRPr="00F943CE">
        <w:rPr>
          <w:sz w:val="22"/>
          <w:szCs w:val="22"/>
        </w:rPr>
        <w:t xml:space="preserve">recently </w:t>
      </w:r>
      <w:r>
        <w:rPr>
          <w:sz w:val="22"/>
          <w:szCs w:val="22"/>
        </w:rPr>
        <w:t xml:space="preserve">granted </w:t>
      </w:r>
      <w:r w:rsidR="00F87307">
        <w:rPr>
          <w:sz w:val="22"/>
          <w:szCs w:val="22"/>
        </w:rPr>
        <w:t xml:space="preserve">to </w:t>
      </w:r>
      <w:r>
        <w:rPr>
          <w:sz w:val="22"/>
          <w:szCs w:val="22"/>
        </w:rPr>
        <w:t>PTC-220</w:t>
      </w:r>
      <w:r w:rsidR="00793653">
        <w:rPr>
          <w:sz w:val="22"/>
          <w:szCs w:val="22"/>
        </w:rPr>
        <w:t xml:space="preserve"> to</w:t>
      </w:r>
      <w:r w:rsidR="00793653" w:rsidRPr="00F943CE">
        <w:rPr>
          <w:sz w:val="22"/>
          <w:szCs w:val="22"/>
        </w:rPr>
        <w:t xml:space="preserve"> facilitate the deployment of positive train control</w:t>
      </w:r>
      <w:r>
        <w:rPr>
          <w:sz w:val="22"/>
          <w:szCs w:val="22"/>
        </w:rPr>
        <w:t>.</w:t>
      </w:r>
      <w:r w:rsidR="00793653">
        <w:rPr>
          <w:sz w:val="22"/>
          <w:szCs w:val="22"/>
        </w:rPr>
        <w:t xml:space="preserve">  We find good cause to provide that </w:t>
      </w:r>
      <w:r w:rsidR="00692207">
        <w:rPr>
          <w:sz w:val="22"/>
          <w:szCs w:val="22"/>
        </w:rPr>
        <w:t xml:space="preserve">same relief here </w:t>
      </w:r>
      <w:r w:rsidR="00893D25">
        <w:rPr>
          <w:sz w:val="22"/>
          <w:szCs w:val="22"/>
        </w:rPr>
        <w:t xml:space="preserve">to enable </w:t>
      </w:r>
      <w:r w:rsidR="00692207">
        <w:rPr>
          <w:sz w:val="22"/>
          <w:szCs w:val="22"/>
        </w:rPr>
        <w:t xml:space="preserve">AAR </w:t>
      </w:r>
      <w:r w:rsidR="00893D25">
        <w:rPr>
          <w:sz w:val="22"/>
          <w:szCs w:val="22"/>
        </w:rPr>
        <w:t xml:space="preserve">members to intensively </w:t>
      </w:r>
      <w:r w:rsidR="00692207">
        <w:rPr>
          <w:sz w:val="22"/>
          <w:szCs w:val="22"/>
        </w:rPr>
        <w:t>use the J Block licenses for RCL and specialized PTC applications</w:t>
      </w:r>
      <w:r w:rsidR="00893D25">
        <w:rPr>
          <w:sz w:val="22"/>
          <w:szCs w:val="22"/>
        </w:rPr>
        <w:t xml:space="preserve">, both of which </w:t>
      </w:r>
      <w:r w:rsidR="00893D25" w:rsidRPr="00F943CE">
        <w:rPr>
          <w:sz w:val="22"/>
          <w:szCs w:val="22"/>
        </w:rPr>
        <w:t xml:space="preserve">serve the </w:t>
      </w:r>
      <w:r w:rsidR="008009AE">
        <w:rPr>
          <w:sz w:val="22"/>
          <w:szCs w:val="22"/>
        </w:rPr>
        <w:t xml:space="preserve">vital </w:t>
      </w:r>
      <w:r w:rsidR="00893D25" w:rsidRPr="00F943CE">
        <w:rPr>
          <w:sz w:val="22"/>
          <w:szCs w:val="22"/>
        </w:rPr>
        <w:t>public interest in rail safety</w:t>
      </w:r>
      <w:r w:rsidR="00893D25">
        <w:rPr>
          <w:sz w:val="22"/>
          <w:szCs w:val="22"/>
        </w:rPr>
        <w:t>.</w:t>
      </w:r>
    </w:p>
    <w:p w:rsidR="00692207" w:rsidRDefault="00692207" w:rsidP="00752B4E">
      <w:pPr>
        <w:autoSpaceDE w:val="0"/>
        <w:autoSpaceDN w:val="0"/>
        <w:adjustRightInd w:val="0"/>
        <w:ind w:firstLine="720"/>
        <w:rPr>
          <w:sz w:val="22"/>
          <w:szCs w:val="22"/>
        </w:rPr>
      </w:pPr>
    </w:p>
    <w:p w:rsidR="00CC197D" w:rsidRPr="001B1A16" w:rsidRDefault="00125DBE" w:rsidP="00752B4E">
      <w:pPr>
        <w:autoSpaceDE w:val="0"/>
        <w:autoSpaceDN w:val="0"/>
        <w:adjustRightInd w:val="0"/>
        <w:ind w:firstLine="720"/>
        <w:rPr>
          <w:sz w:val="22"/>
          <w:szCs w:val="22"/>
        </w:rPr>
      </w:pPr>
      <w:r w:rsidRPr="001B1A16">
        <w:rPr>
          <w:rFonts w:cs="Arial"/>
          <w:sz w:val="22"/>
          <w:szCs w:val="22"/>
        </w:rPr>
        <w:t xml:space="preserve">Action taken pursuant to </w:t>
      </w:r>
      <w:r w:rsidR="00D81E39" w:rsidRPr="001B1A16">
        <w:rPr>
          <w:sz w:val="22"/>
          <w:szCs w:val="22"/>
        </w:rPr>
        <w:t>Sections 1, 4(i), 4(j), 5(c), and 303(r) of the Communications Act of 1934, as amended, 47 U.S.C. §§ 151, 154(i), 154(j), 155(c), and 303(r), and sections 0.331</w:t>
      </w:r>
      <w:r w:rsidR="00B8679F">
        <w:rPr>
          <w:sz w:val="22"/>
          <w:szCs w:val="22"/>
        </w:rPr>
        <w:t>,</w:t>
      </w:r>
      <w:r w:rsidR="00D81E39" w:rsidRPr="001B1A16">
        <w:rPr>
          <w:sz w:val="22"/>
          <w:szCs w:val="22"/>
        </w:rPr>
        <w:t>1.3</w:t>
      </w:r>
      <w:r w:rsidR="00B8679F">
        <w:rPr>
          <w:sz w:val="22"/>
          <w:szCs w:val="22"/>
        </w:rPr>
        <w:t>, and 1.925</w:t>
      </w:r>
      <w:r w:rsidR="004F094F" w:rsidRPr="00F943CE">
        <w:rPr>
          <w:sz w:val="22"/>
          <w:szCs w:val="22"/>
        </w:rPr>
        <w:t xml:space="preserve"> </w:t>
      </w:r>
      <w:r w:rsidR="00224232">
        <w:rPr>
          <w:sz w:val="22"/>
          <w:szCs w:val="22"/>
        </w:rPr>
        <w:t xml:space="preserve">of </w:t>
      </w:r>
      <w:r w:rsidR="00D81E39" w:rsidRPr="001B1A16">
        <w:rPr>
          <w:sz w:val="22"/>
          <w:szCs w:val="22"/>
        </w:rPr>
        <w:t>the Commission’s rules, 47 C.F.R. §§ 0.331</w:t>
      </w:r>
      <w:r w:rsidR="00B8679F">
        <w:rPr>
          <w:sz w:val="22"/>
          <w:szCs w:val="22"/>
        </w:rPr>
        <w:t>,</w:t>
      </w:r>
      <w:r w:rsidR="001130C3">
        <w:rPr>
          <w:sz w:val="22"/>
          <w:szCs w:val="22"/>
        </w:rPr>
        <w:t xml:space="preserve"> 1</w:t>
      </w:r>
      <w:r w:rsidR="00D81E39" w:rsidRPr="001B1A16">
        <w:rPr>
          <w:sz w:val="22"/>
          <w:szCs w:val="22"/>
        </w:rPr>
        <w:t>.3</w:t>
      </w:r>
      <w:r w:rsidR="00B8679F">
        <w:rPr>
          <w:sz w:val="22"/>
          <w:szCs w:val="22"/>
        </w:rPr>
        <w:t>, and 1.925</w:t>
      </w:r>
      <w:r w:rsidR="00224232">
        <w:rPr>
          <w:sz w:val="22"/>
          <w:szCs w:val="22"/>
        </w:rPr>
        <w:t>.</w:t>
      </w:r>
    </w:p>
    <w:p w:rsidR="00CC197D" w:rsidRPr="001B1A16" w:rsidRDefault="00CC197D" w:rsidP="00752B4E">
      <w:pPr>
        <w:autoSpaceDE w:val="0"/>
        <w:autoSpaceDN w:val="0"/>
        <w:adjustRightInd w:val="0"/>
        <w:ind w:firstLine="720"/>
        <w:rPr>
          <w:sz w:val="22"/>
          <w:szCs w:val="22"/>
        </w:rPr>
      </w:pPr>
    </w:p>
    <w:p w:rsidR="00782AD3" w:rsidRPr="001B1A16" w:rsidRDefault="00CC197D" w:rsidP="00752B4E">
      <w:pPr>
        <w:autoSpaceDE w:val="0"/>
        <w:autoSpaceDN w:val="0"/>
        <w:adjustRightInd w:val="0"/>
        <w:ind w:left="3600" w:firstLine="720"/>
        <w:rPr>
          <w:sz w:val="22"/>
          <w:szCs w:val="22"/>
        </w:rPr>
      </w:pPr>
      <w:r w:rsidRPr="001B1A16">
        <w:rPr>
          <w:sz w:val="22"/>
          <w:szCs w:val="22"/>
        </w:rPr>
        <w:t>S</w:t>
      </w:r>
      <w:r w:rsidR="00782AD3" w:rsidRPr="001B1A16">
        <w:rPr>
          <w:sz w:val="22"/>
          <w:szCs w:val="22"/>
        </w:rPr>
        <w:t>incerely,</w:t>
      </w:r>
    </w:p>
    <w:p w:rsidR="00782AD3" w:rsidRPr="001B1A16" w:rsidRDefault="00782AD3" w:rsidP="00752B4E">
      <w:pPr>
        <w:autoSpaceDE w:val="0"/>
        <w:autoSpaceDN w:val="0"/>
        <w:adjustRightInd w:val="0"/>
        <w:ind w:left="5040"/>
        <w:rPr>
          <w:sz w:val="22"/>
          <w:szCs w:val="22"/>
        </w:rPr>
      </w:pPr>
    </w:p>
    <w:p w:rsidR="009E149E" w:rsidRPr="001B1A16" w:rsidRDefault="009E149E" w:rsidP="00752B4E">
      <w:pPr>
        <w:autoSpaceDE w:val="0"/>
        <w:autoSpaceDN w:val="0"/>
        <w:adjustRightInd w:val="0"/>
        <w:ind w:left="5040"/>
        <w:rPr>
          <w:sz w:val="22"/>
          <w:szCs w:val="22"/>
        </w:rPr>
      </w:pPr>
    </w:p>
    <w:p w:rsidR="00782AD3" w:rsidRPr="001B1A16" w:rsidRDefault="008009AE" w:rsidP="00752B4E">
      <w:pPr>
        <w:autoSpaceDE w:val="0"/>
        <w:autoSpaceDN w:val="0"/>
        <w:adjustRightInd w:val="0"/>
        <w:ind w:left="4320"/>
        <w:rPr>
          <w:sz w:val="22"/>
          <w:szCs w:val="22"/>
        </w:rPr>
      </w:pPr>
      <w:r>
        <w:rPr>
          <w:sz w:val="22"/>
          <w:szCs w:val="22"/>
        </w:rPr>
        <w:t>Roger S. Noel</w:t>
      </w:r>
    </w:p>
    <w:p w:rsidR="00782AD3" w:rsidRPr="001B1A16" w:rsidRDefault="00782AD3" w:rsidP="00752B4E">
      <w:pPr>
        <w:autoSpaceDE w:val="0"/>
        <w:autoSpaceDN w:val="0"/>
        <w:adjustRightInd w:val="0"/>
        <w:ind w:left="3600" w:firstLine="720"/>
        <w:rPr>
          <w:sz w:val="22"/>
          <w:szCs w:val="22"/>
        </w:rPr>
      </w:pPr>
      <w:r w:rsidRPr="001B1A16">
        <w:rPr>
          <w:sz w:val="22"/>
          <w:szCs w:val="22"/>
        </w:rPr>
        <w:t>Chief, Mobility Division</w:t>
      </w:r>
    </w:p>
    <w:p w:rsidR="00A527EF" w:rsidRPr="001B1A16" w:rsidRDefault="00782AD3" w:rsidP="00752B4E">
      <w:pPr>
        <w:autoSpaceDE w:val="0"/>
        <w:autoSpaceDN w:val="0"/>
        <w:adjustRightInd w:val="0"/>
        <w:ind w:left="3600" w:firstLine="720"/>
        <w:rPr>
          <w:sz w:val="22"/>
          <w:szCs w:val="22"/>
        </w:rPr>
      </w:pPr>
      <w:r w:rsidRPr="001B1A16">
        <w:rPr>
          <w:sz w:val="22"/>
          <w:szCs w:val="22"/>
        </w:rPr>
        <w:t>Wireless Telecommunications Bureau</w:t>
      </w:r>
    </w:p>
    <w:sectPr w:rsidR="00A527EF" w:rsidRPr="001B1A16">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29" w:rsidRDefault="000F7A29">
      <w:r>
        <w:separator/>
      </w:r>
    </w:p>
  </w:endnote>
  <w:endnote w:type="continuationSeparator" w:id="0">
    <w:p w:rsidR="000F7A29" w:rsidRDefault="000F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CE" w:rsidRDefault="00F943CE" w:rsidP="00453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43CE" w:rsidRDefault="00F94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B3" w:rsidRDefault="00F71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B3" w:rsidRDefault="00F71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29" w:rsidRDefault="000F7A29">
      <w:r>
        <w:separator/>
      </w:r>
    </w:p>
  </w:footnote>
  <w:footnote w:type="continuationSeparator" w:id="0">
    <w:p w:rsidR="000F7A29" w:rsidRDefault="000F7A29" w:rsidP="0068325B">
      <w:r>
        <w:separator/>
      </w:r>
    </w:p>
  </w:footnote>
  <w:footnote w:id="1">
    <w:p w:rsidR="00F943CE" w:rsidRPr="004F094F" w:rsidRDefault="00F943CE">
      <w:pPr>
        <w:pStyle w:val="FootnoteText"/>
      </w:pPr>
      <w:r w:rsidRPr="004F094F">
        <w:rPr>
          <w:rStyle w:val="FootnoteReference"/>
        </w:rPr>
        <w:footnoteRef/>
      </w:r>
      <w:r w:rsidRPr="004F094F">
        <w:t xml:space="preserve"> PTC-220’s seven members are: BNSF Railway Company, Canadian National, Canadian Pacific, CSX Corporation, Kansas City Southern, Norfolk Southern Corporation, and Union Pacific Corporation.</w:t>
      </w:r>
    </w:p>
  </w:footnote>
  <w:footnote w:id="2">
    <w:p w:rsidR="00F943CE" w:rsidRPr="004F094F" w:rsidRDefault="00F943CE" w:rsidP="00874D68">
      <w:pPr>
        <w:pStyle w:val="FootnoteText"/>
      </w:pPr>
      <w:r w:rsidRPr="004F094F">
        <w:rPr>
          <w:rStyle w:val="FootnoteReference"/>
        </w:rPr>
        <w:footnoteRef/>
      </w:r>
      <w:r w:rsidRPr="004F094F">
        <w:t xml:space="preserve"> AAR members also include smaller non-Class I and passenger railroads including Amtrak.</w:t>
      </w:r>
      <w:r w:rsidRPr="004F094F">
        <w:rPr>
          <w:i/>
        </w:rPr>
        <w:t xml:space="preserve">  See</w:t>
      </w:r>
      <w:r w:rsidRPr="004F094F">
        <w:t xml:space="preserve"> </w:t>
      </w:r>
      <w:hyperlink r:id="rId1" w:history="1">
        <w:r w:rsidRPr="004F094F">
          <w:rPr>
            <w:rStyle w:val="Hyperlink"/>
          </w:rPr>
          <w:t>https://www.aar.org/Pages/AboutUs.aspx</w:t>
        </w:r>
      </w:hyperlink>
      <w:r w:rsidRPr="004F094F">
        <w:t xml:space="preserve"> (website last visited </w:t>
      </w:r>
      <w:r w:rsidR="00A70DE2">
        <w:t xml:space="preserve">April </w:t>
      </w:r>
      <w:r w:rsidR="002A5054">
        <w:t>30</w:t>
      </w:r>
      <w:r w:rsidR="00A70DE2">
        <w:t>, 2015</w:t>
      </w:r>
      <w:r w:rsidRPr="004F094F">
        <w:t>).</w:t>
      </w:r>
    </w:p>
  </w:footnote>
  <w:footnote w:id="3">
    <w:p w:rsidR="00F943CE" w:rsidRPr="004F094F" w:rsidRDefault="00F943CE" w:rsidP="00D22F07">
      <w:pPr>
        <w:rPr>
          <w:sz w:val="20"/>
          <w:szCs w:val="20"/>
        </w:rPr>
      </w:pPr>
      <w:r w:rsidRPr="004F094F">
        <w:rPr>
          <w:rStyle w:val="FootnoteReference"/>
          <w:sz w:val="20"/>
          <w:szCs w:val="20"/>
        </w:rPr>
        <w:footnoteRef/>
      </w:r>
      <w:r w:rsidRPr="004F094F">
        <w:rPr>
          <w:sz w:val="20"/>
          <w:szCs w:val="20"/>
        </w:rPr>
        <w:t xml:space="preserve"> </w:t>
      </w:r>
      <w:r w:rsidRPr="004F094F">
        <w:rPr>
          <w:rFonts w:eastAsia="Arial"/>
          <w:sz w:val="20"/>
          <w:szCs w:val="20"/>
        </w:rPr>
        <w:t>Rail Safety Improvement Act of 2008, Pub. L. No. 110-432, § 104, 122 Stat. 4848, 4857 (2008).</w:t>
      </w:r>
    </w:p>
  </w:footnote>
  <w:footnote w:id="4">
    <w:p w:rsidR="00F943CE" w:rsidRPr="004F094F" w:rsidRDefault="00F943CE" w:rsidP="008C30B9">
      <w:pPr>
        <w:pStyle w:val="FootnoteText"/>
      </w:pPr>
      <w:r w:rsidRPr="004F094F">
        <w:rPr>
          <w:rStyle w:val="FootnoteReference"/>
        </w:rPr>
        <w:footnoteRef/>
      </w:r>
      <w:r w:rsidRPr="004F094F">
        <w:t xml:space="preserve"> </w:t>
      </w:r>
      <w:r w:rsidRPr="004F094F">
        <w:rPr>
          <w:rFonts w:eastAsia="Arial"/>
          <w:i/>
        </w:rPr>
        <w:t>See</w:t>
      </w:r>
      <w:r w:rsidRPr="004F094F">
        <w:rPr>
          <w:rFonts w:eastAsia="Arial"/>
        </w:rPr>
        <w:t xml:space="preserve"> PTC-220, LLC, Request for Waiver to Facilitate Deployment of Positive Train Control Systems, WT Docket 13-59, </w:t>
      </w:r>
      <w:r w:rsidRPr="004F094F">
        <w:rPr>
          <w:rFonts w:eastAsia="Arial"/>
          <w:i/>
        </w:rPr>
        <w:t>Memorandum Opinion and Order</w:t>
      </w:r>
      <w:r w:rsidRPr="004F094F">
        <w:rPr>
          <w:rFonts w:eastAsia="Arial"/>
        </w:rPr>
        <w:t>, DA 15-332, 2015 WL 1205196 (F.C.C.) ¶3 (WTB Mobility Div. 2015) (</w:t>
      </w:r>
      <w:r w:rsidRPr="004F094F">
        <w:rPr>
          <w:rFonts w:eastAsia="Arial"/>
          <w:i/>
        </w:rPr>
        <w:t>PTC-220 2015 Waiver Order</w:t>
      </w:r>
      <w:r w:rsidRPr="004F094F">
        <w:rPr>
          <w:rFonts w:eastAsia="Arial"/>
        </w:rPr>
        <w:t>) (summarizing PTC-220’s 220 MHz Band spectrum holdings).</w:t>
      </w:r>
    </w:p>
  </w:footnote>
  <w:footnote w:id="5">
    <w:p w:rsidR="00B8679F" w:rsidRDefault="00B8679F">
      <w:pPr>
        <w:pStyle w:val="FootnoteText"/>
      </w:pPr>
      <w:r>
        <w:rPr>
          <w:rStyle w:val="FootnoteReference"/>
        </w:rPr>
        <w:footnoteRef/>
      </w:r>
      <w:r>
        <w:t xml:space="preserve"> </w:t>
      </w:r>
      <w:r w:rsidRPr="00B8679F">
        <w:t xml:space="preserve">The J Block </w:t>
      </w:r>
      <w:r>
        <w:t xml:space="preserve">includes paired </w:t>
      </w:r>
      <w:r w:rsidRPr="00B8679F">
        <w:t xml:space="preserve">75 </w:t>
      </w:r>
      <w:r w:rsidR="001130C3">
        <w:t>k</w:t>
      </w:r>
      <w:r w:rsidRPr="00B8679F">
        <w:t xml:space="preserve">Hz spectrum </w:t>
      </w:r>
      <w:r>
        <w:t>blocks (</w:t>
      </w:r>
      <w:r w:rsidRPr="00B8679F">
        <w:t>220.925-221.000</w:t>
      </w:r>
      <w:r>
        <w:t xml:space="preserve"> and</w:t>
      </w:r>
      <w:r w:rsidRPr="00B8679F">
        <w:t xml:space="preserve"> 221.925-222.000 MHz</w:t>
      </w:r>
      <w:r>
        <w:t>)</w:t>
      </w:r>
      <w:r w:rsidRPr="00B8679F">
        <w:t>.</w:t>
      </w:r>
      <w:r w:rsidR="007D00D5">
        <w:t xml:space="preserve">  PTC-220’s J Block License</w:t>
      </w:r>
      <w:r w:rsidR="001D59E4">
        <w:t xml:space="preserve">s include </w:t>
      </w:r>
      <w:r w:rsidR="007D00D5">
        <w:t xml:space="preserve">paired 40 </w:t>
      </w:r>
      <w:r w:rsidR="001130C3">
        <w:t>k</w:t>
      </w:r>
      <w:r w:rsidR="007D00D5">
        <w:t>Hz spectrum blocks (</w:t>
      </w:r>
      <w:r w:rsidR="007D00D5" w:rsidRPr="00B8679F">
        <w:t>220.9</w:t>
      </w:r>
      <w:r w:rsidR="007D00D5">
        <w:t>60</w:t>
      </w:r>
      <w:r w:rsidR="007D00D5" w:rsidRPr="00B8679F">
        <w:t>-221.000</w:t>
      </w:r>
      <w:r w:rsidR="007D00D5">
        <w:t xml:space="preserve"> and</w:t>
      </w:r>
      <w:r w:rsidR="007D00D5" w:rsidRPr="00B8679F">
        <w:t xml:space="preserve"> 221.9</w:t>
      </w:r>
      <w:r w:rsidR="007D00D5">
        <w:t>60</w:t>
      </w:r>
      <w:r w:rsidR="007D00D5" w:rsidRPr="00B8679F">
        <w:t>-222.000 MHz</w:t>
      </w:r>
      <w:r w:rsidR="007D00D5">
        <w:t>)</w:t>
      </w:r>
      <w:r w:rsidR="001D59E4">
        <w:t>; the remaining J Block spectrum is not held by PTC-220</w:t>
      </w:r>
      <w:r w:rsidR="007D00D5" w:rsidRPr="00B8679F">
        <w:t>.</w:t>
      </w:r>
    </w:p>
  </w:footnote>
  <w:footnote w:id="6">
    <w:p w:rsidR="00F943CE" w:rsidRPr="004F094F" w:rsidRDefault="00F943CE">
      <w:pPr>
        <w:pStyle w:val="FootnoteText"/>
      </w:pPr>
      <w:r w:rsidRPr="004F094F">
        <w:rPr>
          <w:rStyle w:val="FootnoteReference"/>
        </w:rPr>
        <w:footnoteRef/>
      </w:r>
      <w:r w:rsidRPr="004F094F">
        <w:t xml:space="preserve"> ULS File No. 0006225158 (assignment of the J Block Licenses to AAR).  The J Block licenses include: WPOI702 (Northeast), WPOI703 (Mid-Atlantic), WPOI704 (Southeast), WPOI705 (Great Lakes), WPOI706 (Central/Mountain), and WPOI708 (Pacific).</w:t>
      </w:r>
    </w:p>
  </w:footnote>
  <w:footnote w:id="7">
    <w:p w:rsidR="00F943CE" w:rsidRPr="004F094F" w:rsidRDefault="00F943CE">
      <w:pPr>
        <w:pStyle w:val="FootnoteText"/>
      </w:pPr>
      <w:r w:rsidRPr="004F094F">
        <w:rPr>
          <w:rStyle w:val="FootnoteReference"/>
        </w:rPr>
        <w:footnoteRef/>
      </w:r>
      <w:r w:rsidRPr="004F094F">
        <w:t xml:space="preserve"> ULS File No. 0006225216 (assignment of the Nationwide License to PTC-220).</w:t>
      </w:r>
    </w:p>
  </w:footnote>
  <w:footnote w:id="8">
    <w:p w:rsidR="00F943CE" w:rsidRPr="004F094F" w:rsidRDefault="00F943CE" w:rsidP="001157C1">
      <w:pPr>
        <w:pStyle w:val="FootnoteText"/>
      </w:pPr>
      <w:r w:rsidRPr="004F094F">
        <w:rPr>
          <w:rStyle w:val="FootnoteReference"/>
        </w:rPr>
        <w:footnoteRef/>
      </w:r>
      <w:r w:rsidRPr="004F094F">
        <w:t xml:space="preserve"> ULS Files Nos. 0006225158 and 0006225216, Description of Transaction at 3</w:t>
      </w:r>
      <w:r w:rsidR="004F5E02">
        <w:t xml:space="preserve"> (Transaction Description)</w:t>
      </w:r>
      <w:r w:rsidRPr="004F094F">
        <w:t>.  A typical RCL installation involves a control unit on a switching locomotive that is connected via a direct radio frequency link (or via repeater) to a portable remote unit worn by the operator.  RCL enables the remote operator to control certain functions of the switching locomotive (for example, speed, brake, direction, and horn) and has a built-in safety feature that automatically stops the locomotive in the event of “man down” or loss of communications.</w:t>
      </w:r>
      <w:r w:rsidR="001130C3">
        <w:t xml:space="preserve">  </w:t>
      </w:r>
      <w:r w:rsidRPr="004F094F">
        <w:rPr>
          <w:i/>
        </w:rPr>
        <w:t>Id.</w:t>
      </w:r>
      <w:r w:rsidRPr="004F094F">
        <w:t xml:space="preserve"> at 3, n.8.</w:t>
      </w:r>
    </w:p>
  </w:footnote>
  <w:footnote w:id="9">
    <w:p w:rsidR="00F943CE" w:rsidRPr="004F094F" w:rsidRDefault="00F943CE" w:rsidP="006800D8">
      <w:pPr>
        <w:pStyle w:val="FootnoteText"/>
      </w:pPr>
      <w:r w:rsidRPr="004F094F">
        <w:rPr>
          <w:rStyle w:val="FootnoteReference"/>
        </w:rPr>
        <w:footnoteRef/>
      </w:r>
      <w:r w:rsidRPr="004F094F">
        <w:t xml:space="preserve"> </w:t>
      </w:r>
      <w:r w:rsidRPr="004F094F">
        <w:rPr>
          <w:i/>
        </w:rPr>
        <w:t xml:space="preserve">See </w:t>
      </w:r>
      <w:r w:rsidRPr="004F094F">
        <w:t>47 C.F.R. § 90.729(c).</w:t>
      </w:r>
    </w:p>
  </w:footnote>
  <w:footnote w:id="10">
    <w:p w:rsidR="00F943CE" w:rsidRPr="004F094F" w:rsidRDefault="00F943CE" w:rsidP="00185BA7">
      <w:pPr>
        <w:pStyle w:val="FootnoteText"/>
      </w:pPr>
      <w:r w:rsidRPr="004F094F">
        <w:rPr>
          <w:rStyle w:val="FootnoteReference"/>
        </w:rPr>
        <w:footnoteRef/>
      </w:r>
      <w:r w:rsidRPr="004F094F">
        <w:t xml:space="preserve"> Transaction Description at 3.</w:t>
      </w:r>
    </w:p>
  </w:footnote>
  <w:footnote w:id="11">
    <w:p w:rsidR="00F943CE" w:rsidRPr="004F094F" w:rsidRDefault="00F943CE" w:rsidP="00185BA7">
      <w:pPr>
        <w:pStyle w:val="FootnoteText"/>
      </w:pPr>
      <w:r w:rsidRPr="004F094F">
        <w:rPr>
          <w:rStyle w:val="FootnoteReference"/>
        </w:rPr>
        <w:footnoteRef/>
      </w:r>
      <w:r w:rsidRPr="004F094F">
        <w:t xml:space="preserve"> </w:t>
      </w:r>
      <w:r w:rsidR="00FF215D" w:rsidRPr="00FF215D">
        <w:rPr>
          <w:i/>
        </w:rPr>
        <w:t>Id.</w:t>
      </w:r>
      <w:r w:rsidR="00FF215D">
        <w:t xml:space="preserve"> </w:t>
      </w:r>
      <w:r w:rsidRPr="004F094F">
        <w:t>at 4.</w:t>
      </w:r>
    </w:p>
  </w:footnote>
  <w:footnote w:id="12">
    <w:p w:rsidR="00F943CE" w:rsidRPr="004F094F" w:rsidRDefault="00F943CE" w:rsidP="00992F90">
      <w:pPr>
        <w:pStyle w:val="FootnoteText"/>
      </w:pPr>
      <w:r w:rsidRPr="004F094F">
        <w:rPr>
          <w:rStyle w:val="FootnoteReference"/>
        </w:rPr>
        <w:footnoteRef/>
      </w:r>
      <w:r w:rsidRPr="004F094F">
        <w:t xml:space="preserve"> For a detailed </w:t>
      </w:r>
      <w:r w:rsidR="003C1F70">
        <w:t xml:space="preserve">description </w:t>
      </w:r>
      <w:r w:rsidRPr="004F094F">
        <w:t xml:space="preserve">of these proposed PTC uses, see </w:t>
      </w:r>
      <w:r w:rsidR="00500C13">
        <w:t xml:space="preserve">AAR </w:t>
      </w:r>
      <w:r w:rsidRPr="004F094F">
        <w:t>Request for Extension of Time at 7 (attachment to Form 603, ULS File No. 0006225158) (Extension Request).</w:t>
      </w:r>
    </w:p>
  </w:footnote>
  <w:footnote w:id="13">
    <w:p w:rsidR="00F943CE" w:rsidRPr="004F094F" w:rsidRDefault="00F943CE">
      <w:pPr>
        <w:pStyle w:val="FootnoteText"/>
      </w:pPr>
      <w:r w:rsidRPr="004F094F">
        <w:rPr>
          <w:rStyle w:val="FootnoteReference"/>
        </w:rPr>
        <w:footnoteRef/>
      </w:r>
      <w:r w:rsidRPr="004F094F">
        <w:t xml:space="preserve"> Transaction Description at 3-4.</w:t>
      </w:r>
    </w:p>
  </w:footnote>
  <w:footnote w:id="14">
    <w:p w:rsidR="00F943CE" w:rsidRPr="004F094F" w:rsidRDefault="00F943CE">
      <w:pPr>
        <w:pStyle w:val="FootnoteText"/>
      </w:pPr>
      <w:r w:rsidRPr="004F094F">
        <w:rPr>
          <w:rStyle w:val="FootnoteReference"/>
        </w:rPr>
        <w:footnoteRef/>
      </w:r>
      <w:r w:rsidRPr="004F094F">
        <w:t xml:space="preserve"> Extension Request at 5.  In markets where PTC-220 holds 220 MHz Band E Block licenses, the separation would be at least 78 kHz.  </w:t>
      </w:r>
      <w:r w:rsidRPr="004F094F">
        <w:rPr>
          <w:i/>
        </w:rPr>
        <w:t>Id</w:t>
      </w:r>
      <w:r w:rsidRPr="004F094F">
        <w:t>. at n.10</w:t>
      </w:r>
      <w:r w:rsidR="003D0CAD">
        <w:t>.</w:t>
      </w:r>
      <w:r w:rsidRPr="004F094F">
        <w:t xml:space="preserve">  </w:t>
      </w:r>
    </w:p>
  </w:footnote>
  <w:footnote w:id="15">
    <w:p w:rsidR="00F943CE" w:rsidRPr="004F094F" w:rsidRDefault="00F943CE">
      <w:pPr>
        <w:pStyle w:val="FootnoteText"/>
      </w:pPr>
      <w:r w:rsidRPr="004F094F">
        <w:rPr>
          <w:rStyle w:val="FootnoteReference"/>
        </w:rPr>
        <w:footnoteRef/>
      </w:r>
      <w:r w:rsidRPr="004F094F">
        <w:t xml:space="preserve"> AAR would </w:t>
      </w:r>
      <w:r w:rsidRPr="00CF1EE7">
        <w:t>receive 80 kHz</w:t>
      </w:r>
      <w:r w:rsidRPr="004F094F">
        <w:t xml:space="preserve">—enough for three 12.5 kHz duplex RCL channels—in exchange for its 50 kHz license that currently can only support two RCL channels.  </w:t>
      </w:r>
      <w:r w:rsidRPr="004F094F">
        <w:rPr>
          <w:i/>
        </w:rPr>
        <w:t>See</w:t>
      </w:r>
      <w:r w:rsidRPr="004F094F">
        <w:t xml:space="preserve"> Extension Request at 5</w:t>
      </w:r>
      <w:r w:rsidR="003D0CAD">
        <w:t>.</w:t>
      </w:r>
    </w:p>
  </w:footnote>
  <w:footnote w:id="16">
    <w:p w:rsidR="00F943CE" w:rsidRPr="004F094F" w:rsidRDefault="00F943CE" w:rsidP="008B5E40">
      <w:pPr>
        <w:pStyle w:val="FootnoteText"/>
      </w:pPr>
      <w:r w:rsidRPr="004F094F">
        <w:rPr>
          <w:rStyle w:val="FootnoteReference"/>
        </w:rPr>
        <w:footnoteRef/>
      </w:r>
      <w:r w:rsidRPr="004F094F">
        <w:t xml:space="preserve"> 47 U.S.C. § 151. </w:t>
      </w:r>
    </w:p>
  </w:footnote>
  <w:footnote w:id="17">
    <w:p w:rsidR="00892B83" w:rsidRPr="00C0679D" w:rsidRDefault="00892B83" w:rsidP="00892B83">
      <w:pPr>
        <w:pStyle w:val="FootnoteText"/>
      </w:pPr>
      <w:r w:rsidRPr="00C0679D">
        <w:rPr>
          <w:rStyle w:val="FootnoteReference"/>
        </w:rPr>
        <w:footnoteRef/>
      </w:r>
      <w:r w:rsidRPr="00C0679D">
        <w:t xml:space="preserve"> 47 C.F.R. § 1.925(b)(3).</w:t>
      </w:r>
    </w:p>
  </w:footnote>
  <w:footnote w:id="18">
    <w:p w:rsidR="00892B83" w:rsidRPr="00C0679D" w:rsidRDefault="00892B83" w:rsidP="00892B83">
      <w:pPr>
        <w:pStyle w:val="FootnoteText"/>
      </w:pPr>
      <w:r w:rsidRPr="00C0679D">
        <w:rPr>
          <w:rStyle w:val="FootnoteReference"/>
        </w:rPr>
        <w:footnoteRef/>
      </w:r>
      <w:r w:rsidRPr="00C0679D">
        <w:t xml:space="preserve"> 47 C.F.R. § 1.3.</w:t>
      </w:r>
    </w:p>
  </w:footnote>
  <w:footnote w:id="19">
    <w:p w:rsidR="00F943CE" w:rsidRPr="004F094F" w:rsidRDefault="00F943CE" w:rsidP="00CC57C2">
      <w:pPr>
        <w:pStyle w:val="FootnoteText"/>
      </w:pPr>
      <w:r w:rsidRPr="004F094F">
        <w:rPr>
          <w:rStyle w:val="FootnoteReference"/>
        </w:rPr>
        <w:footnoteRef/>
      </w:r>
      <w:r w:rsidRPr="004F094F">
        <w:t xml:space="preserve"> Request of PTC-220, LLC for Waivers of Certain 220 MHz Rules, </w:t>
      </w:r>
      <w:r w:rsidRPr="004F094F">
        <w:rPr>
          <w:i/>
        </w:rPr>
        <w:t>Memorandum Opinion and Order</w:t>
      </w:r>
      <w:r w:rsidRPr="004F094F">
        <w:t>, 24 FCC Rcd 8537, ¶¶18, 20 (WTB 2009) (</w:t>
      </w:r>
      <w:r w:rsidRPr="004F094F">
        <w:rPr>
          <w:i/>
        </w:rPr>
        <w:t>PTC-220 2009 Waiver Order</w:t>
      </w:r>
      <w:r w:rsidRPr="004F094F">
        <w:t>)</w:t>
      </w:r>
      <w:r w:rsidR="00626B9E">
        <w:t xml:space="preserve"> (</w:t>
      </w:r>
      <w:r w:rsidR="00626B9E" w:rsidRPr="005710DC">
        <w:rPr>
          <w:szCs w:val="22"/>
        </w:rPr>
        <w:t>grant</w:t>
      </w:r>
      <w:r w:rsidR="00626B9E">
        <w:rPr>
          <w:szCs w:val="22"/>
        </w:rPr>
        <w:t>ing</w:t>
      </w:r>
      <w:r w:rsidR="00626B9E" w:rsidRPr="005710DC">
        <w:rPr>
          <w:szCs w:val="22"/>
        </w:rPr>
        <w:t xml:space="preserve"> PTC-220 a waiver of Section 90.715(a)’s base/mobile limits to enable deployment of time division duplex (TDD) PTC systems that utilize both band segments for base and mobile operations</w:t>
      </w:r>
      <w:r w:rsidR="00626B9E">
        <w:rPr>
          <w:szCs w:val="22"/>
        </w:rPr>
        <w:t>; also granting PTC-220 additional time</w:t>
      </w:r>
      <w:r w:rsidR="003D1486">
        <w:rPr>
          <w:szCs w:val="22"/>
        </w:rPr>
        <w:t xml:space="preserve"> to meet the construction requirements for certain licenses and other relief</w:t>
      </w:r>
      <w:r w:rsidR="00626B9E">
        <w:rPr>
          <w:szCs w:val="22"/>
        </w:rPr>
        <w:t>)</w:t>
      </w:r>
      <w:r w:rsidRPr="004F094F">
        <w:t>.</w:t>
      </w:r>
    </w:p>
  </w:footnote>
  <w:footnote w:id="20">
    <w:p w:rsidR="00FF215D" w:rsidRPr="004F094F" w:rsidRDefault="00FF215D" w:rsidP="00FF215D">
      <w:pPr>
        <w:pStyle w:val="FootnoteText"/>
      </w:pPr>
      <w:r w:rsidRPr="004F094F">
        <w:rPr>
          <w:rStyle w:val="FootnoteReference"/>
        </w:rPr>
        <w:footnoteRef/>
      </w:r>
      <w:r w:rsidRPr="004F094F">
        <w:t xml:space="preserve"> 47 C.F.R. § 90.715(a) (assigning frequencies in pairs, with base station frequencies taken from the 220-221 MHz band</w:t>
      </w:r>
      <w:r w:rsidR="001130C3">
        <w:t>,</w:t>
      </w:r>
      <w:r w:rsidRPr="004F094F">
        <w:t xml:space="preserve"> with corresponding mobile and control station frequencies taken from the 221-222 MHz band).  </w:t>
      </w:r>
    </w:p>
  </w:footnote>
  <w:footnote w:id="21">
    <w:p w:rsidR="00FF215D" w:rsidRDefault="00FF215D">
      <w:pPr>
        <w:pStyle w:val="FootnoteText"/>
      </w:pPr>
      <w:r>
        <w:rPr>
          <w:rStyle w:val="FootnoteReference"/>
        </w:rPr>
        <w:footnoteRef/>
      </w:r>
      <w:r>
        <w:t xml:space="preserve"> 47 C.F.R. § 90.735. </w:t>
      </w:r>
    </w:p>
  </w:footnote>
  <w:footnote w:id="22">
    <w:p w:rsidR="00F943CE" w:rsidRPr="004F094F" w:rsidRDefault="00F943CE">
      <w:pPr>
        <w:pStyle w:val="FootnoteText"/>
      </w:pPr>
      <w:r w:rsidRPr="004F094F">
        <w:rPr>
          <w:rStyle w:val="FootnoteReference"/>
        </w:rPr>
        <w:footnoteRef/>
      </w:r>
      <w:r w:rsidRPr="004F094F">
        <w:t xml:space="preserve"> Transaction Description at 5-6.</w:t>
      </w:r>
    </w:p>
  </w:footnote>
  <w:footnote w:id="23">
    <w:p w:rsidR="00E44B8F" w:rsidRPr="004F094F" w:rsidRDefault="00E44B8F" w:rsidP="00E44B8F">
      <w:pPr>
        <w:pStyle w:val="FootnoteText"/>
      </w:pPr>
      <w:r w:rsidRPr="004F094F">
        <w:rPr>
          <w:rStyle w:val="FootnoteReference"/>
        </w:rPr>
        <w:footnoteRef/>
      </w:r>
      <w:r w:rsidRPr="004F094F">
        <w:t xml:space="preserve"> Application for Consent to the Assignment of a Five-Channel 220 MHz Nationwide License (Call Sign WPWY753, formerly WPTC968) from Rush Network Corp. to the Association of American Railroads and Request by Rush Network Corp. for Waiver of the Ten-Year Construction Requirement, </w:t>
      </w:r>
      <w:r w:rsidRPr="004F094F">
        <w:rPr>
          <w:i/>
        </w:rPr>
        <w:t>Order</w:t>
      </w:r>
      <w:r w:rsidRPr="004F094F">
        <w:t>, 18 FCC Rcd 24711</w:t>
      </w:r>
      <w:r>
        <w:t>, 24714</w:t>
      </w:r>
      <w:r w:rsidRPr="004F094F">
        <w:t xml:space="preserve"> ¶9 (WTB 2003) (</w:t>
      </w:r>
      <w:r w:rsidR="00877120" w:rsidRPr="00877120">
        <w:rPr>
          <w:i/>
        </w:rPr>
        <w:t xml:space="preserve">2003 </w:t>
      </w:r>
      <w:r w:rsidRPr="00877120">
        <w:rPr>
          <w:i/>
        </w:rPr>
        <w:t>A</w:t>
      </w:r>
      <w:r w:rsidRPr="004F094F">
        <w:rPr>
          <w:i/>
        </w:rPr>
        <w:t>AR Waiver Order</w:t>
      </w:r>
      <w:r w:rsidRPr="004F094F">
        <w:t xml:space="preserve">).  </w:t>
      </w:r>
    </w:p>
  </w:footnote>
  <w:footnote w:id="24">
    <w:p w:rsidR="00F943CE" w:rsidRPr="004F094F" w:rsidRDefault="00F943CE" w:rsidP="002A6496">
      <w:pPr>
        <w:pStyle w:val="FootnoteText"/>
      </w:pPr>
      <w:r w:rsidRPr="004F094F">
        <w:rPr>
          <w:rStyle w:val="FootnoteReference"/>
        </w:rPr>
        <w:footnoteRef/>
      </w:r>
      <w:r w:rsidR="00FF215D">
        <w:t xml:space="preserve"> </w:t>
      </w:r>
      <w:r w:rsidR="00E44B8F">
        <w:t xml:space="preserve">Transaction Description </w:t>
      </w:r>
      <w:r w:rsidR="00FF215D">
        <w:t>at 5.</w:t>
      </w:r>
      <w:r w:rsidRPr="004F094F">
        <w:t xml:space="preserve">  </w:t>
      </w:r>
    </w:p>
  </w:footnote>
  <w:footnote w:id="25">
    <w:p w:rsidR="00F943CE" w:rsidRPr="004F094F" w:rsidRDefault="00F943CE" w:rsidP="00D0098E">
      <w:pPr>
        <w:pStyle w:val="FootnoteText"/>
      </w:pPr>
      <w:r w:rsidRPr="004F094F">
        <w:rPr>
          <w:rStyle w:val="FootnoteReference"/>
        </w:rPr>
        <w:footnoteRef/>
      </w:r>
      <w:r w:rsidRPr="004F094F">
        <w:t xml:space="preserve"> </w:t>
      </w:r>
      <w:r w:rsidR="00FF215D" w:rsidRPr="00FF215D">
        <w:rPr>
          <w:i/>
        </w:rPr>
        <w:t>Id.</w:t>
      </w:r>
    </w:p>
  </w:footnote>
  <w:footnote w:id="26">
    <w:p w:rsidR="00B8679F" w:rsidRDefault="00B8679F">
      <w:pPr>
        <w:pStyle w:val="FootnoteText"/>
      </w:pPr>
      <w:r>
        <w:rPr>
          <w:rStyle w:val="FootnoteReference"/>
        </w:rPr>
        <w:footnoteRef/>
      </w:r>
      <w:r>
        <w:t xml:space="preserve"> </w:t>
      </w:r>
      <w:r w:rsidRPr="004F094F">
        <w:t xml:space="preserve">For a detailed </w:t>
      </w:r>
      <w:r>
        <w:t xml:space="preserve">description </w:t>
      </w:r>
      <w:r w:rsidRPr="004F094F">
        <w:t xml:space="preserve">of these proposed PTC </w:t>
      </w:r>
      <w:r>
        <w:t>applications</w:t>
      </w:r>
      <w:r w:rsidRPr="004F094F">
        <w:t xml:space="preserve">, see Extension </w:t>
      </w:r>
      <w:r>
        <w:t xml:space="preserve">Request </w:t>
      </w:r>
      <w:r w:rsidRPr="004F094F">
        <w:t>at 7 (attachment to Form 603, ULS File No. 0006225158)</w:t>
      </w:r>
      <w:r>
        <w:t>.</w:t>
      </w:r>
    </w:p>
  </w:footnote>
  <w:footnote w:id="27">
    <w:p w:rsidR="00A70DE2" w:rsidRDefault="00A70DE2">
      <w:pPr>
        <w:pStyle w:val="FootnoteText"/>
      </w:pPr>
      <w:r>
        <w:rPr>
          <w:rStyle w:val="FootnoteReference"/>
        </w:rPr>
        <w:footnoteRef/>
      </w:r>
      <w:r>
        <w:t xml:space="preserve"> </w:t>
      </w:r>
      <w:r w:rsidR="00B8679F">
        <w:t xml:space="preserve">Transaction Description at 5. </w:t>
      </w:r>
    </w:p>
  </w:footnote>
  <w:footnote w:id="28">
    <w:p w:rsidR="00892B83" w:rsidRDefault="00892B83">
      <w:pPr>
        <w:pStyle w:val="FootnoteText"/>
      </w:pPr>
      <w:r>
        <w:rPr>
          <w:rStyle w:val="FootnoteReference"/>
        </w:rPr>
        <w:footnoteRef/>
      </w:r>
      <w:r>
        <w:t xml:space="preserve"> 47 C.F.R. § 1.925(b)(3)(i).</w:t>
      </w:r>
    </w:p>
  </w:footnote>
  <w:footnote w:id="29">
    <w:p w:rsidR="00F943CE" w:rsidRPr="004F094F" w:rsidRDefault="00F943CE">
      <w:pPr>
        <w:pStyle w:val="FootnoteText"/>
      </w:pPr>
      <w:r w:rsidRPr="004F094F">
        <w:rPr>
          <w:rStyle w:val="FootnoteReference"/>
        </w:rPr>
        <w:footnoteRef/>
      </w:r>
      <w:r w:rsidR="00FF215D">
        <w:t xml:space="preserve"> </w:t>
      </w:r>
      <w:r w:rsidR="00892B83">
        <w:t xml:space="preserve">Transaction Description </w:t>
      </w:r>
      <w:r w:rsidR="00FF215D">
        <w:t xml:space="preserve">at </w:t>
      </w:r>
      <w:r w:rsidRPr="004F094F">
        <w:t>5-6.</w:t>
      </w:r>
    </w:p>
  </w:footnote>
  <w:footnote w:id="30">
    <w:p w:rsidR="00F943CE" w:rsidRPr="004F094F" w:rsidRDefault="00F943CE" w:rsidP="00CC57C2">
      <w:pPr>
        <w:pStyle w:val="FootnoteText"/>
      </w:pPr>
      <w:r w:rsidRPr="004F094F">
        <w:rPr>
          <w:rStyle w:val="FootnoteReference"/>
        </w:rPr>
        <w:footnoteRef/>
      </w:r>
      <w:r w:rsidR="00877120">
        <w:rPr>
          <w:i/>
        </w:rPr>
        <w:t xml:space="preserve"> </w:t>
      </w:r>
      <w:r w:rsidR="00E44B8F" w:rsidRPr="00877120">
        <w:rPr>
          <w:i/>
        </w:rPr>
        <w:t>2003 AAR Waiver Order</w:t>
      </w:r>
      <w:r w:rsidR="00E44B8F">
        <w:t>,</w:t>
      </w:r>
      <w:r w:rsidRPr="004F094F">
        <w:t xml:space="preserve"> 18 FCC Rcd </w:t>
      </w:r>
      <w:r w:rsidR="00E44B8F">
        <w:t>at</w:t>
      </w:r>
      <w:r w:rsidR="00877120">
        <w:t xml:space="preserve"> </w:t>
      </w:r>
      <w:r w:rsidR="002C12FD">
        <w:t>24713-14</w:t>
      </w:r>
      <w:r w:rsidRPr="004F094F">
        <w:t xml:space="preserve"> ¶¶6, 8-9</w:t>
      </w:r>
      <w:r w:rsidR="00E44B8F">
        <w:t>.</w:t>
      </w:r>
      <w:r w:rsidRPr="004F094F">
        <w:t xml:space="preserve">  </w:t>
      </w:r>
    </w:p>
  </w:footnote>
  <w:footnote w:id="31">
    <w:p w:rsidR="00FF215D" w:rsidRPr="004F094F" w:rsidRDefault="00FF215D" w:rsidP="00FF215D">
      <w:pPr>
        <w:pStyle w:val="FootnoteText"/>
      </w:pPr>
      <w:r w:rsidRPr="004F094F">
        <w:rPr>
          <w:rStyle w:val="FootnoteReference"/>
        </w:rPr>
        <w:footnoteRef/>
      </w:r>
      <w:r w:rsidRPr="004F094F">
        <w:t xml:space="preserve"> 47 C.F.R. § 90.715(a).  </w:t>
      </w:r>
    </w:p>
  </w:footnote>
  <w:footnote w:id="32">
    <w:p w:rsidR="00FF215D" w:rsidRDefault="00FF215D">
      <w:pPr>
        <w:pStyle w:val="FootnoteText"/>
      </w:pPr>
      <w:r>
        <w:rPr>
          <w:rStyle w:val="FootnoteReference"/>
        </w:rPr>
        <w:footnoteRef/>
      </w:r>
      <w:r>
        <w:t xml:space="preserve"> 47 C.F.R. §§ 90.713(a) and 90.717(b). </w:t>
      </w:r>
    </w:p>
  </w:footnote>
  <w:footnote w:id="33">
    <w:p w:rsidR="00F943CE" w:rsidRPr="004F094F" w:rsidRDefault="00F943CE">
      <w:pPr>
        <w:pStyle w:val="FootnoteText"/>
      </w:pPr>
      <w:r w:rsidRPr="004F094F">
        <w:rPr>
          <w:rStyle w:val="FootnoteReference"/>
        </w:rPr>
        <w:footnoteRef/>
      </w:r>
      <w:r w:rsidRPr="004F094F">
        <w:t xml:space="preserve"> Transaction Description at 6.  We note that in the </w:t>
      </w:r>
      <w:r w:rsidRPr="004F094F">
        <w:rPr>
          <w:i/>
        </w:rPr>
        <w:t>PTC-220 2015 Waiver Order</w:t>
      </w:r>
      <w:r w:rsidRPr="004F094F">
        <w:t xml:space="preserve">, the Bureau granted PTC-220 a conditional waiver of Sections 90.729(b) (power and antenna height limits) and 90.723(f) (coordination requirements) of the Commission’s rules for certain 220 MHz Band licenses including, if acquired, the Nationwide License.  </w:t>
      </w:r>
      <w:r w:rsidRPr="004F094F">
        <w:rPr>
          <w:i/>
        </w:rPr>
        <w:t>PTC-220 2015 Waiver Order</w:t>
      </w:r>
      <w:r w:rsidRPr="004F094F">
        <w:t xml:space="preserve">, </w:t>
      </w:r>
      <w:r w:rsidR="00740D27" w:rsidRPr="004F094F">
        <w:rPr>
          <w:rFonts w:eastAsia="Arial"/>
        </w:rPr>
        <w:t xml:space="preserve">2015 WL 1205196 (F.C.C.). </w:t>
      </w:r>
    </w:p>
  </w:footnote>
  <w:footnote w:id="34">
    <w:p w:rsidR="00F943CE" w:rsidRPr="004F094F" w:rsidRDefault="00F943CE">
      <w:pPr>
        <w:pStyle w:val="FootnoteText"/>
      </w:pPr>
      <w:r w:rsidRPr="004F094F">
        <w:rPr>
          <w:rStyle w:val="FootnoteReference"/>
        </w:rPr>
        <w:footnoteRef/>
      </w:r>
      <w:r w:rsidR="00B41CAE">
        <w:t xml:space="preserve"> </w:t>
      </w:r>
      <w:r w:rsidR="00B41CAE" w:rsidRPr="00B41CAE">
        <w:rPr>
          <w:i/>
        </w:rPr>
        <w:t>PTC-220 2009 Waiver Order</w:t>
      </w:r>
      <w:r w:rsidR="00B41CAE" w:rsidRPr="00B41CAE">
        <w:t>, 24 FCC Rcd at 8544</w:t>
      </w:r>
      <w:r w:rsidR="008767AE">
        <w:t>-45</w:t>
      </w:r>
      <w:r w:rsidR="00B41CAE" w:rsidRPr="00B41CAE">
        <w:t xml:space="preserve"> ¶18.</w:t>
      </w:r>
    </w:p>
  </w:footnote>
  <w:footnote w:id="35">
    <w:p w:rsidR="00F943CE" w:rsidRPr="004F094F" w:rsidRDefault="00F943CE">
      <w:pPr>
        <w:pStyle w:val="FootnoteText"/>
      </w:pPr>
      <w:r w:rsidRPr="004F094F">
        <w:rPr>
          <w:rStyle w:val="FootnoteReference"/>
        </w:rPr>
        <w:footnoteRef/>
      </w:r>
      <w:r w:rsidRPr="004F094F">
        <w:t xml:space="preserve"> </w:t>
      </w:r>
      <w:r w:rsidR="00B41CAE" w:rsidRPr="004F094F">
        <w:t>Transaction Description at 6</w:t>
      </w:r>
      <w:r w:rsidR="00B41CAE">
        <w:t>.</w:t>
      </w:r>
    </w:p>
  </w:footnote>
  <w:footnote w:id="36">
    <w:p w:rsidR="00892B83" w:rsidRDefault="00892B83" w:rsidP="00892B83">
      <w:pPr>
        <w:pStyle w:val="FootnoteText"/>
      </w:pPr>
      <w:r>
        <w:rPr>
          <w:rStyle w:val="FootnoteReference"/>
        </w:rPr>
        <w:footnoteRef/>
      </w:r>
      <w:r>
        <w:t xml:space="preserve"> 47 C.F.R. § 1.925(b)(3)(i).</w:t>
      </w:r>
    </w:p>
  </w:footnote>
  <w:footnote w:id="37">
    <w:p w:rsidR="00F943CE" w:rsidRPr="004F094F" w:rsidRDefault="00F943CE" w:rsidP="00156814">
      <w:pPr>
        <w:pStyle w:val="FootnoteText"/>
      </w:pPr>
      <w:r w:rsidRPr="004F094F">
        <w:rPr>
          <w:rStyle w:val="FootnoteReference"/>
        </w:rPr>
        <w:footnoteRef/>
      </w:r>
      <w:r w:rsidRPr="004F094F">
        <w:t xml:space="preserve"> </w:t>
      </w:r>
      <w:r w:rsidR="00877120" w:rsidRPr="00A46311">
        <w:rPr>
          <w:i/>
        </w:rPr>
        <w:t xml:space="preserve">2003 </w:t>
      </w:r>
      <w:r w:rsidRPr="00877120">
        <w:rPr>
          <w:i/>
        </w:rPr>
        <w:t>A</w:t>
      </w:r>
      <w:r w:rsidRPr="004F094F">
        <w:rPr>
          <w:i/>
        </w:rPr>
        <w:t>AR Waiver Order</w:t>
      </w:r>
      <w:r w:rsidRPr="004F094F">
        <w:t xml:space="preserve">, 18 FCC Rcd at 24713 ¶6. </w:t>
      </w:r>
    </w:p>
  </w:footnote>
  <w:footnote w:id="38">
    <w:p w:rsidR="00F943CE" w:rsidRPr="004F094F" w:rsidRDefault="00F943CE" w:rsidP="008F15BE">
      <w:pPr>
        <w:pStyle w:val="FootnoteText"/>
      </w:pPr>
      <w:r w:rsidRPr="004F094F">
        <w:rPr>
          <w:rStyle w:val="FootnoteReference"/>
        </w:rPr>
        <w:footnoteRef/>
      </w:r>
      <w:r w:rsidRPr="004F094F">
        <w:t xml:space="preserve"> </w:t>
      </w:r>
      <w:r w:rsidRPr="004F094F">
        <w:rPr>
          <w:i/>
        </w:rPr>
        <w:t>PTC-220 2009 Waiver Order</w:t>
      </w:r>
      <w:r w:rsidRPr="004F094F">
        <w:t xml:space="preserve">, 24 FCC Rcd at 8545-46 ¶20. </w:t>
      </w:r>
    </w:p>
  </w:footnote>
  <w:footnote w:id="39">
    <w:p w:rsidR="00F943CE" w:rsidRPr="004F094F" w:rsidRDefault="00F943CE" w:rsidP="008F15BE">
      <w:pPr>
        <w:pStyle w:val="FootnoteText"/>
      </w:pPr>
      <w:r w:rsidRPr="004F094F">
        <w:rPr>
          <w:rStyle w:val="FootnoteReference"/>
        </w:rPr>
        <w:footnoteRef/>
      </w:r>
      <w:r w:rsidRPr="004F094F">
        <w:rPr>
          <w:i/>
        </w:rPr>
        <w:t xml:space="preserve"> </w:t>
      </w:r>
      <w:r w:rsidR="008009AE">
        <w:rPr>
          <w:i/>
        </w:rPr>
        <w:t>Id</w:t>
      </w:r>
      <w:r w:rsidR="008009AE" w:rsidRPr="008009AE">
        <w:t>.</w:t>
      </w:r>
      <w:r w:rsidRPr="008009AE">
        <w:t xml:space="preserve"> </w:t>
      </w:r>
      <w:r w:rsidRPr="004F094F">
        <w:t>at 8544 ¶18.</w:t>
      </w:r>
    </w:p>
  </w:footnote>
  <w:footnote w:id="40">
    <w:p w:rsidR="00F943CE" w:rsidRPr="004F094F" w:rsidRDefault="00F943CE" w:rsidP="008F15BE">
      <w:pPr>
        <w:pStyle w:val="FootnoteText"/>
      </w:pPr>
      <w:r w:rsidRPr="004F094F">
        <w:rPr>
          <w:rStyle w:val="FootnoteReference"/>
        </w:rPr>
        <w:footnoteRef/>
      </w:r>
      <w:r w:rsidRPr="004F094F">
        <w:t xml:space="preserve"> </w:t>
      </w:r>
      <w:r w:rsidR="00877120" w:rsidRPr="00A46311">
        <w:rPr>
          <w:i/>
        </w:rPr>
        <w:t xml:space="preserve">2003 </w:t>
      </w:r>
      <w:r w:rsidRPr="00877120">
        <w:rPr>
          <w:i/>
        </w:rPr>
        <w:t>A</w:t>
      </w:r>
      <w:r w:rsidRPr="004F094F">
        <w:rPr>
          <w:i/>
        </w:rPr>
        <w:t>AR Waiver Order</w:t>
      </w:r>
      <w:r w:rsidRPr="004F094F">
        <w:t xml:space="preserve">, 18 FCC Rcd at 24714 ¶9.  </w:t>
      </w:r>
    </w:p>
  </w:footnote>
  <w:footnote w:id="41">
    <w:p w:rsidR="00F943CE" w:rsidRPr="004F094F" w:rsidRDefault="00F943CE" w:rsidP="00A86441">
      <w:pPr>
        <w:pStyle w:val="FootnoteText"/>
      </w:pPr>
      <w:r w:rsidRPr="004F094F">
        <w:rPr>
          <w:rStyle w:val="FootnoteReference"/>
        </w:rPr>
        <w:footnoteRef/>
      </w:r>
      <w:r w:rsidRPr="004F094F">
        <w:t xml:space="preserve"> </w:t>
      </w:r>
      <w:r w:rsidR="004F094F" w:rsidRPr="00A70DE2">
        <w:rPr>
          <w:i/>
        </w:rPr>
        <w:t>See</w:t>
      </w:r>
      <w:r w:rsidR="004F094F" w:rsidRPr="004F094F">
        <w:t xml:space="preserve"> Extension Request and </w:t>
      </w:r>
      <w:r w:rsidR="0082786A" w:rsidRPr="004F094F">
        <w:t xml:space="preserve">47 C.F.R. §§ </w:t>
      </w:r>
      <w:r w:rsidR="00793653" w:rsidRPr="004F094F">
        <w:t>90.743</w:t>
      </w:r>
      <w:r w:rsidR="00793653">
        <w:t xml:space="preserve"> </w:t>
      </w:r>
      <w:r w:rsidR="00793653" w:rsidRPr="004F094F">
        <w:t>(renewal requirements)</w:t>
      </w:r>
      <w:r w:rsidR="00793653">
        <w:t xml:space="preserve"> and </w:t>
      </w:r>
      <w:r w:rsidR="0082786A" w:rsidRPr="004F094F">
        <w:t>90.767</w:t>
      </w:r>
      <w:r w:rsidR="008009AE">
        <w:t xml:space="preserve"> </w:t>
      </w:r>
      <w:r w:rsidR="0082786A" w:rsidRPr="004F094F">
        <w:t>(construction requirements).</w:t>
      </w:r>
      <w:r w:rsidR="00D77393">
        <w:t xml:space="preserve"> </w:t>
      </w:r>
    </w:p>
  </w:footnote>
  <w:footnote w:id="42">
    <w:p w:rsidR="0082786A" w:rsidRPr="004A49BE" w:rsidRDefault="0082786A" w:rsidP="0082786A">
      <w:pPr>
        <w:pStyle w:val="FootnoteText"/>
      </w:pPr>
      <w:r w:rsidRPr="004A49BE">
        <w:rPr>
          <w:rStyle w:val="FootnoteReference"/>
        </w:rPr>
        <w:footnoteRef/>
      </w:r>
      <w:r w:rsidRPr="004A49BE">
        <w:t xml:space="preserve"> Extension Request at </w:t>
      </w:r>
      <w:r w:rsidR="004A49BE" w:rsidRPr="004A49BE">
        <w:t>2</w:t>
      </w:r>
      <w:r w:rsidRPr="004A49BE">
        <w:t>.</w:t>
      </w:r>
    </w:p>
  </w:footnote>
  <w:footnote w:id="43">
    <w:p w:rsidR="0082786A" w:rsidRPr="004F094F" w:rsidRDefault="0082786A" w:rsidP="0082786A">
      <w:pPr>
        <w:pStyle w:val="FootnoteText"/>
      </w:pPr>
      <w:r w:rsidRPr="004F094F">
        <w:rPr>
          <w:rStyle w:val="FootnoteReference"/>
        </w:rPr>
        <w:footnoteRef/>
      </w:r>
      <w:r w:rsidRPr="004F094F">
        <w:t xml:space="preserve"> </w:t>
      </w:r>
      <w:r w:rsidRPr="00FF215D">
        <w:rPr>
          <w:i/>
        </w:rPr>
        <w:t>Id.</w:t>
      </w:r>
      <w:r w:rsidRPr="004F094F">
        <w:t xml:space="preserve"> at 9</w:t>
      </w:r>
      <w:r>
        <w:t xml:space="preserve">, </w:t>
      </w:r>
      <w:r w:rsidRPr="004F094F">
        <w:t>n.16.</w:t>
      </w:r>
    </w:p>
  </w:footnote>
  <w:footnote w:id="44">
    <w:p w:rsidR="0082786A" w:rsidRPr="004F094F" w:rsidRDefault="0082786A" w:rsidP="0082786A">
      <w:pPr>
        <w:pStyle w:val="FootnoteText"/>
      </w:pPr>
      <w:r w:rsidRPr="004F094F">
        <w:rPr>
          <w:rStyle w:val="FootnoteReference"/>
        </w:rPr>
        <w:footnoteRef/>
      </w:r>
      <w:r w:rsidRPr="004F094F">
        <w:t xml:space="preserve"> </w:t>
      </w:r>
      <w:r w:rsidRPr="00FF215D">
        <w:rPr>
          <w:i/>
        </w:rPr>
        <w:t>Id.</w:t>
      </w:r>
      <w:r>
        <w:t xml:space="preserve"> </w:t>
      </w:r>
      <w:r w:rsidRPr="004F094F">
        <w:t>at 9.</w:t>
      </w:r>
    </w:p>
  </w:footnote>
  <w:footnote w:id="45">
    <w:p w:rsidR="00DB17C8" w:rsidRPr="004F094F" w:rsidRDefault="00DB17C8" w:rsidP="00DB17C8">
      <w:pPr>
        <w:pStyle w:val="FootnoteText"/>
      </w:pPr>
      <w:r w:rsidRPr="004F094F">
        <w:rPr>
          <w:rStyle w:val="FootnoteReference"/>
        </w:rPr>
        <w:footnoteRef/>
      </w:r>
      <w:r w:rsidRPr="004F094F">
        <w:t xml:space="preserve"> </w:t>
      </w:r>
      <w:r w:rsidRPr="00A70DE2">
        <w:rPr>
          <w:i/>
        </w:rPr>
        <w:t>See</w:t>
      </w:r>
      <w:r w:rsidRPr="004F094F">
        <w:t xml:space="preserve"> ULS File Nos. 0006209617 (WPOI702), 0006209618 (WPOI703), 0006209619 (WPOI704), 0006209620 (WPOI705), 0006209621 (WPOI706).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B3" w:rsidRDefault="00F71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CE" w:rsidRDefault="00F943CE">
    <w:pPr>
      <w:pStyle w:val="Header"/>
      <w:rPr>
        <w:sz w:val="22"/>
        <w:szCs w:val="22"/>
      </w:rPr>
    </w:pPr>
    <w:r w:rsidRPr="00901187">
      <w:rPr>
        <w:sz w:val="22"/>
        <w:szCs w:val="22"/>
      </w:rPr>
      <w:t>M</w:t>
    </w:r>
    <w:r>
      <w:rPr>
        <w:sz w:val="22"/>
        <w:szCs w:val="22"/>
      </w:rPr>
      <w:t>ichele Farquhar</w:t>
    </w:r>
    <w:r w:rsidRPr="00901187">
      <w:rPr>
        <w:sz w:val="22"/>
        <w:szCs w:val="22"/>
      </w:rPr>
      <w:t>, Esq.</w:t>
    </w:r>
  </w:p>
  <w:p w:rsidR="00F943CE" w:rsidRDefault="001130C3">
    <w:pPr>
      <w:pStyle w:val="Header"/>
      <w:rPr>
        <w:sz w:val="22"/>
        <w:szCs w:val="22"/>
      </w:rPr>
    </w:pPr>
    <w:r>
      <w:rPr>
        <w:sz w:val="22"/>
        <w:szCs w:val="22"/>
      </w:rPr>
      <w:t xml:space="preserve">May </w:t>
    </w:r>
    <w:r w:rsidR="004A1286">
      <w:rPr>
        <w:sz w:val="22"/>
        <w:szCs w:val="22"/>
      </w:rPr>
      <w:t>7</w:t>
    </w:r>
    <w:r w:rsidR="002A5054">
      <w:rPr>
        <w:sz w:val="22"/>
        <w:szCs w:val="22"/>
      </w:rPr>
      <w:t>, 2015</w:t>
    </w:r>
  </w:p>
  <w:p w:rsidR="00A51ACB" w:rsidRPr="005257AC" w:rsidRDefault="00A51ACB">
    <w:pPr>
      <w:pStyle w:val="Header"/>
      <w:rPr>
        <w:sz w:val="22"/>
        <w:szCs w:val="22"/>
      </w:rPr>
    </w:pPr>
    <w:r w:rsidRPr="005257AC">
      <w:rPr>
        <w:sz w:val="22"/>
        <w:szCs w:val="22"/>
      </w:rPr>
      <w:t xml:space="preserve">Page </w:t>
    </w:r>
    <w:r w:rsidRPr="005257AC">
      <w:rPr>
        <w:sz w:val="22"/>
        <w:szCs w:val="22"/>
      </w:rPr>
      <w:fldChar w:fldCharType="begin"/>
    </w:r>
    <w:r w:rsidRPr="005257AC">
      <w:rPr>
        <w:sz w:val="22"/>
        <w:szCs w:val="22"/>
      </w:rPr>
      <w:instrText xml:space="preserve"> PAGE  \* Arabic  \* MERGEFORMAT </w:instrText>
    </w:r>
    <w:r w:rsidRPr="005257AC">
      <w:rPr>
        <w:sz w:val="22"/>
        <w:szCs w:val="22"/>
      </w:rPr>
      <w:fldChar w:fldCharType="separate"/>
    </w:r>
    <w:r w:rsidR="004A1286">
      <w:rPr>
        <w:noProof/>
        <w:sz w:val="22"/>
        <w:szCs w:val="22"/>
      </w:rPr>
      <w:t>2</w:t>
    </w:r>
    <w:r w:rsidRPr="005257AC">
      <w:rPr>
        <w:sz w:val="22"/>
        <w:szCs w:val="22"/>
      </w:rPr>
      <w:fldChar w:fldCharType="end"/>
    </w:r>
    <w:r w:rsidRPr="005257AC">
      <w:rPr>
        <w:sz w:val="22"/>
        <w:szCs w:val="22"/>
      </w:rPr>
      <w:t xml:space="preserve"> of </w:t>
    </w:r>
    <w:r w:rsidRPr="005257AC">
      <w:rPr>
        <w:sz w:val="22"/>
        <w:szCs w:val="22"/>
      </w:rPr>
      <w:fldChar w:fldCharType="begin"/>
    </w:r>
    <w:r w:rsidRPr="005257AC">
      <w:rPr>
        <w:sz w:val="22"/>
        <w:szCs w:val="22"/>
      </w:rPr>
      <w:instrText xml:space="preserve"> NUMPAGES  \* Arabic  \* MERGEFORMAT </w:instrText>
    </w:r>
    <w:r w:rsidRPr="005257AC">
      <w:rPr>
        <w:sz w:val="22"/>
        <w:szCs w:val="22"/>
      </w:rPr>
      <w:fldChar w:fldCharType="separate"/>
    </w:r>
    <w:r w:rsidR="004A1286">
      <w:rPr>
        <w:noProof/>
        <w:sz w:val="22"/>
        <w:szCs w:val="22"/>
      </w:rPr>
      <w:t>5</w:t>
    </w:r>
    <w:r w:rsidRPr="005257A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CE" w:rsidRDefault="0071648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2501572" r:id="rId2"/>
      </w:pict>
    </w:r>
    <w:r w:rsidR="00F943CE">
      <w:rPr>
        <w:rFonts w:ascii="CG Times (W1)" w:hAnsi="CG Times (W1)"/>
        <w:sz w:val="28"/>
      </w:rPr>
      <w:t>Federal Communications Commission</w:t>
    </w:r>
  </w:p>
  <w:p w:rsidR="00F943CE" w:rsidRDefault="00F943CE">
    <w:pPr>
      <w:jc w:val="center"/>
    </w:pPr>
    <w:r>
      <w:rPr>
        <w:rFonts w:ascii="CG Times (W1)" w:hAnsi="CG Times (W1)"/>
        <w:sz w:val="28"/>
      </w:rPr>
      <w:t>Washington, D.C. 20554</w:t>
    </w:r>
  </w:p>
  <w:p w:rsidR="00F943CE" w:rsidRDefault="00F943CE">
    <w:pPr>
      <w:pStyle w:val="Header"/>
      <w:tabs>
        <w:tab w:val="clear" w:pos="4320"/>
      </w:tabs>
      <w:jc w:val="center"/>
      <w:rPr>
        <w:sz w:val="22"/>
      </w:rPr>
    </w:pPr>
  </w:p>
  <w:p w:rsidR="00F943CE" w:rsidRDefault="00F943CE">
    <w:pPr>
      <w:pStyle w:val="Header"/>
      <w:tabs>
        <w:tab w:val="clear" w:pos="4320"/>
      </w:tabs>
      <w:jc w:val="center"/>
      <w:rPr>
        <w:sz w:val="22"/>
      </w:rPr>
    </w:pPr>
  </w:p>
  <w:p w:rsidR="00F943CE" w:rsidRDefault="007D00D5">
    <w:pPr>
      <w:pStyle w:val="Header"/>
      <w:tabs>
        <w:tab w:val="clear" w:pos="4320"/>
      </w:tabs>
      <w:jc w:val="center"/>
      <w:rPr>
        <w:sz w:val="22"/>
      </w:rPr>
    </w:pPr>
    <w:r>
      <w:rPr>
        <w:sz w:val="22"/>
      </w:rPr>
      <w:t xml:space="preserve">May </w:t>
    </w:r>
    <w:r w:rsidR="004A1286">
      <w:rPr>
        <w:sz w:val="22"/>
      </w:rPr>
      <w:t>7</w:t>
    </w:r>
    <w:r>
      <w:rPr>
        <w:sz w:val="22"/>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E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3DF37B8"/>
    <w:multiLevelType w:val="hybridMultilevel"/>
    <w:tmpl w:val="917236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F6A0EBF"/>
    <w:multiLevelType w:val="hybridMultilevel"/>
    <w:tmpl w:val="6B2C0E0C"/>
    <w:lvl w:ilvl="0" w:tplc="FFFFFFFF">
      <w:start w:val="1"/>
      <w:numFmt w:val="decimal"/>
      <w:lvlText w:val="%1."/>
      <w:lvlJc w:val="left"/>
      <w:pPr>
        <w:tabs>
          <w:tab w:val="num" w:pos="1350"/>
        </w:tabs>
        <w:ind w:left="1350" w:hanging="36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D3"/>
    <w:rsid w:val="00021738"/>
    <w:rsid w:val="00030149"/>
    <w:rsid w:val="00031FB3"/>
    <w:rsid w:val="000337EB"/>
    <w:rsid w:val="00072F55"/>
    <w:rsid w:val="00082026"/>
    <w:rsid w:val="000976B1"/>
    <w:rsid w:val="000C4D0F"/>
    <w:rsid w:val="000C5DE3"/>
    <w:rsid w:val="000D06FE"/>
    <w:rsid w:val="000D55D2"/>
    <w:rsid w:val="000D6F6C"/>
    <w:rsid w:val="000E0D54"/>
    <w:rsid w:val="000E26C8"/>
    <w:rsid w:val="000F7A29"/>
    <w:rsid w:val="001130C3"/>
    <w:rsid w:val="001157C1"/>
    <w:rsid w:val="00116C1D"/>
    <w:rsid w:val="00125DBE"/>
    <w:rsid w:val="00150AE6"/>
    <w:rsid w:val="00156814"/>
    <w:rsid w:val="00175F4C"/>
    <w:rsid w:val="001859B9"/>
    <w:rsid w:val="00185BA7"/>
    <w:rsid w:val="00197095"/>
    <w:rsid w:val="001973B6"/>
    <w:rsid w:val="001B1A16"/>
    <w:rsid w:val="001C016E"/>
    <w:rsid w:val="001C6E5D"/>
    <w:rsid w:val="001D59E4"/>
    <w:rsid w:val="001F1294"/>
    <w:rsid w:val="001F4F83"/>
    <w:rsid w:val="00204BB9"/>
    <w:rsid w:val="00212274"/>
    <w:rsid w:val="00212D79"/>
    <w:rsid w:val="00213423"/>
    <w:rsid w:val="002135EF"/>
    <w:rsid w:val="00220AB0"/>
    <w:rsid w:val="00220BF7"/>
    <w:rsid w:val="00224232"/>
    <w:rsid w:val="00224E40"/>
    <w:rsid w:val="00227F2F"/>
    <w:rsid w:val="002427B6"/>
    <w:rsid w:val="00242863"/>
    <w:rsid w:val="002562E3"/>
    <w:rsid w:val="00256A8A"/>
    <w:rsid w:val="002668AE"/>
    <w:rsid w:val="002670C9"/>
    <w:rsid w:val="0029511A"/>
    <w:rsid w:val="002A5054"/>
    <w:rsid w:val="002A6496"/>
    <w:rsid w:val="002B26C2"/>
    <w:rsid w:val="002C12FD"/>
    <w:rsid w:val="002C7E9F"/>
    <w:rsid w:val="002D3D68"/>
    <w:rsid w:val="00302B5E"/>
    <w:rsid w:val="003031B9"/>
    <w:rsid w:val="0030486F"/>
    <w:rsid w:val="00312E38"/>
    <w:rsid w:val="00325747"/>
    <w:rsid w:val="00342695"/>
    <w:rsid w:val="00355D7F"/>
    <w:rsid w:val="00362E03"/>
    <w:rsid w:val="00373FCA"/>
    <w:rsid w:val="0038566E"/>
    <w:rsid w:val="003902FC"/>
    <w:rsid w:val="003C1466"/>
    <w:rsid w:val="003C1F50"/>
    <w:rsid w:val="003C1F70"/>
    <w:rsid w:val="003D0CAD"/>
    <w:rsid w:val="003D1486"/>
    <w:rsid w:val="003F4EF3"/>
    <w:rsid w:val="00400130"/>
    <w:rsid w:val="00406F0C"/>
    <w:rsid w:val="0044301B"/>
    <w:rsid w:val="00443216"/>
    <w:rsid w:val="004531D3"/>
    <w:rsid w:val="0045637E"/>
    <w:rsid w:val="0046077B"/>
    <w:rsid w:val="00472152"/>
    <w:rsid w:val="0048631E"/>
    <w:rsid w:val="00487DC1"/>
    <w:rsid w:val="00491D65"/>
    <w:rsid w:val="00497D90"/>
    <w:rsid w:val="004A1286"/>
    <w:rsid w:val="004A49BE"/>
    <w:rsid w:val="004A6A35"/>
    <w:rsid w:val="004C61CC"/>
    <w:rsid w:val="004C63AA"/>
    <w:rsid w:val="004C7D4E"/>
    <w:rsid w:val="004D1D1C"/>
    <w:rsid w:val="004D64F3"/>
    <w:rsid w:val="004F094F"/>
    <w:rsid w:val="004F11A1"/>
    <w:rsid w:val="004F2EDF"/>
    <w:rsid w:val="004F5E02"/>
    <w:rsid w:val="004F5E68"/>
    <w:rsid w:val="00500C13"/>
    <w:rsid w:val="00516D7E"/>
    <w:rsid w:val="00524D26"/>
    <w:rsid w:val="005257AC"/>
    <w:rsid w:val="0053645E"/>
    <w:rsid w:val="0055295E"/>
    <w:rsid w:val="00574F1C"/>
    <w:rsid w:val="0058597E"/>
    <w:rsid w:val="005B1145"/>
    <w:rsid w:val="005C7261"/>
    <w:rsid w:val="005F0B29"/>
    <w:rsid w:val="00600441"/>
    <w:rsid w:val="00606EAB"/>
    <w:rsid w:val="00607415"/>
    <w:rsid w:val="006113F8"/>
    <w:rsid w:val="00611A43"/>
    <w:rsid w:val="006201E5"/>
    <w:rsid w:val="00621CDB"/>
    <w:rsid w:val="00626B9E"/>
    <w:rsid w:val="00631206"/>
    <w:rsid w:val="00631EC3"/>
    <w:rsid w:val="00637824"/>
    <w:rsid w:val="006674F2"/>
    <w:rsid w:val="00670D77"/>
    <w:rsid w:val="006722EA"/>
    <w:rsid w:val="006800D8"/>
    <w:rsid w:val="0068325B"/>
    <w:rsid w:val="00691C8F"/>
    <w:rsid w:val="00692207"/>
    <w:rsid w:val="006A5A76"/>
    <w:rsid w:val="006A60A2"/>
    <w:rsid w:val="006F071A"/>
    <w:rsid w:val="006F0FD8"/>
    <w:rsid w:val="0070389A"/>
    <w:rsid w:val="0071648F"/>
    <w:rsid w:val="007255C3"/>
    <w:rsid w:val="00734B3E"/>
    <w:rsid w:val="00740D27"/>
    <w:rsid w:val="00744338"/>
    <w:rsid w:val="00752B4E"/>
    <w:rsid w:val="00755D54"/>
    <w:rsid w:val="00760015"/>
    <w:rsid w:val="00782AD3"/>
    <w:rsid w:val="00783AB2"/>
    <w:rsid w:val="007870C9"/>
    <w:rsid w:val="00793653"/>
    <w:rsid w:val="007A7725"/>
    <w:rsid w:val="007B08F2"/>
    <w:rsid w:val="007B0F17"/>
    <w:rsid w:val="007D00D5"/>
    <w:rsid w:val="007F04FE"/>
    <w:rsid w:val="008009AE"/>
    <w:rsid w:val="0080215D"/>
    <w:rsid w:val="00807F5A"/>
    <w:rsid w:val="00820C1B"/>
    <w:rsid w:val="00825599"/>
    <w:rsid w:val="0082786A"/>
    <w:rsid w:val="00831131"/>
    <w:rsid w:val="00840A00"/>
    <w:rsid w:val="008656B2"/>
    <w:rsid w:val="00867F48"/>
    <w:rsid w:val="00874D68"/>
    <w:rsid w:val="008767AE"/>
    <w:rsid w:val="00877120"/>
    <w:rsid w:val="008778E7"/>
    <w:rsid w:val="00891508"/>
    <w:rsid w:val="00892B83"/>
    <w:rsid w:val="00893D25"/>
    <w:rsid w:val="008B0D25"/>
    <w:rsid w:val="008B5E40"/>
    <w:rsid w:val="008C102E"/>
    <w:rsid w:val="008C30B9"/>
    <w:rsid w:val="008E3AD7"/>
    <w:rsid w:val="008F15BE"/>
    <w:rsid w:val="008F19E9"/>
    <w:rsid w:val="00901187"/>
    <w:rsid w:val="0091554A"/>
    <w:rsid w:val="00916938"/>
    <w:rsid w:val="00926034"/>
    <w:rsid w:val="00934585"/>
    <w:rsid w:val="00935AC7"/>
    <w:rsid w:val="00941A95"/>
    <w:rsid w:val="009710FD"/>
    <w:rsid w:val="009719A3"/>
    <w:rsid w:val="009727CE"/>
    <w:rsid w:val="00973606"/>
    <w:rsid w:val="00980EF7"/>
    <w:rsid w:val="00987001"/>
    <w:rsid w:val="00992F90"/>
    <w:rsid w:val="009A4AA4"/>
    <w:rsid w:val="009B7CE3"/>
    <w:rsid w:val="009C17FF"/>
    <w:rsid w:val="009E149E"/>
    <w:rsid w:val="009F56B1"/>
    <w:rsid w:val="009F66B7"/>
    <w:rsid w:val="00A2548B"/>
    <w:rsid w:val="00A37E66"/>
    <w:rsid w:val="00A44CA4"/>
    <w:rsid w:val="00A46311"/>
    <w:rsid w:val="00A50190"/>
    <w:rsid w:val="00A51ACB"/>
    <w:rsid w:val="00A527EF"/>
    <w:rsid w:val="00A55F4A"/>
    <w:rsid w:val="00A56B16"/>
    <w:rsid w:val="00A57201"/>
    <w:rsid w:val="00A63F91"/>
    <w:rsid w:val="00A65890"/>
    <w:rsid w:val="00A70DE2"/>
    <w:rsid w:val="00A75589"/>
    <w:rsid w:val="00A861D7"/>
    <w:rsid w:val="00A86441"/>
    <w:rsid w:val="00AE2227"/>
    <w:rsid w:val="00AF3B48"/>
    <w:rsid w:val="00AF5C01"/>
    <w:rsid w:val="00AF71B6"/>
    <w:rsid w:val="00AF777C"/>
    <w:rsid w:val="00B05818"/>
    <w:rsid w:val="00B072D4"/>
    <w:rsid w:val="00B07307"/>
    <w:rsid w:val="00B10AD5"/>
    <w:rsid w:val="00B1604A"/>
    <w:rsid w:val="00B41A95"/>
    <w:rsid w:val="00B41CAE"/>
    <w:rsid w:val="00B5224F"/>
    <w:rsid w:val="00B8679F"/>
    <w:rsid w:val="00B961BF"/>
    <w:rsid w:val="00BB0F06"/>
    <w:rsid w:val="00BC2984"/>
    <w:rsid w:val="00BD11E1"/>
    <w:rsid w:val="00BE0185"/>
    <w:rsid w:val="00BF19C6"/>
    <w:rsid w:val="00BF2009"/>
    <w:rsid w:val="00BF3AB3"/>
    <w:rsid w:val="00BF4376"/>
    <w:rsid w:val="00C01B5D"/>
    <w:rsid w:val="00C0515F"/>
    <w:rsid w:val="00C05A77"/>
    <w:rsid w:val="00C130FD"/>
    <w:rsid w:val="00C179B4"/>
    <w:rsid w:val="00C21AD2"/>
    <w:rsid w:val="00C236AD"/>
    <w:rsid w:val="00C41D68"/>
    <w:rsid w:val="00C70496"/>
    <w:rsid w:val="00C762A4"/>
    <w:rsid w:val="00C771CF"/>
    <w:rsid w:val="00C961C9"/>
    <w:rsid w:val="00CC197D"/>
    <w:rsid w:val="00CC57C2"/>
    <w:rsid w:val="00CC62CF"/>
    <w:rsid w:val="00CF1EE7"/>
    <w:rsid w:val="00CF3C1B"/>
    <w:rsid w:val="00D0098E"/>
    <w:rsid w:val="00D05DDF"/>
    <w:rsid w:val="00D22F07"/>
    <w:rsid w:val="00D26561"/>
    <w:rsid w:val="00D50F33"/>
    <w:rsid w:val="00D635EF"/>
    <w:rsid w:val="00D65A37"/>
    <w:rsid w:val="00D72795"/>
    <w:rsid w:val="00D77393"/>
    <w:rsid w:val="00D81E39"/>
    <w:rsid w:val="00D87FB3"/>
    <w:rsid w:val="00D9362D"/>
    <w:rsid w:val="00DB17C8"/>
    <w:rsid w:val="00DB3BA3"/>
    <w:rsid w:val="00DF1ED8"/>
    <w:rsid w:val="00DF3165"/>
    <w:rsid w:val="00E146FB"/>
    <w:rsid w:val="00E44B8F"/>
    <w:rsid w:val="00E526D1"/>
    <w:rsid w:val="00E559CC"/>
    <w:rsid w:val="00E648A7"/>
    <w:rsid w:val="00E76D5F"/>
    <w:rsid w:val="00E77DE2"/>
    <w:rsid w:val="00EA6237"/>
    <w:rsid w:val="00EA7C25"/>
    <w:rsid w:val="00EB0711"/>
    <w:rsid w:val="00ED627D"/>
    <w:rsid w:val="00ED68F9"/>
    <w:rsid w:val="00EE3825"/>
    <w:rsid w:val="00EE612F"/>
    <w:rsid w:val="00EF225F"/>
    <w:rsid w:val="00EF2B0D"/>
    <w:rsid w:val="00F26458"/>
    <w:rsid w:val="00F459B7"/>
    <w:rsid w:val="00F5227F"/>
    <w:rsid w:val="00F5395C"/>
    <w:rsid w:val="00F64CFB"/>
    <w:rsid w:val="00F719B3"/>
    <w:rsid w:val="00F80BB2"/>
    <w:rsid w:val="00F83466"/>
    <w:rsid w:val="00F87307"/>
    <w:rsid w:val="00F943CE"/>
    <w:rsid w:val="00FA4256"/>
    <w:rsid w:val="00FC6697"/>
    <w:rsid w:val="00FD0218"/>
    <w:rsid w:val="00FF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A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f"/>
    <w:basedOn w:val="Normal"/>
    <w:link w:val="FootnoteTextChar"/>
    <w:rsid w:val="00782AD3"/>
    <w:rPr>
      <w:sz w:val="20"/>
      <w:szCs w:val="20"/>
    </w:rPr>
  </w:style>
  <w:style w:type="character" w:styleId="FootnoteReference">
    <w:name w:val="footnote reference"/>
    <w:aliases w:val="o,fr,Appel note de bas de p,Style 12,(NECG) Footnote Reference,Style 124,Style 3,Style 17,FR,Style 4,Style 13"/>
    <w:rsid w:val="00782AD3"/>
    <w:rPr>
      <w:vertAlign w:val="superscript"/>
    </w:rPr>
  </w:style>
  <w:style w:type="character" w:styleId="Hyperlink">
    <w:name w:val="Hyperlink"/>
    <w:rsid w:val="00782AD3"/>
    <w:rPr>
      <w:color w:val="0000FF"/>
      <w:u w:val="single"/>
    </w:rPr>
  </w:style>
  <w:style w:type="character" w:styleId="PageNumber">
    <w:name w:val="page number"/>
    <w:basedOn w:val="DefaultParagraphFont"/>
    <w:rsid w:val="00F26458"/>
  </w:style>
  <w:style w:type="paragraph" w:styleId="BalloonText">
    <w:name w:val="Balloon Text"/>
    <w:basedOn w:val="Normal"/>
    <w:semiHidden/>
    <w:rsid w:val="00935AC7"/>
    <w:rPr>
      <w:rFonts w:ascii="Tahoma" w:hAnsi="Tahoma" w:cs="Tahoma"/>
      <w:sz w:val="16"/>
      <w:szCs w:val="16"/>
    </w:r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f Char"/>
    <w:link w:val="FootnoteText"/>
    <w:rsid w:val="007F04FE"/>
    <w:rPr>
      <w:lang w:val="en-US" w:eastAsia="en-US" w:bidi="ar-SA"/>
    </w:rPr>
  </w:style>
  <w:style w:type="paragraph" w:styleId="ListParagraph">
    <w:name w:val="List Paragraph"/>
    <w:basedOn w:val="Normal"/>
    <w:uiPriority w:val="34"/>
    <w:qFormat/>
    <w:rsid w:val="00BD11E1"/>
    <w:pPr>
      <w:ind w:left="720"/>
    </w:pPr>
  </w:style>
  <w:style w:type="character" w:styleId="CommentReference">
    <w:name w:val="annotation reference"/>
    <w:rsid w:val="00E77DE2"/>
    <w:rPr>
      <w:sz w:val="16"/>
      <w:szCs w:val="16"/>
    </w:rPr>
  </w:style>
  <w:style w:type="paragraph" w:styleId="CommentText">
    <w:name w:val="annotation text"/>
    <w:basedOn w:val="Normal"/>
    <w:link w:val="CommentTextChar"/>
    <w:rsid w:val="00E77DE2"/>
    <w:rPr>
      <w:sz w:val="20"/>
      <w:szCs w:val="20"/>
    </w:rPr>
  </w:style>
  <w:style w:type="character" w:customStyle="1" w:styleId="CommentTextChar">
    <w:name w:val="Comment Text Char"/>
    <w:basedOn w:val="DefaultParagraphFont"/>
    <w:link w:val="CommentText"/>
    <w:rsid w:val="00E77DE2"/>
  </w:style>
  <w:style w:type="paragraph" w:styleId="CommentSubject">
    <w:name w:val="annotation subject"/>
    <w:basedOn w:val="CommentText"/>
    <w:next w:val="CommentText"/>
    <w:link w:val="CommentSubjectChar"/>
    <w:rsid w:val="00E77DE2"/>
    <w:rPr>
      <w:b/>
      <w:bCs/>
    </w:rPr>
  </w:style>
  <w:style w:type="character" w:customStyle="1" w:styleId="CommentSubjectChar">
    <w:name w:val="Comment Subject Char"/>
    <w:link w:val="CommentSubject"/>
    <w:rsid w:val="00E77DE2"/>
    <w:rPr>
      <w:b/>
      <w:bCs/>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Footnote Text Char2 Char"/>
    <w:semiHidden/>
    <w:rsid w:val="00734B3E"/>
    <w:rPr>
      <w:rFonts w:ascii="Times New Roman" w:eastAsia="Times New Roman" w:hAnsi="Times New Roman" w:cs="Times New Roman"/>
      <w:sz w:val="20"/>
      <w:szCs w:val="20"/>
    </w:rPr>
  </w:style>
  <w:style w:type="character" w:customStyle="1" w:styleId="FootnoteTextChar1Char1">
    <w:name w:val="Footnote Text Char1 Char1"/>
    <w:aliases w:val="Footnote Text Char Char Char1,Footnote Text Char2 Char Char Char1,Footnote Text Char1 Char Char Char Char Char Char1,Footnote Text Char Char Char Char Char Char1"/>
    <w:rsid w:val="00D87FB3"/>
  </w:style>
  <w:style w:type="paragraph" w:customStyle="1" w:styleId="ParaNum">
    <w:name w:val="ParaNum"/>
    <w:basedOn w:val="Normal"/>
    <w:rsid w:val="00EA7C25"/>
    <w:pPr>
      <w:widowControl w:val="0"/>
      <w:numPr>
        <w:numId w:val="4"/>
      </w:numPr>
      <w:tabs>
        <w:tab w:val="clear" w:pos="1080"/>
        <w:tab w:val="num" w:pos="1440"/>
      </w:tabs>
      <w:spacing w:after="120"/>
    </w:pPr>
    <w:rPr>
      <w:snapToGrid w:val="0"/>
      <w:kern w:val="28"/>
      <w:sz w:val="22"/>
      <w:szCs w:val="20"/>
    </w:rPr>
  </w:style>
  <w:style w:type="character" w:styleId="FollowedHyperlink">
    <w:name w:val="FollowedHyperlink"/>
    <w:rsid w:val="00A70D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A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f"/>
    <w:basedOn w:val="Normal"/>
    <w:link w:val="FootnoteTextChar"/>
    <w:rsid w:val="00782AD3"/>
    <w:rPr>
      <w:sz w:val="20"/>
      <w:szCs w:val="20"/>
    </w:rPr>
  </w:style>
  <w:style w:type="character" w:styleId="FootnoteReference">
    <w:name w:val="footnote reference"/>
    <w:aliases w:val="o,fr,Appel note de bas de p,Style 12,(NECG) Footnote Reference,Style 124,Style 3,Style 17,FR,Style 4,Style 13"/>
    <w:rsid w:val="00782AD3"/>
    <w:rPr>
      <w:vertAlign w:val="superscript"/>
    </w:rPr>
  </w:style>
  <w:style w:type="character" w:styleId="Hyperlink">
    <w:name w:val="Hyperlink"/>
    <w:rsid w:val="00782AD3"/>
    <w:rPr>
      <w:color w:val="0000FF"/>
      <w:u w:val="single"/>
    </w:rPr>
  </w:style>
  <w:style w:type="character" w:styleId="PageNumber">
    <w:name w:val="page number"/>
    <w:basedOn w:val="DefaultParagraphFont"/>
    <w:rsid w:val="00F26458"/>
  </w:style>
  <w:style w:type="paragraph" w:styleId="BalloonText">
    <w:name w:val="Balloon Text"/>
    <w:basedOn w:val="Normal"/>
    <w:semiHidden/>
    <w:rsid w:val="00935AC7"/>
    <w:rPr>
      <w:rFonts w:ascii="Tahoma" w:hAnsi="Tahoma" w:cs="Tahoma"/>
      <w:sz w:val="16"/>
      <w:szCs w:val="16"/>
    </w:r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f Char"/>
    <w:link w:val="FootnoteText"/>
    <w:rsid w:val="007F04FE"/>
    <w:rPr>
      <w:lang w:val="en-US" w:eastAsia="en-US" w:bidi="ar-SA"/>
    </w:rPr>
  </w:style>
  <w:style w:type="paragraph" w:styleId="ListParagraph">
    <w:name w:val="List Paragraph"/>
    <w:basedOn w:val="Normal"/>
    <w:uiPriority w:val="34"/>
    <w:qFormat/>
    <w:rsid w:val="00BD11E1"/>
    <w:pPr>
      <w:ind w:left="720"/>
    </w:pPr>
  </w:style>
  <w:style w:type="character" w:styleId="CommentReference">
    <w:name w:val="annotation reference"/>
    <w:rsid w:val="00E77DE2"/>
    <w:rPr>
      <w:sz w:val="16"/>
      <w:szCs w:val="16"/>
    </w:rPr>
  </w:style>
  <w:style w:type="paragraph" w:styleId="CommentText">
    <w:name w:val="annotation text"/>
    <w:basedOn w:val="Normal"/>
    <w:link w:val="CommentTextChar"/>
    <w:rsid w:val="00E77DE2"/>
    <w:rPr>
      <w:sz w:val="20"/>
      <w:szCs w:val="20"/>
    </w:rPr>
  </w:style>
  <w:style w:type="character" w:customStyle="1" w:styleId="CommentTextChar">
    <w:name w:val="Comment Text Char"/>
    <w:basedOn w:val="DefaultParagraphFont"/>
    <w:link w:val="CommentText"/>
    <w:rsid w:val="00E77DE2"/>
  </w:style>
  <w:style w:type="paragraph" w:styleId="CommentSubject">
    <w:name w:val="annotation subject"/>
    <w:basedOn w:val="CommentText"/>
    <w:next w:val="CommentText"/>
    <w:link w:val="CommentSubjectChar"/>
    <w:rsid w:val="00E77DE2"/>
    <w:rPr>
      <w:b/>
      <w:bCs/>
    </w:rPr>
  </w:style>
  <w:style w:type="character" w:customStyle="1" w:styleId="CommentSubjectChar">
    <w:name w:val="Comment Subject Char"/>
    <w:link w:val="CommentSubject"/>
    <w:rsid w:val="00E77DE2"/>
    <w:rPr>
      <w:b/>
      <w:bCs/>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Footnote Text Char2 Char"/>
    <w:semiHidden/>
    <w:rsid w:val="00734B3E"/>
    <w:rPr>
      <w:rFonts w:ascii="Times New Roman" w:eastAsia="Times New Roman" w:hAnsi="Times New Roman" w:cs="Times New Roman"/>
      <w:sz w:val="20"/>
      <w:szCs w:val="20"/>
    </w:rPr>
  </w:style>
  <w:style w:type="character" w:customStyle="1" w:styleId="FootnoteTextChar1Char1">
    <w:name w:val="Footnote Text Char1 Char1"/>
    <w:aliases w:val="Footnote Text Char Char Char1,Footnote Text Char2 Char Char Char1,Footnote Text Char1 Char Char Char Char Char Char1,Footnote Text Char Char Char Char Char Char1"/>
    <w:rsid w:val="00D87FB3"/>
  </w:style>
  <w:style w:type="paragraph" w:customStyle="1" w:styleId="ParaNum">
    <w:name w:val="ParaNum"/>
    <w:basedOn w:val="Normal"/>
    <w:rsid w:val="00EA7C25"/>
    <w:pPr>
      <w:widowControl w:val="0"/>
      <w:numPr>
        <w:numId w:val="4"/>
      </w:numPr>
      <w:tabs>
        <w:tab w:val="clear" w:pos="1080"/>
        <w:tab w:val="num" w:pos="1440"/>
      </w:tabs>
      <w:spacing w:after="120"/>
    </w:pPr>
    <w:rPr>
      <w:snapToGrid w:val="0"/>
      <w:kern w:val="28"/>
      <w:sz w:val="22"/>
      <w:szCs w:val="20"/>
    </w:rPr>
  </w:style>
  <w:style w:type="character" w:styleId="FollowedHyperlink">
    <w:name w:val="FollowedHyperlink"/>
    <w:rsid w:val="00A70D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ar.org/Pages/AboutUs.aspx"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Letter</Template>
  <TotalTime>0</TotalTime>
  <Pages>2</Pages>
  <Words>1719</Words>
  <Characters>9301</Characters>
  <Application>Microsoft Office Word</Application>
  <DocSecurity>0</DocSecurity>
  <Lines>145</Lines>
  <Paragraphs>25</Paragraphs>
  <ScaleCrop>false</ScaleCrop>
  <HeadingPairs>
    <vt:vector size="2" baseType="variant">
      <vt:variant>
        <vt:lpstr>Title</vt:lpstr>
      </vt:variant>
      <vt:variant>
        <vt:i4>1</vt:i4>
      </vt:variant>
    </vt:vector>
  </HeadingPairs>
  <TitlesOfParts>
    <vt:vector size="1" baseType="lpstr">
      <vt:lpstr>Mr</vt:lpstr>
    </vt:vector>
  </TitlesOfParts>
  <Manager/>
  <Company/>
  <LinksUpToDate>false</LinksUpToDate>
  <CharactersWithSpaces>11046</CharactersWithSpaces>
  <SharedDoc>false</SharedDoc>
  <HyperlinkBase> </HyperlinkBase>
  <HLinks>
    <vt:vector size="6" baseType="variant">
      <vt:variant>
        <vt:i4>3538983</vt:i4>
      </vt:variant>
      <vt:variant>
        <vt:i4>0</vt:i4>
      </vt:variant>
      <vt:variant>
        <vt:i4>0</vt:i4>
      </vt:variant>
      <vt:variant>
        <vt:i4>5</vt:i4>
      </vt:variant>
      <vt:variant>
        <vt:lpwstr>https://www.aar.org/Pages/AboutUs.aspx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2015-04-28T20:27:00Z</cp:lastPrinted>
  <dcterms:created xsi:type="dcterms:W3CDTF">2015-05-07T15:00:00Z</dcterms:created>
  <dcterms:modified xsi:type="dcterms:W3CDTF">2015-05-07T15:00:00Z</dcterms:modified>
  <cp:category> </cp:category>
  <cp:contentStatus> </cp:contentStatus>
</cp:coreProperties>
</file>