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7F0447">
        <w:rPr>
          <w:b/>
          <w:sz w:val="24"/>
        </w:rPr>
        <w:t xml:space="preserve"> 15</w:t>
      </w:r>
      <w:r w:rsidR="00B26A17">
        <w:rPr>
          <w:b/>
          <w:sz w:val="24"/>
        </w:rPr>
        <w:t>-</w:t>
      </w:r>
      <w:r w:rsidR="007C068D">
        <w:rPr>
          <w:b/>
          <w:sz w:val="24"/>
        </w:rPr>
        <w:t>555</w:t>
      </w:r>
    </w:p>
    <w:p w:rsidR="000F69DF" w:rsidRPr="001E68FC" w:rsidRDefault="00DB7FE8">
      <w:pPr>
        <w:spacing w:before="60"/>
        <w:jc w:val="right"/>
        <w:rPr>
          <w:b/>
          <w:sz w:val="24"/>
        </w:rPr>
      </w:pPr>
      <w:r>
        <w:rPr>
          <w:b/>
          <w:sz w:val="24"/>
        </w:rPr>
        <w:t>May 8</w:t>
      </w:r>
      <w:r w:rsidR="001E68FC" w:rsidRPr="001E68FC">
        <w:rPr>
          <w:b/>
          <w:sz w:val="24"/>
        </w:rPr>
        <w:t>, 201</w:t>
      </w:r>
      <w:r w:rsidR="007F0447">
        <w:rPr>
          <w:b/>
          <w:sz w:val="24"/>
        </w:rPr>
        <w:t>5</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1A1944">
        <w:rPr>
          <w:b/>
          <w:caps/>
          <w:szCs w:val="22"/>
        </w:rPr>
        <w:t xml:space="preserve">s concerning </w:t>
      </w:r>
      <w:r>
        <w:rPr>
          <w:b/>
          <w:caps/>
          <w:szCs w:val="22"/>
        </w:rPr>
        <w:t xml:space="preserve">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F0447">
        <w:rPr>
          <w:szCs w:val="22"/>
        </w:rPr>
        <w:t xml:space="preserve">  </w:t>
      </w:r>
      <w:r w:rsidR="00DB7FE8">
        <w:rPr>
          <w:szCs w:val="22"/>
        </w:rPr>
        <w:t>May</w:t>
      </w:r>
      <w:r w:rsidR="00A63B07">
        <w:rPr>
          <w:szCs w:val="22"/>
        </w:rPr>
        <w:t xml:space="preserve"> </w:t>
      </w:r>
      <w:r w:rsidR="00DB7FE8">
        <w:rPr>
          <w:szCs w:val="22"/>
        </w:rPr>
        <w:t>22</w:t>
      </w:r>
      <w:r w:rsidR="001777EC">
        <w:rPr>
          <w:szCs w:val="22"/>
        </w:rPr>
        <w:t>, 2015</w:t>
      </w:r>
    </w:p>
    <w:p w:rsidR="000F69DF" w:rsidRDefault="001E68FC" w:rsidP="00997FAC">
      <w:pPr>
        <w:rPr>
          <w:b/>
        </w:rPr>
      </w:pPr>
      <w:r>
        <w:rPr>
          <w:b/>
        </w:rPr>
        <w:t>Reply Comment Date</w:t>
      </w:r>
      <w:r>
        <w:t xml:space="preserve">:  </w:t>
      </w:r>
      <w:r w:rsidR="00DB7FE8">
        <w:rPr>
          <w:b/>
        </w:rPr>
        <w:t>May</w:t>
      </w:r>
      <w:r w:rsidR="00A63B07">
        <w:rPr>
          <w:b/>
        </w:rPr>
        <w:t xml:space="preserve"> </w:t>
      </w:r>
      <w:r w:rsidR="00DB7FE8">
        <w:rPr>
          <w:b/>
        </w:rPr>
        <w:t>29</w:t>
      </w:r>
      <w:r>
        <w:t xml:space="preserve">, </w:t>
      </w:r>
      <w:r w:rsidR="001777EC">
        <w:rPr>
          <w:b/>
        </w:rPr>
        <w:t>2015</w:t>
      </w:r>
    </w:p>
    <w:p w:rsidR="00DD44B0" w:rsidRPr="00997FAC" w:rsidRDefault="00DD44B0" w:rsidP="00997FAC">
      <w:pPr>
        <w:rPr>
          <w:b/>
        </w:rPr>
      </w:pPr>
    </w:p>
    <w:p w:rsidR="00B825BB" w:rsidRDefault="001E68FC" w:rsidP="00DD44B0">
      <w:pPr>
        <w:spacing w:before="120" w:after="240"/>
        <w:rPr>
          <w:szCs w:val="22"/>
        </w:rPr>
      </w:pPr>
      <w:r>
        <w:rPr>
          <w:sz w:val="24"/>
        </w:rPr>
        <w:tab/>
      </w:r>
      <w:r w:rsidR="00EE07EE" w:rsidRPr="00347DD3">
        <w:rPr>
          <w:szCs w:val="22"/>
        </w:rPr>
        <w:t xml:space="preserve"> </w:t>
      </w:r>
      <w:r w:rsidR="009B65D3">
        <w:rPr>
          <w:szCs w:val="22"/>
        </w:rPr>
        <w:t>Sixty-one</w:t>
      </w:r>
      <w:r w:rsidR="00A63B07">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 xml:space="preserve">described below.  </w:t>
      </w:r>
    </w:p>
    <w:p w:rsidR="00E0730A" w:rsidRDefault="003F3F7F" w:rsidP="008E2BE7">
      <w:pPr>
        <w:spacing w:before="120" w:after="240"/>
        <w:ind w:firstLine="720"/>
        <w:rPr>
          <w:szCs w:val="22"/>
        </w:rPr>
      </w:pPr>
      <w:r>
        <w:rPr>
          <w:szCs w:val="22"/>
        </w:rPr>
        <w:lastRenderedPageBreak/>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3"/>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4"/>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5"/>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6"/>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w:t>
      </w:r>
      <w:r w:rsidR="003D0EBD">
        <w:rPr>
          <w:szCs w:val="22"/>
        </w:rPr>
        <w:t>Rebecca A. Hirselj</w:t>
      </w:r>
      <w:r w:rsidRPr="001E68FC">
        <w:rPr>
          <w:szCs w:val="22"/>
        </w:rPr>
        <w:t>, Consumer and Governmental Affairs Bureau, Federal Communications Co</w:t>
      </w:r>
      <w:r w:rsidR="003D0EBD">
        <w:rPr>
          <w:szCs w:val="22"/>
        </w:rPr>
        <w:t>mmission, (202</w:t>
      </w:r>
      <w:r w:rsidRPr="001E68FC">
        <w:rPr>
          <w:szCs w:val="22"/>
        </w:rPr>
        <w:t xml:space="preserve">) </w:t>
      </w:r>
      <w:r w:rsidR="003D0EBD">
        <w:rPr>
          <w:szCs w:val="22"/>
        </w:rPr>
        <w:t>41</w:t>
      </w:r>
      <w:r w:rsidRPr="001E68FC">
        <w:rPr>
          <w:szCs w:val="22"/>
        </w:rPr>
        <w:t>8-</w:t>
      </w:r>
      <w:r w:rsidR="003D0EBD">
        <w:rPr>
          <w:szCs w:val="22"/>
        </w:rPr>
        <w:t>7603</w:t>
      </w:r>
      <w:r w:rsidR="006D0730">
        <w:rPr>
          <w:szCs w:val="22"/>
        </w:rPr>
        <w:t>;</w:t>
      </w:r>
      <w:r w:rsidRPr="001E68FC">
        <w:rPr>
          <w:szCs w:val="22"/>
        </w:rPr>
        <w:t xml:space="preserve"> or </w:t>
      </w:r>
      <w:hyperlink r:id="rId15" w:history="1">
        <w:r w:rsidR="003D0EBD" w:rsidRPr="004C4699">
          <w:rPr>
            <w:rStyle w:val="Hyperlink"/>
            <w:szCs w:val="22"/>
          </w:rPr>
          <w:t>Rebecca.Hirselj@fcc.gov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7A" w:rsidRDefault="009D547A">
      <w:r>
        <w:separator/>
      </w:r>
    </w:p>
  </w:endnote>
  <w:endnote w:type="continuationSeparator" w:id="0">
    <w:p w:rsidR="009D547A" w:rsidRDefault="009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F" w:rsidRDefault="00F53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F" w:rsidRDefault="00F53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7A" w:rsidRDefault="009D547A">
      <w:r>
        <w:separator/>
      </w:r>
    </w:p>
  </w:footnote>
  <w:footnote w:type="continuationSeparator" w:id="0">
    <w:p w:rsidR="009D547A" w:rsidRDefault="009D547A">
      <w:r>
        <w:continuationSeparator/>
      </w:r>
    </w:p>
  </w:footnote>
  <w:footnote w:id="1">
    <w:p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w:t>
      </w:r>
      <w:r w:rsidR="00763EEE">
        <w:rPr>
          <w:sz w:val="20"/>
        </w:rPr>
        <w:t>,</w:t>
      </w:r>
      <w:r w:rsidR="007512B4">
        <w:rPr>
          <w:sz w:val="20"/>
        </w:rPr>
        <w:t xml:space="preserve">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64.1200(a)(4)</w:t>
      </w:r>
      <w:r w:rsidR="007512B4">
        <w:rPr>
          <w:sz w:val="20"/>
        </w:rPr>
        <w:t>(iii)-</w:t>
      </w:r>
      <w:r w:rsidR="007512B4" w:rsidRPr="007512B4">
        <w:rPr>
          <w:sz w:val="20"/>
        </w:rPr>
        <w:t>(iv).</w:t>
      </w:r>
    </w:p>
  </w:footnote>
  <w:footnote w:id="2">
    <w:p w:rsidR="003F485F" w:rsidRDefault="003F485F" w:rsidP="001E68FC">
      <w:pPr>
        <w:rPr>
          <w:sz w:val="20"/>
        </w:rPr>
      </w:pPr>
      <w:r w:rsidRPr="007512B4">
        <w:rPr>
          <w:rStyle w:val="FootnoteReference"/>
          <w:sz w:val="20"/>
        </w:rPr>
        <w:footnoteRef/>
      </w:r>
      <w:r w:rsidRPr="007512B4">
        <w:rPr>
          <w:sz w:val="20"/>
        </w:rPr>
        <w:t xml:space="preserve"> </w:t>
      </w:r>
      <w:r w:rsidRPr="007512B4">
        <w:rPr>
          <w:i/>
          <w:sz w:val="20"/>
        </w:rPr>
        <w:t xml:space="preserve">See </w:t>
      </w:r>
      <w:r w:rsidR="00800065">
        <w:rPr>
          <w:i/>
          <w:sz w:val="20"/>
        </w:rPr>
        <w:t xml:space="preserve">Petition of </w:t>
      </w:r>
      <w:r w:rsidR="00DB7FE8">
        <w:rPr>
          <w:i/>
          <w:sz w:val="20"/>
        </w:rPr>
        <w:t xml:space="preserve">Consumer Energy Solutions, Inc. </w:t>
      </w:r>
      <w:r w:rsidR="00800065">
        <w:rPr>
          <w:i/>
          <w:sz w:val="20"/>
        </w:rPr>
        <w:t>for</w:t>
      </w:r>
      <w:r w:rsidR="00DB7FE8">
        <w:rPr>
          <w:i/>
          <w:sz w:val="20"/>
        </w:rPr>
        <w:t xml:space="preserve"> Retroactive</w:t>
      </w:r>
      <w:r w:rsidR="00800065">
        <w:rPr>
          <w:i/>
          <w:sz w:val="20"/>
        </w:rPr>
        <w:t xml:space="preserve"> </w:t>
      </w:r>
      <w:r w:rsidR="00800065" w:rsidRPr="00800065">
        <w:rPr>
          <w:i/>
          <w:sz w:val="20"/>
        </w:rPr>
        <w:t>Waiver</w:t>
      </w:r>
      <w:r w:rsidR="00DB7FE8">
        <w:rPr>
          <w:i/>
          <w:sz w:val="20"/>
        </w:rPr>
        <w:t xml:space="preserve"> of 47 C.F.R. § 64.1200(a)(4)(iv)</w:t>
      </w:r>
      <w:r w:rsidR="00800065">
        <w:rPr>
          <w:sz w:val="20"/>
        </w:rPr>
        <w:t xml:space="preserve">, CG Docket Nos. 02-278, 05-338 (filed </w:t>
      </w:r>
      <w:r w:rsidR="00DB7FE8">
        <w:rPr>
          <w:sz w:val="20"/>
        </w:rPr>
        <w:t>Mar. 26</w:t>
      </w:r>
      <w:r w:rsidR="00800065">
        <w:rPr>
          <w:sz w:val="20"/>
        </w:rPr>
        <w:t>, 2015) (</w:t>
      </w:r>
      <w:r w:rsidR="00DB7FE8">
        <w:rPr>
          <w:sz w:val="20"/>
        </w:rPr>
        <w:t>Consumer Energy</w:t>
      </w:r>
      <w:r w:rsidR="00800065">
        <w:rPr>
          <w:sz w:val="20"/>
        </w:rPr>
        <w:t xml:space="preserve"> Petition); </w:t>
      </w:r>
      <w:r w:rsidR="00800065" w:rsidRPr="00800065">
        <w:rPr>
          <w:i/>
          <w:sz w:val="20"/>
        </w:rPr>
        <w:t xml:space="preserve">Petition of </w:t>
      </w:r>
      <w:r w:rsidR="00DB7FE8">
        <w:rPr>
          <w:i/>
          <w:sz w:val="20"/>
        </w:rPr>
        <w:t>Practice Recruiters, LLC f/k/a Practice Recruiters Incorporated, et al</w:t>
      </w:r>
      <w:r w:rsidR="00FC47C3">
        <w:rPr>
          <w:i/>
          <w:sz w:val="20"/>
        </w:rPr>
        <w:t>.</w:t>
      </w:r>
      <w:r w:rsidR="00800065" w:rsidRPr="00800065">
        <w:rPr>
          <w:i/>
          <w:sz w:val="20"/>
        </w:rPr>
        <w:t xml:space="preserve"> for Retroactive Waiver of 47 C.F.R. § 64.1200(a)(4)(iv)</w:t>
      </w:r>
      <w:r w:rsidR="00800065">
        <w:rPr>
          <w:sz w:val="20"/>
        </w:rPr>
        <w:t>, CG Docket Nos. 02-278, 05-338 (filed Mar. 2</w:t>
      </w:r>
      <w:r w:rsidR="00DB7FE8">
        <w:rPr>
          <w:sz w:val="20"/>
        </w:rPr>
        <w:t>7</w:t>
      </w:r>
      <w:r w:rsidR="00800065">
        <w:rPr>
          <w:sz w:val="20"/>
        </w:rPr>
        <w:t>, 2015) (</w:t>
      </w:r>
      <w:r w:rsidR="00DB7FE8">
        <w:rPr>
          <w:sz w:val="20"/>
        </w:rPr>
        <w:t>Practice Recruiters</w:t>
      </w:r>
      <w:r w:rsidR="00800065">
        <w:rPr>
          <w:sz w:val="20"/>
        </w:rPr>
        <w:t xml:space="preserve"> Petition); </w:t>
      </w:r>
      <w:r w:rsidR="00800065" w:rsidRPr="00800065">
        <w:rPr>
          <w:i/>
          <w:sz w:val="20"/>
        </w:rPr>
        <w:t>Petition of</w:t>
      </w:r>
      <w:r w:rsidR="00DB7FE8">
        <w:rPr>
          <w:i/>
          <w:sz w:val="20"/>
        </w:rPr>
        <w:t xml:space="preserve"> Industrial Packaging Supplies, Inc. f</w:t>
      </w:r>
      <w:r w:rsidR="00F91023">
        <w:rPr>
          <w:i/>
          <w:sz w:val="20"/>
        </w:rPr>
        <w:t>or Waiver of Section 64.1200(a)(</w:t>
      </w:r>
      <w:r w:rsidR="00DB7FE8">
        <w:rPr>
          <w:i/>
          <w:sz w:val="20"/>
        </w:rPr>
        <w:t>4)(iv) of the Commission’s Rules,</w:t>
      </w:r>
      <w:r w:rsidR="00DB7FE8">
        <w:rPr>
          <w:sz w:val="20"/>
        </w:rPr>
        <w:t xml:space="preserve"> CG Docket Nos. 02-278, 05-338 (filed Apr. 3, 2015) (IPS Petition); </w:t>
      </w:r>
      <w:r w:rsidR="00DB7FE8" w:rsidRPr="00A00E6F">
        <w:rPr>
          <w:i/>
          <w:sz w:val="20"/>
        </w:rPr>
        <w:t>Petition of American Health Service Sales Corporation for Waiver of 47 C.F.R. § 64.1200(a)(4)(iv)</w:t>
      </w:r>
      <w:r w:rsidR="00DB7FE8">
        <w:rPr>
          <w:sz w:val="20"/>
        </w:rPr>
        <w:t xml:space="preserve">, CG Docket Nos. 02-278, 05-338 (filed Apr. 6, 2015) (American Health Petition); </w:t>
      </w:r>
      <w:r w:rsidR="00DB7FE8" w:rsidRPr="00A00E6F">
        <w:rPr>
          <w:i/>
          <w:sz w:val="20"/>
        </w:rPr>
        <w:t>Petition of Virtuox, Inc. for Retroactive Waiver of 47 C.F.R. § 64.1200(a)(4)(iv)</w:t>
      </w:r>
      <w:r w:rsidR="00DB7FE8">
        <w:rPr>
          <w:sz w:val="20"/>
        </w:rPr>
        <w:t xml:space="preserve">, CG Docket Nos. 02-278, 05-338 (filed </w:t>
      </w:r>
      <w:r w:rsidR="00A00E6F">
        <w:rPr>
          <w:sz w:val="20"/>
        </w:rPr>
        <w:t xml:space="preserve">Apr. </w:t>
      </w:r>
      <w:r w:rsidR="00DB7FE8">
        <w:rPr>
          <w:sz w:val="20"/>
        </w:rPr>
        <w:t>6, 2015)</w:t>
      </w:r>
      <w:r w:rsidR="00A00E6F">
        <w:rPr>
          <w:sz w:val="20"/>
        </w:rPr>
        <w:t xml:space="preserve"> (Virtuox Petition); </w:t>
      </w:r>
      <w:r w:rsidR="00A00E6F" w:rsidRPr="00A00E6F">
        <w:rPr>
          <w:i/>
          <w:sz w:val="20"/>
        </w:rPr>
        <w:t>Petition of Financial Carrier Services, Inc. for Retroactive Waiver of 47 C.F.R. § 64.1200(a)(4)(iv)</w:t>
      </w:r>
      <w:r w:rsidR="00A00E6F">
        <w:rPr>
          <w:sz w:val="20"/>
        </w:rPr>
        <w:t xml:space="preserve">, CG Docket Nos. 02-278, 05-338 (filed Apr. 7, 2015) (FCS Petition); </w:t>
      </w:r>
      <w:r w:rsidR="00A00E6F" w:rsidRPr="00A00E6F">
        <w:rPr>
          <w:i/>
          <w:sz w:val="20"/>
        </w:rPr>
        <w:t>Petition of Nomax, Inc. for Waiver of Section 64.1200(a)(4)(iv) of the Commission’s Rules</w:t>
      </w:r>
      <w:r w:rsidR="00A00E6F">
        <w:rPr>
          <w:sz w:val="20"/>
        </w:rPr>
        <w:t xml:space="preserve">,  CG Docket Nos. 02-278, 05-338 (filed Apr. 13, 2015) (Nomax Petition); </w:t>
      </w:r>
      <w:r w:rsidR="00A00E6F" w:rsidRPr="00A00E6F">
        <w:rPr>
          <w:i/>
          <w:sz w:val="20"/>
        </w:rPr>
        <w:t>Petition of Heska Corporation for Waiver</w:t>
      </w:r>
      <w:r w:rsidR="00A00E6F">
        <w:rPr>
          <w:sz w:val="20"/>
        </w:rPr>
        <w:t xml:space="preserve">, CG Docket Nos. 02-278, 05-338 (filed Apr. 14, 2015) (Heska Petition); </w:t>
      </w:r>
      <w:r w:rsidR="00A00E6F" w:rsidRPr="00A00E6F">
        <w:rPr>
          <w:i/>
          <w:sz w:val="20"/>
        </w:rPr>
        <w:t>Petition of Odyssey Services, Inc. for Waiver of 47 C.F.R. § 64.1200(a)(4)(iv)</w:t>
      </w:r>
      <w:r w:rsidR="00A00E6F">
        <w:rPr>
          <w:sz w:val="20"/>
        </w:rPr>
        <w:t xml:space="preserve">, CG Docket Nos. 02-278, 05-338 (filed Apr. 14, 2015) (Odyssey Petition); </w:t>
      </w:r>
      <w:r w:rsidR="00A00E6F" w:rsidRPr="00A00E6F">
        <w:rPr>
          <w:i/>
          <w:sz w:val="20"/>
        </w:rPr>
        <w:t>Petition of GE Healthcare, Inc. for Retroactive Waiver</w:t>
      </w:r>
      <w:r w:rsidR="00DB7FE8" w:rsidRPr="00A00E6F">
        <w:rPr>
          <w:i/>
          <w:sz w:val="20"/>
        </w:rPr>
        <w:t xml:space="preserve"> </w:t>
      </w:r>
      <w:r w:rsidR="00A00E6F" w:rsidRPr="00A00E6F">
        <w:rPr>
          <w:i/>
          <w:sz w:val="20"/>
        </w:rPr>
        <w:t>of 47 C.F.R. § 64.1200(a)(4)(iv)</w:t>
      </w:r>
      <w:r w:rsidR="00A00E6F">
        <w:rPr>
          <w:sz w:val="20"/>
        </w:rPr>
        <w:t xml:space="preserve">, CG Docket Nos. 02-278, 05-338 (filed Apr. 15, 2015) (GE Healthcare Petition); </w:t>
      </w:r>
      <w:r w:rsidR="00A00E6F" w:rsidRPr="00F91023">
        <w:rPr>
          <w:i/>
          <w:sz w:val="20"/>
        </w:rPr>
        <w:t>Petition of American Power &amp; Gas, LLC, et al. for Waiver</w:t>
      </w:r>
      <w:r w:rsidR="00A00E6F">
        <w:rPr>
          <w:sz w:val="20"/>
        </w:rPr>
        <w:t xml:space="preserve">, CG Docket Nos. 02-278, 05-338 (filed Apr. 17, 2015) (AP&amp;G Petition); </w:t>
      </w:r>
      <w:r w:rsidR="00A00E6F" w:rsidRPr="00F91023">
        <w:rPr>
          <w:i/>
          <w:sz w:val="20"/>
        </w:rPr>
        <w:t>Petition of Competitive Health, Inc. and First Access, Inc. for Retroactive Waiver of 47 C.F.R. § 64.1200(a)(4)(iv)</w:t>
      </w:r>
      <w:r w:rsidR="00A00E6F">
        <w:rPr>
          <w:sz w:val="20"/>
        </w:rPr>
        <w:t xml:space="preserve">, CG Docket Nos. 02-278, 05-338 (filed Apr. 17, 2015) (Competitive Health Petition); </w:t>
      </w:r>
      <w:r w:rsidR="00A00E6F" w:rsidRPr="00F91023">
        <w:rPr>
          <w:i/>
          <w:sz w:val="20"/>
        </w:rPr>
        <w:t>Petition of Jay Geier’s Schedule Institute for Waiver of Section 64.1200(a)(4)(iv) of the Commission’s Rules</w:t>
      </w:r>
      <w:r w:rsidR="00A00E6F">
        <w:rPr>
          <w:sz w:val="20"/>
        </w:rPr>
        <w:t>, CG Docket Nos. 02-278, 05-338 (filed Apr. 20, 2015) (Geier Petition)</w:t>
      </w:r>
      <w:r w:rsidR="003F7F5E">
        <w:rPr>
          <w:sz w:val="20"/>
        </w:rPr>
        <w:t xml:space="preserve">; </w:t>
      </w:r>
      <w:r w:rsidR="003F7F5E" w:rsidRPr="003F7F5E">
        <w:rPr>
          <w:i/>
          <w:sz w:val="20"/>
        </w:rPr>
        <w:t>Petition of Kaberline Healthcare Informatics, Inc. for Waiver of Section 64.1200(a)(4)(iv) of the Commission’s Rules</w:t>
      </w:r>
      <w:r w:rsidR="003F7F5E">
        <w:rPr>
          <w:sz w:val="20"/>
        </w:rPr>
        <w:t>, CG Docket Nos. 02-278, 05-338 (filed Apr. 22, 2015) (Kaberline Petition)</w:t>
      </w:r>
      <w:r w:rsidR="00BE7540">
        <w:rPr>
          <w:sz w:val="20"/>
        </w:rPr>
        <w:t xml:space="preserve">; Petition of </w:t>
      </w:r>
      <w:r w:rsidR="00BE7540" w:rsidRPr="00BE7540">
        <w:rPr>
          <w:i/>
          <w:sz w:val="20"/>
        </w:rPr>
        <w:t>Logistic Innovations, LLC for Retroactive Waiver of 47 C.F.R § 64.1200(a)(4)(iv)</w:t>
      </w:r>
      <w:r w:rsidR="00BE7540">
        <w:rPr>
          <w:sz w:val="20"/>
        </w:rPr>
        <w:t xml:space="preserve">, CG Docket Nos. 02-278, 05-338 (filed Apr. 24, 2015) (Logistic Petition);  </w:t>
      </w:r>
      <w:r w:rsidR="00BE7540" w:rsidRPr="00BE7540">
        <w:rPr>
          <w:i/>
          <w:sz w:val="20"/>
        </w:rPr>
        <w:t>Petition of CCI Investments, LLC, d/b/a CareWorks Consultants, Inc. for Retroactive Waiver of 47 C.F.R § 64.1200(a)(4)(iv)</w:t>
      </w:r>
      <w:r w:rsidR="00BE7540">
        <w:rPr>
          <w:sz w:val="20"/>
        </w:rPr>
        <w:t xml:space="preserve">, CG Docket Nos. 02-278, 05-338 (filed Apr. 27, 2015) (CCI Petition); </w:t>
      </w:r>
      <w:r w:rsidR="00BE7540" w:rsidRPr="00BE7540">
        <w:rPr>
          <w:i/>
          <w:sz w:val="20"/>
        </w:rPr>
        <w:t>Petition of Saratoga Aesthetics, LLC for Waiver of Section 64.1200(a)(4)(iv) of the Commission’s Rules</w:t>
      </w:r>
      <w:r w:rsidR="00BE7540">
        <w:rPr>
          <w:sz w:val="20"/>
        </w:rPr>
        <w:t xml:space="preserve">, CG Docket Nos. 02-278, 05-338 (filed Apr. 27, 2015) (Saratoga Petition); </w:t>
      </w:r>
      <w:r w:rsidR="00BE7540" w:rsidRPr="00BE7540">
        <w:rPr>
          <w:i/>
          <w:sz w:val="20"/>
        </w:rPr>
        <w:t>Petition of Royal Canin U.S.A., Inc. for Retroactive Waiver of 47 C.F.R § 64.1200(a)(4)(iv)</w:t>
      </w:r>
      <w:r w:rsidR="00BE7540">
        <w:rPr>
          <w:sz w:val="20"/>
        </w:rPr>
        <w:t xml:space="preserve">, CG Docket Nos. 02-278, 05-338 (filed Apr. 27, 2015) (Royal Canin Petition); </w:t>
      </w:r>
      <w:r w:rsidR="00BE7540" w:rsidRPr="00BE7540">
        <w:rPr>
          <w:i/>
          <w:sz w:val="20"/>
        </w:rPr>
        <w:t>Petition of Salix Pharmaceuticals, Inc. and Salix Pharmaceuticals, Ltd. for Retroactive Waiver of 47 C.F.R § 64.1200(a)(4)(iv)</w:t>
      </w:r>
      <w:r w:rsidR="00BE7540">
        <w:rPr>
          <w:sz w:val="20"/>
        </w:rPr>
        <w:t xml:space="preserve">, CG Docket Nos. 02-278, 05-338 (filed Apr. 27, 2015) (Salix Petition); </w:t>
      </w:r>
      <w:r w:rsidR="00BE7540" w:rsidRPr="00BE7540">
        <w:rPr>
          <w:i/>
          <w:sz w:val="20"/>
        </w:rPr>
        <w:t>Petition of Cephalon, Inc., et al. for Waiver of Section 64.1200(a)(4)(iv) of the Commission’s Rules</w:t>
      </w:r>
      <w:r w:rsidR="00BE7540">
        <w:rPr>
          <w:sz w:val="20"/>
        </w:rPr>
        <w:t>, CG Docket Nos. 02-278, 05-338 (filed Apr. 28, 2015) (Cephalon Petition)</w:t>
      </w:r>
      <w:r w:rsidR="008D7942">
        <w:rPr>
          <w:sz w:val="20"/>
        </w:rPr>
        <w:t xml:space="preserve">; </w:t>
      </w:r>
      <w:r w:rsidR="00131D0A" w:rsidRPr="00131D0A">
        <w:rPr>
          <w:i/>
          <w:sz w:val="20"/>
        </w:rPr>
        <w:t>Petition of Five-M Software Systems Corporation for Waiver</w:t>
      </w:r>
      <w:r w:rsidR="00131D0A">
        <w:rPr>
          <w:sz w:val="20"/>
        </w:rPr>
        <w:t xml:space="preserve">, GC Docket Nos. 02-278, 05-338 (filed Apr. 28, 2015) (Five-M Petition); </w:t>
      </w:r>
      <w:r w:rsidR="005032FC" w:rsidRPr="00511E40">
        <w:rPr>
          <w:i/>
          <w:sz w:val="20"/>
        </w:rPr>
        <w:t>Petition of Valeant Pharmaceuticals North America, LLC</w:t>
      </w:r>
      <w:r w:rsidR="005032FC">
        <w:rPr>
          <w:sz w:val="20"/>
        </w:rPr>
        <w:t xml:space="preserve"> </w:t>
      </w:r>
      <w:r w:rsidR="005032FC" w:rsidRPr="00511E40">
        <w:rPr>
          <w:i/>
          <w:sz w:val="20"/>
        </w:rPr>
        <w:t>for Waiver of 47 C.F.R. § 64.1200(a)(iv)(4)</w:t>
      </w:r>
      <w:r w:rsidR="005032FC">
        <w:rPr>
          <w:sz w:val="20"/>
        </w:rPr>
        <w:t xml:space="preserve">, CG Docket Nos. 02-278, 05-338 (filed Apr. 28, 2015) (Valeant Petition); </w:t>
      </w:r>
      <w:r w:rsidR="005032FC" w:rsidRPr="00511E40">
        <w:rPr>
          <w:i/>
          <w:sz w:val="20"/>
        </w:rPr>
        <w:t>Petition of Navinet, Inc. for Waiver of Section 64.1200(a)(iv)(4) of the Commission’s Rules</w:t>
      </w:r>
      <w:r w:rsidR="005032FC">
        <w:rPr>
          <w:sz w:val="20"/>
        </w:rPr>
        <w:t xml:space="preserve">, CG Docket Nos. 02-278, 05-338 (filed Apr. 28, 2015) (Navinet Petition); </w:t>
      </w:r>
      <w:r w:rsidR="005032FC" w:rsidRPr="00511E40">
        <w:rPr>
          <w:i/>
          <w:sz w:val="20"/>
        </w:rPr>
        <w:t>Petition of First Index, Inc. for Waiver of Section 64.1200(a)(iv)(4) of the Commission’s Rules</w:t>
      </w:r>
      <w:r w:rsidR="005032FC">
        <w:rPr>
          <w:sz w:val="20"/>
        </w:rPr>
        <w:t xml:space="preserve">, CG Docket Nos. 02-278, 05-338 (filed Apr. 28, 2015) (First Index Petition); </w:t>
      </w:r>
      <w:r w:rsidR="005032FC" w:rsidRPr="00511E40">
        <w:rPr>
          <w:i/>
          <w:sz w:val="20"/>
        </w:rPr>
        <w:t>Petition of Integrated Pain Management, S.C., et al. for Waiver of Section 64.1200(a)(iv)(4) of the Commission’s Rules</w:t>
      </w:r>
      <w:r w:rsidR="005032FC">
        <w:rPr>
          <w:sz w:val="20"/>
        </w:rPr>
        <w:t xml:space="preserve">, CG Docket Nos. 02-278, 05-338 (filed Apr. 28, 2015) (IPM Petition); </w:t>
      </w:r>
      <w:r w:rsidR="00D1550F" w:rsidRPr="00511E40">
        <w:rPr>
          <w:i/>
          <w:sz w:val="20"/>
        </w:rPr>
        <w:t>Petition of Electronic Funds Source LLC for Waiver</w:t>
      </w:r>
      <w:r w:rsidR="00D1550F">
        <w:rPr>
          <w:sz w:val="20"/>
        </w:rPr>
        <w:t xml:space="preserve">, CG Docket Nos. 02-278, 05-338 (filed Apr. 28, 2015) (EFS Petition); </w:t>
      </w:r>
      <w:r w:rsidR="00D1550F" w:rsidRPr="00511E40">
        <w:rPr>
          <w:i/>
          <w:sz w:val="20"/>
        </w:rPr>
        <w:t>Petition of TruckersB2B, LLC for Waiver</w:t>
      </w:r>
      <w:r w:rsidR="00D1550F">
        <w:rPr>
          <w:sz w:val="20"/>
        </w:rPr>
        <w:t xml:space="preserve">, CG Docket Nos. 02-278, 05-338 (filed Apr. 28, 2015) (Truckers Petition); </w:t>
      </w:r>
      <w:r w:rsidR="00D1550F" w:rsidRPr="00511E40">
        <w:rPr>
          <w:i/>
          <w:sz w:val="20"/>
        </w:rPr>
        <w:t>Petition of Graduation Source, LLC and Graduation Solutions LP for Retroactive Waiver</w:t>
      </w:r>
      <w:r w:rsidR="00D1550F">
        <w:rPr>
          <w:sz w:val="20"/>
        </w:rPr>
        <w:t xml:space="preserve">, CG Docket Nos. 02-278, 05-338 (filed Apr. 29, 2015) (Graduation Petition); </w:t>
      </w:r>
      <w:r w:rsidR="005032FC" w:rsidRPr="007512B4">
        <w:rPr>
          <w:sz w:val="20"/>
        </w:rPr>
        <w:t xml:space="preserve"> </w:t>
      </w:r>
      <w:r w:rsidR="00D1550F" w:rsidRPr="00511E40">
        <w:rPr>
          <w:i/>
          <w:sz w:val="20"/>
        </w:rPr>
        <w:t>Petition of American Homepatient, Inc. for Waiver of Section 64.1200(a)(iv)(4) of the Commission’s Rules</w:t>
      </w:r>
      <w:r w:rsidR="00D1550F">
        <w:rPr>
          <w:sz w:val="20"/>
        </w:rPr>
        <w:t xml:space="preserve">, CG Docket Nos. 02-278, 05-338 (filed Apr. 29, 2015) (Homepatient Petition); </w:t>
      </w:r>
      <w:r w:rsidR="00D1550F" w:rsidRPr="00511E40">
        <w:rPr>
          <w:i/>
          <w:sz w:val="20"/>
        </w:rPr>
        <w:t>Petition of International Dental Supply Co. for Waiver of Section 64.1200(a)(iv)(4) of the Commission’s Rules</w:t>
      </w:r>
      <w:r w:rsidR="00D1550F">
        <w:rPr>
          <w:sz w:val="20"/>
        </w:rPr>
        <w:t xml:space="preserve">, CG Docket Nos. 02-278, 05-338 (filed Apr. 29, 2015) (Intnt’l Dental Petition); </w:t>
      </w:r>
      <w:r w:rsidR="00D1550F" w:rsidRPr="00511E40">
        <w:rPr>
          <w:i/>
          <w:sz w:val="20"/>
        </w:rPr>
        <w:t>Petition of Electrical Enlightenment, Inc. and the Enlightenment Companies for Retroactive Waiver of 47 C.F.R. § 64.122(a)(4)(iv)</w:t>
      </w:r>
      <w:r w:rsidR="00D1550F">
        <w:rPr>
          <w:sz w:val="20"/>
        </w:rPr>
        <w:t xml:space="preserve">, CG Docket Nos. 02-278, 05-338 (filed Apr. 29, 2015) (EEI Petition); </w:t>
      </w:r>
      <w:r w:rsidR="00D10FC4" w:rsidRPr="00D10FC4">
        <w:rPr>
          <w:i/>
          <w:sz w:val="20"/>
        </w:rPr>
        <w:t>Petition of Versa Cardio, LLC for Retroactive Waiver of 47 C.F.R. § 64.1200(a)(4)(iv)</w:t>
      </w:r>
      <w:r w:rsidR="00D10FC4">
        <w:rPr>
          <w:sz w:val="20"/>
        </w:rPr>
        <w:t xml:space="preserve">, CG Docket Nos. 02-278, 05-338 (filed Apr. 29, 2015) (Versa Petition); </w:t>
      </w:r>
      <w:r w:rsidR="00D1550F" w:rsidRPr="00511E40">
        <w:rPr>
          <w:i/>
          <w:sz w:val="20"/>
        </w:rPr>
        <w:t>Petition of Wells Fargo &amp; Company for Waiver of Section 64.1200(a)(iv)(4) of the Commission’s Rules</w:t>
      </w:r>
      <w:r w:rsidR="00D1550F">
        <w:rPr>
          <w:sz w:val="20"/>
        </w:rPr>
        <w:t xml:space="preserve">, CG Docket Nos. 02-278, 05-338 (filed Apr. 29, 2015) (Wells Fargo Petition); </w:t>
      </w:r>
      <w:r w:rsidR="00D1550F" w:rsidRPr="00511E40">
        <w:rPr>
          <w:i/>
          <w:sz w:val="20"/>
        </w:rPr>
        <w:t>Petition of ChappellRoberts, Inc. for Retroactive Waiver of 47 C.F.R. § 64.1200(a)(4)(iv)</w:t>
      </w:r>
      <w:r w:rsidR="00D1550F">
        <w:rPr>
          <w:sz w:val="20"/>
        </w:rPr>
        <w:t xml:space="preserve">, CG Docket Nos. 02-278, 05-338 (filed Apr. 29, 2015) (ChappellRoberts Petition); </w:t>
      </w:r>
      <w:r w:rsidR="00D1550F" w:rsidRPr="00511E40">
        <w:rPr>
          <w:i/>
          <w:sz w:val="20"/>
        </w:rPr>
        <w:t>Petition of UBM LLC for Waiver of Section 64.1200(a)(iv)(4) of the Commission’s Rules</w:t>
      </w:r>
      <w:r w:rsidR="00D1550F">
        <w:rPr>
          <w:sz w:val="20"/>
        </w:rPr>
        <w:t xml:space="preserve">, CG Docket Nos. 02-278, 05-338 (filed Apr. 29, 2015) (UBM Petition); </w:t>
      </w:r>
      <w:r w:rsidR="00D1550F" w:rsidRPr="00511E40">
        <w:rPr>
          <w:i/>
          <w:sz w:val="20"/>
        </w:rPr>
        <w:t>Petition of Direct Energy Services, LLC, et al. for Retroactive Waiver of 42[sic] C.F.R. §64.1200(a)(4)(iv)</w:t>
      </w:r>
      <w:r w:rsidR="00960243">
        <w:rPr>
          <w:sz w:val="20"/>
        </w:rPr>
        <w:t xml:space="preserve">, CG Docket Nos. 02-278, 05-338 (filed Apr. 29, 2015) (Direct Energy Petition); </w:t>
      </w:r>
      <w:r w:rsidR="00960243" w:rsidRPr="00511E40">
        <w:rPr>
          <w:i/>
          <w:sz w:val="20"/>
        </w:rPr>
        <w:t>Petition of Smith Nephew, Inc. for Retroactive Waiver of 47 C.F.R. § 64.1200(a)(4)(iv)</w:t>
      </w:r>
      <w:r w:rsidR="00960243">
        <w:rPr>
          <w:sz w:val="20"/>
        </w:rPr>
        <w:t>, CG Docket Nos. 02-278, 05-338 (filed Apr. 29, 2015) (</w:t>
      </w:r>
      <w:r w:rsidR="00D10FC4">
        <w:rPr>
          <w:sz w:val="20"/>
        </w:rPr>
        <w:t>Smith</w:t>
      </w:r>
      <w:r w:rsidR="00960243">
        <w:rPr>
          <w:sz w:val="20"/>
        </w:rPr>
        <w:t xml:space="preserve"> Petition); </w:t>
      </w:r>
      <w:r w:rsidR="00960243" w:rsidRPr="00511E40">
        <w:rPr>
          <w:i/>
          <w:sz w:val="20"/>
        </w:rPr>
        <w:t>Petition of Microwize Technology, Inc. for Waiver of Section 64.1200(a)(iv)(4) of the Commission’s Rules</w:t>
      </w:r>
      <w:r w:rsidR="00960243">
        <w:rPr>
          <w:sz w:val="20"/>
        </w:rPr>
        <w:t xml:space="preserve">, CG Docket Nos. 02-278, 05-338 (filed Apr. 29, 2015) (Microwize Petition); </w:t>
      </w:r>
      <w:r w:rsidR="00960243" w:rsidRPr="00511E40">
        <w:rPr>
          <w:i/>
          <w:sz w:val="20"/>
        </w:rPr>
        <w:t>Petition of MedTech Imagining, Inc. for Waiver of Section 64.1200(a)(iv)(4) of the Commission’s Rules</w:t>
      </w:r>
      <w:r w:rsidR="00960243">
        <w:rPr>
          <w:sz w:val="20"/>
        </w:rPr>
        <w:t xml:space="preserve">, CG Docket Nos. 02-278, 05-338 (filed Apr. 29, 2015) (MedTech Petition); </w:t>
      </w:r>
      <w:r w:rsidR="00960243" w:rsidRPr="00511E40">
        <w:rPr>
          <w:i/>
          <w:sz w:val="20"/>
        </w:rPr>
        <w:t>Petition of 2217044 Ontario Inc., et al. for Waiver of Section 64.1200(a)(iv)(4) of the Commission’s Rules</w:t>
      </w:r>
      <w:r w:rsidR="00960243">
        <w:rPr>
          <w:sz w:val="20"/>
        </w:rPr>
        <w:t xml:space="preserve">, CG Docket Nos. 02-278, 05-338 (filed Apr. 29, 2015) (Ontario Petition); </w:t>
      </w:r>
      <w:r w:rsidR="00960243" w:rsidRPr="00511E40">
        <w:rPr>
          <w:i/>
          <w:sz w:val="20"/>
        </w:rPr>
        <w:t>Petition of Greenway Health, LLC for Retroactive Waiver of 47 C.F.R. § 64.1200 (a)(4)(iv)</w:t>
      </w:r>
      <w:r w:rsidR="00960243">
        <w:rPr>
          <w:sz w:val="20"/>
        </w:rPr>
        <w:t xml:space="preserve">, CG Docket Nos. 02-278, 05-338 (filed Apr. 29, 2015) (Greenway Petition); </w:t>
      </w:r>
      <w:r w:rsidR="00960243" w:rsidRPr="00511E40">
        <w:rPr>
          <w:i/>
          <w:sz w:val="20"/>
        </w:rPr>
        <w:t>Petition of CVS Health Corporation and Caremark, L.L.C. for Retroactive Waiver of 47 C.F.R. § 64.1200(a)(4)(iv)</w:t>
      </w:r>
      <w:r w:rsidR="00960243">
        <w:rPr>
          <w:sz w:val="20"/>
        </w:rPr>
        <w:t>, CG Docket Nos. 02-278, 05-338 (filed Apr. 30, 2015) (CVS Petition);</w:t>
      </w:r>
      <w:r w:rsidR="00D1550F" w:rsidRPr="007512B4">
        <w:rPr>
          <w:sz w:val="20"/>
        </w:rPr>
        <w:t xml:space="preserve"> </w:t>
      </w:r>
      <w:r w:rsidR="00156B96" w:rsidRPr="00511E40">
        <w:rPr>
          <w:i/>
          <w:sz w:val="20"/>
        </w:rPr>
        <w:t>Petition of Free Continuing Education Association, LLC d/b/a FCEA, et al. for Waiver of Section 64.1200(a)(iv)(4) of the Commission’s Rules</w:t>
      </w:r>
      <w:r w:rsidR="00156B96">
        <w:rPr>
          <w:sz w:val="20"/>
        </w:rPr>
        <w:t xml:space="preserve">, CG Docket Nos. 02-278, 05-338 (filed Apr. 30, 2015) (FCEA Petition); </w:t>
      </w:r>
      <w:r w:rsidR="00156B96" w:rsidRPr="00511E40">
        <w:rPr>
          <w:i/>
          <w:sz w:val="20"/>
        </w:rPr>
        <w:t>Petition of Sinopec USA, Inc. for Retroactive Waiver of 47 C.F.R. § 12.00(a)(4)(iv)</w:t>
      </w:r>
      <w:r w:rsidR="00156B96">
        <w:rPr>
          <w:sz w:val="20"/>
        </w:rPr>
        <w:t>, CG Docket No</w:t>
      </w:r>
      <w:r w:rsidR="00DB263B">
        <w:rPr>
          <w:sz w:val="20"/>
        </w:rPr>
        <w:t xml:space="preserve">. 05-338 (filed Apr. 30, 2015) (Sinopec Petition); </w:t>
      </w:r>
      <w:r w:rsidR="00DB263B" w:rsidRPr="00511E40">
        <w:rPr>
          <w:i/>
          <w:sz w:val="20"/>
        </w:rPr>
        <w:t>Petition of Henry Schein Practice Solutions, Inc. for Retroactive Waiver of 47 C.F.R. § 64.1200(a)(iv)(4)</w:t>
      </w:r>
      <w:r w:rsidR="00DB263B">
        <w:rPr>
          <w:sz w:val="20"/>
        </w:rPr>
        <w:t xml:space="preserve">, CG Docket Nos. 02-278, 05-338 (filed Apr. 30, 2015) (Schein Petition); </w:t>
      </w:r>
      <w:r w:rsidR="00DB263B" w:rsidRPr="00511E40">
        <w:rPr>
          <w:i/>
          <w:sz w:val="20"/>
        </w:rPr>
        <w:t>Petition of Be-Thin, Inc. and Keven Eberly for Retroactive Waiver of 47 C.F.R. § 64.1200(a)(4)(iv)</w:t>
      </w:r>
      <w:r w:rsidR="00DB263B">
        <w:rPr>
          <w:sz w:val="20"/>
        </w:rPr>
        <w:t xml:space="preserve">, CG Docket Nos. 02-278, 05-338 (filed Apr. 30, 2015) (Be-Thin Petition); </w:t>
      </w:r>
      <w:r w:rsidR="00DB263B" w:rsidRPr="00511E40">
        <w:rPr>
          <w:i/>
          <w:sz w:val="20"/>
        </w:rPr>
        <w:t>Petition of Diagnostic Imaging Holdings, Inc. for Waiver of Section 64.1200(a)(4)(iv) of the Commission’s Rules</w:t>
      </w:r>
      <w:r w:rsidR="00DB263B">
        <w:rPr>
          <w:sz w:val="20"/>
        </w:rPr>
        <w:t>, CG Docket No. 05-338 (filed Apr. 30, 2015) (DIH Petition);</w:t>
      </w:r>
      <w:r w:rsidR="00DB263B" w:rsidRPr="00DB263B">
        <w:rPr>
          <w:sz w:val="20"/>
        </w:rPr>
        <w:t xml:space="preserve"> </w:t>
      </w:r>
      <w:r w:rsidR="00DB263B" w:rsidRPr="00511E40">
        <w:rPr>
          <w:i/>
          <w:sz w:val="20"/>
        </w:rPr>
        <w:t>Petition of Insight Health Services Holdings Corp. for Waiver of Section 64.1200(a)(4)(iv) of the Commission’s Rules</w:t>
      </w:r>
      <w:r w:rsidR="00DB263B">
        <w:rPr>
          <w:sz w:val="20"/>
        </w:rPr>
        <w:t xml:space="preserve">, CG Docket No. 05-338 (filed Apr. 30, 2015) (Insight Petition); </w:t>
      </w:r>
      <w:r w:rsidR="00DB263B" w:rsidRPr="00511E40">
        <w:rPr>
          <w:i/>
          <w:sz w:val="20"/>
        </w:rPr>
        <w:t>Petition of McAllister Software Systems, LLC for Retroactive Waiver of 47 C.F.R. § 64.1200(a)(4)(iv)</w:t>
      </w:r>
      <w:r w:rsidR="00DB263B">
        <w:rPr>
          <w:sz w:val="20"/>
        </w:rPr>
        <w:t xml:space="preserve">, CG Docket Nos. 02-278, 05-338 (filed Apr. 30, 2015) (McAllister Petition); </w:t>
      </w:r>
      <w:r w:rsidR="00DB263B" w:rsidRPr="00511E40">
        <w:rPr>
          <w:i/>
          <w:sz w:val="20"/>
        </w:rPr>
        <w:t>Petition of Dental Resource Systems, Inc., et al. for Retroactive Waiver of 47 C.F.R. § 64.1200(a)(4)(iv)</w:t>
      </w:r>
      <w:r w:rsidR="00DB263B">
        <w:rPr>
          <w:sz w:val="20"/>
        </w:rPr>
        <w:t xml:space="preserve">, CG Docket Nos. 02-278, 05-338 (filed Apr. 30, 2015) (DRS Petition); </w:t>
      </w:r>
      <w:r w:rsidR="00D044E8" w:rsidRPr="00511E40">
        <w:rPr>
          <w:i/>
          <w:sz w:val="20"/>
        </w:rPr>
        <w:t>Petition of Management Information Technology Corp., et al. for Retroactive Waiver of 47 C.F.R. § 64.1200(a)(4)(iv)</w:t>
      </w:r>
      <w:r w:rsidR="00D044E8">
        <w:rPr>
          <w:sz w:val="20"/>
        </w:rPr>
        <w:t xml:space="preserve">, CG Docket Nos. 02-278, 05-338 (filed Apr. 30, 2015) (MITC Petition); </w:t>
      </w:r>
      <w:r w:rsidR="00D044E8" w:rsidRPr="00511E40">
        <w:rPr>
          <w:i/>
          <w:sz w:val="20"/>
        </w:rPr>
        <w:t>Petition of Hoffman Pizza, Inc. and Glen Spiegler for Retroactive Waiver of 47 C.F.R. § 1200(a)(4)(iv)</w:t>
      </w:r>
      <w:r w:rsidR="00D044E8">
        <w:rPr>
          <w:sz w:val="20"/>
        </w:rPr>
        <w:t>, CG Docket Nos. 02-278, 05-338 (filed Apr. 30, 2015) (Hoffman Petition</w:t>
      </w:r>
      <w:r w:rsidR="00D044E8" w:rsidRPr="00511E40">
        <w:rPr>
          <w:i/>
          <w:sz w:val="20"/>
        </w:rPr>
        <w:t>); Petition of American Capital Croup and Carl Heaton for Retroactive Waiver of 47 C.F.R. § 64.1200(a)(4)(iv)</w:t>
      </w:r>
      <w:r w:rsidR="00D044E8">
        <w:rPr>
          <w:sz w:val="20"/>
        </w:rPr>
        <w:t xml:space="preserve">, CG Docket Nos. 02-278, 05-338 (filed Apr. 30, 2015) (ACG Petition); </w:t>
      </w:r>
      <w:r w:rsidR="00D01241" w:rsidRPr="00511E40">
        <w:rPr>
          <w:i/>
          <w:sz w:val="20"/>
        </w:rPr>
        <w:t>Petition of Websolv Computing, Inc. and Uday Om Ali Pabrai for Retroactive Waiver of 47 C.F.R. § 64.1200(a)(4)(iv)</w:t>
      </w:r>
      <w:r w:rsidR="00D01241">
        <w:rPr>
          <w:sz w:val="20"/>
        </w:rPr>
        <w:t xml:space="preserve">, CG Docket Nos. 02-278, 05-338 (filed Apr. 30, 2015) (Websolv Petition); </w:t>
      </w:r>
      <w:r w:rsidR="00D01241" w:rsidRPr="00511E40">
        <w:rPr>
          <w:i/>
          <w:sz w:val="20"/>
        </w:rPr>
        <w:t>Petition of Trinity Physician Financial &amp; Insurance Services and Joseph Hong for Retroactive Waiver of 47 C.F.R. § 64.1200(a)(4)(iv)</w:t>
      </w:r>
      <w:r w:rsidR="00D01241">
        <w:rPr>
          <w:sz w:val="20"/>
        </w:rPr>
        <w:t xml:space="preserve">, CG Docket Nos. 02-278, 05-338 (filed Apr. 30, 2015) (Trinity Petition); </w:t>
      </w:r>
      <w:r w:rsidR="00D01241" w:rsidRPr="00511E40">
        <w:rPr>
          <w:i/>
          <w:sz w:val="20"/>
        </w:rPr>
        <w:t>Petition of C&amp;T Pizza, et al. for Retroactive Waiver of 47 C.F.R. § 64.1200(a)(4)(iv)</w:t>
      </w:r>
      <w:r w:rsidR="00D01241">
        <w:rPr>
          <w:sz w:val="20"/>
        </w:rPr>
        <w:t xml:space="preserve">, CG Docket Nos. 02-278, 05-338 (filed Apr. 30, 2015) (C&amp;T Petition); </w:t>
      </w:r>
      <w:r w:rsidR="00D01241" w:rsidRPr="00511E40">
        <w:rPr>
          <w:i/>
          <w:sz w:val="20"/>
        </w:rPr>
        <w:t>Petition of Stryker Lubricant Distributors, Inc. for Retroactive Waiver of 47 C.F.R. § 64.1200(a)(4)(iv)</w:t>
      </w:r>
      <w:r w:rsidR="00D01241">
        <w:rPr>
          <w:sz w:val="20"/>
        </w:rPr>
        <w:t xml:space="preserve">, CG Docket Nos. 02-278, 05-338 (filed Apr. 30, 2015) (Stryker Petition); </w:t>
      </w:r>
      <w:r w:rsidR="00D01241" w:rsidRPr="00511E40">
        <w:rPr>
          <w:i/>
          <w:sz w:val="20"/>
        </w:rPr>
        <w:t>Petition of Zydus Pharmaceuticals (USA), Inc. for Retroactive Waiver of 47 C.F.R. § 64.1200(a)(4)(iv)</w:t>
      </w:r>
      <w:r w:rsidR="00D01241">
        <w:rPr>
          <w:sz w:val="20"/>
        </w:rPr>
        <w:t xml:space="preserve">, CG Docket Nos. 02-278, 05-338 (filed Apr. 30, 2015) (Zydus Petition); </w:t>
      </w:r>
      <w:r w:rsidR="00511E40" w:rsidRPr="00511E40">
        <w:rPr>
          <w:i/>
          <w:sz w:val="20"/>
        </w:rPr>
        <w:t>Petition of Rehab Missouri, LLC d/b/a Rehab Xcel, et al. for Retroactive Waiver of 47 C.F.R. § 64.1200(a)(4)(iv)</w:t>
      </w:r>
      <w:r w:rsidR="00511E40">
        <w:rPr>
          <w:sz w:val="20"/>
        </w:rPr>
        <w:t xml:space="preserve">, CG Docket Nos. 02-278, 05-338 (filed Apr. 30, 2015) (Rehab Petition); </w:t>
      </w:r>
      <w:r w:rsidR="00D01241">
        <w:rPr>
          <w:sz w:val="20"/>
        </w:rPr>
        <w:t xml:space="preserve"> </w:t>
      </w:r>
      <w:r w:rsidR="00511E40" w:rsidRPr="00511E40">
        <w:rPr>
          <w:i/>
          <w:sz w:val="20"/>
        </w:rPr>
        <w:t>Petition of Business Financial Services, Inc. for Retroactive Waiver of 47 C.F.R. § 64.1200(a)(4)(iv)</w:t>
      </w:r>
      <w:r w:rsidR="00511E40">
        <w:rPr>
          <w:sz w:val="20"/>
        </w:rPr>
        <w:t xml:space="preserve">, CG Docket Nos. 02-278, 05-338 (filed Apr. 30, 2015) (BFS Petition); </w:t>
      </w:r>
      <w:r w:rsidR="00511E40" w:rsidRPr="00511E40">
        <w:rPr>
          <w:i/>
          <w:sz w:val="20"/>
        </w:rPr>
        <w:t>Petition of Key Health Group, Inc., et al. for Waiver</w:t>
      </w:r>
      <w:r w:rsidR="00511E40">
        <w:rPr>
          <w:sz w:val="20"/>
        </w:rPr>
        <w:t xml:space="preserve">, CG Docket Nos. 02-278, 05-338 (filed Apr. 30, 2015) (Key Petition)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rsidR="00F81988" w:rsidRPr="007512B4" w:rsidRDefault="00F81988" w:rsidP="001E68FC">
      <w:pPr>
        <w:rPr>
          <w:sz w:val="20"/>
        </w:rPr>
      </w:pPr>
    </w:p>
  </w:footnote>
  <w:footnote w:id="3">
    <w:p w:rsidR="003F485F" w:rsidRPr="00E92F55" w:rsidRDefault="003F485F">
      <w:pPr>
        <w:pStyle w:val="FootnoteText"/>
        <w:rPr>
          <w:sz w:val="20"/>
        </w:rPr>
      </w:pPr>
      <w:r w:rsidRPr="007512B4">
        <w:rPr>
          <w:rStyle w:val="FootnoteReference"/>
          <w:sz w:val="20"/>
        </w:rPr>
        <w:footnoteRef/>
      </w:r>
      <w:r w:rsidR="00370DD3" w:rsidRPr="007512B4">
        <w:rPr>
          <w:sz w:val="20"/>
        </w:rPr>
        <w:t xml:space="preserve"> </w:t>
      </w:r>
      <w:r w:rsidR="00370DD3" w:rsidRPr="00F62FFB">
        <w:rPr>
          <w:i/>
          <w:sz w:val="20"/>
        </w:rPr>
        <w:t>See</w:t>
      </w:r>
      <w:r w:rsidR="00F91023">
        <w:rPr>
          <w:sz w:val="20"/>
        </w:rPr>
        <w:t xml:space="preserve"> </w:t>
      </w:r>
      <w:r w:rsidR="00C909E6">
        <w:rPr>
          <w:sz w:val="20"/>
        </w:rPr>
        <w:t xml:space="preserve">Consumer Energy Petition at 3; Practice Recruiters Petition at 2; </w:t>
      </w:r>
      <w:r w:rsidR="008D0DA6">
        <w:rPr>
          <w:sz w:val="20"/>
        </w:rPr>
        <w:t xml:space="preserve">IPS Petition at 5-6; American Health Petition at </w:t>
      </w:r>
      <w:r w:rsidR="00E85925">
        <w:rPr>
          <w:sz w:val="20"/>
        </w:rPr>
        <w:t xml:space="preserve">4; Virtuox Petition at </w:t>
      </w:r>
      <w:r w:rsidR="00285306">
        <w:rPr>
          <w:sz w:val="20"/>
        </w:rPr>
        <w:t xml:space="preserve">5-6; FCS Petition at </w:t>
      </w:r>
      <w:r w:rsidR="00EB195F">
        <w:rPr>
          <w:sz w:val="20"/>
        </w:rPr>
        <w:t xml:space="preserve">6; Nomax Petition at </w:t>
      </w:r>
      <w:r w:rsidR="00A3799A">
        <w:rPr>
          <w:sz w:val="20"/>
        </w:rPr>
        <w:t xml:space="preserve">3; Heska Petition at </w:t>
      </w:r>
      <w:r w:rsidR="00E86E11">
        <w:rPr>
          <w:sz w:val="20"/>
        </w:rPr>
        <w:t xml:space="preserve">3; Odyssey Petition at </w:t>
      </w:r>
      <w:r w:rsidR="00CF1025">
        <w:rPr>
          <w:sz w:val="20"/>
        </w:rPr>
        <w:t xml:space="preserve"> 8;</w:t>
      </w:r>
      <w:r w:rsidR="00845759">
        <w:rPr>
          <w:sz w:val="20"/>
        </w:rPr>
        <w:t xml:space="preserve"> GE Healthcare Petition at 3: AP&amp;G Petition at 4</w:t>
      </w:r>
      <w:r w:rsidR="00EC6917">
        <w:rPr>
          <w:sz w:val="20"/>
        </w:rPr>
        <w:t>; Competitive Health Petition at 4; Geier Petition at 4</w:t>
      </w:r>
      <w:r w:rsidR="000364EB">
        <w:rPr>
          <w:sz w:val="20"/>
        </w:rPr>
        <w:t xml:space="preserve">; Kaberline Petition at 3; Logistic Petition at </w:t>
      </w:r>
      <w:r w:rsidR="00C61EE8">
        <w:rPr>
          <w:sz w:val="20"/>
        </w:rPr>
        <w:t xml:space="preserve">5; CCI Petition at </w:t>
      </w:r>
      <w:r w:rsidR="005E526E">
        <w:rPr>
          <w:sz w:val="20"/>
        </w:rPr>
        <w:t xml:space="preserve">5;Saratoga Petition at </w:t>
      </w:r>
      <w:r w:rsidR="0021500C">
        <w:rPr>
          <w:sz w:val="20"/>
        </w:rPr>
        <w:t>5-6, 7; Royal Canin Petition</w:t>
      </w:r>
      <w:r w:rsidR="00CB73A9">
        <w:rPr>
          <w:sz w:val="20"/>
        </w:rPr>
        <w:t xml:space="preserve"> at 5-6</w:t>
      </w:r>
      <w:r w:rsidR="0021500C">
        <w:rPr>
          <w:sz w:val="20"/>
        </w:rPr>
        <w:t xml:space="preserve">; </w:t>
      </w:r>
      <w:r w:rsidR="00CB73A9">
        <w:rPr>
          <w:sz w:val="20"/>
        </w:rPr>
        <w:t xml:space="preserve">Salix Petition at 3; Cephalon Petition at </w:t>
      </w:r>
      <w:r w:rsidR="00534519">
        <w:rPr>
          <w:sz w:val="20"/>
        </w:rPr>
        <w:t xml:space="preserve">7; </w:t>
      </w:r>
      <w:r w:rsidR="00131D0A">
        <w:rPr>
          <w:sz w:val="20"/>
        </w:rPr>
        <w:t xml:space="preserve">Five-M Petition at </w:t>
      </w:r>
      <w:r w:rsidR="00905F05">
        <w:rPr>
          <w:sz w:val="20"/>
        </w:rPr>
        <w:t>3</w:t>
      </w:r>
      <w:r w:rsidR="00131D0A">
        <w:rPr>
          <w:sz w:val="20"/>
        </w:rPr>
        <w:t xml:space="preserve">; </w:t>
      </w:r>
      <w:r w:rsidR="00534519">
        <w:rPr>
          <w:sz w:val="20"/>
        </w:rPr>
        <w:t xml:space="preserve">Valeant Petition at </w:t>
      </w:r>
      <w:r w:rsidR="00B8464B">
        <w:rPr>
          <w:sz w:val="20"/>
        </w:rPr>
        <w:t xml:space="preserve">5; Navinet Petition at 5; First Index Petition at </w:t>
      </w:r>
      <w:r w:rsidR="00B9023F">
        <w:rPr>
          <w:sz w:val="20"/>
        </w:rPr>
        <w:t xml:space="preserve">5; IPM Petition at </w:t>
      </w:r>
      <w:r w:rsidR="00845D76">
        <w:rPr>
          <w:sz w:val="20"/>
        </w:rPr>
        <w:t xml:space="preserve">5; EFS Petition at </w:t>
      </w:r>
      <w:r w:rsidR="00EF5DBE">
        <w:rPr>
          <w:sz w:val="20"/>
        </w:rPr>
        <w:t xml:space="preserve">3; Truckers Petition at </w:t>
      </w:r>
      <w:r w:rsidR="003C1C38">
        <w:rPr>
          <w:sz w:val="20"/>
        </w:rPr>
        <w:t xml:space="preserve">3; Graduation Petition at </w:t>
      </w:r>
      <w:r w:rsidR="00CE0270">
        <w:rPr>
          <w:sz w:val="20"/>
        </w:rPr>
        <w:t xml:space="preserve">6; Homepatient Petition at 5; Intnt’l Dental Petition at </w:t>
      </w:r>
      <w:r w:rsidR="00012700">
        <w:rPr>
          <w:sz w:val="20"/>
        </w:rPr>
        <w:t>5</w:t>
      </w:r>
      <w:r w:rsidR="009B5B76">
        <w:rPr>
          <w:sz w:val="20"/>
        </w:rPr>
        <w:t xml:space="preserve">; EEI Petition at </w:t>
      </w:r>
      <w:r w:rsidR="000A4A1A">
        <w:rPr>
          <w:sz w:val="20"/>
        </w:rPr>
        <w:t>2-3; Versa Petition at 3</w:t>
      </w:r>
      <w:r w:rsidR="00846DA3">
        <w:rPr>
          <w:sz w:val="20"/>
        </w:rPr>
        <w:t>-</w:t>
      </w:r>
      <w:r w:rsidR="000A4A1A">
        <w:rPr>
          <w:sz w:val="20"/>
        </w:rPr>
        <w:t xml:space="preserve">4; Wells Fargo Petition at 3-4; ChappellRoberts Petition at </w:t>
      </w:r>
      <w:r w:rsidR="000B1401">
        <w:rPr>
          <w:sz w:val="20"/>
        </w:rPr>
        <w:t xml:space="preserve">6; UBM Petition at </w:t>
      </w:r>
      <w:r w:rsidR="00470578">
        <w:rPr>
          <w:sz w:val="20"/>
        </w:rPr>
        <w:t xml:space="preserve">5; Direct Energy Petition at 2, 4; Smith Petition at </w:t>
      </w:r>
      <w:r w:rsidR="00914FA3">
        <w:rPr>
          <w:sz w:val="20"/>
        </w:rPr>
        <w:t xml:space="preserve">5; Microwize Petition at 3-4, 6; MedTech Petition at </w:t>
      </w:r>
      <w:r w:rsidR="0090775D">
        <w:rPr>
          <w:sz w:val="20"/>
        </w:rPr>
        <w:t xml:space="preserve">6; Ontario Petition at 5-6; Greenway Petition at </w:t>
      </w:r>
      <w:r w:rsidR="000E326F">
        <w:rPr>
          <w:sz w:val="20"/>
        </w:rPr>
        <w:t xml:space="preserve">3-4; CVS Petition at 4-5; FCEA Petition at </w:t>
      </w:r>
      <w:r w:rsidR="006814EA">
        <w:rPr>
          <w:sz w:val="20"/>
        </w:rPr>
        <w:t xml:space="preserve">4; Sinopec Petition at </w:t>
      </w:r>
      <w:r w:rsidR="001E2AE6">
        <w:rPr>
          <w:sz w:val="20"/>
        </w:rPr>
        <w:t xml:space="preserve">4; Schein Petition at </w:t>
      </w:r>
      <w:r w:rsidR="005937DE">
        <w:rPr>
          <w:sz w:val="20"/>
        </w:rPr>
        <w:t xml:space="preserve">3; Be-Thin Petition at </w:t>
      </w:r>
      <w:r w:rsidR="00443902">
        <w:rPr>
          <w:sz w:val="20"/>
        </w:rPr>
        <w:t xml:space="preserve">5-6; DIH Petition at </w:t>
      </w:r>
      <w:r w:rsidR="00A50249">
        <w:rPr>
          <w:sz w:val="20"/>
        </w:rPr>
        <w:t xml:space="preserve">4-5, 7; Insight Petition at </w:t>
      </w:r>
      <w:r w:rsidR="00EB6F29">
        <w:rPr>
          <w:sz w:val="20"/>
        </w:rPr>
        <w:t xml:space="preserve">4-5, 7; McAllister Petition at 3; DRS Petition at </w:t>
      </w:r>
      <w:r w:rsidR="00D0014F">
        <w:rPr>
          <w:sz w:val="20"/>
        </w:rPr>
        <w:t xml:space="preserve">3-4; MITC Petition at 3-4; Hoffman Petition at 3-4; ACG Petition at 3-4; Websolv Petition at 3-4; Trinity Petition at 3-4; C&amp;T Petition at 3-4; Stryker Petition at </w:t>
      </w:r>
      <w:r w:rsidR="00684CA7">
        <w:rPr>
          <w:sz w:val="20"/>
        </w:rPr>
        <w:t xml:space="preserve">5; Zydus Petition at 4; Rehab Petition at </w:t>
      </w:r>
      <w:r w:rsidR="00F91ECB">
        <w:rPr>
          <w:sz w:val="20"/>
        </w:rPr>
        <w:t>4; BFS Petition at 4-5; Key Petition at 3-4.</w:t>
      </w:r>
    </w:p>
  </w:footnote>
  <w:footnote w:id="4">
    <w:p w:rsidR="0009564A" w:rsidRPr="007512B4" w:rsidRDefault="0009564A">
      <w:pPr>
        <w:pStyle w:val="FootnoteText"/>
        <w:rPr>
          <w:sz w:val="20"/>
        </w:rPr>
      </w:pPr>
      <w:r w:rsidRPr="007512B4">
        <w:rPr>
          <w:rStyle w:val="FootnoteReference"/>
          <w:sz w:val="20"/>
        </w:rPr>
        <w:footnoteRef/>
      </w:r>
      <w:r w:rsidRPr="007512B4">
        <w:rPr>
          <w:sz w:val="20"/>
        </w:rPr>
        <w:t xml:space="preserve"> </w:t>
      </w:r>
      <w:r w:rsidRPr="007512B4">
        <w:rPr>
          <w:i/>
          <w:sz w:val="20"/>
        </w:rPr>
        <w:t>See, e.g.</w:t>
      </w:r>
      <w:r w:rsidR="00E92F55">
        <w:rPr>
          <w:i/>
          <w:sz w:val="20"/>
        </w:rPr>
        <w:t xml:space="preserve"> </w:t>
      </w:r>
      <w:r w:rsidR="002A5AAC">
        <w:rPr>
          <w:sz w:val="20"/>
        </w:rPr>
        <w:t>Consumer Energy Petition at 3;</w:t>
      </w:r>
      <w:r w:rsidR="00C909E6">
        <w:rPr>
          <w:sz w:val="20"/>
        </w:rPr>
        <w:t xml:space="preserve">Practice Recruiters Petition at 3; </w:t>
      </w:r>
      <w:r w:rsidR="008D0DA6">
        <w:rPr>
          <w:sz w:val="20"/>
        </w:rPr>
        <w:t xml:space="preserve">IPS Petition at 6; American Health Petition at </w:t>
      </w:r>
      <w:r w:rsidR="00E85925">
        <w:rPr>
          <w:sz w:val="20"/>
        </w:rPr>
        <w:t xml:space="preserve">4; Virtuox Petition at </w:t>
      </w:r>
      <w:r w:rsidR="00285306">
        <w:rPr>
          <w:sz w:val="20"/>
        </w:rPr>
        <w:t xml:space="preserve">5-6; FCS Petition at </w:t>
      </w:r>
      <w:r w:rsidR="00EB195F">
        <w:rPr>
          <w:sz w:val="20"/>
        </w:rPr>
        <w:t xml:space="preserve">6; Nomax Petition at </w:t>
      </w:r>
      <w:r w:rsidR="00A3799A">
        <w:rPr>
          <w:sz w:val="20"/>
        </w:rPr>
        <w:t xml:space="preserve">1; Heska Petition at </w:t>
      </w:r>
      <w:r w:rsidR="00E86E11">
        <w:rPr>
          <w:sz w:val="20"/>
        </w:rPr>
        <w:t xml:space="preserve">3; Odyssey Petition at </w:t>
      </w:r>
      <w:r w:rsidR="00CF1025">
        <w:rPr>
          <w:sz w:val="20"/>
        </w:rPr>
        <w:t xml:space="preserve">5, 6; GE Healthcare Petition at </w:t>
      </w:r>
      <w:r w:rsidR="00845759">
        <w:rPr>
          <w:sz w:val="20"/>
        </w:rPr>
        <w:t xml:space="preserve">3; AP&amp;G Petition at </w:t>
      </w:r>
      <w:r w:rsidR="00EC6917">
        <w:rPr>
          <w:sz w:val="20"/>
        </w:rPr>
        <w:t xml:space="preserve">4; Competitive Health Petition at 2; Geier Petition at </w:t>
      </w:r>
      <w:r w:rsidR="000364EB">
        <w:rPr>
          <w:sz w:val="20"/>
        </w:rPr>
        <w:t xml:space="preserve">6; Kaberline Petition at 5; Logistic Petition at </w:t>
      </w:r>
      <w:r w:rsidR="00C61EE8">
        <w:rPr>
          <w:sz w:val="20"/>
        </w:rPr>
        <w:t>1; CCI Petition</w:t>
      </w:r>
      <w:r w:rsidR="005E526E">
        <w:rPr>
          <w:sz w:val="20"/>
        </w:rPr>
        <w:t xml:space="preserve"> at 2; Saratoga Petition at </w:t>
      </w:r>
      <w:r w:rsidR="0021500C">
        <w:rPr>
          <w:sz w:val="20"/>
        </w:rPr>
        <w:t>10; Royal Canin Petition</w:t>
      </w:r>
      <w:r w:rsidR="00CB73A9">
        <w:rPr>
          <w:sz w:val="20"/>
        </w:rPr>
        <w:t xml:space="preserve"> at 5-6; Salix Petition at 3; Cephalon Petition at </w:t>
      </w:r>
      <w:r w:rsidR="00534519">
        <w:rPr>
          <w:sz w:val="20"/>
        </w:rPr>
        <w:t xml:space="preserve">9; </w:t>
      </w:r>
      <w:r w:rsidR="00131D0A">
        <w:rPr>
          <w:sz w:val="20"/>
        </w:rPr>
        <w:t xml:space="preserve">Five-M Petition at </w:t>
      </w:r>
      <w:r w:rsidR="00905F05">
        <w:rPr>
          <w:sz w:val="20"/>
        </w:rPr>
        <w:t>4</w:t>
      </w:r>
      <w:r w:rsidR="00131D0A">
        <w:rPr>
          <w:sz w:val="20"/>
        </w:rPr>
        <w:t xml:space="preserve">; </w:t>
      </w:r>
      <w:r w:rsidR="00534519">
        <w:rPr>
          <w:sz w:val="20"/>
        </w:rPr>
        <w:t xml:space="preserve">Valeant Petition at </w:t>
      </w:r>
      <w:r w:rsidR="00B8464B">
        <w:rPr>
          <w:sz w:val="20"/>
        </w:rPr>
        <w:t xml:space="preserve">5; Navinet Petition at 5; First Index Petition at </w:t>
      </w:r>
      <w:r w:rsidR="00B9023F">
        <w:rPr>
          <w:sz w:val="20"/>
        </w:rPr>
        <w:t xml:space="preserve">5; IPM Petition at </w:t>
      </w:r>
      <w:r w:rsidR="00845D76">
        <w:rPr>
          <w:sz w:val="20"/>
        </w:rPr>
        <w:t xml:space="preserve">4-5; EFS Petition at </w:t>
      </w:r>
      <w:r w:rsidR="00EF5DBE">
        <w:rPr>
          <w:sz w:val="20"/>
        </w:rPr>
        <w:t xml:space="preserve">4; Truckers Petition at </w:t>
      </w:r>
      <w:r w:rsidR="003C1C38">
        <w:rPr>
          <w:sz w:val="20"/>
        </w:rPr>
        <w:t xml:space="preserve">3; Graduation Petition at </w:t>
      </w:r>
      <w:r w:rsidR="00CE0270">
        <w:rPr>
          <w:sz w:val="20"/>
        </w:rPr>
        <w:t xml:space="preserve">5, 8; </w:t>
      </w:r>
      <w:r w:rsidR="00EF5DBE">
        <w:rPr>
          <w:sz w:val="20"/>
        </w:rPr>
        <w:t xml:space="preserve"> </w:t>
      </w:r>
      <w:r w:rsidR="00CE0270">
        <w:rPr>
          <w:sz w:val="20"/>
        </w:rPr>
        <w:t xml:space="preserve">Homepatient Petition at 4-5; Intnt’l Dental Petition at </w:t>
      </w:r>
      <w:r w:rsidR="00012700">
        <w:rPr>
          <w:sz w:val="20"/>
        </w:rPr>
        <w:t>4</w:t>
      </w:r>
      <w:r w:rsidR="009B5B76">
        <w:rPr>
          <w:sz w:val="20"/>
        </w:rPr>
        <w:t xml:space="preserve">; EEI Petition at </w:t>
      </w:r>
      <w:r w:rsidR="000A4A1A">
        <w:rPr>
          <w:sz w:val="20"/>
        </w:rPr>
        <w:t xml:space="preserve">2-3; Versa Petition at 3; Wells Fargo Petition at  3-4; ChappellRoberts Petition at </w:t>
      </w:r>
      <w:r w:rsidR="000B1401">
        <w:rPr>
          <w:sz w:val="20"/>
        </w:rPr>
        <w:t xml:space="preserve">7-8; UBM Petition at </w:t>
      </w:r>
      <w:r w:rsidR="00470578">
        <w:rPr>
          <w:sz w:val="20"/>
        </w:rPr>
        <w:t>5; Direct Energy Petition at 2; Smith Petition at</w:t>
      </w:r>
      <w:r w:rsidR="00914FA3">
        <w:rPr>
          <w:sz w:val="20"/>
        </w:rPr>
        <w:t xml:space="preserve"> 5; Microwize Petition at </w:t>
      </w:r>
      <w:r w:rsidR="00470578">
        <w:rPr>
          <w:sz w:val="20"/>
        </w:rPr>
        <w:t xml:space="preserve"> </w:t>
      </w:r>
      <w:r w:rsidR="00914FA3">
        <w:rPr>
          <w:sz w:val="20"/>
        </w:rPr>
        <w:t xml:space="preserve">6; MedTech Petition at </w:t>
      </w:r>
      <w:r w:rsidR="0090775D">
        <w:rPr>
          <w:sz w:val="20"/>
        </w:rPr>
        <w:t xml:space="preserve">2; Ontario Petition at 2, 5; Greenway Petition at </w:t>
      </w:r>
      <w:r w:rsidR="000E326F">
        <w:rPr>
          <w:sz w:val="20"/>
        </w:rPr>
        <w:t xml:space="preserve">1; CVS Petition at 4; FCEA Petition at </w:t>
      </w:r>
      <w:r w:rsidR="006814EA">
        <w:rPr>
          <w:sz w:val="20"/>
        </w:rPr>
        <w:t xml:space="preserve">6; Sinopec Petition at </w:t>
      </w:r>
      <w:r w:rsidR="001E2AE6">
        <w:rPr>
          <w:sz w:val="20"/>
        </w:rPr>
        <w:t xml:space="preserve">3; Schein Petition at </w:t>
      </w:r>
      <w:r w:rsidR="005937DE">
        <w:rPr>
          <w:sz w:val="20"/>
        </w:rPr>
        <w:t xml:space="preserve">3; Be-Thin Petition at </w:t>
      </w:r>
      <w:r w:rsidR="0057720D">
        <w:rPr>
          <w:sz w:val="20"/>
        </w:rPr>
        <w:t>2</w:t>
      </w:r>
      <w:r w:rsidR="00443902">
        <w:rPr>
          <w:sz w:val="20"/>
        </w:rPr>
        <w:t>;</w:t>
      </w:r>
      <w:r w:rsidR="00846DA3">
        <w:rPr>
          <w:sz w:val="20"/>
        </w:rPr>
        <w:t xml:space="preserve"> </w:t>
      </w:r>
      <w:r w:rsidR="00443902">
        <w:rPr>
          <w:sz w:val="20"/>
        </w:rPr>
        <w:t xml:space="preserve">DIH Petition at </w:t>
      </w:r>
      <w:r w:rsidR="00A50249">
        <w:rPr>
          <w:sz w:val="20"/>
        </w:rPr>
        <w:t xml:space="preserve">7; Insight Petition at </w:t>
      </w:r>
      <w:r w:rsidR="00EB6F29">
        <w:rPr>
          <w:sz w:val="20"/>
        </w:rPr>
        <w:t xml:space="preserve">7; McAllister Petition at 3-4; DRS Petition at </w:t>
      </w:r>
      <w:r w:rsidR="00D0014F">
        <w:rPr>
          <w:sz w:val="20"/>
        </w:rPr>
        <w:t xml:space="preserve">3-4; MITC Petition at 3; Hoffman Petition at 3; ACG Petition at 3; Websolv Petition at 3; Trinity Petition at 3; C&amp;T Petition at 3; Stryker Petition at </w:t>
      </w:r>
      <w:r w:rsidR="00684CA7">
        <w:rPr>
          <w:sz w:val="20"/>
        </w:rPr>
        <w:t xml:space="preserve">4; Zydus Petition at 4; Rehab Petition at </w:t>
      </w:r>
      <w:r w:rsidR="00F91ECB">
        <w:rPr>
          <w:sz w:val="20"/>
        </w:rPr>
        <w:t>4; BFS Petition at 1, 3; Key Petition at 3-4</w:t>
      </w:r>
      <w:r w:rsidR="00D80777">
        <w:rPr>
          <w:sz w:val="20"/>
        </w:rPr>
        <w:t>;</w:t>
      </w:r>
      <w:r w:rsidR="00AF7C67">
        <w:rPr>
          <w:sz w:val="20"/>
        </w:rPr>
        <w:t xml:space="preserve"> </w:t>
      </w:r>
      <w:r w:rsidR="00EB49D8" w:rsidRPr="001A1944">
        <w:rPr>
          <w:i/>
          <w:sz w:val="20"/>
        </w:rPr>
        <w:t>Petition for Declaratory Ruling, Waiver, and/or Rulemaking Regarding the Commission’s Opt-Out Requirement for Faxes Sent with the Recipient’s Prior Express Permission</w:t>
      </w:r>
      <w:r w:rsidR="00EB49D8" w:rsidRPr="001A1944">
        <w:rPr>
          <w:sz w:val="20"/>
        </w:rPr>
        <w:t>, CG Docket Nos. 02-278, 05-338, Order, FCC 14-164</w:t>
      </w:r>
      <w:r w:rsidR="002349E9">
        <w:rPr>
          <w:sz w:val="20"/>
        </w:rPr>
        <w:t xml:space="preserve">, </w:t>
      </w:r>
      <w:r w:rsidR="002349E9" w:rsidRPr="007512B4">
        <w:rPr>
          <w:sz w:val="20"/>
        </w:rPr>
        <w:t>paras. 2</w:t>
      </w:r>
      <w:r w:rsidR="002349E9">
        <w:rPr>
          <w:sz w:val="20"/>
        </w:rPr>
        <w:t>2-31</w:t>
      </w:r>
      <w:r w:rsidR="00EB49D8" w:rsidRPr="001A1944">
        <w:rPr>
          <w:sz w:val="20"/>
        </w:rPr>
        <w:t xml:space="preserve"> (rel. Oct. 30, 2014) (</w:t>
      </w:r>
      <w:r w:rsidR="00EB49D8" w:rsidRPr="001A1944">
        <w:rPr>
          <w:i/>
          <w:sz w:val="20"/>
        </w:rPr>
        <w:t>Anda Order</w:t>
      </w:r>
      <w:r w:rsidR="00EB49D8" w:rsidRPr="001A1944">
        <w:rPr>
          <w:sz w:val="20"/>
        </w:rPr>
        <w:t>)</w:t>
      </w:r>
      <w:r w:rsidR="00F551BD" w:rsidRPr="007512B4">
        <w:rPr>
          <w:sz w:val="20"/>
        </w:rPr>
        <w:t>.</w:t>
      </w:r>
    </w:p>
  </w:footnote>
  <w:footnote w:id="5">
    <w:p w:rsidR="00404AC2" w:rsidRPr="00EF45EA" w:rsidRDefault="00404AC2">
      <w:pPr>
        <w:pStyle w:val="FootnoteText"/>
        <w:rPr>
          <w:sz w:val="20"/>
        </w:rPr>
      </w:pPr>
      <w:r w:rsidRPr="007512B4">
        <w:rPr>
          <w:rStyle w:val="FootnoteReference"/>
          <w:sz w:val="20"/>
        </w:rPr>
        <w:footnoteRef/>
      </w:r>
      <w:r w:rsidRPr="007512B4">
        <w:rPr>
          <w:sz w:val="20"/>
        </w:rPr>
        <w:t xml:space="preserve"> </w:t>
      </w:r>
      <w:r w:rsidR="00A63B07" w:rsidRPr="00A63B07">
        <w:rPr>
          <w:i/>
          <w:sz w:val="20"/>
        </w:rPr>
        <w:t>See</w:t>
      </w:r>
      <w:r w:rsidR="00A63B07">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6">
    <w:p w:rsidR="0014052B" w:rsidRPr="007512B4" w:rsidRDefault="0014052B">
      <w:pPr>
        <w:pStyle w:val="FootnoteText"/>
        <w:rPr>
          <w:sz w:val="20"/>
        </w:rPr>
      </w:pPr>
      <w:r w:rsidRPr="007512B4">
        <w:rPr>
          <w:rStyle w:val="FootnoteReference"/>
          <w:sz w:val="20"/>
        </w:rPr>
        <w:footnoteRef/>
      </w:r>
      <w:r w:rsidRPr="007512B4">
        <w:rPr>
          <w:sz w:val="20"/>
        </w:rPr>
        <w:t xml:space="preserve"> </w:t>
      </w:r>
      <w:r w:rsidR="00A63B07">
        <w:rPr>
          <w:i/>
          <w:sz w:val="20"/>
        </w:rPr>
        <w:t>See id.</w:t>
      </w:r>
      <w:r w:rsidR="009828F2">
        <w:rPr>
          <w:sz w:val="20"/>
        </w:rPr>
        <w:t xml:space="preserve"> at para. 22</w:t>
      </w:r>
      <w:r w:rsidRPr="007512B4">
        <w:rPr>
          <w:sz w:val="20"/>
        </w:rPr>
        <w:t>.</w:t>
      </w:r>
    </w:p>
  </w:footnote>
  <w:footnote w:id="7">
    <w:p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F" w:rsidRDefault="00F53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F" w:rsidRDefault="00F53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Pr="007C068D" w:rsidRDefault="007C068D">
    <w:pPr>
      <w:pStyle w:val="Header"/>
      <w:tabs>
        <w:tab w:val="clear" w:pos="4320"/>
        <w:tab w:val="clear" w:pos="8640"/>
      </w:tabs>
      <w:spacing w:before="40"/>
      <w:ind w:firstLine="1080"/>
      <w:rPr>
        <w:b/>
        <w:kern w:val="28"/>
        <w:sz w:val="96"/>
      </w:rPr>
    </w:pPr>
    <w:r w:rsidRPr="007C068D">
      <w:rPr>
        <w:b/>
        <w:kern w:val="28"/>
        <w:sz w:val="96"/>
      </w:rPr>
      <w:t xml:space="preserve">PUBLIC NOTICE </w:t>
    </w:r>
    <w:r w:rsidR="003F485F" w:rsidRPr="007C068D">
      <w:rPr>
        <w:b/>
        <w:noProof/>
        <w:sz w:val="24"/>
      </w:rPr>
      <w:drawing>
        <wp:anchor distT="0" distB="0" distL="114300" distR="114300" simplePos="0" relativeHeight="251659264" behindDoc="0" locked="0" layoutInCell="0" allowOverlap="1" wp14:anchorId="3E93AC90" wp14:editId="424FE00A">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85F" w:rsidRPr="007C068D">
      <w:rPr>
        <w:b/>
        <w:noProof/>
        <w:sz w:val="24"/>
      </w:rPr>
      <mc:AlternateContent>
        <mc:Choice Requires="wps">
          <w:drawing>
            <wp:anchor distT="0" distB="0" distL="114300" distR="114300" simplePos="0" relativeHeight="251656192" behindDoc="0" locked="0" layoutInCell="0" allowOverlap="1" wp14:anchorId="0D52A8C4" wp14:editId="3721257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2700"/>
    <w:rsid w:val="0001646B"/>
    <w:rsid w:val="0002562F"/>
    <w:rsid w:val="00030150"/>
    <w:rsid w:val="000364EB"/>
    <w:rsid w:val="00047B2D"/>
    <w:rsid w:val="000612AD"/>
    <w:rsid w:val="000678E7"/>
    <w:rsid w:val="0009564A"/>
    <w:rsid w:val="000A4A1A"/>
    <w:rsid w:val="000A6B51"/>
    <w:rsid w:val="000B1401"/>
    <w:rsid w:val="000B553F"/>
    <w:rsid w:val="000C1109"/>
    <w:rsid w:val="000C2B80"/>
    <w:rsid w:val="000D11B7"/>
    <w:rsid w:val="000D1C50"/>
    <w:rsid w:val="000D6DC2"/>
    <w:rsid w:val="000E2621"/>
    <w:rsid w:val="000E326F"/>
    <w:rsid w:val="000F69DF"/>
    <w:rsid w:val="0010035E"/>
    <w:rsid w:val="00113D6D"/>
    <w:rsid w:val="00131D0A"/>
    <w:rsid w:val="0014052B"/>
    <w:rsid w:val="00146E01"/>
    <w:rsid w:val="00147379"/>
    <w:rsid w:val="00151CBC"/>
    <w:rsid w:val="00156B96"/>
    <w:rsid w:val="00170DCF"/>
    <w:rsid w:val="001777EC"/>
    <w:rsid w:val="00186FEF"/>
    <w:rsid w:val="001919F2"/>
    <w:rsid w:val="001A1944"/>
    <w:rsid w:val="001B21B4"/>
    <w:rsid w:val="001B4F07"/>
    <w:rsid w:val="001D2450"/>
    <w:rsid w:val="001E2AE6"/>
    <w:rsid w:val="001E68FC"/>
    <w:rsid w:val="002003A4"/>
    <w:rsid w:val="0020163A"/>
    <w:rsid w:val="0021500C"/>
    <w:rsid w:val="0022541B"/>
    <w:rsid w:val="002349E9"/>
    <w:rsid w:val="00257984"/>
    <w:rsid w:val="00285306"/>
    <w:rsid w:val="002A23B4"/>
    <w:rsid w:val="002A58ED"/>
    <w:rsid w:val="002A5AAC"/>
    <w:rsid w:val="002C2706"/>
    <w:rsid w:val="002C7AF9"/>
    <w:rsid w:val="002E4455"/>
    <w:rsid w:val="003024F2"/>
    <w:rsid w:val="003128CC"/>
    <w:rsid w:val="00313725"/>
    <w:rsid w:val="00344B57"/>
    <w:rsid w:val="00347DD3"/>
    <w:rsid w:val="00355318"/>
    <w:rsid w:val="0036187D"/>
    <w:rsid w:val="00362249"/>
    <w:rsid w:val="003676CF"/>
    <w:rsid w:val="00370DD3"/>
    <w:rsid w:val="0037104A"/>
    <w:rsid w:val="003967FF"/>
    <w:rsid w:val="00396E93"/>
    <w:rsid w:val="003C1C38"/>
    <w:rsid w:val="003C6359"/>
    <w:rsid w:val="003D0EBD"/>
    <w:rsid w:val="003D49B7"/>
    <w:rsid w:val="003E33B6"/>
    <w:rsid w:val="003E6767"/>
    <w:rsid w:val="003F0FC7"/>
    <w:rsid w:val="003F1F2A"/>
    <w:rsid w:val="003F3F7F"/>
    <w:rsid w:val="003F485F"/>
    <w:rsid w:val="003F7F5E"/>
    <w:rsid w:val="00402B54"/>
    <w:rsid w:val="00404AC2"/>
    <w:rsid w:val="00412C1E"/>
    <w:rsid w:val="00416781"/>
    <w:rsid w:val="00443902"/>
    <w:rsid w:val="00453BEF"/>
    <w:rsid w:val="00470578"/>
    <w:rsid w:val="0047489A"/>
    <w:rsid w:val="00490546"/>
    <w:rsid w:val="004D6553"/>
    <w:rsid w:val="004F359E"/>
    <w:rsid w:val="004F4500"/>
    <w:rsid w:val="005032FC"/>
    <w:rsid w:val="00511E40"/>
    <w:rsid w:val="0052637A"/>
    <w:rsid w:val="00534519"/>
    <w:rsid w:val="00534B96"/>
    <w:rsid w:val="00540283"/>
    <w:rsid w:val="00574782"/>
    <w:rsid w:val="0057720D"/>
    <w:rsid w:val="005937DE"/>
    <w:rsid w:val="005A066E"/>
    <w:rsid w:val="005D5554"/>
    <w:rsid w:val="005E526E"/>
    <w:rsid w:val="00603053"/>
    <w:rsid w:val="00621993"/>
    <w:rsid w:val="006356C8"/>
    <w:rsid w:val="00635CA0"/>
    <w:rsid w:val="00642B00"/>
    <w:rsid w:val="0065667A"/>
    <w:rsid w:val="00661A3A"/>
    <w:rsid w:val="00662464"/>
    <w:rsid w:val="006673EC"/>
    <w:rsid w:val="006677EF"/>
    <w:rsid w:val="006814EA"/>
    <w:rsid w:val="006823CB"/>
    <w:rsid w:val="00684CA7"/>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550"/>
    <w:rsid w:val="00757CB0"/>
    <w:rsid w:val="007607E9"/>
    <w:rsid w:val="00763EEE"/>
    <w:rsid w:val="00770A4C"/>
    <w:rsid w:val="00783A5B"/>
    <w:rsid w:val="0079324D"/>
    <w:rsid w:val="007A4453"/>
    <w:rsid w:val="007C068D"/>
    <w:rsid w:val="007C4136"/>
    <w:rsid w:val="007C584A"/>
    <w:rsid w:val="007E6789"/>
    <w:rsid w:val="007F0447"/>
    <w:rsid w:val="007F6B74"/>
    <w:rsid w:val="00800065"/>
    <w:rsid w:val="008004B4"/>
    <w:rsid w:val="00801FF6"/>
    <w:rsid w:val="00806515"/>
    <w:rsid w:val="008069C5"/>
    <w:rsid w:val="00816870"/>
    <w:rsid w:val="008253BF"/>
    <w:rsid w:val="0083504F"/>
    <w:rsid w:val="00845759"/>
    <w:rsid w:val="00845D76"/>
    <w:rsid w:val="00846DA3"/>
    <w:rsid w:val="0086125D"/>
    <w:rsid w:val="008664FF"/>
    <w:rsid w:val="008675B7"/>
    <w:rsid w:val="00877275"/>
    <w:rsid w:val="008A1C4C"/>
    <w:rsid w:val="008A6371"/>
    <w:rsid w:val="008B1B7E"/>
    <w:rsid w:val="008D0DA6"/>
    <w:rsid w:val="008D2370"/>
    <w:rsid w:val="008D2EA2"/>
    <w:rsid w:val="008D3C08"/>
    <w:rsid w:val="008D7942"/>
    <w:rsid w:val="008E2BE7"/>
    <w:rsid w:val="009043F0"/>
    <w:rsid w:val="00905F05"/>
    <w:rsid w:val="0090775D"/>
    <w:rsid w:val="00914FA3"/>
    <w:rsid w:val="00923ECA"/>
    <w:rsid w:val="00936927"/>
    <w:rsid w:val="009514F9"/>
    <w:rsid w:val="009541CA"/>
    <w:rsid w:val="00957E98"/>
    <w:rsid w:val="00960243"/>
    <w:rsid w:val="00976015"/>
    <w:rsid w:val="009828F2"/>
    <w:rsid w:val="0098321C"/>
    <w:rsid w:val="00997FAC"/>
    <w:rsid w:val="009A12C1"/>
    <w:rsid w:val="009A7D1A"/>
    <w:rsid w:val="009B5B76"/>
    <w:rsid w:val="009B6268"/>
    <w:rsid w:val="009B65D3"/>
    <w:rsid w:val="009C5DC2"/>
    <w:rsid w:val="009D0247"/>
    <w:rsid w:val="009D2644"/>
    <w:rsid w:val="009D46E5"/>
    <w:rsid w:val="009D547A"/>
    <w:rsid w:val="009E10CA"/>
    <w:rsid w:val="00A00E6F"/>
    <w:rsid w:val="00A06A71"/>
    <w:rsid w:val="00A10E54"/>
    <w:rsid w:val="00A21224"/>
    <w:rsid w:val="00A23B89"/>
    <w:rsid w:val="00A2503C"/>
    <w:rsid w:val="00A27D3A"/>
    <w:rsid w:val="00A3799A"/>
    <w:rsid w:val="00A50249"/>
    <w:rsid w:val="00A57079"/>
    <w:rsid w:val="00A63B07"/>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4DCB"/>
    <w:rsid w:val="00B25A6F"/>
    <w:rsid w:val="00B261AB"/>
    <w:rsid w:val="00B26A17"/>
    <w:rsid w:val="00B312B2"/>
    <w:rsid w:val="00B343DF"/>
    <w:rsid w:val="00B41279"/>
    <w:rsid w:val="00B45287"/>
    <w:rsid w:val="00B4731C"/>
    <w:rsid w:val="00B825BB"/>
    <w:rsid w:val="00B8464B"/>
    <w:rsid w:val="00B878D9"/>
    <w:rsid w:val="00B9023F"/>
    <w:rsid w:val="00BB0019"/>
    <w:rsid w:val="00BB6ABA"/>
    <w:rsid w:val="00BC1AE9"/>
    <w:rsid w:val="00BC46CF"/>
    <w:rsid w:val="00BC491A"/>
    <w:rsid w:val="00BC51CD"/>
    <w:rsid w:val="00BD0310"/>
    <w:rsid w:val="00BD3440"/>
    <w:rsid w:val="00BE17FF"/>
    <w:rsid w:val="00BE7540"/>
    <w:rsid w:val="00C06CA3"/>
    <w:rsid w:val="00C2369C"/>
    <w:rsid w:val="00C3178E"/>
    <w:rsid w:val="00C45D0F"/>
    <w:rsid w:val="00C601C6"/>
    <w:rsid w:val="00C61EE8"/>
    <w:rsid w:val="00C67DFC"/>
    <w:rsid w:val="00C909E6"/>
    <w:rsid w:val="00C92C66"/>
    <w:rsid w:val="00C937A3"/>
    <w:rsid w:val="00CB73A9"/>
    <w:rsid w:val="00CC13CC"/>
    <w:rsid w:val="00CC25D9"/>
    <w:rsid w:val="00CC4395"/>
    <w:rsid w:val="00CC5FD0"/>
    <w:rsid w:val="00CD29B5"/>
    <w:rsid w:val="00CD76A8"/>
    <w:rsid w:val="00CE0270"/>
    <w:rsid w:val="00CE4649"/>
    <w:rsid w:val="00CF1025"/>
    <w:rsid w:val="00D0014F"/>
    <w:rsid w:val="00D01241"/>
    <w:rsid w:val="00D04267"/>
    <w:rsid w:val="00D044E8"/>
    <w:rsid w:val="00D04F67"/>
    <w:rsid w:val="00D10FC4"/>
    <w:rsid w:val="00D1550F"/>
    <w:rsid w:val="00D33F24"/>
    <w:rsid w:val="00D474D2"/>
    <w:rsid w:val="00D61912"/>
    <w:rsid w:val="00D62969"/>
    <w:rsid w:val="00D6348F"/>
    <w:rsid w:val="00D80777"/>
    <w:rsid w:val="00DA3FCE"/>
    <w:rsid w:val="00DB263B"/>
    <w:rsid w:val="00DB28AF"/>
    <w:rsid w:val="00DB7FE8"/>
    <w:rsid w:val="00DD44B0"/>
    <w:rsid w:val="00E0155A"/>
    <w:rsid w:val="00E0730A"/>
    <w:rsid w:val="00E177BB"/>
    <w:rsid w:val="00E347E1"/>
    <w:rsid w:val="00E34D55"/>
    <w:rsid w:val="00E41CC7"/>
    <w:rsid w:val="00E85925"/>
    <w:rsid w:val="00E86467"/>
    <w:rsid w:val="00E86E11"/>
    <w:rsid w:val="00E8781B"/>
    <w:rsid w:val="00E902C3"/>
    <w:rsid w:val="00E92B7B"/>
    <w:rsid w:val="00E92F55"/>
    <w:rsid w:val="00EB195F"/>
    <w:rsid w:val="00EB49D8"/>
    <w:rsid w:val="00EB686B"/>
    <w:rsid w:val="00EB6F29"/>
    <w:rsid w:val="00EB706B"/>
    <w:rsid w:val="00EC6917"/>
    <w:rsid w:val="00ED7B1B"/>
    <w:rsid w:val="00EE07EE"/>
    <w:rsid w:val="00EF45EA"/>
    <w:rsid w:val="00EF5DBE"/>
    <w:rsid w:val="00F015E1"/>
    <w:rsid w:val="00F07206"/>
    <w:rsid w:val="00F0767F"/>
    <w:rsid w:val="00F20545"/>
    <w:rsid w:val="00F30BC0"/>
    <w:rsid w:val="00F41D5F"/>
    <w:rsid w:val="00F46528"/>
    <w:rsid w:val="00F50E6F"/>
    <w:rsid w:val="00F5387F"/>
    <w:rsid w:val="00F551BD"/>
    <w:rsid w:val="00F62FFB"/>
    <w:rsid w:val="00F716C5"/>
    <w:rsid w:val="00F7186E"/>
    <w:rsid w:val="00F76B2A"/>
    <w:rsid w:val="00F81988"/>
    <w:rsid w:val="00F91023"/>
    <w:rsid w:val="00F91ECB"/>
    <w:rsid w:val="00FA38C5"/>
    <w:rsid w:val="00FB5FDD"/>
    <w:rsid w:val="00FC02B3"/>
    <w:rsid w:val="00FC47C3"/>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799</Words>
  <Characters>4559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2015-05-01T17:26:00Z</cp:lastPrinted>
  <dcterms:created xsi:type="dcterms:W3CDTF">2015-05-11T14:55:00Z</dcterms:created>
  <dcterms:modified xsi:type="dcterms:W3CDTF">2015-05-11T14:55:00Z</dcterms:modified>
  <cp:category> </cp:category>
  <cp:contentStatus> </cp:contentStatus>
</cp:coreProperties>
</file>