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7B" w:rsidRDefault="00BF4B7B">
      <w:pPr>
        <w:jc w:val="right"/>
        <w:rPr>
          <w:b/>
        </w:rPr>
      </w:pPr>
      <w:bookmarkStart w:id="0" w:name="_GoBack"/>
      <w:bookmarkEnd w:id="0"/>
    </w:p>
    <w:p w:rsidR="00BF4B7B" w:rsidRDefault="00BF4B7B">
      <w:pPr>
        <w:spacing w:after="120"/>
        <w:jc w:val="right"/>
        <w:rPr>
          <w:b/>
        </w:rPr>
      </w:pPr>
      <w:r>
        <w:rPr>
          <w:b/>
        </w:rPr>
        <w:t>DA 1</w:t>
      </w:r>
      <w:r w:rsidR="00652B07">
        <w:rPr>
          <w:b/>
        </w:rPr>
        <w:t>5</w:t>
      </w:r>
      <w:r>
        <w:rPr>
          <w:b/>
        </w:rPr>
        <w:t>-</w:t>
      </w:r>
      <w:r w:rsidR="00CA0905">
        <w:rPr>
          <w:b/>
        </w:rPr>
        <w:t>559</w:t>
      </w:r>
    </w:p>
    <w:p w:rsidR="00BF4B7B" w:rsidRDefault="00BF4B7B">
      <w:pPr>
        <w:jc w:val="right"/>
        <w:rPr>
          <w:b/>
        </w:rPr>
      </w:pPr>
      <w:r>
        <w:rPr>
          <w:b/>
        </w:rPr>
        <w:t xml:space="preserve">Released:  May </w:t>
      </w:r>
      <w:r w:rsidR="00807296">
        <w:rPr>
          <w:b/>
        </w:rPr>
        <w:t>8</w:t>
      </w:r>
      <w:r>
        <w:rPr>
          <w:b/>
        </w:rPr>
        <w:t>, 201</w:t>
      </w:r>
      <w:r w:rsidR="00652B07">
        <w:rPr>
          <w:b/>
        </w:rPr>
        <w:t>5</w:t>
      </w:r>
    </w:p>
    <w:p w:rsidR="00BF4B7B" w:rsidRDefault="00BF4B7B">
      <w:pPr>
        <w:spacing w:before="60"/>
        <w:rPr>
          <w:b/>
          <w:sz w:val="24"/>
        </w:rPr>
      </w:pPr>
    </w:p>
    <w:p w:rsidR="00BF4B7B" w:rsidRDefault="00BF4B7B">
      <w:pPr>
        <w:jc w:val="center"/>
        <w:rPr>
          <w:b/>
        </w:rPr>
      </w:pPr>
      <w:r>
        <w:rPr>
          <w:b/>
        </w:rPr>
        <w:t xml:space="preserve">WIRELINE COMPETITION BUREAU ANNOUNCES CARRY-FORWARD </w:t>
      </w:r>
    </w:p>
    <w:p w:rsidR="00BF4B7B" w:rsidRDefault="00BF4B7B">
      <w:pPr>
        <w:jc w:val="center"/>
        <w:rPr>
          <w:b/>
        </w:rPr>
      </w:pPr>
      <w:r>
        <w:rPr>
          <w:b/>
        </w:rPr>
        <w:t xml:space="preserve">OF UNUSED SCHOOLS AND LIBRARIES UNIVERSAL SERVICE FUNDS </w:t>
      </w:r>
    </w:p>
    <w:p w:rsidR="00BF4B7B" w:rsidRDefault="00BF4B7B">
      <w:pPr>
        <w:jc w:val="center"/>
        <w:rPr>
          <w:b/>
        </w:rPr>
      </w:pPr>
      <w:r>
        <w:rPr>
          <w:b/>
        </w:rPr>
        <w:t>FOR FUNDING YEAR 201</w:t>
      </w:r>
      <w:r w:rsidR="00652B07">
        <w:rPr>
          <w:b/>
        </w:rPr>
        <w:t>5</w:t>
      </w:r>
    </w:p>
    <w:p w:rsidR="00BF4B7B" w:rsidRDefault="00BF4B7B">
      <w:pPr>
        <w:jc w:val="center"/>
        <w:rPr>
          <w:b/>
        </w:rPr>
      </w:pPr>
    </w:p>
    <w:p w:rsidR="00BF4B7B" w:rsidRDefault="00BF4B7B">
      <w:pPr>
        <w:jc w:val="center"/>
        <w:rPr>
          <w:b/>
        </w:rPr>
      </w:pPr>
      <w:r>
        <w:rPr>
          <w:b/>
        </w:rPr>
        <w:t>CC Docket No. 02-6</w:t>
      </w:r>
    </w:p>
    <w:p w:rsidR="00BF4B7B" w:rsidRDefault="00BF4B7B">
      <w:pPr>
        <w:ind w:firstLine="720"/>
        <w:rPr>
          <w:szCs w:val="22"/>
        </w:rPr>
      </w:pPr>
      <w:r>
        <w:rPr>
          <w:szCs w:val="22"/>
        </w:rPr>
        <w:t xml:space="preserve"> </w:t>
      </w:r>
    </w:p>
    <w:p w:rsidR="00BF4B7B" w:rsidRDefault="00BF4B7B" w:rsidP="00CA0905">
      <w:pPr>
        <w:spacing w:after="200"/>
        <w:ind w:firstLine="720"/>
        <w:rPr>
          <w:szCs w:val="22"/>
        </w:rPr>
      </w:pPr>
      <w:r>
        <w:rPr>
          <w:szCs w:val="22"/>
        </w:rPr>
        <w:t>Pursuant to section 54.709(a)(3) of the Commission’s rules,</w:t>
      </w:r>
      <w:r>
        <w:rPr>
          <w:szCs w:val="22"/>
          <w:vertAlign w:val="superscript"/>
        </w:rPr>
        <w:footnoteReference w:id="1"/>
      </w:r>
      <w:r>
        <w:rPr>
          <w:szCs w:val="22"/>
        </w:rPr>
        <w:t xml:space="preserve"> on </w:t>
      </w:r>
      <w:r w:rsidR="00612DFE">
        <w:rPr>
          <w:szCs w:val="22"/>
        </w:rPr>
        <w:t>January 30, 2015</w:t>
      </w:r>
      <w:r>
        <w:rPr>
          <w:szCs w:val="22"/>
        </w:rPr>
        <w:t xml:space="preserve">, the Universal Service Administrative Company (USAC) submitted projections of demand and administrative expenses for the federal universal service fund for the second quarter of </w:t>
      </w:r>
      <w:r w:rsidR="004258E4">
        <w:rPr>
          <w:szCs w:val="22"/>
        </w:rPr>
        <w:t>2015</w:t>
      </w:r>
      <w:r>
        <w:rPr>
          <w:szCs w:val="22"/>
        </w:rPr>
        <w:t>.</w:t>
      </w:r>
      <w:r>
        <w:rPr>
          <w:szCs w:val="22"/>
          <w:vertAlign w:val="superscript"/>
        </w:rPr>
        <w:footnoteReference w:id="2"/>
      </w:r>
      <w:r>
        <w:rPr>
          <w:szCs w:val="22"/>
        </w:rPr>
        <w:t xml:space="preserve">  According to USAC’s projections, $1.575 billion in unused funds from previous funding years is available to carry forward to increase disbursements to schools and libraries via the E-rate program, more formally known as the schools and libraries universal service program.</w:t>
      </w:r>
      <w:r>
        <w:rPr>
          <w:rStyle w:val="FootnoteReference"/>
          <w:szCs w:val="22"/>
        </w:rPr>
        <w:footnoteReference w:id="3"/>
      </w:r>
      <w:r>
        <w:rPr>
          <w:szCs w:val="22"/>
        </w:rPr>
        <w:t xml:space="preserve">  </w:t>
      </w:r>
      <w:r w:rsidR="000701F5">
        <w:rPr>
          <w:szCs w:val="22"/>
        </w:rPr>
        <w:t>In the second quarter of each calendar year, all funds that are collected and unused from prior years shall be available for use in the next full E-rate funding year.</w:t>
      </w:r>
      <w:r w:rsidR="000701F5">
        <w:rPr>
          <w:rStyle w:val="FootnoteReference"/>
          <w:szCs w:val="22"/>
        </w:rPr>
        <w:footnoteReference w:id="4"/>
      </w:r>
      <w:r w:rsidR="000701F5">
        <w:rPr>
          <w:szCs w:val="22"/>
        </w:rPr>
        <w:t xml:space="preserve">  </w:t>
      </w:r>
      <w:r w:rsidR="001D5A32">
        <w:t xml:space="preserve">The </w:t>
      </w:r>
      <w:r w:rsidR="00995682">
        <w:rPr>
          <w:szCs w:val="22"/>
        </w:rPr>
        <w:t xml:space="preserve">Chief of the Wireline Competition Bureau </w:t>
      </w:r>
      <w:r w:rsidR="00EA704B">
        <w:rPr>
          <w:szCs w:val="22"/>
        </w:rPr>
        <w:t>is delegated authority to determine the proportion of unused funds to meet category one demand and to direct USAC to use any remaining funds to provide category two support.</w:t>
      </w:r>
      <w:r w:rsidR="00995682">
        <w:rPr>
          <w:rStyle w:val="FootnoteReference"/>
          <w:szCs w:val="22"/>
        </w:rPr>
        <w:footnoteReference w:id="5"/>
      </w:r>
      <w:r>
        <w:rPr>
          <w:szCs w:val="22"/>
        </w:rPr>
        <w:t xml:space="preserve"> </w:t>
      </w:r>
    </w:p>
    <w:p w:rsidR="00BF4B7B" w:rsidRDefault="00BF4B7B" w:rsidP="00CA0905">
      <w:pPr>
        <w:autoSpaceDE w:val="0"/>
        <w:autoSpaceDN w:val="0"/>
        <w:adjustRightInd w:val="0"/>
        <w:spacing w:after="200"/>
        <w:ind w:firstLine="720"/>
        <w:rPr>
          <w:szCs w:val="22"/>
        </w:rPr>
      </w:pPr>
      <w:r>
        <w:rPr>
          <w:color w:val="010101"/>
          <w:szCs w:val="22"/>
        </w:rPr>
        <w:t xml:space="preserve">Pursuant to the </w:t>
      </w:r>
      <w:r w:rsidRPr="0058543E">
        <w:rPr>
          <w:i/>
          <w:color w:val="010101"/>
          <w:szCs w:val="22"/>
        </w:rPr>
        <w:t>Second E-rate Modernization Order</w:t>
      </w:r>
      <w:r>
        <w:rPr>
          <w:color w:val="010101"/>
          <w:szCs w:val="22"/>
        </w:rPr>
        <w:t>, the E-rate cap for Funding Year 201</w:t>
      </w:r>
      <w:r w:rsidR="005E68B2">
        <w:rPr>
          <w:color w:val="010101"/>
          <w:szCs w:val="22"/>
        </w:rPr>
        <w:t>5</w:t>
      </w:r>
      <w:r>
        <w:rPr>
          <w:color w:val="010101"/>
          <w:szCs w:val="22"/>
        </w:rPr>
        <w:t xml:space="preserve"> is $3.9 billion.</w:t>
      </w:r>
      <w:r>
        <w:rPr>
          <w:rStyle w:val="FootnoteReference"/>
          <w:color w:val="010101"/>
          <w:szCs w:val="22"/>
        </w:rPr>
        <w:footnoteReference w:id="6"/>
      </w:r>
    </w:p>
    <w:p w:rsidR="001B0D66" w:rsidRDefault="00BF4B7B" w:rsidP="00CA0905">
      <w:pPr>
        <w:autoSpaceDE w:val="0"/>
        <w:autoSpaceDN w:val="0"/>
        <w:adjustRightInd w:val="0"/>
        <w:spacing w:after="200"/>
        <w:ind w:firstLine="720"/>
        <w:rPr>
          <w:szCs w:val="22"/>
        </w:rPr>
      </w:pPr>
      <w:r>
        <w:rPr>
          <w:szCs w:val="22"/>
        </w:rPr>
        <w:lastRenderedPageBreak/>
        <w:t xml:space="preserve">On May </w:t>
      </w:r>
      <w:r w:rsidR="00114B97">
        <w:rPr>
          <w:szCs w:val="22"/>
        </w:rPr>
        <w:t>6</w:t>
      </w:r>
      <w:r>
        <w:rPr>
          <w:szCs w:val="22"/>
        </w:rPr>
        <w:t>, 2015, USAC submitted an estimate of demand for the E-rate program for Funding Year 2015 (July 1, 2015 to June 30, 2016) of $</w:t>
      </w:r>
      <w:r w:rsidR="00DC3526">
        <w:t>3.92 billion</w:t>
      </w:r>
      <w:r>
        <w:rPr>
          <w:szCs w:val="22"/>
        </w:rPr>
        <w:t>, which includes estimated demand for category one services (telecommunications, telecommunications services and Internet access) of $2.</w:t>
      </w:r>
      <w:r w:rsidR="005F5D04">
        <w:rPr>
          <w:szCs w:val="22"/>
        </w:rPr>
        <w:t>2</w:t>
      </w:r>
      <w:r w:rsidR="00DC3526">
        <w:rPr>
          <w:szCs w:val="22"/>
        </w:rPr>
        <w:t>55</w:t>
      </w:r>
      <w:r>
        <w:rPr>
          <w:szCs w:val="22"/>
        </w:rPr>
        <w:t xml:space="preserve"> billion</w:t>
      </w:r>
      <w:r w:rsidR="005F5D04">
        <w:rPr>
          <w:szCs w:val="22"/>
        </w:rPr>
        <w:t xml:space="preserve"> and of $</w:t>
      </w:r>
      <w:r w:rsidR="00DC3526">
        <w:rPr>
          <w:szCs w:val="22"/>
        </w:rPr>
        <w:t>1.665 billion</w:t>
      </w:r>
      <w:r>
        <w:rPr>
          <w:szCs w:val="22"/>
        </w:rPr>
        <w:t xml:space="preserve"> for category two services (internal connections, basic maintenance of internal connections and managed </w:t>
      </w:r>
      <w:r w:rsidR="00DC3526">
        <w:t>internal broadband services</w:t>
      </w:r>
      <w:r>
        <w:rPr>
          <w:szCs w:val="22"/>
        </w:rPr>
        <w:t>).</w:t>
      </w:r>
      <w:r>
        <w:rPr>
          <w:rStyle w:val="FootnoteReference"/>
          <w:szCs w:val="22"/>
        </w:rPr>
        <w:footnoteReference w:id="7"/>
      </w:r>
      <w:r>
        <w:rPr>
          <w:szCs w:val="22"/>
        </w:rPr>
        <w:t xml:space="preserve"> </w:t>
      </w:r>
    </w:p>
    <w:p w:rsidR="00BF4B7B" w:rsidRDefault="001B0D66" w:rsidP="00CA0905">
      <w:pPr>
        <w:spacing w:after="200"/>
        <w:ind w:firstLine="720"/>
        <w:rPr>
          <w:szCs w:val="22"/>
        </w:rPr>
      </w:pPr>
      <w:r>
        <w:rPr>
          <w:szCs w:val="22"/>
        </w:rPr>
        <w:t xml:space="preserve">No </w:t>
      </w:r>
      <w:r w:rsidR="005F5D04">
        <w:rPr>
          <w:szCs w:val="22"/>
        </w:rPr>
        <w:t>unused funding from previous years is needed to fully fund category one services</w:t>
      </w:r>
      <w:r>
        <w:rPr>
          <w:szCs w:val="22"/>
        </w:rPr>
        <w:t>.  We therefore</w:t>
      </w:r>
      <w:r w:rsidR="005F5D04">
        <w:rPr>
          <w:szCs w:val="22"/>
        </w:rPr>
        <w:t xml:space="preserve"> direct USAC to fully fund </w:t>
      </w:r>
      <w:r>
        <w:rPr>
          <w:szCs w:val="22"/>
        </w:rPr>
        <w:t xml:space="preserve">eligible </w:t>
      </w:r>
      <w:r w:rsidR="005F5D04">
        <w:rPr>
          <w:szCs w:val="22"/>
        </w:rPr>
        <w:t>category one services under the new cap</w:t>
      </w:r>
      <w:r w:rsidR="006D2050">
        <w:rPr>
          <w:szCs w:val="22"/>
        </w:rPr>
        <w:t xml:space="preserve">.  We also direct USAC </w:t>
      </w:r>
      <w:r w:rsidR="005F5D04">
        <w:rPr>
          <w:szCs w:val="22"/>
        </w:rPr>
        <w:t>to</w:t>
      </w:r>
      <w:r>
        <w:rPr>
          <w:szCs w:val="22"/>
        </w:rPr>
        <w:t xml:space="preserve"> fully fund eligible category two service</w:t>
      </w:r>
      <w:r w:rsidR="006D2050">
        <w:rPr>
          <w:szCs w:val="22"/>
        </w:rPr>
        <w:t>s</w:t>
      </w:r>
      <w:r w:rsidR="00114B97">
        <w:rPr>
          <w:szCs w:val="22"/>
        </w:rPr>
        <w:t>,</w:t>
      </w:r>
      <w:r w:rsidR="006D2050">
        <w:rPr>
          <w:szCs w:val="22"/>
        </w:rPr>
        <w:t xml:space="preserve"> first</w:t>
      </w:r>
      <w:r w:rsidR="005F5D04">
        <w:rPr>
          <w:szCs w:val="22"/>
        </w:rPr>
        <w:t xml:space="preserve"> us</w:t>
      </w:r>
      <w:r>
        <w:rPr>
          <w:szCs w:val="22"/>
        </w:rPr>
        <w:t>ing</w:t>
      </w:r>
      <w:r w:rsidR="005F5D04">
        <w:rPr>
          <w:szCs w:val="22"/>
        </w:rPr>
        <w:t xml:space="preserve"> </w:t>
      </w:r>
      <w:r w:rsidR="00BF4B7B">
        <w:rPr>
          <w:szCs w:val="22"/>
        </w:rPr>
        <w:t xml:space="preserve">as </w:t>
      </w:r>
      <w:r w:rsidR="005F5D04">
        <w:rPr>
          <w:szCs w:val="22"/>
        </w:rPr>
        <w:t xml:space="preserve">much as </w:t>
      </w:r>
      <w:r w:rsidR="00BF4B7B">
        <w:rPr>
          <w:szCs w:val="22"/>
        </w:rPr>
        <w:t xml:space="preserve">$1.575 billion in </w:t>
      </w:r>
      <w:r>
        <w:rPr>
          <w:szCs w:val="22"/>
        </w:rPr>
        <w:t xml:space="preserve">E-rate </w:t>
      </w:r>
      <w:r w:rsidR="00BF4B7B">
        <w:rPr>
          <w:szCs w:val="22"/>
        </w:rPr>
        <w:t>funds unused from previous years</w:t>
      </w:r>
      <w:r w:rsidR="005F5D04">
        <w:rPr>
          <w:szCs w:val="22"/>
        </w:rPr>
        <w:t>, and</w:t>
      </w:r>
      <w:r w:rsidR="006D2050">
        <w:rPr>
          <w:szCs w:val="22"/>
        </w:rPr>
        <w:t xml:space="preserve"> then using any additional funds needed under the new cap to fully meet demand.</w:t>
      </w:r>
    </w:p>
    <w:p w:rsidR="00BF4B7B" w:rsidRDefault="00BF4B7B">
      <w:pPr>
        <w:spacing w:after="240"/>
        <w:ind w:firstLine="720"/>
      </w:pPr>
      <w:r>
        <w:t>For further information, please contact James Bachtell, Wireline Competition Bureau at (202) 418-7400 or TTY (202) 418-0484.</w:t>
      </w:r>
    </w:p>
    <w:p w:rsidR="00BF4B7B" w:rsidRDefault="00BF4B7B">
      <w:pPr>
        <w:pStyle w:val="Paranum0"/>
        <w:numPr>
          <w:ilvl w:val="0"/>
          <w:numId w:val="0"/>
        </w:numPr>
        <w:jc w:val="center"/>
        <w:rPr>
          <w:b/>
        </w:rPr>
      </w:pPr>
      <w:r>
        <w:rPr>
          <w:b/>
        </w:rPr>
        <w:t>- FCC -</w:t>
      </w:r>
    </w:p>
    <w:sectPr w:rsidR="00BF4B7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AA" w:rsidRDefault="00914FAA">
      <w:r>
        <w:separator/>
      </w:r>
    </w:p>
  </w:endnote>
  <w:endnote w:type="continuationSeparator" w:id="0">
    <w:p w:rsidR="00914FAA" w:rsidRDefault="0091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1A" w:rsidRDefault="00371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04" w:rsidRDefault="005F5D04">
    <w:pPr>
      <w:pStyle w:val="Footer"/>
      <w:jc w:val="center"/>
    </w:pPr>
    <w:r>
      <w:fldChar w:fldCharType="begin"/>
    </w:r>
    <w:r>
      <w:instrText xml:space="preserve"> PAGE   \* MERGEFORMAT </w:instrText>
    </w:r>
    <w:r>
      <w:fldChar w:fldCharType="separate"/>
    </w:r>
    <w:r w:rsidR="00A85A51">
      <w:rPr>
        <w:noProof/>
      </w:rPr>
      <w:t>2</w:t>
    </w:r>
    <w:r>
      <w:rPr>
        <w:noProof/>
      </w:rPr>
      <w:fldChar w:fldCharType="end"/>
    </w:r>
  </w:p>
  <w:p w:rsidR="005F5D04" w:rsidRDefault="005F5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1A" w:rsidRDefault="0037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AA" w:rsidRDefault="00914FAA">
      <w:r>
        <w:separator/>
      </w:r>
    </w:p>
  </w:footnote>
  <w:footnote w:type="continuationSeparator" w:id="0">
    <w:p w:rsidR="00914FAA" w:rsidRDefault="00914FAA">
      <w:r>
        <w:continuationSeparator/>
      </w:r>
    </w:p>
  </w:footnote>
  <w:footnote w:id="1">
    <w:p w:rsidR="005F5D04" w:rsidRPr="0075268A" w:rsidRDefault="005F5D04" w:rsidP="0075268A">
      <w:pPr>
        <w:pStyle w:val="FootnoteText"/>
        <w:spacing w:after="120"/>
        <w:rPr>
          <w:i/>
          <w:sz w:val="20"/>
        </w:rPr>
      </w:pPr>
      <w:r w:rsidRPr="0075268A">
        <w:rPr>
          <w:rStyle w:val="FootnoteReference"/>
          <w:sz w:val="20"/>
        </w:rPr>
        <w:footnoteRef/>
      </w:r>
      <w:r w:rsidRPr="0075268A">
        <w:rPr>
          <w:sz w:val="20"/>
        </w:rPr>
        <w:t xml:space="preserve"> 47 C.F.R. § 54.709(a)(3).</w:t>
      </w:r>
    </w:p>
  </w:footnote>
  <w:footnote w:id="2">
    <w:p w:rsidR="005F5D04" w:rsidRPr="005E68B2" w:rsidRDefault="005F5D04" w:rsidP="0075268A">
      <w:pPr>
        <w:pStyle w:val="FootnoteText"/>
        <w:spacing w:after="120"/>
        <w:rPr>
          <w:sz w:val="20"/>
        </w:rPr>
      </w:pPr>
      <w:r w:rsidRPr="0075268A">
        <w:rPr>
          <w:rStyle w:val="FootnoteReference"/>
          <w:sz w:val="20"/>
        </w:rPr>
        <w:footnoteRef/>
      </w:r>
      <w:r w:rsidRPr="0075268A">
        <w:rPr>
          <w:sz w:val="20"/>
        </w:rPr>
        <w:t xml:space="preserve"> </w:t>
      </w:r>
      <w:r w:rsidRPr="0075268A">
        <w:rPr>
          <w:i/>
          <w:sz w:val="20"/>
        </w:rPr>
        <w:t>See</w:t>
      </w:r>
      <w:r w:rsidRPr="0075268A">
        <w:rPr>
          <w:sz w:val="20"/>
        </w:rPr>
        <w:t xml:space="preserve"> USAC, Federal Universal Service Support Mechanisms Fund Size Projections for Second Quarter 201</w:t>
      </w:r>
      <w:r w:rsidR="00DC3526" w:rsidRPr="00031786">
        <w:rPr>
          <w:sz w:val="20"/>
        </w:rPr>
        <w:t>5</w:t>
      </w:r>
      <w:r w:rsidR="00B243AE">
        <w:rPr>
          <w:sz w:val="20"/>
        </w:rPr>
        <w:t xml:space="preserve"> (Jan. 30, 2015),</w:t>
      </w:r>
      <w:r w:rsidR="004258E4" w:rsidRPr="005E68B2">
        <w:rPr>
          <w:sz w:val="20"/>
        </w:rPr>
        <w:t xml:space="preserve"> </w:t>
      </w:r>
      <w:hyperlink r:id="rId1" w:history="1">
        <w:r w:rsidR="005E68B2" w:rsidRPr="00E53444">
          <w:rPr>
            <w:rStyle w:val="Hyperlink"/>
            <w:sz w:val="20"/>
          </w:rPr>
          <w:t>http://www.usac.org/about/tools/fcc/filings/2015/Q2/USAC%202Q2015%20Federal%20Universal%20Service%20Mechanism%20Quarterly%20Demand%20Filing.pdf</w:t>
        </w:r>
      </w:hyperlink>
      <w:r w:rsidR="005E68B2">
        <w:rPr>
          <w:sz w:val="20"/>
        </w:rPr>
        <w:t xml:space="preserve"> </w:t>
      </w:r>
      <w:r w:rsidR="004258E4" w:rsidRPr="00031786">
        <w:rPr>
          <w:sz w:val="20"/>
        </w:rPr>
        <w:t>(USAC</w:t>
      </w:r>
      <w:r w:rsidR="004258E4" w:rsidRPr="00E44E61">
        <w:rPr>
          <w:sz w:val="20"/>
        </w:rPr>
        <w:t xml:space="preserve"> </w:t>
      </w:r>
      <w:r w:rsidR="004258E4" w:rsidRPr="005E68B2">
        <w:rPr>
          <w:sz w:val="20"/>
        </w:rPr>
        <w:t>Second Quarter 2015 Fund Size Projections)</w:t>
      </w:r>
      <w:r w:rsidR="00612DFE" w:rsidRPr="005E68B2">
        <w:rPr>
          <w:sz w:val="20"/>
        </w:rPr>
        <w:t xml:space="preserve">; </w:t>
      </w:r>
      <w:r w:rsidR="00612DFE" w:rsidRPr="005E68B2">
        <w:rPr>
          <w:i/>
          <w:sz w:val="20"/>
        </w:rPr>
        <w:t>s</w:t>
      </w:r>
      <w:r w:rsidR="00612DFE" w:rsidRPr="00031786">
        <w:rPr>
          <w:i/>
          <w:sz w:val="20"/>
        </w:rPr>
        <w:t>ee also</w:t>
      </w:r>
      <w:r w:rsidR="00807296">
        <w:rPr>
          <w:i/>
          <w:sz w:val="20"/>
        </w:rPr>
        <w:t xml:space="preserve"> </w:t>
      </w:r>
      <w:r w:rsidR="00807296" w:rsidRPr="00807296">
        <w:rPr>
          <w:sz w:val="20"/>
        </w:rPr>
        <w:t>Letter from Chris Henderson, Chief Executive Officer, USAC, to Marlene H. Dortch, Secretary, FCC</w:t>
      </w:r>
      <w:r w:rsidR="00807296">
        <w:rPr>
          <w:sz w:val="20"/>
        </w:rPr>
        <w:t>,</w:t>
      </w:r>
      <w:r w:rsidR="00612DFE" w:rsidRPr="00031786">
        <w:rPr>
          <w:sz w:val="20"/>
        </w:rPr>
        <w:t xml:space="preserve"> </w:t>
      </w:r>
      <w:r w:rsidR="0075268A">
        <w:rPr>
          <w:sz w:val="20"/>
        </w:rPr>
        <w:t>CC Docket No. 02-6, WC Docket N</w:t>
      </w:r>
      <w:r w:rsidR="00807296">
        <w:rPr>
          <w:sz w:val="20"/>
        </w:rPr>
        <w:t>o. 13-184 (filed Dec. 23, 2014).</w:t>
      </w:r>
      <w:r w:rsidR="0075268A">
        <w:rPr>
          <w:sz w:val="20"/>
        </w:rPr>
        <w:t xml:space="preserve"> </w:t>
      </w:r>
    </w:p>
  </w:footnote>
  <w:footnote w:id="3">
    <w:p w:rsidR="005F5D04" w:rsidRPr="005E68B2" w:rsidRDefault="005F5D04" w:rsidP="00031786">
      <w:pPr>
        <w:pStyle w:val="FootnoteText"/>
        <w:spacing w:after="120"/>
        <w:rPr>
          <w:sz w:val="20"/>
        </w:rPr>
      </w:pPr>
      <w:r w:rsidRPr="00031786">
        <w:rPr>
          <w:rStyle w:val="FootnoteReference"/>
          <w:sz w:val="20"/>
        </w:rPr>
        <w:footnoteRef/>
      </w:r>
      <w:r w:rsidRPr="00031786">
        <w:rPr>
          <w:sz w:val="20"/>
        </w:rPr>
        <w:t xml:space="preserve"> </w:t>
      </w:r>
      <w:r w:rsidR="004258E4" w:rsidRPr="00031786">
        <w:rPr>
          <w:sz w:val="20"/>
        </w:rPr>
        <w:t>USAC</w:t>
      </w:r>
      <w:r w:rsidR="004258E4" w:rsidRPr="00E44E61">
        <w:rPr>
          <w:sz w:val="20"/>
        </w:rPr>
        <w:t xml:space="preserve"> </w:t>
      </w:r>
      <w:r w:rsidR="004258E4" w:rsidRPr="005E68B2">
        <w:rPr>
          <w:sz w:val="20"/>
        </w:rPr>
        <w:t>Second Quarter 2015 Fund Size Projections</w:t>
      </w:r>
      <w:r w:rsidRPr="005E68B2">
        <w:rPr>
          <w:i/>
          <w:sz w:val="20"/>
        </w:rPr>
        <w:t xml:space="preserve"> </w:t>
      </w:r>
      <w:r w:rsidRPr="005E68B2">
        <w:rPr>
          <w:sz w:val="20"/>
        </w:rPr>
        <w:t xml:space="preserve">at </w:t>
      </w:r>
      <w:r w:rsidR="00612DFE" w:rsidRPr="005E68B2">
        <w:rPr>
          <w:sz w:val="20"/>
        </w:rPr>
        <w:t>43</w:t>
      </w:r>
      <w:r w:rsidRPr="005E68B2">
        <w:rPr>
          <w:sz w:val="20"/>
        </w:rPr>
        <w:t>.</w:t>
      </w:r>
    </w:p>
  </w:footnote>
  <w:footnote w:id="4">
    <w:p w:rsidR="000701F5" w:rsidRPr="005E68B2" w:rsidRDefault="000701F5" w:rsidP="005E68B2">
      <w:pPr>
        <w:pStyle w:val="FootnoteText"/>
        <w:spacing w:after="120"/>
        <w:rPr>
          <w:i/>
          <w:sz w:val="20"/>
        </w:rPr>
      </w:pPr>
      <w:r w:rsidRPr="005E68B2">
        <w:rPr>
          <w:rStyle w:val="FootnoteReference"/>
          <w:sz w:val="20"/>
        </w:rPr>
        <w:footnoteRef/>
      </w:r>
      <w:r w:rsidRPr="005E68B2">
        <w:rPr>
          <w:sz w:val="20"/>
        </w:rPr>
        <w:t xml:space="preserve"> </w:t>
      </w:r>
      <w:r w:rsidRPr="00031786">
        <w:rPr>
          <w:sz w:val="20"/>
        </w:rPr>
        <w:t>47 C.F.R. § 54.507(a)(6</w:t>
      </w:r>
      <w:r w:rsidRPr="00E44E61">
        <w:rPr>
          <w:sz w:val="20"/>
        </w:rPr>
        <w:t>)</w:t>
      </w:r>
      <w:r w:rsidR="0075268A">
        <w:rPr>
          <w:sz w:val="20"/>
        </w:rPr>
        <w:t>; s</w:t>
      </w:r>
      <w:r w:rsidRPr="00031786">
        <w:rPr>
          <w:i/>
          <w:sz w:val="20"/>
        </w:rPr>
        <w:t xml:space="preserve">ee also </w:t>
      </w:r>
      <w:r w:rsidRPr="00031786">
        <w:rPr>
          <w:sz w:val="20"/>
        </w:rPr>
        <w:t>47 C.F.R. § 54.507(a)(</w:t>
      </w:r>
      <w:r w:rsidRPr="00E44E61">
        <w:rPr>
          <w:sz w:val="20"/>
        </w:rPr>
        <w:t>5</w:t>
      </w:r>
      <w:r w:rsidR="0058543E">
        <w:rPr>
          <w:sz w:val="20"/>
        </w:rPr>
        <w:t xml:space="preserve">) </w:t>
      </w:r>
      <w:r w:rsidRPr="005E68B2">
        <w:rPr>
          <w:sz w:val="20"/>
        </w:rPr>
        <w:t>(stating that “[a]ll funds collected that are unused shall be carried forward into subsequent funding years for use in the [E-rate program] in accordance with the public interest and notwithstanding the annual cap”</w:t>
      </w:r>
      <w:r w:rsidRPr="00031786">
        <w:rPr>
          <w:sz w:val="20"/>
        </w:rPr>
        <w:t>)</w:t>
      </w:r>
      <w:r w:rsidR="00612DFE" w:rsidRPr="00031786">
        <w:rPr>
          <w:sz w:val="20"/>
        </w:rPr>
        <w:t>.</w:t>
      </w:r>
    </w:p>
  </w:footnote>
  <w:footnote w:id="5">
    <w:p w:rsidR="00995682" w:rsidRPr="005E68B2" w:rsidRDefault="00995682" w:rsidP="005E68B2">
      <w:pPr>
        <w:pStyle w:val="FootnoteText"/>
        <w:spacing w:after="120"/>
        <w:rPr>
          <w:sz w:val="20"/>
        </w:rPr>
      </w:pPr>
      <w:r w:rsidRPr="005E68B2">
        <w:rPr>
          <w:rStyle w:val="FootnoteReference"/>
          <w:sz w:val="20"/>
        </w:rPr>
        <w:footnoteRef/>
      </w:r>
      <w:r w:rsidRPr="005E68B2">
        <w:rPr>
          <w:sz w:val="20"/>
        </w:rPr>
        <w:t xml:space="preserve"> </w:t>
      </w:r>
      <w:r w:rsidR="000701F5" w:rsidRPr="00031786">
        <w:rPr>
          <w:sz w:val="20"/>
        </w:rPr>
        <w:t>47 C.F.R. § 54.507(a)(5</w:t>
      </w:r>
      <w:r w:rsidR="000701F5" w:rsidRPr="00E44E61">
        <w:rPr>
          <w:sz w:val="20"/>
        </w:rPr>
        <w:t>)</w:t>
      </w:r>
      <w:r w:rsidR="000701F5" w:rsidRPr="005E68B2">
        <w:rPr>
          <w:sz w:val="20"/>
        </w:rPr>
        <w:t>.</w:t>
      </w:r>
    </w:p>
  </w:footnote>
  <w:footnote w:id="6">
    <w:p w:rsidR="005F5D04" w:rsidRPr="005E68B2" w:rsidRDefault="005F5D04" w:rsidP="00031786">
      <w:pPr>
        <w:autoSpaceDE w:val="0"/>
        <w:autoSpaceDN w:val="0"/>
        <w:adjustRightInd w:val="0"/>
        <w:spacing w:after="120"/>
        <w:rPr>
          <w:sz w:val="20"/>
        </w:rPr>
      </w:pPr>
      <w:r w:rsidRPr="00031786">
        <w:rPr>
          <w:rStyle w:val="FootnoteReference"/>
          <w:sz w:val="20"/>
        </w:rPr>
        <w:footnoteRef/>
      </w:r>
      <w:r w:rsidRPr="00031786">
        <w:rPr>
          <w:sz w:val="20"/>
        </w:rPr>
        <w:t xml:space="preserve"> </w:t>
      </w:r>
      <w:r w:rsidRPr="00031786">
        <w:rPr>
          <w:i/>
          <w:sz w:val="20"/>
        </w:rPr>
        <w:t>See</w:t>
      </w:r>
      <w:r w:rsidR="00315795" w:rsidRPr="00E44E61">
        <w:rPr>
          <w:i/>
          <w:sz w:val="20"/>
        </w:rPr>
        <w:t xml:space="preserve"> </w:t>
      </w:r>
      <w:r w:rsidR="00315795" w:rsidRPr="005E68B2">
        <w:rPr>
          <w:i/>
          <w:sz w:val="20"/>
        </w:rPr>
        <w:t>Modernizing the E-Rate Program for Schools and Libraries; Connect America Fund</w:t>
      </w:r>
      <w:r w:rsidR="00315795" w:rsidRPr="00031786">
        <w:rPr>
          <w:sz w:val="20"/>
        </w:rPr>
        <w:t>, WC Docket Nos. 13-184 and 10-90, Second Report and Order and Order on Reconsideration, 29 FCC Rcd 15538</w:t>
      </w:r>
      <w:r w:rsidR="00995682" w:rsidRPr="00031786">
        <w:rPr>
          <w:sz w:val="20"/>
        </w:rPr>
        <w:t xml:space="preserve">, </w:t>
      </w:r>
      <w:r w:rsidR="00995682" w:rsidRPr="00E44E61">
        <w:rPr>
          <w:sz w:val="20"/>
        </w:rPr>
        <w:t>15569</w:t>
      </w:r>
      <w:r w:rsidR="00995682" w:rsidRPr="005E68B2">
        <w:rPr>
          <w:sz w:val="20"/>
        </w:rPr>
        <w:t xml:space="preserve">, para. 77 </w:t>
      </w:r>
      <w:r w:rsidR="0058543E">
        <w:rPr>
          <w:sz w:val="20"/>
        </w:rPr>
        <w:t xml:space="preserve">(2014) </w:t>
      </w:r>
      <w:r w:rsidR="00315795" w:rsidRPr="005E68B2">
        <w:rPr>
          <w:sz w:val="20"/>
        </w:rPr>
        <w:t>(</w:t>
      </w:r>
      <w:r w:rsidR="00315795" w:rsidRPr="005E68B2">
        <w:rPr>
          <w:i/>
          <w:sz w:val="20"/>
        </w:rPr>
        <w:t>Second E-rate Modernization Order</w:t>
      </w:r>
      <w:r w:rsidR="00315795" w:rsidRPr="00031786">
        <w:rPr>
          <w:sz w:val="20"/>
        </w:rPr>
        <w:t>)</w:t>
      </w:r>
      <w:r w:rsidR="00995682" w:rsidRPr="00031786">
        <w:rPr>
          <w:sz w:val="20"/>
        </w:rPr>
        <w:t xml:space="preserve">; </w:t>
      </w:r>
      <w:r w:rsidR="00995682" w:rsidRPr="00E44E61">
        <w:rPr>
          <w:sz w:val="20"/>
        </w:rPr>
        <w:t>47 C.F.R. §</w:t>
      </w:r>
      <w:r w:rsidR="00995682" w:rsidRPr="005E68B2">
        <w:rPr>
          <w:sz w:val="20"/>
        </w:rPr>
        <w:t xml:space="preserve"> 54.507(a)</w:t>
      </w:r>
      <w:r w:rsidRPr="005E68B2">
        <w:rPr>
          <w:sz w:val="20"/>
        </w:rPr>
        <w:t>.</w:t>
      </w:r>
      <w:r w:rsidR="00995682" w:rsidRPr="005E68B2">
        <w:rPr>
          <w:sz w:val="20"/>
        </w:rPr>
        <w:t xml:space="preserve">  </w:t>
      </w:r>
      <w:r w:rsidR="003E0760" w:rsidRPr="005E68B2">
        <w:rPr>
          <w:sz w:val="20"/>
        </w:rPr>
        <w:t xml:space="preserve">Beginning in Funding Year 2016, the $3.9 billion </w:t>
      </w:r>
      <w:r w:rsidR="0075268A" w:rsidRPr="005E68B2">
        <w:rPr>
          <w:sz w:val="20"/>
        </w:rPr>
        <w:t xml:space="preserve">E-rate funding cap </w:t>
      </w:r>
      <w:r w:rsidR="003E0760" w:rsidRPr="005E68B2">
        <w:rPr>
          <w:sz w:val="20"/>
        </w:rPr>
        <w:t xml:space="preserve">will be automatically increased to take into account increases in the rate of inflation. </w:t>
      </w:r>
      <w:r w:rsidR="00FA774E">
        <w:rPr>
          <w:sz w:val="20"/>
        </w:rPr>
        <w:t xml:space="preserve"> </w:t>
      </w:r>
      <w:r w:rsidR="003E0760" w:rsidRPr="005E68B2">
        <w:rPr>
          <w:i/>
          <w:sz w:val="20"/>
        </w:rPr>
        <w:t>See</w:t>
      </w:r>
      <w:r w:rsidR="003E0760" w:rsidRPr="005E68B2">
        <w:rPr>
          <w:sz w:val="20"/>
        </w:rPr>
        <w:t xml:space="preserve"> 47 C.F.R. § 54.507(a)(1).</w:t>
      </w:r>
    </w:p>
  </w:footnote>
  <w:footnote w:id="7">
    <w:p w:rsidR="005F5D04" w:rsidRDefault="005F5D04">
      <w:pPr>
        <w:pStyle w:val="FootnoteText"/>
        <w:spacing w:after="120"/>
        <w:rPr>
          <w:sz w:val="20"/>
        </w:rPr>
      </w:pPr>
      <w:r>
        <w:rPr>
          <w:rStyle w:val="FootnoteReference"/>
          <w:sz w:val="20"/>
        </w:rPr>
        <w:footnoteRef/>
      </w:r>
      <w:r>
        <w:rPr>
          <w:sz w:val="20"/>
        </w:rPr>
        <w:t xml:space="preserve"> </w:t>
      </w:r>
      <w:r>
        <w:rPr>
          <w:i/>
          <w:sz w:val="20"/>
        </w:rPr>
        <w:t xml:space="preserve">See </w:t>
      </w:r>
      <w:r w:rsidR="00807296">
        <w:rPr>
          <w:sz w:val="20"/>
        </w:rPr>
        <w:t>Le</w:t>
      </w:r>
      <w:r w:rsidR="00E7424F">
        <w:rPr>
          <w:sz w:val="20"/>
        </w:rPr>
        <w:t>tter f</w:t>
      </w:r>
      <w:r w:rsidR="00807296">
        <w:rPr>
          <w:sz w:val="20"/>
        </w:rPr>
        <w:t>rom Mel Blackwell, Vice President, USAC, to Julie Veach, Ch</w:t>
      </w:r>
      <w:r w:rsidR="00E7424F">
        <w:rPr>
          <w:sz w:val="20"/>
        </w:rPr>
        <w:t>ief, Wireline Competition Bureau</w:t>
      </w:r>
      <w:r w:rsidR="00807296">
        <w:rPr>
          <w:sz w:val="20"/>
        </w:rPr>
        <w:t>, FCC</w:t>
      </w:r>
      <w:r w:rsidR="00E7424F">
        <w:rPr>
          <w:sz w:val="20"/>
        </w:rPr>
        <w:t>,</w:t>
      </w:r>
      <w:r w:rsidR="00E7424F" w:rsidRPr="00E7424F">
        <w:rPr>
          <w:sz w:val="20"/>
        </w:rPr>
        <w:t xml:space="preserve"> </w:t>
      </w:r>
      <w:r w:rsidR="00E7424F">
        <w:rPr>
          <w:sz w:val="20"/>
        </w:rPr>
        <w:t xml:space="preserve">CC Docket No. 02-6, at Attach. </w:t>
      </w:r>
      <w:r>
        <w:rPr>
          <w:sz w:val="20"/>
        </w:rPr>
        <w:t xml:space="preserve">(filed </w:t>
      </w:r>
      <w:r w:rsidR="0075268A">
        <w:rPr>
          <w:sz w:val="20"/>
        </w:rPr>
        <w:t xml:space="preserve">May </w:t>
      </w:r>
      <w:r w:rsidR="003416BA">
        <w:rPr>
          <w:sz w:val="20"/>
        </w:rPr>
        <w:t xml:space="preserve">6, </w:t>
      </w:r>
      <w:r w:rsidR="0075268A">
        <w:rPr>
          <w:sz w:val="20"/>
        </w:rPr>
        <w:t>2015</w:t>
      </w:r>
      <w:r>
        <w:rPr>
          <w:sz w:val="20"/>
        </w:rPr>
        <w:t>)</w:t>
      </w:r>
      <w:r w:rsidR="0075268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1A" w:rsidRDefault="00371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1A" w:rsidRDefault="0037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04" w:rsidRDefault="00391BEE">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688340</wp:posOffset>
              </wp:positionV>
              <wp:extent cx="2640965" cy="685800"/>
              <wp:effectExtent l="0" t="0" r="698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04" w:rsidRDefault="005F5D04">
                          <w:pPr>
                            <w:spacing w:before="40"/>
                            <w:jc w:val="right"/>
                            <w:rPr>
                              <w:rFonts w:ascii="Arial" w:hAnsi="Arial"/>
                              <w:sz w:val="16"/>
                            </w:rPr>
                          </w:pPr>
                          <w:r>
                            <w:rPr>
                              <w:rFonts w:ascii="Arial" w:hAnsi="Arial"/>
                              <w:sz w:val="16"/>
                            </w:rPr>
                            <w:tab/>
                          </w:r>
                        </w:p>
                        <w:p w:rsidR="005F5D04" w:rsidRDefault="005F5D04">
                          <w:pPr>
                            <w:spacing w:before="40"/>
                            <w:jc w:val="right"/>
                            <w:rPr>
                              <w:rFonts w:ascii="Arial" w:hAnsi="Arial"/>
                              <w:b/>
                              <w:sz w:val="16"/>
                            </w:rPr>
                          </w:pPr>
                          <w:r>
                            <w:rPr>
                              <w:rFonts w:ascii="Arial" w:hAnsi="Arial"/>
                              <w:b/>
                              <w:sz w:val="16"/>
                            </w:rPr>
                            <w:t>News Media Information 202 / 418-0500</w:t>
                          </w:r>
                        </w:p>
                        <w:p w:rsidR="005F5D04" w:rsidRDefault="005F5D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F5D04" w:rsidRDefault="005F5D04">
                          <w:pPr>
                            <w:jc w:val="right"/>
                            <w:rPr>
                              <w:rFonts w:ascii="Arial" w:hAnsi="Arial"/>
                              <w:b/>
                              <w:sz w:val="16"/>
                            </w:rPr>
                          </w:pPr>
                          <w:r>
                            <w:rPr>
                              <w:rFonts w:ascii="Arial" w:hAnsi="Arial"/>
                              <w:b/>
                              <w:sz w:val="16"/>
                            </w:rPr>
                            <w:t>TTY: 1-888-835-5322</w:t>
                          </w:r>
                        </w:p>
                        <w:p w:rsidR="005F5D04" w:rsidRDefault="005F5D04">
                          <w:pPr>
                            <w:jc w:val="right"/>
                            <w:rPr>
                              <w:rFonts w:ascii="Arial" w:hAnsi="Arial"/>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6.05pt;margin-top:54.2pt;width:207.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" stroked="f">
              <v:textbox inset=",0,,0">
                <w:txbxContent>
                  <w:p w:rsidR="005F5D04" w:rsidRDefault="005F5D04">
                    <w:pPr>
                      <w:spacing w:before="40"/>
                      <w:jc w:val="right"/>
                      <w:rPr>
                        <w:rFonts w:ascii="Arial" w:hAnsi="Arial"/>
                        <w:sz w:val="16"/>
                      </w:rPr>
                    </w:pPr>
                    <w:r>
                      <w:rPr>
                        <w:rFonts w:ascii="Arial" w:hAnsi="Arial"/>
                        <w:sz w:val="16"/>
                      </w:rPr>
                      <w:tab/>
                    </w:r>
                  </w:p>
                  <w:p w:rsidR="005F5D04" w:rsidRDefault="005F5D04">
                    <w:pPr>
                      <w:spacing w:before="40"/>
                      <w:jc w:val="right"/>
                      <w:rPr>
                        <w:rFonts w:ascii="Arial" w:hAnsi="Arial"/>
                        <w:b/>
                        <w:sz w:val="16"/>
                      </w:rPr>
                    </w:pPr>
                    <w:r>
                      <w:rPr>
                        <w:rFonts w:ascii="Arial" w:hAnsi="Arial"/>
                        <w:b/>
                        <w:sz w:val="16"/>
                      </w:rPr>
                      <w:t>News Media Information 202 / 418-0500</w:t>
                    </w:r>
                  </w:p>
                  <w:p w:rsidR="005F5D04" w:rsidRDefault="005F5D0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5F5D04" w:rsidRDefault="005F5D04">
                    <w:pPr>
                      <w:jc w:val="right"/>
                      <w:rPr>
                        <w:rFonts w:ascii="Arial" w:hAnsi="Arial"/>
                        <w:b/>
                        <w:sz w:val="16"/>
                      </w:rPr>
                    </w:pPr>
                    <w:r>
                      <w:rPr>
                        <w:rFonts w:ascii="Arial" w:hAnsi="Arial"/>
                        <w:b/>
                        <w:sz w:val="16"/>
                      </w:rPr>
                      <w:t>TTY: 1-888-835-5322</w:t>
                    </w:r>
                  </w:p>
                  <w:p w:rsidR="005F5D04" w:rsidRDefault="005F5D04">
                    <w:pPr>
                      <w:jc w:val="right"/>
                      <w:rPr>
                        <w:rFonts w:ascii="Arial" w:hAnsi="Arial"/>
                        <w:sz w:val="16"/>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04" w:rsidRDefault="005F5D04">
                          <w:pPr>
                            <w:rPr>
                              <w:rFonts w:ascii="Arial" w:hAnsi="Arial" w:cs="Arial"/>
                              <w:b/>
                            </w:rPr>
                          </w:pPr>
                          <w:r>
                            <w:rPr>
                              <w:rFonts w:ascii="Arial" w:hAnsi="Arial" w:cs="Arial"/>
                              <w:b/>
                            </w:rPr>
                            <w:t>Federal Communications Commission</w:t>
                          </w:r>
                        </w:p>
                        <w:p w:rsidR="005F5D04" w:rsidRDefault="005F5D04">
                          <w:pPr>
                            <w:rPr>
                              <w:rFonts w:ascii="Arial" w:hAnsi="Arial" w:cs="Arial"/>
                              <w:b/>
                            </w:rPr>
                          </w:pPr>
                          <w:r>
                            <w:rPr>
                              <w:rFonts w:ascii="Arial" w:hAnsi="Arial" w:cs="Arial"/>
                              <w:b/>
                            </w:rPr>
                            <w:t>445 12</w:t>
                          </w:r>
                          <w:r>
                            <w:rPr>
                              <w:rFonts w:ascii="Arial" w:hAnsi="Arial" w:cs="Arial"/>
                              <w:b/>
                              <w:vertAlign w:val="superscript"/>
                            </w:rPr>
                            <w:t>th</w:t>
                          </w:r>
                          <w:r>
                            <w:rPr>
                              <w:rFonts w:ascii="Arial" w:hAnsi="Arial" w:cs="Arial"/>
                              <w:b/>
                            </w:rPr>
                            <w:t xml:space="preserve"> St., S.W.</w:t>
                          </w:r>
                        </w:p>
                        <w:p w:rsidR="005F5D04" w:rsidRDefault="005F5D04">
                          <w:pPr>
                            <w:rPr>
                              <w:rFonts w:ascii="Arial" w:hAnsi="Arial" w:cs="Arial"/>
                              <w:sz w:val="24"/>
                            </w:rPr>
                          </w:pPr>
                          <w:r>
                            <w:rPr>
                              <w:rFonts w:ascii="Arial" w:hAnsi="Arial" w:cs="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Fdcf0IYCAAAWBQAADgAAAAAAAAAAAAAAAAAuAgAAZHJzL2Uyb0RvYy54bWxQSwECLQAUAAYACAAA&#10;ACEAYFnZv94AAAAKAQAADwAAAAAAAAAAAAAAAADgBAAAZHJzL2Rvd25yZXYueG1sUEsFBgAAAAAE&#10;AAQA8wAAAOsFAAAAAA==&#10;" o:allowincell="f" stroked="f">
              <v:textbox>
                <w:txbxContent>
                  <w:p w:rsidR="005F5D04" w:rsidRDefault="005F5D04">
                    <w:pPr>
                      <w:rPr>
                        <w:rFonts w:ascii="Arial" w:hAnsi="Arial" w:cs="Arial"/>
                        <w:b/>
                      </w:rPr>
                    </w:pPr>
                    <w:r>
                      <w:rPr>
                        <w:rFonts w:ascii="Arial" w:hAnsi="Arial" w:cs="Arial"/>
                        <w:b/>
                      </w:rPr>
                      <w:t>Federal Communications Commission</w:t>
                    </w:r>
                  </w:p>
                  <w:p w:rsidR="005F5D04" w:rsidRDefault="005F5D04">
                    <w:pPr>
                      <w:rPr>
                        <w:rFonts w:ascii="Arial" w:hAnsi="Arial" w:cs="Arial"/>
                        <w:b/>
                      </w:rPr>
                    </w:pPr>
                    <w:r>
                      <w:rPr>
                        <w:rFonts w:ascii="Arial" w:hAnsi="Arial" w:cs="Arial"/>
                        <w:b/>
                      </w:rPr>
                      <w:t>445 12</w:t>
                    </w:r>
                    <w:r>
                      <w:rPr>
                        <w:rFonts w:ascii="Arial" w:hAnsi="Arial" w:cs="Arial"/>
                        <w:b/>
                        <w:vertAlign w:val="superscript"/>
                      </w:rPr>
                      <w:t>th</w:t>
                    </w:r>
                    <w:r>
                      <w:rPr>
                        <w:rFonts w:ascii="Arial" w:hAnsi="Arial" w:cs="Arial"/>
                        <w:b/>
                      </w:rPr>
                      <w:t xml:space="preserve"> St., S.W.</w:t>
                    </w:r>
                  </w:p>
                  <w:p w:rsidR="005F5D04" w:rsidRDefault="005F5D04">
                    <w:pPr>
                      <w:rPr>
                        <w:rFonts w:ascii="Arial" w:hAnsi="Arial" w:cs="Arial"/>
                        <w:sz w:val="24"/>
                      </w:rPr>
                    </w:pPr>
                    <w:r>
                      <w:rPr>
                        <w:rFonts w:ascii="Arial" w:hAnsi="Arial" w:cs="Arial"/>
                        <w:b/>
                      </w:rPr>
                      <w:t>Washington, D.C. 20554</w:t>
                    </w:r>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1185" cy="59118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sidR="005F5D04">
      <w:rPr>
        <w:rFonts w:ascii="News Gothic MT" w:hAnsi="News Gothic MT"/>
        <w:b/>
        <w:kern w:val="28"/>
        <w:sz w:val="96"/>
      </w:rPr>
      <w:t>PUBLIC NOTICE</w:t>
    </w:r>
  </w:p>
  <w:p w:rsidR="005F5D04" w:rsidRDefault="00391BEE">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5357658"/>
    <w:multiLevelType w:val="hybridMultilevel"/>
    <w:tmpl w:val="A59E262C"/>
    <w:lvl w:ilvl="0" w:tplc="29FE5FDC">
      <w:start w:val="1"/>
      <w:numFmt w:val="bullet"/>
      <w:lvlText w:val=""/>
      <w:lvlJc w:val="left"/>
      <w:pPr>
        <w:tabs>
          <w:tab w:val="num" w:pos="720"/>
        </w:tabs>
        <w:ind w:left="720" w:hanging="360"/>
      </w:pPr>
      <w:rPr>
        <w:rFonts w:ascii="Wingdings" w:hAnsi="Wingdings" w:hint="default"/>
      </w:rPr>
    </w:lvl>
    <w:lvl w:ilvl="1" w:tplc="126E4A42">
      <w:start w:val="1"/>
      <w:numFmt w:val="decimal"/>
      <w:lvlText w:val="(%2)"/>
      <w:lvlJc w:val="left"/>
      <w:pPr>
        <w:tabs>
          <w:tab w:val="num" w:pos="1440"/>
        </w:tabs>
        <w:ind w:left="1440" w:hanging="360"/>
      </w:pPr>
      <w:rPr>
        <w:rFonts w:hint="default"/>
      </w:rPr>
    </w:lvl>
    <w:lvl w:ilvl="2" w:tplc="58D0B15C">
      <w:start w:val="1"/>
      <w:numFmt w:val="lowerRoman"/>
      <w:lvlText w:val="%3."/>
      <w:lvlJc w:val="right"/>
      <w:pPr>
        <w:tabs>
          <w:tab w:val="num" w:pos="2160"/>
        </w:tabs>
        <w:ind w:left="2160" w:hanging="180"/>
      </w:pPr>
    </w:lvl>
    <w:lvl w:ilvl="3" w:tplc="BBCE6896" w:tentative="1">
      <w:start w:val="1"/>
      <w:numFmt w:val="decimal"/>
      <w:lvlText w:val="%4."/>
      <w:lvlJc w:val="left"/>
      <w:pPr>
        <w:tabs>
          <w:tab w:val="num" w:pos="2880"/>
        </w:tabs>
        <w:ind w:left="2880" w:hanging="360"/>
      </w:pPr>
    </w:lvl>
    <w:lvl w:ilvl="4" w:tplc="E3B662E0" w:tentative="1">
      <w:start w:val="1"/>
      <w:numFmt w:val="lowerLetter"/>
      <w:lvlText w:val="%5."/>
      <w:lvlJc w:val="left"/>
      <w:pPr>
        <w:tabs>
          <w:tab w:val="num" w:pos="3600"/>
        </w:tabs>
        <w:ind w:left="3600" w:hanging="360"/>
      </w:pPr>
    </w:lvl>
    <w:lvl w:ilvl="5" w:tplc="A30216F4" w:tentative="1">
      <w:start w:val="1"/>
      <w:numFmt w:val="lowerRoman"/>
      <w:lvlText w:val="%6."/>
      <w:lvlJc w:val="right"/>
      <w:pPr>
        <w:tabs>
          <w:tab w:val="num" w:pos="4320"/>
        </w:tabs>
        <w:ind w:left="4320" w:hanging="180"/>
      </w:pPr>
    </w:lvl>
    <w:lvl w:ilvl="6" w:tplc="E110B7C6" w:tentative="1">
      <w:start w:val="1"/>
      <w:numFmt w:val="decimal"/>
      <w:lvlText w:val="%7."/>
      <w:lvlJc w:val="left"/>
      <w:pPr>
        <w:tabs>
          <w:tab w:val="num" w:pos="5040"/>
        </w:tabs>
        <w:ind w:left="5040" w:hanging="360"/>
      </w:pPr>
    </w:lvl>
    <w:lvl w:ilvl="7" w:tplc="A96E4F60" w:tentative="1">
      <w:start w:val="1"/>
      <w:numFmt w:val="lowerLetter"/>
      <w:lvlText w:val="%8."/>
      <w:lvlJc w:val="left"/>
      <w:pPr>
        <w:tabs>
          <w:tab w:val="num" w:pos="5760"/>
        </w:tabs>
        <w:ind w:left="5760" w:hanging="360"/>
      </w:pPr>
    </w:lvl>
    <w:lvl w:ilvl="8" w:tplc="8C40E814" w:tentative="1">
      <w:start w:val="1"/>
      <w:numFmt w:val="lowerRoman"/>
      <w:lvlText w:val="%9."/>
      <w:lvlJc w:val="right"/>
      <w:pPr>
        <w:tabs>
          <w:tab w:val="num" w:pos="6480"/>
        </w:tabs>
        <w:ind w:left="6480" w:hanging="180"/>
      </w:pPr>
    </w:lvl>
  </w:abstractNum>
  <w:abstractNum w:abstractNumId="2">
    <w:nsid w:val="1C8F632B"/>
    <w:multiLevelType w:val="hybridMultilevel"/>
    <w:tmpl w:val="871012A2"/>
    <w:lvl w:ilvl="0" w:tplc="D92E44F0">
      <w:start w:val="1"/>
      <w:numFmt w:val="decimal"/>
      <w:lvlText w:val="%1)"/>
      <w:lvlJc w:val="left"/>
      <w:pPr>
        <w:tabs>
          <w:tab w:val="num" w:pos="720"/>
        </w:tabs>
        <w:ind w:left="720" w:hanging="360"/>
      </w:pPr>
    </w:lvl>
    <w:lvl w:ilvl="1" w:tplc="37FAC242" w:tentative="1">
      <w:start w:val="1"/>
      <w:numFmt w:val="lowerLetter"/>
      <w:lvlText w:val="%2."/>
      <w:lvlJc w:val="left"/>
      <w:pPr>
        <w:tabs>
          <w:tab w:val="num" w:pos="1440"/>
        </w:tabs>
        <w:ind w:left="1440" w:hanging="360"/>
      </w:pPr>
    </w:lvl>
    <w:lvl w:ilvl="2" w:tplc="FDA8C1B2" w:tentative="1">
      <w:start w:val="1"/>
      <w:numFmt w:val="lowerRoman"/>
      <w:lvlText w:val="%3."/>
      <w:lvlJc w:val="right"/>
      <w:pPr>
        <w:tabs>
          <w:tab w:val="num" w:pos="2160"/>
        </w:tabs>
        <w:ind w:left="2160" w:hanging="180"/>
      </w:pPr>
    </w:lvl>
    <w:lvl w:ilvl="3" w:tplc="7BD8B06E" w:tentative="1">
      <w:start w:val="1"/>
      <w:numFmt w:val="decimal"/>
      <w:lvlText w:val="%4."/>
      <w:lvlJc w:val="left"/>
      <w:pPr>
        <w:tabs>
          <w:tab w:val="num" w:pos="2880"/>
        </w:tabs>
        <w:ind w:left="2880" w:hanging="360"/>
      </w:pPr>
    </w:lvl>
    <w:lvl w:ilvl="4" w:tplc="0DF49624" w:tentative="1">
      <w:start w:val="1"/>
      <w:numFmt w:val="lowerLetter"/>
      <w:lvlText w:val="%5."/>
      <w:lvlJc w:val="left"/>
      <w:pPr>
        <w:tabs>
          <w:tab w:val="num" w:pos="3600"/>
        </w:tabs>
        <w:ind w:left="3600" w:hanging="360"/>
      </w:pPr>
    </w:lvl>
    <w:lvl w:ilvl="5" w:tplc="81CA8EA4" w:tentative="1">
      <w:start w:val="1"/>
      <w:numFmt w:val="lowerRoman"/>
      <w:lvlText w:val="%6."/>
      <w:lvlJc w:val="right"/>
      <w:pPr>
        <w:tabs>
          <w:tab w:val="num" w:pos="4320"/>
        </w:tabs>
        <w:ind w:left="4320" w:hanging="180"/>
      </w:pPr>
    </w:lvl>
    <w:lvl w:ilvl="6" w:tplc="C4BAB266" w:tentative="1">
      <w:start w:val="1"/>
      <w:numFmt w:val="decimal"/>
      <w:lvlText w:val="%7."/>
      <w:lvlJc w:val="left"/>
      <w:pPr>
        <w:tabs>
          <w:tab w:val="num" w:pos="5040"/>
        </w:tabs>
        <w:ind w:left="5040" w:hanging="360"/>
      </w:pPr>
    </w:lvl>
    <w:lvl w:ilvl="7" w:tplc="749AD392" w:tentative="1">
      <w:start w:val="1"/>
      <w:numFmt w:val="lowerLetter"/>
      <w:lvlText w:val="%8."/>
      <w:lvlJc w:val="left"/>
      <w:pPr>
        <w:tabs>
          <w:tab w:val="num" w:pos="5760"/>
        </w:tabs>
        <w:ind w:left="5760" w:hanging="360"/>
      </w:pPr>
    </w:lvl>
    <w:lvl w:ilvl="8" w:tplc="0296AECA" w:tentative="1">
      <w:start w:val="1"/>
      <w:numFmt w:val="lowerRoman"/>
      <w:lvlText w:val="%9."/>
      <w:lvlJc w:val="right"/>
      <w:pPr>
        <w:tabs>
          <w:tab w:val="num" w:pos="6480"/>
        </w:tabs>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41A47FB8">
      <w:start w:val="1"/>
      <w:numFmt w:val="bullet"/>
      <w:lvlText w:val=""/>
      <w:lvlJc w:val="left"/>
      <w:pPr>
        <w:tabs>
          <w:tab w:val="num" w:pos="720"/>
        </w:tabs>
        <w:ind w:left="720" w:hanging="360"/>
      </w:pPr>
      <w:rPr>
        <w:rFonts w:ascii="Wingdings" w:hAnsi="Wingdings" w:hint="default"/>
      </w:rPr>
    </w:lvl>
    <w:lvl w:ilvl="1" w:tplc="25F6A0AE">
      <w:start w:val="1"/>
      <w:numFmt w:val="bullet"/>
      <w:lvlText w:val="o"/>
      <w:lvlJc w:val="left"/>
      <w:pPr>
        <w:tabs>
          <w:tab w:val="num" w:pos="720"/>
        </w:tabs>
        <w:ind w:left="720" w:hanging="360"/>
      </w:pPr>
      <w:rPr>
        <w:rFonts w:ascii="Courier New" w:hAnsi="Courier New" w:cs="Arial" w:hint="default"/>
      </w:rPr>
    </w:lvl>
    <w:lvl w:ilvl="2" w:tplc="A1D87CBE">
      <w:start w:val="1"/>
      <w:numFmt w:val="bullet"/>
      <w:lvlText w:val=""/>
      <w:lvlJc w:val="left"/>
      <w:pPr>
        <w:tabs>
          <w:tab w:val="num" w:pos="1440"/>
        </w:tabs>
        <w:ind w:left="1440" w:hanging="360"/>
      </w:pPr>
      <w:rPr>
        <w:rFonts w:ascii="Wingdings" w:hAnsi="Wingdings" w:hint="default"/>
      </w:rPr>
    </w:lvl>
    <w:lvl w:ilvl="3" w:tplc="ECF89BC0" w:tentative="1">
      <w:start w:val="1"/>
      <w:numFmt w:val="bullet"/>
      <w:lvlText w:val=""/>
      <w:lvlJc w:val="left"/>
      <w:pPr>
        <w:tabs>
          <w:tab w:val="num" w:pos="2160"/>
        </w:tabs>
        <w:ind w:left="2160" w:hanging="360"/>
      </w:pPr>
      <w:rPr>
        <w:rFonts w:ascii="Symbol" w:hAnsi="Symbol" w:hint="default"/>
      </w:rPr>
    </w:lvl>
    <w:lvl w:ilvl="4" w:tplc="B5BC70C4" w:tentative="1">
      <w:start w:val="1"/>
      <w:numFmt w:val="bullet"/>
      <w:lvlText w:val="o"/>
      <w:lvlJc w:val="left"/>
      <w:pPr>
        <w:tabs>
          <w:tab w:val="num" w:pos="2880"/>
        </w:tabs>
        <w:ind w:left="2880" w:hanging="360"/>
      </w:pPr>
      <w:rPr>
        <w:rFonts w:ascii="Courier New" w:hAnsi="Courier New" w:cs="Arial" w:hint="default"/>
      </w:rPr>
    </w:lvl>
    <w:lvl w:ilvl="5" w:tplc="6E0068C2" w:tentative="1">
      <w:start w:val="1"/>
      <w:numFmt w:val="bullet"/>
      <w:lvlText w:val=""/>
      <w:lvlJc w:val="left"/>
      <w:pPr>
        <w:tabs>
          <w:tab w:val="num" w:pos="3600"/>
        </w:tabs>
        <w:ind w:left="3600" w:hanging="360"/>
      </w:pPr>
      <w:rPr>
        <w:rFonts w:ascii="Wingdings" w:hAnsi="Wingdings" w:hint="default"/>
      </w:rPr>
    </w:lvl>
    <w:lvl w:ilvl="6" w:tplc="73701CF6" w:tentative="1">
      <w:start w:val="1"/>
      <w:numFmt w:val="bullet"/>
      <w:lvlText w:val=""/>
      <w:lvlJc w:val="left"/>
      <w:pPr>
        <w:tabs>
          <w:tab w:val="num" w:pos="4320"/>
        </w:tabs>
        <w:ind w:left="4320" w:hanging="360"/>
      </w:pPr>
      <w:rPr>
        <w:rFonts w:ascii="Symbol" w:hAnsi="Symbol" w:hint="default"/>
      </w:rPr>
    </w:lvl>
    <w:lvl w:ilvl="7" w:tplc="5EB4729A" w:tentative="1">
      <w:start w:val="1"/>
      <w:numFmt w:val="bullet"/>
      <w:lvlText w:val="o"/>
      <w:lvlJc w:val="left"/>
      <w:pPr>
        <w:tabs>
          <w:tab w:val="num" w:pos="5040"/>
        </w:tabs>
        <w:ind w:left="5040" w:hanging="360"/>
      </w:pPr>
      <w:rPr>
        <w:rFonts w:ascii="Courier New" w:hAnsi="Courier New" w:cs="Arial" w:hint="default"/>
      </w:rPr>
    </w:lvl>
    <w:lvl w:ilvl="8" w:tplc="E81C10C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45E537E"/>
    <w:multiLevelType w:val="multilevel"/>
    <w:tmpl w:val="51C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859F8"/>
    <w:multiLevelType w:val="multilevel"/>
    <w:tmpl w:val="CCCC3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70391286"/>
    <w:multiLevelType w:val="hybridMultilevel"/>
    <w:tmpl w:val="A072DFF6"/>
    <w:lvl w:ilvl="0" w:tplc="EF2E7294">
      <w:start w:val="1"/>
      <w:numFmt w:val="bullet"/>
      <w:lvlText w:val=""/>
      <w:lvlJc w:val="left"/>
      <w:pPr>
        <w:tabs>
          <w:tab w:val="num" w:pos="720"/>
        </w:tabs>
        <w:ind w:left="720" w:hanging="360"/>
      </w:pPr>
      <w:rPr>
        <w:rFonts w:ascii="Wingdings" w:hAnsi="Wingdings" w:hint="default"/>
      </w:rPr>
    </w:lvl>
    <w:lvl w:ilvl="1" w:tplc="20164E1E" w:tentative="1">
      <w:start w:val="1"/>
      <w:numFmt w:val="bullet"/>
      <w:lvlText w:val="o"/>
      <w:lvlJc w:val="left"/>
      <w:pPr>
        <w:tabs>
          <w:tab w:val="num" w:pos="1440"/>
        </w:tabs>
        <w:ind w:left="1440" w:hanging="360"/>
      </w:pPr>
      <w:rPr>
        <w:rFonts w:ascii="Courier New" w:hAnsi="Courier New" w:cs="Arial" w:hint="default"/>
      </w:rPr>
    </w:lvl>
    <w:lvl w:ilvl="2" w:tplc="445E23D2" w:tentative="1">
      <w:start w:val="1"/>
      <w:numFmt w:val="bullet"/>
      <w:lvlText w:val=""/>
      <w:lvlJc w:val="left"/>
      <w:pPr>
        <w:tabs>
          <w:tab w:val="num" w:pos="2160"/>
        </w:tabs>
        <w:ind w:left="2160" w:hanging="360"/>
      </w:pPr>
      <w:rPr>
        <w:rFonts w:ascii="Wingdings" w:hAnsi="Wingdings" w:hint="default"/>
      </w:rPr>
    </w:lvl>
    <w:lvl w:ilvl="3" w:tplc="B82AB30A" w:tentative="1">
      <w:start w:val="1"/>
      <w:numFmt w:val="bullet"/>
      <w:lvlText w:val=""/>
      <w:lvlJc w:val="left"/>
      <w:pPr>
        <w:tabs>
          <w:tab w:val="num" w:pos="2880"/>
        </w:tabs>
        <w:ind w:left="2880" w:hanging="360"/>
      </w:pPr>
      <w:rPr>
        <w:rFonts w:ascii="Symbol" w:hAnsi="Symbol" w:hint="default"/>
      </w:rPr>
    </w:lvl>
    <w:lvl w:ilvl="4" w:tplc="3D3C8E86" w:tentative="1">
      <w:start w:val="1"/>
      <w:numFmt w:val="bullet"/>
      <w:lvlText w:val="o"/>
      <w:lvlJc w:val="left"/>
      <w:pPr>
        <w:tabs>
          <w:tab w:val="num" w:pos="3600"/>
        </w:tabs>
        <w:ind w:left="3600" w:hanging="360"/>
      </w:pPr>
      <w:rPr>
        <w:rFonts w:ascii="Courier New" w:hAnsi="Courier New" w:cs="Arial" w:hint="default"/>
      </w:rPr>
    </w:lvl>
    <w:lvl w:ilvl="5" w:tplc="334A02BE" w:tentative="1">
      <w:start w:val="1"/>
      <w:numFmt w:val="bullet"/>
      <w:lvlText w:val=""/>
      <w:lvlJc w:val="left"/>
      <w:pPr>
        <w:tabs>
          <w:tab w:val="num" w:pos="4320"/>
        </w:tabs>
        <w:ind w:left="4320" w:hanging="360"/>
      </w:pPr>
      <w:rPr>
        <w:rFonts w:ascii="Wingdings" w:hAnsi="Wingdings" w:hint="default"/>
      </w:rPr>
    </w:lvl>
    <w:lvl w:ilvl="6" w:tplc="A85EB2DA" w:tentative="1">
      <w:start w:val="1"/>
      <w:numFmt w:val="bullet"/>
      <w:lvlText w:val=""/>
      <w:lvlJc w:val="left"/>
      <w:pPr>
        <w:tabs>
          <w:tab w:val="num" w:pos="5040"/>
        </w:tabs>
        <w:ind w:left="5040" w:hanging="360"/>
      </w:pPr>
      <w:rPr>
        <w:rFonts w:ascii="Symbol" w:hAnsi="Symbol" w:hint="default"/>
      </w:rPr>
    </w:lvl>
    <w:lvl w:ilvl="7" w:tplc="C8DE74DA" w:tentative="1">
      <w:start w:val="1"/>
      <w:numFmt w:val="bullet"/>
      <w:lvlText w:val="o"/>
      <w:lvlJc w:val="left"/>
      <w:pPr>
        <w:tabs>
          <w:tab w:val="num" w:pos="5760"/>
        </w:tabs>
        <w:ind w:left="5760" w:hanging="360"/>
      </w:pPr>
      <w:rPr>
        <w:rFonts w:ascii="Courier New" w:hAnsi="Courier New" w:cs="Arial" w:hint="default"/>
      </w:rPr>
    </w:lvl>
    <w:lvl w:ilvl="8" w:tplc="5784FB20"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DF8A3EE0">
      <w:start w:val="1"/>
      <w:numFmt w:val="bullet"/>
      <w:lvlText w:val=""/>
      <w:lvlJc w:val="left"/>
      <w:pPr>
        <w:tabs>
          <w:tab w:val="num" w:pos="1440"/>
        </w:tabs>
        <w:ind w:left="1440" w:hanging="360"/>
      </w:pPr>
      <w:rPr>
        <w:rFonts w:ascii="Wingdings" w:hAnsi="Wingdings" w:hint="default"/>
      </w:rPr>
    </w:lvl>
    <w:lvl w:ilvl="1" w:tplc="872E8D58">
      <w:start w:val="1"/>
      <w:numFmt w:val="decimal"/>
      <w:lvlText w:val="(%2)"/>
      <w:lvlJc w:val="left"/>
      <w:pPr>
        <w:tabs>
          <w:tab w:val="num" w:pos="2160"/>
        </w:tabs>
        <w:ind w:left="2160" w:hanging="360"/>
      </w:pPr>
      <w:rPr>
        <w:rFonts w:hint="default"/>
      </w:rPr>
    </w:lvl>
    <w:lvl w:ilvl="2" w:tplc="DEECB94A">
      <w:start w:val="1"/>
      <w:numFmt w:val="lowerRoman"/>
      <w:lvlText w:val="%3."/>
      <w:lvlJc w:val="right"/>
      <w:pPr>
        <w:tabs>
          <w:tab w:val="num" w:pos="2880"/>
        </w:tabs>
        <w:ind w:left="2880" w:hanging="180"/>
      </w:pPr>
    </w:lvl>
    <w:lvl w:ilvl="3" w:tplc="0352DF1A">
      <w:numFmt w:val="bullet"/>
      <w:lvlText w:val="-"/>
      <w:lvlJc w:val="left"/>
      <w:pPr>
        <w:tabs>
          <w:tab w:val="num" w:pos="1440"/>
        </w:tabs>
        <w:ind w:left="1440" w:hanging="360"/>
      </w:pPr>
      <w:rPr>
        <w:rFonts w:ascii="Times New Roman" w:eastAsia="Times New Roman" w:hAnsi="Times New Roman" w:cs="Times New Roman" w:hint="default"/>
      </w:rPr>
    </w:lvl>
    <w:lvl w:ilvl="4" w:tplc="75B05C4C">
      <w:start w:val="1"/>
      <w:numFmt w:val="lowerLetter"/>
      <w:lvlText w:val="%5."/>
      <w:lvlJc w:val="left"/>
      <w:pPr>
        <w:tabs>
          <w:tab w:val="num" w:pos="4320"/>
        </w:tabs>
        <w:ind w:left="4320" w:hanging="360"/>
      </w:pPr>
    </w:lvl>
    <w:lvl w:ilvl="5" w:tplc="59FA3CE6" w:tentative="1">
      <w:start w:val="1"/>
      <w:numFmt w:val="lowerRoman"/>
      <w:lvlText w:val="%6."/>
      <w:lvlJc w:val="right"/>
      <w:pPr>
        <w:tabs>
          <w:tab w:val="num" w:pos="5040"/>
        </w:tabs>
        <w:ind w:left="5040" w:hanging="180"/>
      </w:pPr>
    </w:lvl>
    <w:lvl w:ilvl="6" w:tplc="92A2E7C8" w:tentative="1">
      <w:start w:val="1"/>
      <w:numFmt w:val="decimal"/>
      <w:lvlText w:val="%7."/>
      <w:lvlJc w:val="left"/>
      <w:pPr>
        <w:tabs>
          <w:tab w:val="num" w:pos="5760"/>
        </w:tabs>
        <w:ind w:left="5760" w:hanging="360"/>
      </w:pPr>
    </w:lvl>
    <w:lvl w:ilvl="7" w:tplc="A40A97B0" w:tentative="1">
      <w:start w:val="1"/>
      <w:numFmt w:val="lowerLetter"/>
      <w:lvlText w:val="%8."/>
      <w:lvlJc w:val="left"/>
      <w:pPr>
        <w:tabs>
          <w:tab w:val="num" w:pos="6480"/>
        </w:tabs>
        <w:ind w:left="6480" w:hanging="360"/>
      </w:pPr>
    </w:lvl>
    <w:lvl w:ilvl="8" w:tplc="B39AA80E" w:tentative="1">
      <w:start w:val="1"/>
      <w:numFmt w:val="lowerRoman"/>
      <w:lvlText w:val="%9."/>
      <w:lvlJc w:val="right"/>
      <w:pPr>
        <w:tabs>
          <w:tab w:val="num" w:pos="7200"/>
        </w:tabs>
        <w:ind w:left="7200" w:hanging="180"/>
      </w:pPr>
    </w:lvl>
  </w:abstractNum>
  <w:num w:numId="1">
    <w:abstractNumId w:val="11"/>
  </w:num>
  <w:num w:numId="2">
    <w:abstractNumId w:val="8"/>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7"/>
  </w:num>
  <w:num w:numId="12">
    <w:abstractNumId w:val="4"/>
  </w:num>
  <w:num w:numId="13">
    <w:abstractNumId w:val="9"/>
  </w:num>
  <w:num w:numId="14">
    <w:abstractNumId w:val="5"/>
  </w:num>
  <w:num w:numId="15">
    <w:abstractNumId w:val="2"/>
  </w:num>
  <w:num w:numId="16">
    <w:abstractNumId w:val="10"/>
  </w:num>
  <w:num w:numId="17">
    <w:abstractNumId w:val="6"/>
  </w:num>
  <w:num w:numId="18">
    <w:abstractNumId w:val="1"/>
  </w:num>
  <w:num w:numId="19">
    <w:abstractNumId w:val="14"/>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76"/>
    <w:rsid w:val="00030A98"/>
    <w:rsid w:val="00031786"/>
    <w:rsid w:val="000701F5"/>
    <w:rsid w:val="00072EA3"/>
    <w:rsid w:val="000C0D35"/>
    <w:rsid w:val="00114B97"/>
    <w:rsid w:val="001847F2"/>
    <w:rsid w:val="001B0D66"/>
    <w:rsid w:val="001C242C"/>
    <w:rsid w:val="001D5A32"/>
    <w:rsid w:val="002639C1"/>
    <w:rsid w:val="002709F9"/>
    <w:rsid w:val="00315795"/>
    <w:rsid w:val="003416BA"/>
    <w:rsid w:val="00350F66"/>
    <w:rsid w:val="0037161A"/>
    <w:rsid w:val="00391BEE"/>
    <w:rsid w:val="003E0760"/>
    <w:rsid w:val="004258E4"/>
    <w:rsid w:val="004D1CAD"/>
    <w:rsid w:val="0058543E"/>
    <w:rsid w:val="005E68B2"/>
    <w:rsid w:val="005F5D04"/>
    <w:rsid w:val="00612DFE"/>
    <w:rsid w:val="00652B07"/>
    <w:rsid w:val="006C2DCB"/>
    <w:rsid w:val="006D2050"/>
    <w:rsid w:val="0075268A"/>
    <w:rsid w:val="00807296"/>
    <w:rsid w:val="008C4035"/>
    <w:rsid w:val="008D23F8"/>
    <w:rsid w:val="00914FAA"/>
    <w:rsid w:val="00932D5B"/>
    <w:rsid w:val="00995682"/>
    <w:rsid w:val="00A85A51"/>
    <w:rsid w:val="00AE3CF3"/>
    <w:rsid w:val="00B243AE"/>
    <w:rsid w:val="00B663B4"/>
    <w:rsid w:val="00B76172"/>
    <w:rsid w:val="00B86740"/>
    <w:rsid w:val="00BC2C5C"/>
    <w:rsid w:val="00BE1207"/>
    <w:rsid w:val="00BF4B7B"/>
    <w:rsid w:val="00CA0905"/>
    <w:rsid w:val="00CB1A16"/>
    <w:rsid w:val="00DC3526"/>
    <w:rsid w:val="00E33A76"/>
    <w:rsid w:val="00E44E61"/>
    <w:rsid w:val="00E7424F"/>
    <w:rsid w:val="00EA704B"/>
    <w:rsid w:val="00F46AE0"/>
    <w:rsid w:val="00F72F74"/>
    <w:rsid w:val="00FA04F6"/>
    <w:rsid w:val="00FA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pPr>
      <w:widowControl w:val="0"/>
      <w:numPr>
        <w:numId w:val="20"/>
      </w:numPr>
      <w:tabs>
        <w:tab w:val="clear" w:pos="1080"/>
      </w:tabs>
      <w:spacing w:after="220"/>
      <w:jc w:val="both"/>
    </w:pPr>
    <w:rPr>
      <w:snapToGrid w:val="0"/>
      <w:kern w:val="28"/>
    </w:rPr>
  </w:style>
  <w:style w:type="character" w:customStyle="1" w:styleId="StyleNumberedparagraphs11ptChar">
    <w:name w:val="Style Numbered paragraphs + 11 pt Char"/>
    <w:rPr>
      <w:noProof w:val="0"/>
      <w:sz w:val="22"/>
      <w:lang w:val="en-US" w:eastAsia="en-US" w:bidi="ar-SA"/>
    </w:rPr>
  </w:style>
  <w:style w:type="character" w:styleId="Emphasis">
    <w:name w:val="Emphasis"/>
    <w:qFormat/>
    <w:rPr>
      <w:i/>
      <w:i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pPr>
      <w:widowControl w:val="0"/>
      <w:numPr>
        <w:numId w:val="20"/>
      </w:numPr>
      <w:tabs>
        <w:tab w:val="clear" w:pos="1080"/>
      </w:tabs>
      <w:spacing w:after="220"/>
      <w:jc w:val="both"/>
    </w:pPr>
    <w:rPr>
      <w:snapToGrid w:val="0"/>
      <w:kern w:val="28"/>
    </w:rPr>
  </w:style>
  <w:style w:type="character" w:customStyle="1" w:styleId="StyleNumberedparagraphs11ptChar">
    <w:name w:val="Style Numbered paragraphs + 11 pt Char"/>
    <w:rPr>
      <w:noProof w:val="0"/>
      <w:sz w:val="22"/>
      <w:lang w:val="en-US" w:eastAsia="en-US" w:bidi="ar-SA"/>
    </w:rPr>
  </w:style>
  <w:style w:type="character" w:styleId="Emphasis">
    <w:name w:val="Emphasis"/>
    <w:qFormat/>
    <w:rPr>
      <w:i/>
      <w:i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about/tools/fcc/filings/2015/Q2/USAC%202Q2015%20Federal%20Universal%20Service%20Mechanism%20Quarterly%20Demand%20Fi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1862</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2202</CharactersWithSpaces>
  <SharedDoc>false</SharedDoc>
  <HyperlinkBase> </HyperlinkBase>
  <HLinks>
    <vt:vector size="12" baseType="variant">
      <vt:variant>
        <vt:i4>5243006</vt:i4>
      </vt:variant>
      <vt:variant>
        <vt:i4>3</vt:i4>
      </vt:variant>
      <vt:variant>
        <vt:i4>0</vt:i4>
      </vt:variant>
      <vt:variant>
        <vt:i4>5</vt:i4>
      </vt:variant>
      <vt:variant>
        <vt:lpwstr>http://www.usac.org/_res/documents/about/pdf/Filing-of-Funds-Available-for-Carry-Forward-12-23-14.pdf</vt:lpwstr>
      </vt:variant>
      <vt:variant>
        <vt:lpwstr/>
      </vt:variant>
      <vt:variant>
        <vt:i4>7077941</vt:i4>
      </vt:variant>
      <vt:variant>
        <vt:i4>0</vt:i4>
      </vt:variant>
      <vt:variant>
        <vt:i4>0</vt:i4>
      </vt:variant>
      <vt:variant>
        <vt:i4>5</vt:i4>
      </vt:variant>
      <vt:variant>
        <vt:lpwstr>http://www.usac.org/about/tools/fcc/filings/2015/Q2/USAC 2Q2015 Federal Universal Service Mechanism Quarterly Demand Filing.pdf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2012-07-18T19:20:00Z</cp:lastPrinted>
  <dcterms:created xsi:type="dcterms:W3CDTF">2015-05-08T19:26:00Z</dcterms:created>
  <dcterms:modified xsi:type="dcterms:W3CDTF">2015-05-08T19:26:00Z</dcterms:modified>
  <cp:category> </cp:category>
  <cp:contentStatus> </cp:contentStatus>
</cp:coreProperties>
</file>