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FE" w:rsidRDefault="002B5EFE" w:rsidP="00550ED5">
      <w:pPr>
        <w:jc w:val="center"/>
        <w:rPr>
          <w:b/>
        </w:rPr>
      </w:pPr>
      <w:bookmarkStart w:id="0" w:name="_GoBack"/>
      <w:bookmarkEnd w:id="0"/>
      <w:r>
        <w:rPr>
          <w:b/>
        </w:rPr>
        <w:t>Before the</w:t>
      </w:r>
    </w:p>
    <w:p w:rsidR="002B5EFE" w:rsidRDefault="002B5EFE">
      <w:pPr>
        <w:jc w:val="center"/>
        <w:rPr>
          <w:b/>
        </w:rPr>
      </w:pPr>
      <w:r>
        <w:rPr>
          <w:b/>
        </w:rPr>
        <w:t>Federal Communications Commission</w:t>
      </w:r>
    </w:p>
    <w:p w:rsidR="002B5EFE" w:rsidRDefault="002B5EFE">
      <w:pPr>
        <w:jc w:val="center"/>
        <w:rPr>
          <w:b/>
        </w:rPr>
      </w:pPr>
      <w:r>
        <w:rPr>
          <w:b/>
        </w:rPr>
        <w:t>Washington, D.C.  20554</w:t>
      </w:r>
    </w:p>
    <w:p w:rsidR="002B5EFE" w:rsidRDefault="002B5EFE"/>
    <w:p w:rsidR="0055293C" w:rsidRDefault="0055293C"/>
    <w:tbl>
      <w:tblPr>
        <w:tblW w:w="0" w:type="auto"/>
        <w:tblLayout w:type="fixed"/>
        <w:tblLook w:val="0000" w:firstRow="0" w:lastRow="0" w:firstColumn="0" w:lastColumn="0" w:noHBand="0" w:noVBand="0"/>
      </w:tblPr>
      <w:tblGrid>
        <w:gridCol w:w="4698"/>
        <w:gridCol w:w="720"/>
        <w:gridCol w:w="4230"/>
      </w:tblGrid>
      <w:tr w:rsidR="002B5EFE">
        <w:tc>
          <w:tcPr>
            <w:tcW w:w="4698" w:type="dxa"/>
          </w:tcPr>
          <w:p w:rsidR="002B5EFE" w:rsidRDefault="002B5EFE">
            <w:r>
              <w:t>In the Matter of</w:t>
            </w:r>
          </w:p>
          <w:p w:rsidR="002B5EFE" w:rsidRDefault="002B5EFE"/>
          <w:p w:rsidR="002B5EFE" w:rsidRDefault="002B5EFE">
            <w:r>
              <w:t>Universal Service Contribution Methodology</w:t>
            </w:r>
          </w:p>
          <w:p w:rsidR="002B5EFE" w:rsidRDefault="002B5EFE"/>
          <w:p w:rsidR="00EB34E3" w:rsidRDefault="009C3275">
            <w:r>
              <w:t xml:space="preserve">Request for </w:t>
            </w:r>
            <w:r w:rsidR="008B5FA5">
              <w:t xml:space="preserve">Review and </w:t>
            </w:r>
            <w:r>
              <w:t xml:space="preserve">Waiver by </w:t>
            </w:r>
            <w:r w:rsidR="00F70589">
              <w:t>NetDiverse, LLC</w:t>
            </w:r>
          </w:p>
          <w:p w:rsidR="002B5EFE" w:rsidRDefault="002B5EFE"/>
          <w:p w:rsidR="002B5EFE" w:rsidRDefault="002B5EFE"/>
        </w:tc>
        <w:tc>
          <w:tcPr>
            <w:tcW w:w="720" w:type="dxa"/>
          </w:tcPr>
          <w:p w:rsidR="002B5EFE" w:rsidRDefault="002B5EFE">
            <w:pPr>
              <w:rPr>
                <w:b/>
              </w:rPr>
            </w:pPr>
            <w:r>
              <w:rPr>
                <w:b/>
              </w:rPr>
              <w:t>)</w:t>
            </w:r>
          </w:p>
          <w:p w:rsidR="002B5EFE" w:rsidRDefault="002B5EFE">
            <w:pPr>
              <w:rPr>
                <w:b/>
              </w:rPr>
            </w:pPr>
            <w:r>
              <w:rPr>
                <w:b/>
              </w:rPr>
              <w:t>)</w:t>
            </w:r>
          </w:p>
          <w:p w:rsidR="002B5EFE" w:rsidRDefault="002B5EFE">
            <w:pPr>
              <w:rPr>
                <w:b/>
              </w:rPr>
            </w:pPr>
            <w:r>
              <w:rPr>
                <w:b/>
              </w:rPr>
              <w:t>)</w:t>
            </w:r>
          </w:p>
          <w:p w:rsidR="002B5EFE" w:rsidRDefault="002B5EFE">
            <w:pPr>
              <w:rPr>
                <w:b/>
              </w:rPr>
            </w:pPr>
            <w:r>
              <w:rPr>
                <w:b/>
              </w:rPr>
              <w:t>)</w:t>
            </w:r>
          </w:p>
          <w:p w:rsidR="002B5EFE" w:rsidRDefault="002B5EFE">
            <w:pPr>
              <w:rPr>
                <w:b/>
              </w:rPr>
            </w:pPr>
            <w:r>
              <w:rPr>
                <w:b/>
              </w:rPr>
              <w:t>)</w:t>
            </w:r>
          </w:p>
          <w:p w:rsidR="002B5EFE" w:rsidRDefault="005661DF">
            <w:pPr>
              <w:rPr>
                <w:b/>
              </w:rPr>
            </w:pPr>
            <w:r>
              <w:rPr>
                <w:b/>
              </w:rPr>
              <w:t>)</w:t>
            </w:r>
          </w:p>
          <w:p w:rsidR="002B5EFE" w:rsidRDefault="002B5EFE">
            <w:pPr>
              <w:rPr>
                <w:b/>
              </w:rPr>
            </w:pPr>
          </w:p>
          <w:p w:rsidR="002B5EFE" w:rsidRDefault="002B5EFE">
            <w:pPr>
              <w:rPr>
                <w:b/>
              </w:rPr>
            </w:pPr>
          </w:p>
        </w:tc>
        <w:tc>
          <w:tcPr>
            <w:tcW w:w="4230" w:type="dxa"/>
          </w:tcPr>
          <w:p w:rsidR="002B5EFE" w:rsidRDefault="002B5EFE"/>
          <w:p w:rsidR="002B5EFE" w:rsidRDefault="002B5EFE"/>
          <w:p w:rsidR="002B5EFE" w:rsidRDefault="002B5EFE">
            <w:r>
              <w:t>WC Docket No. 06-122</w:t>
            </w:r>
          </w:p>
        </w:tc>
      </w:tr>
    </w:tbl>
    <w:p w:rsidR="002B5EFE" w:rsidRDefault="002B5EFE">
      <w:pPr>
        <w:jc w:val="center"/>
        <w:rPr>
          <w:b/>
        </w:rPr>
      </w:pPr>
      <w:r>
        <w:rPr>
          <w:b/>
        </w:rPr>
        <w:t>ORDER</w:t>
      </w:r>
      <w:r w:rsidR="00E01DDA">
        <w:rPr>
          <w:b/>
        </w:rPr>
        <w:t xml:space="preserve"> </w:t>
      </w:r>
    </w:p>
    <w:p w:rsidR="002B5EFE" w:rsidRDefault="002B5EFE">
      <w:pPr>
        <w:tabs>
          <w:tab w:val="left" w:pos="5760"/>
        </w:tabs>
      </w:pPr>
    </w:p>
    <w:p w:rsidR="002B5EFE" w:rsidRDefault="001318E2">
      <w:pPr>
        <w:tabs>
          <w:tab w:val="right" w:pos="9360"/>
        </w:tabs>
        <w:rPr>
          <w:b/>
        </w:rPr>
      </w:pPr>
      <w:r>
        <w:rPr>
          <w:b/>
        </w:rPr>
        <w:t xml:space="preserve">Adopted:  </w:t>
      </w:r>
      <w:r w:rsidR="00352E2A">
        <w:rPr>
          <w:b/>
        </w:rPr>
        <w:t>May</w:t>
      </w:r>
      <w:r w:rsidR="00283AA9">
        <w:rPr>
          <w:b/>
        </w:rPr>
        <w:t xml:space="preserve"> 11</w:t>
      </w:r>
      <w:r w:rsidR="00F63EFA">
        <w:rPr>
          <w:b/>
        </w:rPr>
        <w:t xml:space="preserve">, </w:t>
      </w:r>
      <w:r w:rsidR="002B5EFE">
        <w:rPr>
          <w:b/>
        </w:rPr>
        <w:t>20</w:t>
      </w:r>
      <w:r w:rsidR="00316629">
        <w:rPr>
          <w:b/>
        </w:rPr>
        <w:t>15</w:t>
      </w:r>
      <w:r>
        <w:rPr>
          <w:b/>
        </w:rPr>
        <w:tab/>
        <w:t xml:space="preserve">Released:  </w:t>
      </w:r>
      <w:r w:rsidR="00352E2A">
        <w:rPr>
          <w:b/>
        </w:rPr>
        <w:t>May</w:t>
      </w:r>
      <w:r w:rsidR="00283AA9">
        <w:rPr>
          <w:b/>
        </w:rPr>
        <w:t xml:space="preserve"> 11</w:t>
      </w:r>
      <w:r w:rsidR="00F63EFA">
        <w:rPr>
          <w:b/>
        </w:rPr>
        <w:t xml:space="preserve">, </w:t>
      </w:r>
      <w:r w:rsidR="00135C8A">
        <w:rPr>
          <w:b/>
        </w:rPr>
        <w:t>20</w:t>
      </w:r>
      <w:r w:rsidR="00316629">
        <w:rPr>
          <w:b/>
        </w:rPr>
        <w:t>15</w:t>
      </w:r>
    </w:p>
    <w:p w:rsidR="002B5EFE" w:rsidRDefault="002B5EFE">
      <w:pPr>
        <w:tabs>
          <w:tab w:val="left" w:pos="5760"/>
        </w:tabs>
      </w:pPr>
    </w:p>
    <w:p w:rsidR="002B5EFE" w:rsidRDefault="002B5EFE">
      <w:pPr>
        <w:tabs>
          <w:tab w:val="left" w:pos="5760"/>
        </w:tabs>
        <w:rPr>
          <w:szCs w:val="22"/>
        </w:rPr>
      </w:pPr>
      <w:r>
        <w:t xml:space="preserve">By the </w:t>
      </w:r>
      <w:r w:rsidR="00742F99">
        <w:t xml:space="preserve">Deputy </w:t>
      </w:r>
      <w:r>
        <w:t>Chief,</w:t>
      </w:r>
      <w:r w:rsidR="009C3275">
        <w:t xml:space="preserve"> </w:t>
      </w:r>
      <w:r w:rsidR="0013347D">
        <w:t>Wireline</w:t>
      </w:r>
      <w:r w:rsidR="00CE1AA2">
        <w:t xml:space="preserve"> </w:t>
      </w:r>
      <w:r w:rsidR="0013347D">
        <w:t>Competition Bureau</w:t>
      </w:r>
      <w:r>
        <w:rPr>
          <w:szCs w:val="22"/>
        </w:rPr>
        <w:t>:</w:t>
      </w:r>
    </w:p>
    <w:p w:rsidR="006606A0" w:rsidRDefault="006606A0">
      <w:pPr>
        <w:tabs>
          <w:tab w:val="left" w:pos="5760"/>
        </w:tabs>
      </w:pPr>
    </w:p>
    <w:p w:rsidR="002A1694" w:rsidRPr="00F365CE" w:rsidRDefault="00505D92" w:rsidP="002A1694">
      <w:pPr>
        <w:pStyle w:val="ParaNum"/>
        <w:numPr>
          <w:ilvl w:val="0"/>
          <w:numId w:val="2"/>
        </w:numPr>
        <w:tabs>
          <w:tab w:val="clear" w:pos="1080"/>
        </w:tabs>
        <w:rPr>
          <w:b/>
          <w:color w:val="000000"/>
        </w:rPr>
      </w:pPr>
      <w:r>
        <w:t>In this order</w:t>
      </w:r>
      <w:r w:rsidR="006606A0">
        <w:t xml:space="preserve">, we grant </w:t>
      </w:r>
      <w:r w:rsidR="0075004E">
        <w:t xml:space="preserve">a request filed by </w:t>
      </w:r>
      <w:r w:rsidR="002D14FE">
        <w:t>NetDiverse, LLC (NetDiverse</w:t>
      </w:r>
      <w:r w:rsidR="00963A47">
        <w:t>)</w:t>
      </w:r>
      <w:r w:rsidR="00793994">
        <w:t xml:space="preserve"> </w:t>
      </w:r>
      <w:r w:rsidR="004966C1">
        <w:t xml:space="preserve">to </w:t>
      </w:r>
      <w:r w:rsidR="000D14CE">
        <w:t>waive a late</w:t>
      </w:r>
      <w:r w:rsidR="002F5523">
        <w:t xml:space="preserve"> FCC</w:t>
      </w:r>
      <w:r w:rsidR="000D14CE">
        <w:t xml:space="preserve"> Form 499-Q filing fee</w:t>
      </w:r>
      <w:r w:rsidR="004966C1">
        <w:t>.</w:t>
      </w:r>
      <w:r w:rsidR="004966C1">
        <w:rPr>
          <w:rStyle w:val="FootnoteReference"/>
        </w:rPr>
        <w:footnoteReference w:id="2"/>
      </w:r>
      <w:r w:rsidR="004966C1">
        <w:t xml:space="preserve"> </w:t>
      </w:r>
      <w:r w:rsidR="00B5266E">
        <w:t xml:space="preserve"> </w:t>
      </w:r>
      <w:r w:rsidR="00781DF2">
        <w:t>NetDiverse states that</w:t>
      </w:r>
      <w:r w:rsidR="00890755" w:rsidRPr="00890755">
        <w:t xml:space="preserve"> </w:t>
      </w:r>
      <w:r w:rsidR="00B22AA1">
        <w:t xml:space="preserve">it initially </w:t>
      </w:r>
      <w:r w:rsidR="00890755">
        <w:t xml:space="preserve">expected to remain </w:t>
      </w:r>
      <w:r w:rsidR="00781DF2">
        <w:t xml:space="preserve">a </w:t>
      </w:r>
      <w:r w:rsidR="00781DF2" w:rsidRPr="000D14CE">
        <w:rPr>
          <w:i/>
        </w:rPr>
        <w:t>de minimis</w:t>
      </w:r>
      <w:r w:rsidR="00781DF2">
        <w:t xml:space="preserve"> interconnected Voice over Internet Protocol (VoIP) provider</w:t>
      </w:r>
      <w:r w:rsidR="00B22AA1">
        <w:t xml:space="preserve"> in calendar year 2013, and therefore did not file the FCC Form 499-Q</w:t>
      </w:r>
      <w:r w:rsidR="00781DF2">
        <w:t>.</w:t>
      </w:r>
      <w:r w:rsidR="00A73C29">
        <w:rPr>
          <w:rStyle w:val="FootnoteReference"/>
        </w:rPr>
        <w:footnoteReference w:id="3"/>
      </w:r>
      <w:r w:rsidR="00781DF2">
        <w:t xml:space="preserve">  </w:t>
      </w:r>
      <w:r w:rsidR="00B22AA1">
        <w:t xml:space="preserve">It subsequently </w:t>
      </w:r>
      <w:r w:rsidR="0013347D">
        <w:t>forecasted</w:t>
      </w:r>
      <w:r w:rsidR="00B22AA1">
        <w:t>, however,</w:t>
      </w:r>
      <w:r w:rsidR="0013347D">
        <w:t xml:space="preserve"> that </w:t>
      </w:r>
      <w:r w:rsidR="00A73C29">
        <w:t>it</w:t>
      </w:r>
      <w:r w:rsidR="002F5523">
        <w:t xml:space="preserve">s </w:t>
      </w:r>
      <w:r w:rsidR="0013347D">
        <w:t>contribution obligation may</w:t>
      </w:r>
      <w:r w:rsidR="00A73C29">
        <w:t xml:space="preserve"> exceed the </w:t>
      </w:r>
      <w:r w:rsidR="00A73C29" w:rsidRPr="00A73C29">
        <w:rPr>
          <w:i/>
        </w:rPr>
        <w:t>de minimis</w:t>
      </w:r>
      <w:r w:rsidR="00A73C29">
        <w:t xml:space="preserve"> threshold </w:t>
      </w:r>
      <w:r w:rsidR="00084691">
        <w:t xml:space="preserve">in </w:t>
      </w:r>
      <w:r w:rsidR="00A73C29">
        <w:t>2013</w:t>
      </w:r>
      <w:r w:rsidR="00B22AA1">
        <w:t xml:space="preserve"> due to a new project that would generate assessable revenues</w:t>
      </w:r>
      <w:r w:rsidR="00A73C29">
        <w:t>.</w:t>
      </w:r>
      <w:r w:rsidR="00A73C29">
        <w:rPr>
          <w:rStyle w:val="FootnoteReference"/>
        </w:rPr>
        <w:footnoteReference w:id="4"/>
      </w:r>
      <w:r w:rsidR="00A73C29">
        <w:t xml:space="preserve">  In anticipation of th</w:t>
      </w:r>
      <w:r w:rsidR="00E432A1">
        <w:t>is</w:t>
      </w:r>
      <w:r w:rsidR="00A73C29">
        <w:t xml:space="preserve"> change in status</w:t>
      </w:r>
      <w:r w:rsidR="002F5523">
        <w:t>,</w:t>
      </w:r>
      <w:r w:rsidR="00A73C29">
        <w:t xml:space="preserve"> NetDiverse filed the FCC Form 499-Q</w:t>
      </w:r>
      <w:r w:rsidR="00316629">
        <w:t>,</w:t>
      </w:r>
      <w:r w:rsidR="00A73C29">
        <w:t xml:space="preserve"> </w:t>
      </w:r>
      <w:r w:rsidR="00316629">
        <w:t xml:space="preserve">which was </w:t>
      </w:r>
      <w:r w:rsidR="008C4556">
        <w:t>due on November 1</w:t>
      </w:r>
      <w:r w:rsidR="00316629">
        <w:t>,</w:t>
      </w:r>
      <w:r w:rsidR="008C4556">
        <w:t xml:space="preserve"> </w:t>
      </w:r>
      <w:r w:rsidR="00A73C29">
        <w:t xml:space="preserve">on December 15, 2012, forty-five days </w:t>
      </w:r>
      <w:r w:rsidR="002F5523">
        <w:t>after the filing deadline</w:t>
      </w:r>
      <w:r w:rsidR="00A73C29">
        <w:t>.</w:t>
      </w:r>
      <w:r w:rsidR="00A73C29">
        <w:rPr>
          <w:rStyle w:val="FootnoteReference"/>
        </w:rPr>
        <w:footnoteReference w:id="5"/>
      </w:r>
      <w:r w:rsidR="00A73C29">
        <w:t xml:space="preserve">  </w:t>
      </w:r>
      <w:r w:rsidR="0058075A">
        <w:t xml:space="preserve">Because </w:t>
      </w:r>
      <w:r w:rsidR="00286A02">
        <w:t>it filed after the deadline</w:t>
      </w:r>
      <w:r w:rsidR="0058075A">
        <w:t xml:space="preserve">, </w:t>
      </w:r>
      <w:r w:rsidR="004966C1">
        <w:t>USAC</w:t>
      </w:r>
      <w:r w:rsidR="0095631B">
        <w:t xml:space="preserve"> </w:t>
      </w:r>
      <w:r w:rsidR="00A73C29">
        <w:t xml:space="preserve">assessed </w:t>
      </w:r>
      <w:r w:rsidR="0095631B">
        <w:t>NetDiverse a late filing fee</w:t>
      </w:r>
      <w:r w:rsidR="0015253A">
        <w:t>.</w:t>
      </w:r>
      <w:r w:rsidR="00081365">
        <w:rPr>
          <w:rStyle w:val="FootnoteReference"/>
        </w:rPr>
        <w:footnoteReference w:id="6"/>
      </w:r>
      <w:r w:rsidR="009A3489">
        <w:t xml:space="preserve">  </w:t>
      </w:r>
      <w:r w:rsidR="009543DA">
        <w:t>NetDiverse</w:t>
      </w:r>
      <w:r w:rsidR="00963A47">
        <w:t xml:space="preserve"> </w:t>
      </w:r>
      <w:r w:rsidR="008F29AA">
        <w:t>request</w:t>
      </w:r>
      <w:r w:rsidR="00963A47">
        <w:t>s</w:t>
      </w:r>
      <w:r w:rsidR="00617721">
        <w:t xml:space="preserve"> that the Commission </w:t>
      </w:r>
      <w:r w:rsidR="00A73C29">
        <w:t xml:space="preserve">waive </w:t>
      </w:r>
      <w:r w:rsidR="00617721">
        <w:t>the late filing penalty fee.</w:t>
      </w:r>
      <w:r w:rsidR="00A73C29">
        <w:rPr>
          <w:rStyle w:val="FootnoteReference"/>
        </w:rPr>
        <w:footnoteReference w:id="7"/>
      </w:r>
      <w:r w:rsidR="00617721">
        <w:t xml:space="preserve"> </w:t>
      </w:r>
    </w:p>
    <w:p w:rsidR="00A73C29" w:rsidRPr="00B71DD4" w:rsidRDefault="00B22AA1" w:rsidP="002A1694">
      <w:pPr>
        <w:pStyle w:val="ParaNum"/>
        <w:numPr>
          <w:ilvl w:val="0"/>
          <w:numId w:val="2"/>
        </w:numPr>
        <w:tabs>
          <w:tab w:val="clear" w:pos="1080"/>
        </w:tabs>
        <w:rPr>
          <w:b/>
          <w:color w:val="000000"/>
        </w:rPr>
      </w:pPr>
      <w:r>
        <w:t>T</w:t>
      </w:r>
      <w:r w:rsidR="00161849">
        <w:t>he Commission’s rules may be waived if good cause is shown.</w:t>
      </w:r>
      <w:r w:rsidR="00161849">
        <w:rPr>
          <w:rStyle w:val="FootnoteReference"/>
        </w:rPr>
        <w:footnoteReference w:id="8"/>
      </w:r>
      <w:r w:rsidR="000A2980">
        <w:t xml:space="preserve"> </w:t>
      </w:r>
      <w:r w:rsidR="007F3E5F">
        <w:t xml:space="preserve"> </w:t>
      </w:r>
      <w:r w:rsidR="00BE443D">
        <w:t>The Commission may exercise its discretion to waive a rule where the particular facts make strict compliance inconsistent with the public interest.</w:t>
      </w:r>
      <w:r w:rsidR="00BE443D">
        <w:rPr>
          <w:rStyle w:val="FootnoteReference"/>
        </w:rPr>
        <w:footnoteReference w:id="9"/>
      </w:r>
      <w:r w:rsidR="00A0477F">
        <w:t xml:space="preserve"> </w:t>
      </w:r>
      <w:r w:rsidR="007F3E5F">
        <w:t xml:space="preserve"> </w:t>
      </w:r>
      <w:r w:rsidR="00A0477F">
        <w:t>Additionally, the Commission may take into account considerations of hardship, equity, or more effective implementation of overall policy on an individual basis.</w:t>
      </w:r>
      <w:r w:rsidR="00A0477F">
        <w:rPr>
          <w:rStyle w:val="FootnoteReference"/>
        </w:rPr>
        <w:footnoteReference w:id="10"/>
      </w:r>
      <w:r w:rsidR="00566F8C">
        <w:t xml:space="preserve"> </w:t>
      </w:r>
      <w:r w:rsidR="006C6843">
        <w:t xml:space="preserve"> </w:t>
      </w:r>
      <w:r w:rsidR="00566F8C">
        <w:t xml:space="preserve">Waiver of the </w:t>
      </w:r>
      <w:r w:rsidR="00566F8C">
        <w:lastRenderedPageBreak/>
        <w:t>Commission’s rules is appropriate only when both special circumstances warrant a deviation from the general rule, and such deviation will serve the public interest.</w:t>
      </w:r>
      <w:r w:rsidR="00566F8C">
        <w:rPr>
          <w:rStyle w:val="FootnoteReference"/>
        </w:rPr>
        <w:footnoteReference w:id="11"/>
      </w:r>
      <w:r w:rsidR="00C651E2">
        <w:t xml:space="preserve"> </w:t>
      </w:r>
    </w:p>
    <w:p w:rsidR="00595B26" w:rsidRDefault="0058075A" w:rsidP="00AE18B1">
      <w:pPr>
        <w:pStyle w:val="ParaNum"/>
        <w:numPr>
          <w:ilvl w:val="0"/>
          <w:numId w:val="2"/>
        </w:numPr>
        <w:tabs>
          <w:tab w:val="clear" w:pos="1080"/>
        </w:tabs>
      </w:pPr>
      <w:r>
        <w:t xml:space="preserve">FCC Form 499-Q </w:t>
      </w:r>
      <w:r w:rsidR="00286A02">
        <w:t>is</w:t>
      </w:r>
      <w:r>
        <w:t xml:space="preserve"> due quarterly on February 1, May 1, August 1, and November 1</w:t>
      </w:r>
      <w:r w:rsidR="00C8144C">
        <w:t xml:space="preserve"> of each year</w:t>
      </w:r>
      <w:r>
        <w:t>.</w:t>
      </w:r>
      <w:r>
        <w:rPr>
          <w:rStyle w:val="FootnoteReference"/>
        </w:rPr>
        <w:footnoteReference w:id="12"/>
      </w:r>
      <w:r>
        <w:t xml:space="preserve"> </w:t>
      </w:r>
      <w:r w:rsidR="00B60C10">
        <w:t xml:space="preserve"> </w:t>
      </w:r>
      <w:r w:rsidR="00CB6BB1" w:rsidRPr="00AE18B1">
        <w:rPr>
          <w:i/>
        </w:rPr>
        <w:t xml:space="preserve">De </w:t>
      </w:r>
      <w:r w:rsidR="006E4DDB" w:rsidRPr="00AE18B1">
        <w:rPr>
          <w:i/>
        </w:rPr>
        <w:t>m</w:t>
      </w:r>
      <w:r w:rsidR="00CB6BB1" w:rsidRPr="00AE18B1">
        <w:rPr>
          <w:i/>
        </w:rPr>
        <w:t>inimis</w:t>
      </w:r>
      <w:r w:rsidR="00CB6BB1">
        <w:t xml:space="preserve"> </w:t>
      </w:r>
      <w:r w:rsidR="002F5523">
        <w:t>providers</w:t>
      </w:r>
      <w:r w:rsidR="00286A02">
        <w:t>, however,</w:t>
      </w:r>
      <w:r w:rsidR="002F5523">
        <w:t xml:space="preserve"> are not required to file the FCC Forms 499-Q</w:t>
      </w:r>
      <w:r w:rsidR="006C6843">
        <w:t>; they only file the FCC Form 499-A</w:t>
      </w:r>
      <w:r w:rsidR="002F5523">
        <w:t>.</w:t>
      </w:r>
      <w:r w:rsidR="002F5523">
        <w:rPr>
          <w:rStyle w:val="FootnoteReference"/>
        </w:rPr>
        <w:footnoteReference w:id="13"/>
      </w:r>
      <w:r w:rsidR="002F5523">
        <w:t xml:space="preserve">  </w:t>
      </w:r>
      <w:r>
        <w:t xml:space="preserve">On November 1, 2012, NetDiverse </w:t>
      </w:r>
      <w:r w:rsidR="00C212B0">
        <w:t>expected to continue to remain</w:t>
      </w:r>
      <w:r>
        <w:t xml:space="preserve"> a </w:t>
      </w:r>
      <w:r w:rsidRPr="00AE18B1">
        <w:rPr>
          <w:i/>
        </w:rPr>
        <w:t>de minimis</w:t>
      </w:r>
      <w:r>
        <w:t xml:space="preserve"> interconnected VoIP provider and </w:t>
      </w:r>
      <w:r w:rsidR="00AE18B1">
        <w:t xml:space="preserve">as such, </w:t>
      </w:r>
      <w:r w:rsidR="00286A02">
        <w:t>was</w:t>
      </w:r>
      <w:r w:rsidR="00AE18B1">
        <w:t xml:space="preserve"> </w:t>
      </w:r>
      <w:r>
        <w:t>not required to</w:t>
      </w:r>
      <w:r w:rsidR="00AE18B1">
        <w:t xml:space="preserve"> </w:t>
      </w:r>
      <w:r w:rsidR="0071709E">
        <w:t>file the FCC Form 499-Q</w:t>
      </w:r>
      <w:r>
        <w:t>.</w:t>
      </w:r>
      <w:r>
        <w:rPr>
          <w:rStyle w:val="FootnoteReference"/>
        </w:rPr>
        <w:footnoteReference w:id="14"/>
      </w:r>
      <w:r w:rsidR="00C32C0F">
        <w:t xml:space="preserve"> </w:t>
      </w:r>
      <w:r w:rsidR="00AE18B1">
        <w:t xml:space="preserve"> </w:t>
      </w:r>
      <w:r w:rsidR="00595B26">
        <w:t xml:space="preserve">Because it expected to remain </w:t>
      </w:r>
      <w:r w:rsidR="00595B26" w:rsidRPr="00595B26">
        <w:rPr>
          <w:i/>
        </w:rPr>
        <w:t>de minimis</w:t>
      </w:r>
      <w:r w:rsidR="00595B26">
        <w:t xml:space="preserve"> as of the November 1 filing date, NetDiverse was justified in not filing the Form 499-Q on November 1.</w:t>
      </w:r>
    </w:p>
    <w:p w:rsidR="00C8144C" w:rsidRDefault="00C212B0" w:rsidP="00AE18B1">
      <w:pPr>
        <w:pStyle w:val="ParaNum"/>
        <w:numPr>
          <w:ilvl w:val="0"/>
          <w:numId w:val="2"/>
        </w:numPr>
        <w:tabs>
          <w:tab w:val="clear" w:pos="1080"/>
        </w:tabs>
      </w:pPr>
      <w:r>
        <w:t xml:space="preserve">Later, </w:t>
      </w:r>
      <w:r w:rsidR="00353A4B">
        <w:t xml:space="preserve">after the filing </w:t>
      </w:r>
      <w:r w:rsidR="003C3C67">
        <w:t>deadline had passed</w:t>
      </w:r>
      <w:r>
        <w:t xml:space="preserve">, NetDiverse </w:t>
      </w:r>
      <w:r w:rsidR="00890755">
        <w:t xml:space="preserve">finalized </w:t>
      </w:r>
      <w:r w:rsidR="00C8144C">
        <w:t>a</w:t>
      </w:r>
      <w:r w:rsidR="00595B26">
        <w:t xml:space="preserve"> customer</w:t>
      </w:r>
      <w:r w:rsidR="00C8144C">
        <w:t xml:space="preserve"> project that would generate revenues, which if assessable, would cause NetDiverse to no longer qualify for the </w:t>
      </w:r>
      <w:r w:rsidR="00C8144C" w:rsidRPr="00C8144C">
        <w:rPr>
          <w:i/>
        </w:rPr>
        <w:t>de minimis</w:t>
      </w:r>
      <w:r w:rsidR="00C8144C">
        <w:t xml:space="preserve"> exemption</w:t>
      </w:r>
      <w:r w:rsidR="00344615">
        <w:t xml:space="preserve"> in the coming year</w:t>
      </w:r>
      <w:r w:rsidR="00C8144C">
        <w:t>.</w:t>
      </w:r>
      <w:r w:rsidR="00C8144C">
        <w:rPr>
          <w:rStyle w:val="FootnoteReference"/>
        </w:rPr>
        <w:footnoteReference w:id="15"/>
      </w:r>
      <w:r w:rsidR="00C8144C">
        <w:t xml:space="preserve">  </w:t>
      </w:r>
      <w:r w:rsidR="006C6843">
        <w:t xml:space="preserve">It was not required to file Form 499-Q at that time </w:t>
      </w:r>
      <w:r w:rsidR="00B60C10">
        <w:t xml:space="preserve">under Commission rules, </w:t>
      </w:r>
      <w:r w:rsidR="006C6843">
        <w:t xml:space="preserve">but rather could have waited until the next FCC Form 499-Q (due the following February) to notify USAC it no longer was a </w:t>
      </w:r>
      <w:r w:rsidR="006C6843" w:rsidRPr="00352E2A">
        <w:rPr>
          <w:i/>
        </w:rPr>
        <w:t>de minim</w:t>
      </w:r>
      <w:r w:rsidR="005D370A">
        <w:rPr>
          <w:i/>
        </w:rPr>
        <w:t>i</w:t>
      </w:r>
      <w:r w:rsidR="006C6843" w:rsidRPr="00352E2A">
        <w:rPr>
          <w:i/>
        </w:rPr>
        <w:t>s</w:t>
      </w:r>
      <w:r w:rsidR="006C6843">
        <w:t xml:space="preserve"> provider.  B</w:t>
      </w:r>
      <w:r w:rsidR="00595B26">
        <w:t xml:space="preserve">y filing the Form 499-Q </w:t>
      </w:r>
      <w:r w:rsidR="006C6843">
        <w:t xml:space="preserve">on December 15, 2012, </w:t>
      </w:r>
      <w:r w:rsidR="00595B26">
        <w:t>after the due date, NetDiverse</w:t>
      </w:r>
      <w:r w:rsidR="0010275B">
        <w:t xml:space="preserve"> in fact enabl</w:t>
      </w:r>
      <w:r w:rsidR="00344615">
        <w:t>ed</w:t>
      </w:r>
      <w:r w:rsidR="0010275B">
        <w:t xml:space="preserve"> USAC to bill the company </w:t>
      </w:r>
      <w:r w:rsidR="00B60C10">
        <w:t xml:space="preserve">for universal service contributions sooner than it would if NetDiverse had waited to report the revenue the following quarter.  </w:t>
      </w:r>
    </w:p>
    <w:p w:rsidR="00ED2AE3" w:rsidRDefault="00ED2AE3" w:rsidP="00AE18B1">
      <w:pPr>
        <w:pStyle w:val="ParaNum"/>
        <w:numPr>
          <w:ilvl w:val="0"/>
          <w:numId w:val="2"/>
        </w:numPr>
        <w:tabs>
          <w:tab w:val="clear" w:pos="1080"/>
        </w:tabs>
      </w:pPr>
      <w:r>
        <w:t xml:space="preserve">The Commission has recognized the difficulties </w:t>
      </w:r>
      <w:r w:rsidRPr="00994CB0">
        <w:rPr>
          <w:i/>
        </w:rPr>
        <w:t>de minimis</w:t>
      </w:r>
      <w:r>
        <w:t xml:space="preserve"> providers face in forecasting whether they will continue to qualify for the exemption</w:t>
      </w:r>
      <w:r w:rsidR="00344615">
        <w:t>,</w:t>
      </w:r>
      <w:r>
        <w:t xml:space="preserve"> particularly as their contribution obligation</w:t>
      </w:r>
      <w:r w:rsidR="00353A4B">
        <w:t>s near</w:t>
      </w:r>
      <w:r>
        <w:t xml:space="preserve"> the $10,000 threshold.</w:t>
      </w:r>
      <w:r>
        <w:rPr>
          <w:rStyle w:val="FootnoteReference"/>
        </w:rPr>
        <w:footnoteReference w:id="16"/>
      </w:r>
      <w:r>
        <w:t xml:space="preserve">  The Commission noted that a </w:t>
      </w:r>
      <w:r w:rsidRPr="00E432A1">
        <w:rPr>
          <w:i/>
        </w:rPr>
        <w:t>de minimis</w:t>
      </w:r>
      <w:r>
        <w:t xml:space="preserve"> provider could face late filing</w:t>
      </w:r>
      <w:r w:rsidR="00BB2415">
        <w:t xml:space="preserve"> fees</w:t>
      </w:r>
      <w:r>
        <w:t xml:space="preserve"> and other sanctions if it </w:t>
      </w:r>
      <w:r w:rsidR="00353A4B">
        <w:t>does</w:t>
      </w:r>
      <w:r>
        <w:t xml:space="preserve"> not timely file its quarterly FCC Form</w:t>
      </w:r>
      <w:r w:rsidR="00353A4B">
        <w:t>s</w:t>
      </w:r>
      <w:r>
        <w:t xml:space="preserve"> 499-Q</w:t>
      </w:r>
      <w:r w:rsidR="00353A4B">
        <w:t xml:space="preserve"> if it projected its assessable revenue incorrectly and it, in fact, no longer </w:t>
      </w:r>
      <w:r w:rsidR="003C0823">
        <w:t>qualifie</w:t>
      </w:r>
      <w:r w:rsidR="00316629">
        <w:t>s</w:t>
      </w:r>
      <w:r w:rsidR="003C0823">
        <w:t xml:space="preserve"> </w:t>
      </w:r>
      <w:r w:rsidR="00353A4B">
        <w:t xml:space="preserve">for the </w:t>
      </w:r>
      <w:r w:rsidR="00353A4B" w:rsidRPr="00E432A1">
        <w:rPr>
          <w:i/>
        </w:rPr>
        <w:t>de minimis</w:t>
      </w:r>
      <w:r w:rsidR="00353A4B">
        <w:t xml:space="preserve"> exemption.</w:t>
      </w:r>
      <w:r w:rsidR="00353A4B">
        <w:rPr>
          <w:rStyle w:val="FootnoteReference"/>
        </w:rPr>
        <w:footnoteReference w:id="17"/>
      </w:r>
    </w:p>
    <w:p w:rsidR="00D52FF8" w:rsidRDefault="00A5095D" w:rsidP="00AE18B1">
      <w:pPr>
        <w:pStyle w:val="ParaNum"/>
        <w:numPr>
          <w:ilvl w:val="0"/>
          <w:numId w:val="2"/>
        </w:numPr>
        <w:tabs>
          <w:tab w:val="clear" w:pos="1080"/>
        </w:tabs>
      </w:pPr>
      <w:r>
        <w:t>Given these difficulties</w:t>
      </w:r>
      <w:r w:rsidR="00B60C10">
        <w:t xml:space="preserve"> and the fact that there was no harm to the Fund</w:t>
      </w:r>
      <w:r>
        <w:t>, w</w:t>
      </w:r>
      <w:r w:rsidR="002A6C05">
        <w:t>e find</w:t>
      </w:r>
      <w:r>
        <w:t xml:space="preserve"> in this particular case</w:t>
      </w:r>
      <w:r w:rsidR="002A6C05">
        <w:t xml:space="preserve"> that there is good cause </w:t>
      </w:r>
      <w:r w:rsidR="000A2980">
        <w:t xml:space="preserve">to </w:t>
      </w:r>
      <w:r w:rsidR="00657526">
        <w:t>waive</w:t>
      </w:r>
      <w:r w:rsidR="002A6C05">
        <w:t xml:space="preserve"> the late filing fee</w:t>
      </w:r>
      <w:r w:rsidR="000A2980">
        <w:t>.</w:t>
      </w:r>
      <w:r w:rsidR="008C4556">
        <w:t xml:space="preserve"> </w:t>
      </w:r>
      <w:r w:rsidR="007F3E5F">
        <w:t xml:space="preserve"> </w:t>
      </w:r>
      <w:r w:rsidR="0086765C">
        <w:t>W</w:t>
      </w:r>
      <w:r w:rsidR="00F649F5">
        <w:t xml:space="preserve">e conclude </w:t>
      </w:r>
      <w:r w:rsidR="00F46177">
        <w:t xml:space="preserve">that </w:t>
      </w:r>
      <w:r w:rsidR="00F649F5" w:rsidRPr="00AE18B1">
        <w:rPr>
          <w:color w:val="000000"/>
        </w:rPr>
        <w:t xml:space="preserve">strict enforcement of the </w:t>
      </w:r>
      <w:r w:rsidR="00657526" w:rsidRPr="00AE18B1">
        <w:rPr>
          <w:color w:val="000000"/>
        </w:rPr>
        <w:t>late filing</w:t>
      </w:r>
      <w:r w:rsidR="00F649F5" w:rsidRPr="00AE18B1">
        <w:rPr>
          <w:color w:val="000000"/>
        </w:rPr>
        <w:t xml:space="preserve"> penalt</w:t>
      </w:r>
      <w:r w:rsidR="00657526" w:rsidRPr="00AE18B1">
        <w:rPr>
          <w:color w:val="000000"/>
        </w:rPr>
        <w:t>y</w:t>
      </w:r>
      <w:r w:rsidR="00F649F5" w:rsidRPr="00AE18B1">
        <w:rPr>
          <w:color w:val="000000"/>
        </w:rPr>
        <w:t xml:space="preserve"> in this case would </w:t>
      </w:r>
      <w:r w:rsidR="000E3DF7" w:rsidRPr="00AE18B1">
        <w:rPr>
          <w:color w:val="000000"/>
        </w:rPr>
        <w:t xml:space="preserve">be inconsistent with the public interest, and </w:t>
      </w:r>
      <w:r w:rsidR="00657526" w:rsidRPr="008B5FA5">
        <w:rPr>
          <w:color w:val="000000"/>
        </w:rPr>
        <w:t xml:space="preserve">unfairly </w:t>
      </w:r>
      <w:r w:rsidR="000E3DF7" w:rsidRPr="008B5FA5">
        <w:rPr>
          <w:color w:val="000000"/>
        </w:rPr>
        <w:t>penalize NetDiverse.</w:t>
      </w:r>
      <w:r w:rsidR="007F3E5F">
        <w:rPr>
          <w:color w:val="000000"/>
        </w:rPr>
        <w:t xml:space="preserve"> </w:t>
      </w:r>
      <w:r w:rsidR="000E3DF7" w:rsidRPr="008B5FA5">
        <w:rPr>
          <w:color w:val="000000"/>
        </w:rPr>
        <w:t xml:space="preserve"> </w:t>
      </w:r>
      <w:r w:rsidR="00D52FF8" w:rsidRPr="008B5FA5">
        <w:rPr>
          <w:color w:val="000000"/>
        </w:rPr>
        <w:t xml:space="preserve">We </w:t>
      </w:r>
      <w:r w:rsidR="00865DFE" w:rsidRPr="008B5FA5">
        <w:rPr>
          <w:color w:val="000000"/>
        </w:rPr>
        <w:t>therefore</w:t>
      </w:r>
      <w:r w:rsidR="00352E2A">
        <w:rPr>
          <w:color w:val="000000"/>
        </w:rPr>
        <w:t xml:space="preserve"> direct USAC to</w:t>
      </w:r>
      <w:r w:rsidR="00865DFE" w:rsidRPr="008B5FA5">
        <w:rPr>
          <w:color w:val="000000"/>
        </w:rPr>
        <w:t xml:space="preserve"> </w:t>
      </w:r>
      <w:r w:rsidR="000E3DF7" w:rsidRPr="008B5FA5">
        <w:rPr>
          <w:color w:val="000000"/>
        </w:rPr>
        <w:t xml:space="preserve">reverse the </w:t>
      </w:r>
      <w:r w:rsidR="00657526" w:rsidRPr="008B5FA5">
        <w:rPr>
          <w:color w:val="000000"/>
        </w:rPr>
        <w:t xml:space="preserve">2012 FCC Form 499-Q </w:t>
      </w:r>
      <w:r w:rsidR="000E3DF7" w:rsidRPr="00994CB0">
        <w:rPr>
          <w:color w:val="000000"/>
        </w:rPr>
        <w:t>late filing fee</w:t>
      </w:r>
      <w:r w:rsidR="00C13817">
        <w:rPr>
          <w:color w:val="000000"/>
        </w:rPr>
        <w:t xml:space="preserve"> associated with the November 1</w:t>
      </w:r>
      <w:r w:rsidR="00C13817" w:rsidRPr="00C13817">
        <w:rPr>
          <w:color w:val="000000"/>
          <w:vertAlign w:val="superscript"/>
        </w:rPr>
        <w:t>st</w:t>
      </w:r>
      <w:r w:rsidR="00C13817">
        <w:rPr>
          <w:color w:val="000000"/>
        </w:rPr>
        <w:t xml:space="preserve"> filing</w:t>
      </w:r>
      <w:r w:rsidR="000E3DF7" w:rsidRPr="00994CB0">
        <w:rPr>
          <w:color w:val="000000"/>
        </w:rPr>
        <w:t xml:space="preserve">. </w:t>
      </w:r>
    </w:p>
    <w:p w:rsidR="002B5EFE" w:rsidRPr="00665538" w:rsidRDefault="002B5EFE" w:rsidP="003677C4">
      <w:pPr>
        <w:pStyle w:val="ParaNum"/>
        <w:numPr>
          <w:ilvl w:val="0"/>
          <w:numId w:val="2"/>
        </w:numPr>
        <w:tabs>
          <w:tab w:val="clear" w:pos="1080"/>
          <w:tab w:val="num" w:pos="720"/>
        </w:tabs>
      </w:pPr>
      <w:r w:rsidRPr="00665538">
        <w:t xml:space="preserve">ACCORDINGLY, IT IS ORDERED, pursuant to the authority contained in sections 1–4 and 254 of the Communications Act of 1934, as amended, 47 U.S.C. §§ 151–154 and 254, and sections 0.91, 0.291, </w:t>
      </w:r>
      <w:r w:rsidR="00665538" w:rsidRPr="00665538">
        <w:t xml:space="preserve">1.3 </w:t>
      </w:r>
      <w:r w:rsidR="0002101D" w:rsidRPr="00665538">
        <w:t xml:space="preserve">and </w:t>
      </w:r>
      <w:r w:rsidR="006A203A" w:rsidRPr="00665538">
        <w:t>54.722</w:t>
      </w:r>
      <w:r w:rsidRPr="00665538">
        <w:t xml:space="preserve"> of the Commission’s rules, 47 C.F.R. §§ 0.91, 0.291,</w:t>
      </w:r>
      <w:r w:rsidR="00665538">
        <w:t xml:space="preserve"> 1.3</w:t>
      </w:r>
      <w:r w:rsidRPr="00665538">
        <w:t xml:space="preserve"> </w:t>
      </w:r>
      <w:r w:rsidR="0002101D" w:rsidRPr="00665538">
        <w:t xml:space="preserve">and </w:t>
      </w:r>
      <w:r w:rsidR="006A203A" w:rsidRPr="00665538">
        <w:t xml:space="preserve">54.722, </w:t>
      </w:r>
      <w:r w:rsidR="00384667">
        <w:t xml:space="preserve">that </w:t>
      </w:r>
      <w:r w:rsidR="006A203A" w:rsidRPr="00665538">
        <w:t>th</w:t>
      </w:r>
      <w:r w:rsidRPr="00665538">
        <w:t xml:space="preserve">e </w:t>
      </w:r>
      <w:r w:rsidR="00865DFE" w:rsidRPr="00665538">
        <w:t>request for r</w:t>
      </w:r>
      <w:r w:rsidR="006A203A" w:rsidRPr="00665538">
        <w:t xml:space="preserve">eview </w:t>
      </w:r>
      <w:r w:rsidR="00384667">
        <w:t xml:space="preserve">and waiver </w:t>
      </w:r>
      <w:r w:rsidR="006A203A" w:rsidRPr="00665538">
        <w:t xml:space="preserve">filed by </w:t>
      </w:r>
      <w:r w:rsidR="000E3DF7">
        <w:t>NetDiverse</w:t>
      </w:r>
      <w:r w:rsidR="00865DFE" w:rsidRPr="00665538">
        <w:t xml:space="preserve"> </w:t>
      </w:r>
      <w:r w:rsidR="00384667">
        <w:t>IS</w:t>
      </w:r>
      <w:r w:rsidR="006A203A" w:rsidRPr="00665538">
        <w:t xml:space="preserve"> </w:t>
      </w:r>
      <w:r w:rsidR="00865DFE" w:rsidRPr="00665538">
        <w:t>GRANTED</w:t>
      </w:r>
      <w:r w:rsidR="008A2807">
        <w:t xml:space="preserve"> </w:t>
      </w:r>
      <w:r w:rsidR="007F4389">
        <w:t>to the extent described above.</w:t>
      </w:r>
    </w:p>
    <w:p w:rsidR="002B5EFE" w:rsidRDefault="002B5EFE" w:rsidP="003677C4">
      <w:pPr>
        <w:pStyle w:val="ParaNum"/>
        <w:numPr>
          <w:ilvl w:val="0"/>
          <w:numId w:val="2"/>
        </w:numPr>
        <w:tabs>
          <w:tab w:val="clear" w:pos="1080"/>
          <w:tab w:val="num" w:pos="720"/>
        </w:tabs>
      </w:pPr>
      <w:r>
        <w:t>IT IS FURTHER ORDERED that, pursuant to section 1.102</w:t>
      </w:r>
      <w:r w:rsidR="006A203A">
        <w:t xml:space="preserve"> of</w:t>
      </w:r>
      <w:r>
        <w:t xml:space="preserve"> the Commission’s rules, 47 C.F.R. § 1.102,</w:t>
      </w:r>
      <w:r w:rsidR="006A203A">
        <w:t xml:space="preserve"> </w:t>
      </w:r>
      <w:r>
        <w:t xml:space="preserve">this </w:t>
      </w:r>
      <w:r w:rsidR="00384667">
        <w:t>O</w:t>
      </w:r>
      <w:r>
        <w:t>rder SHALL BE</w:t>
      </w:r>
      <w:r w:rsidR="006A203A">
        <w:t>COME</w:t>
      </w:r>
      <w:r>
        <w:t xml:space="preserve"> EFFECTIVE upon release.</w:t>
      </w:r>
      <w:r w:rsidRPr="00424FAE">
        <w:t xml:space="preserve"> </w:t>
      </w:r>
    </w:p>
    <w:p w:rsidR="002B5EFE" w:rsidRDefault="002B5EFE">
      <w:pPr>
        <w:keepNext/>
      </w:pPr>
    </w:p>
    <w:p w:rsidR="002B5EFE" w:rsidRDefault="002B5EFE">
      <w:pPr>
        <w:keepNext/>
        <w:ind w:left="4320"/>
      </w:pPr>
      <w:r>
        <w:t>FEDERAL COMMUNICATIONS COMMISSION</w:t>
      </w:r>
    </w:p>
    <w:p w:rsidR="002B5EFE" w:rsidRDefault="002B5EFE">
      <w:pPr>
        <w:keepNext/>
        <w:ind w:left="4320"/>
      </w:pPr>
    </w:p>
    <w:p w:rsidR="002B5EFE" w:rsidRDefault="002B5EFE">
      <w:pPr>
        <w:keepNext/>
        <w:ind w:left="4320"/>
      </w:pPr>
    </w:p>
    <w:p w:rsidR="002B5EFE" w:rsidRDefault="002B5EFE">
      <w:pPr>
        <w:keepNext/>
        <w:ind w:left="4320"/>
      </w:pPr>
    </w:p>
    <w:p w:rsidR="00384667" w:rsidRDefault="00742F99">
      <w:pPr>
        <w:keepNext/>
        <w:ind w:left="4320"/>
      </w:pPr>
      <w:r>
        <w:t>Carol E. Mattey</w:t>
      </w:r>
    </w:p>
    <w:p w:rsidR="002B5EFE" w:rsidRDefault="00742F99" w:rsidP="002B5EFE">
      <w:pPr>
        <w:pStyle w:val="ParaNum"/>
        <w:keepNext/>
        <w:spacing w:after="0"/>
        <w:ind w:left="4320"/>
        <w:rPr>
          <w:szCs w:val="22"/>
        </w:rPr>
      </w:pPr>
      <w:r>
        <w:rPr>
          <w:szCs w:val="22"/>
        </w:rPr>
        <w:t xml:space="preserve">Deputy </w:t>
      </w:r>
      <w:r w:rsidR="002B5EFE">
        <w:rPr>
          <w:szCs w:val="22"/>
        </w:rPr>
        <w:t>Chief</w:t>
      </w:r>
    </w:p>
    <w:p w:rsidR="002B5EFE" w:rsidRPr="00D92D5A" w:rsidRDefault="002B5EFE" w:rsidP="002B5EFE">
      <w:pPr>
        <w:pStyle w:val="ParaNum"/>
        <w:keepNext/>
        <w:spacing w:after="0"/>
        <w:ind w:left="4320"/>
      </w:pPr>
      <w:r>
        <w:rPr>
          <w:szCs w:val="22"/>
        </w:rPr>
        <w:t>Wireline Competition Bureau</w:t>
      </w:r>
    </w:p>
    <w:p w:rsidR="002B5EFE" w:rsidRDefault="002B5EFE">
      <w:pPr>
        <w:tabs>
          <w:tab w:val="left" w:pos="6480"/>
        </w:tabs>
      </w:pPr>
    </w:p>
    <w:p w:rsidR="002B5EFE" w:rsidRDefault="002B5EFE" w:rsidP="002B5EFE">
      <w:pPr>
        <w:tabs>
          <w:tab w:val="left" w:pos="6480"/>
        </w:tabs>
      </w:pPr>
    </w:p>
    <w:sectPr w:rsidR="002B5EFE" w:rsidSect="006B4D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63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6F" w:rsidRDefault="00F5326F">
      <w:r>
        <w:separator/>
      </w:r>
    </w:p>
  </w:endnote>
  <w:endnote w:type="continuationSeparator" w:id="0">
    <w:p w:rsidR="00F5326F" w:rsidRDefault="00F5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7A" w:rsidRDefault="00FF0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2" w:rsidRDefault="00640802">
    <w:pPr>
      <w:pStyle w:val="Footer"/>
      <w:jc w:val="center"/>
    </w:pPr>
    <w:r>
      <w:fldChar w:fldCharType="begin"/>
    </w:r>
    <w:r>
      <w:instrText xml:space="preserve"> PAGE   \* MERGEFORMAT </w:instrText>
    </w:r>
    <w:r>
      <w:fldChar w:fldCharType="separate"/>
    </w:r>
    <w:r w:rsidR="00970301">
      <w:rPr>
        <w:noProof/>
      </w:rPr>
      <w:t>2</w:t>
    </w:r>
    <w:r>
      <w:rPr>
        <w:noProof/>
      </w:rPr>
      <w:fldChar w:fldCharType="end"/>
    </w:r>
  </w:p>
  <w:p w:rsidR="00640802" w:rsidRDefault="00640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7A" w:rsidRDefault="00FF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6F" w:rsidRDefault="00F5326F">
      <w:pPr>
        <w:spacing w:before="120"/>
      </w:pPr>
      <w:r>
        <w:separator/>
      </w:r>
    </w:p>
  </w:footnote>
  <w:footnote w:type="continuationSeparator" w:id="0">
    <w:p w:rsidR="00F5326F" w:rsidRDefault="00F5326F">
      <w:pPr>
        <w:spacing w:before="120"/>
      </w:pPr>
      <w:r>
        <w:rPr>
          <w:sz w:val="20"/>
        </w:rPr>
        <w:t xml:space="preserve">(Continued from previous page)  </w:t>
      </w:r>
      <w:r>
        <w:rPr>
          <w:sz w:val="20"/>
        </w:rPr>
        <w:separator/>
      </w:r>
    </w:p>
  </w:footnote>
  <w:footnote w:type="continuationNotice" w:id="1">
    <w:p w:rsidR="00F5326F" w:rsidRDefault="00F5326F" w:rsidP="005F4F00">
      <w:pPr>
        <w:jc w:val="right"/>
        <w:rPr>
          <w:sz w:val="20"/>
        </w:rPr>
      </w:pPr>
      <w:r>
        <w:rPr>
          <w:sz w:val="20"/>
        </w:rPr>
        <w:t>(continued . . .)</w:t>
      </w:r>
    </w:p>
  </w:footnote>
  <w:footnote w:id="2">
    <w:p w:rsidR="00640802" w:rsidRDefault="00640802" w:rsidP="00ED3754">
      <w:pPr>
        <w:pStyle w:val="FootnoteText"/>
      </w:pPr>
      <w:r>
        <w:rPr>
          <w:rStyle w:val="FootnoteReference"/>
        </w:rPr>
        <w:footnoteRef/>
      </w:r>
      <w:r>
        <w:t xml:space="preserve"> Letter from Gary Nieboer, NetDiverse, LLC, to Secretary, FCC, WC Docket No. 06-122 (filed Mar. 13, 2013) (Request for Review).</w:t>
      </w:r>
    </w:p>
  </w:footnote>
  <w:footnote w:id="3">
    <w:p w:rsidR="00640802" w:rsidRDefault="00640802" w:rsidP="00970238">
      <w:pPr>
        <w:pStyle w:val="FootnoteText"/>
      </w:pPr>
      <w:r>
        <w:rPr>
          <w:rStyle w:val="FootnoteReference"/>
        </w:rPr>
        <w:footnoteRef/>
      </w:r>
      <w:r>
        <w:t xml:space="preserve"> Request for Review at 1. </w:t>
      </w:r>
      <w:r w:rsidR="008C4556">
        <w:t xml:space="preserve"> </w:t>
      </w:r>
      <w:r>
        <w:t xml:space="preserve">Section 254(d) of the 1996 Act states that the Commission may exempt a carrier or class of carriers from contributing to the universal service mechanisms if the “carrier’s contribution to the preservation and advancement of universal service would be </w:t>
      </w:r>
      <w:r w:rsidRPr="00F86AC9">
        <w:rPr>
          <w:i/>
        </w:rPr>
        <w:t>de minimis</w:t>
      </w:r>
      <w:r>
        <w:t xml:space="preserve">.” </w:t>
      </w:r>
      <w:r w:rsidR="00F86AC9">
        <w:t xml:space="preserve"> </w:t>
      </w:r>
      <w:r>
        <w:t>47 U.S.C. § 254(d)</w:t>
      </w:r>
      <w:r w:rsidR="00F86AC9">
        <w:t>.</w:t>
      </w:r>
      <w:r>
        <w:t xml:space="preserve"> </w:t>
      </w:r>
      <w:r w:rsidR="00F86AC9">
        <w:t xml:space="preserve">  </w:t>
      </w:r>
      <w:r>
        <w:t xml:space="preserve">A </w:t>
      </w:r>
      <w:r>
        <w:rPr>
          <w:i/>
        </w:rPr>
        <w:t>de minimis</w:t>
      </w:r>
      <w:r>
        <w:t xml:space="preserve"> provider is one whose annual universal service </w:t>
      </w:r>
      <w:r w:rsidR="00480D38">
        <w:t xml:space="preserve">fund </w:t>
      </w:r>
      <w:r>
        <w:t>contribution is expected to be less than $10,000.</w:t>
      </w:r>
      <w:r w:rsidRPr="00992C67">
        <w:t xml:space="preserve"> </w:t>
      </w:r>
      <w:r w:rsidR="00F86AC9">
        <w:t xml:space="preserve"> </w:t>
      </w:r>
      <w:r>
        <w:t>47 C.F.R. § 54.708</w:t>
      </w:r>
      <w:r w:rsidR="00F86AC9">
        <w:t>.</w:t>
      </w:r>
      <w:r w:rsidR="004F02F7">
        <w:t xml:space="preserve"> </w:t>
      </w:r>
      <w:r w:rsidR="00480D38">
        <w:t xml:space="preserve"> </w:t>
      </w:r>
    </w:p>
  </w:footnote>
  <w:footnote w:id="4">
    <w:p w:rsidR="00640802" w:rsidRDefault="00640802">
      <w:pPr>
        <w:pStyle w:val="FootnoteText"/>
      </w:pPr>
      <w:r>
        <w:rPr>
          <w:rStyle w:val="FootnoteReference"/>
        </w:rPr>
        <w:footnoteRef/>
      </w:r>
      <w:r>
        <w:t xml:space="preserve"> Request for Review at 1.</w:t>
      </w:r>
    </w:p>
  </w:footnote>
  <w:footnote w:id="5">
    <w:p w:rsidR="00640802" w:rsidRDefault="00640802">
      <w:pPr>
        <w:pStyle w:val="FootnoteText"/>
      </w:pPr>
      <w:r>
        <w:rPr>
          <w:rStyle w:val="FootnoteReference"/>
        </w:rPr>
        <w:footnoteRef/>
      </w:r>
      <w:r>
        <w:t xml:space="preserve"> </w:t>
      </w:r>
      <w:r w:rsidRPr="00F3214F">
        <w:rPr>
          <w:i/>
        </w:rPr>
        <w:t>Id</w:t>
      </w:r>
      <w:r>
        <w:t>.</w:t>
      </w:r>
    </w:p>
  </w:footnote>
  <w:footnote w:id="6">
    <w:p w:rsidR="00640802" w:rsidRPr="00905DB7" w:rsidRDefault="00640802">
      <w:pPr>
        <w:pStyle w:val="FootnoteText"/>
        <w:rPr>
          <w:i/>
        </w:rPr>
      </w:pPr>
      <w:r>
        <w:rPr>
          <w:rStyle w:val="FootnoteReference"/>
        </w:rPr>
        <w:footnoteRef/>
      </w:r>
      <w:r>
        <w:t xml:space="preserve"> </w:t>
      </w:r>
      <w:r w:rsidRPr="00F3214F">
        <w:rPr>
          <w:i/>
        </w:rPr>
        <w:t>Id</w:t>
      </w:r>
      <w:r>
        <w:t xml:space="preserve">.  </w:t>
      </w:r>
    </w:p>
  </w:footnote>
  <w:footnote w:id="7">
    <w:p w:rsidR="00640802" w:rsidRDefault="00640802">
      <w:pPr>
        <w:pStyle w:val="FootnoteText"/>
      </w:pPr>
      <w:r>
        <w:rPr>
          <w:rStyle w:val="FootnoteReference"/>
        </w:rPr>
        <w:footnoteRef/>
      </w:r>
      <w:r>
        <w:t xml:space="preserve"> </w:t>
      </w:r>
      <w:r w:rsidRPr="00F3214F">
        <w:rPr>
          <w:i/>
        </w:rPr>
        <w:t>Id</w:t>
      </w:r>
      <w:r>
        <w:t>.</w:t>
      </w:r>
    </w:p>
  </w:footnote>
  <w:footnote w:id="8">
    <w:p w:rsidR="00640802" w:rsidRDefault="00640802">
      <w:pPr>
        <w:pStyle w:val="FootnoteText"/>
      </w:pPr>
      <w:r>
        <w:rPr>
          <w:rStyle w:val="FootnoteReference"/>
        </w:rPr>
        <w:footnoteRef/>
      </w:r>
      <w:r>
        <w:t xml:space="preserve"> 47 C.F.R. § 1.3</w:t>
      </w:r>
      <w:r w:rsidR="008C4556">
        <w:t>.</w:t>
      </w:r>
    </w:p>
  </w:footnote>
  <w:footnote w:id="9">
    <w:p w:rsidR="00640802" w:rsidRPr="00BE443D" w:rsidRDefault="00640802">
      <w:pPr>
        <w:pStyle w:val="FootnoteText"/>
      </w:pPr>
      <w:r>
        <w:rPr>
          <w:rStyle w:val="FootnoteReference"/>
        </w:rPr>
        <w:footnoteRef/>
      </w:r>
      <w:r>
        <w:t xml:space="preserve"> </w:t>
      </w:r>
      <w:r>
        <w:rPr>
          <w:i/>
        </w:rPr>
        <w:t>Northeast Cellular Telephone Co. v. FCC</w:t>
      </w:r>
      <w:r>
        <w:t>, 897 F.2d 1164, 1166 (D.C. Cir. 1990) (</w:t>
      </w:r>
      <w:r w:rsidRPr="000A2980">
        <w:rPr>
          <w:i/>
        </w:rPr>
        <w:t>Northeast Cellular</w:t>
      </w:r>
      <w:r>
        <w:t>).</w:t>
      </w:r>
    </w:p>
  </w:footnote>
  <w:footnote w:id="10">
    <w:p w:rsidR="00640802" w:rsidRPr="00A0477F" w:rsidRDefault="00640802">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11">
    <w:p w:rsidR="00640802" w:rsidRPr="00566F8C" w:rsidRDefault="00640802">
      <w:pPr>
        <w:pStyle w:val="FootnoteText"/>
      </w:pPr>
      <w:r>
        <w:rPr>
          <w:rStyle w:val="FootnoteReference"/>
        </w:rPr>
        <w:footnoteRef/>
      </w:r>
      <w:r>
        <w:t xml:space="preserve"> </w:t>
      </w:r>
      <w:r>
        <w:rPr>
          <w:i/>
        </w:rPr>
        <w:t>NetworkIP, LLC v. FCC</w:t>
      </w:r>
      <w:r>
        <w:t xml:space="preserve">, 548 F.3d 116, 125-28 (D.C. Cir. 2008); </w:t>
      </w:r>
      <w:r>
        <w:rPr>
          <w:i/>
        </w:rPr>
        <w:t>Northeast Cellular</w:t>
      </w:r>
      <w:r>
        <w:t>, 897 F.2d at 1166.</w:t>
      </w:r>
    </w:p>
  </w:footnote>
  <w:footnote w:id="12">
    <w:p w:rsidR="00640802" w:rsidRPr="0000699C" w:rsidRDefault="00640802">
      <w:pPr>
        <w:pStyle w:val="FootnoteText"/>
      </w:pPr>
      <w:r>
        <w:rPr>
          <w:rStyle w:val="FootnoteReference"/>
        </w:rPr>
        <w:footnoteRef/>
      </w:r>
      <w:r>
        <w:t xml:space="preserve"> </w:t>
      </w:r>
      <w:r w:rsidR="00B57781">
        <w:t xml:space="preserve">USAC, </w:t>
      </w:r>
      <w:r w:rsidR="00B57781">
        <w:rPr>
          <w:i/>
        </w:rPr>
        <w:t xml:space="preserve">Contributors: </w:t>
      </w:r>
      <w:r w:rsidR="00B57781" w:rsidRPr="00296FD5">
        <w:rPr>
          <w:i/>
        </w:rPr>
        <w:t>What and How to File</w:t>
      </w:r>
      <w:r w:rsidR="001A4D86">
        <w:t xml:space="preserve">, </w:t>
      </w:r>
      <w:hyperlink r:id="rId1" w:history="1">
        <w:r w:rsidR="00436FE2" w:rsidRPr="00C27F69">
          <w:rPr>
            <w:rStyle w:val="Hyperlink"/>
          </w:rPr>
          <w:t>http://usac.org/cont/filers/what-and-how-to-file.aspx</w:t>
        </w:r>
      </w:hyperlink>
      <w:r w:rsidR="00436FE2">
        <w:t xml:space="preserve"> </w:t>
      </w:r>
      <w:r w:rsidR="001A4D86">
        <w:t xml:space="preserve">(last visited </w:t>
      </w:r>
      <w:r w:rsidR="00283AA9" w:rsidRPr="0000699C">
        <w:t>May 11</w:t>
      </w:r>
      <w:r w:rsidR="00436FE2" w:rsidRPr="0000699C">
        <w:t>, 2015</w:t>
      </w:r>
      <w:r w:rsidR="001A4D86" w:rsidRPr="0000699C">
        <w:t>).</w:t>
      </w:r>
    </w:p>
  </w:footnote>
  <w:footnote w:id="13">
    <w:p w:rsidR="00640802" w:rsidRPr="0000699C" w:rsidRDefault="00640802">
      <w:pPr>
        <w:pStyle w:val="FootnoteText"/>
      </w:pPr>
      <w:r w:rsidRPr="0000699C">
        <w:rPr>
          <w:rStyle w:val="FootnoteReference"/>
        </w:rPr>
        <w:footnoteRef/>
      </w:r>
      <w:r w:rsidRPr="0000699C">
        <w:t xml:space="preserve"> </w:t>
      </w:r>
      <w:r w:rsidR="006C6843" w:rsidRPr="0000699C">
        <w:rPr>
          <w:i/>
        </w:rPr>
        <w:t>Universal Service Contribution Methodology et al.</w:t>
      </w:r>
      <w:r w:rsidR="006C6843" w:rsidRPr="0000699C">
        <w:t xml:space="preserve">, WC Docket No. 06-122 </w:t>
      </w:r>
      <w:r w:rsidR="006C6843" w:rsidRPr="0000699C">
        <w:rPr>
          <w:i/>
        </w:rPr>
        <w:t>et al</w:t>
      </w:r>
      <w:r w:rsidR="006C6843" w:rsidRPr="0000699C">
        <w:t>., Report and Order and Notice of Proposed Rulemaking, 21 FCC Rcd 7518, 7549, para. 61 (2006).</w:t>
      </w:r>
    </w:p>
  </w:footnote>
  <w:footnote w:id="14">
    <w:p w:rsidR="00640802" w:rsidRPr="0000699C" w:rsidRDefault="00640802" w:rsidP="0058075A">
      <w:pPr>
        <w:pStyle w:val="FootnoteText"/>
      </w:pPr>
      <w:r w:rsidRPr="0000699C">
        <w:rPr>
          <w:rStyle w:val="FootnoteReference"/>
        </w:rPr>
        <w:footnoteRef/>
      </w:r>
      <w:r w:rsidRPr="0000699C">
        <w:t xml:space="preserve"> Request for Review at 1.</w:t>
      </w:r>
    </w:p>
  </w:footnote>
  <w:footnote w:id="15">
    <w:p w:rsidR="00C8144C" w:rsidRPr="0000699C" w:rsidRDefault="00C8144C">
      <w:pPr>
        <w:pStyle w:val="FootnoteText"/>
      </w:pPr>
      <w:r w:rsidRPr="0000699C">
        <w:rPr>
          <w:rStyle w:val="FootnoteReference"/>
        </w:rPr>
        <w:footnoteRef/>
      </w:r>
      <w:r w:rsidRPr="0000699C">
        <w:t xml:space="preserve"> </w:t>
      </w:r>
      <w:r w:rsidR="00A5095D" w:rsidRPr="0000699C">
        <w:rPr>
          <w:i/>
        </w:rPr>
        <w:t>Id</w:t>
      </w:r>
      <w:r w:rsidR="00A5095D" w:rsidRPr="0000699C">
        <w:t xml:space="preserve">. </w:t>
      </w:r>
    </w:p>
  </w:footnote>
  <w:footnote w:id="16">
    <w:p w:rsidR="00ED2AE3" w:rsidRPr="0000699C" w:rsidRDefault="00ED2AE3" w:rsidP="00ED2AE3">
      <w:pPr>
        <w:pStyle w:val="FootnoteText"/>
      </w:pPr>
      <w:r w:rsidRPr="0000699C">
        <w:rPr>
          <w:rStyle w:val="FootnoteReference"/>
        </w:rPr>
        <w:footnoteRef/>
      </w:r>
      <w:r w:rsidRPr="0000699C">
        <w:t xml:space="preserve"> </w:t>
      </w:r>
      <w:r w:rsidRPr="0000699C">
        <w:rPr>
          <w:i/>
        </w:rPr>
        <w:t>See</w:t>
      </w:r>
      <w:r w:rsidRPr="0000699C">
        <w:t xml:space="preserve"> </w:t>
      </w:r>
      <w:r w:rsidRPr="0000699C">
        <w:rPr>
          <w:i/>
        </w:rPr>
        <w:t>Contribution Methodology Reform and Modernization Further Notice,</w:t>
      </w:r>
      <w:r w:rsidR="00352E2A" w:rsidRPr="0000699C">
        <w:t xml:space="preserve"> WC Docket No. 06-122, Further Notice of Proposed Rulemaking, 27 FCC Rcd 5357, 5435</w:t>
      </w:r>
      <w:r w:rsidRPr="0000699C">
        <w:t>, para. 216</w:t>
      </w:r>
      <w:r w:rsidR="00352E2A" w:rsidRPr="0000699C">
        <w:t xml:space="preserve"> (2012)</w:t>
      </w:r>
      <w:r w:rsidRPr="0000699C">
        <w:t xml:space="preserve">.  </w:t>
      </w:r>
    </w:p>
  </w:footnote>
  <w:footnote w:id="17">
    <w:p w:rsidR="00353A4B" w:rsidRDefault="00353A4B">
      <w:pPr>
        <w:pStyle w:val="FootnoteText"/>
      </w:pPr>
      <w:r w:rsidRPr="0000699C">
        <w:rPr>
          <w:rStyle w:val="FootnoteReference"/>
        </w:rPr>
        <w:footnoteRef/>
      </w:r>
      <w:r w:rsidR="00A5095D" w:rsidRPr="0000699C">
        <w:t xml:space="preserve"> </w:t>
      </w:r>
      <w:r w:rsidR="00A5095D" w:rsidRPr="0000699C">
        <w:rPr>
          <w:i/>
        </w:rPr>
        <w:t>See id</w:t>
      </w:r>
      <w:r w:rsidR="00A5095D" w:rsidRPr="0000699C">
        <w:t>.</w:t>
      </w:r>
      <w:r w:rsidR="00A5095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7A" w:rsidRDefault="00FF0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2" w:rsidRPr="006F0772" w:rsidRDefault="00640802" w:rsidP="006F0772">
    <w:pPr>
      <w:ind w:left="2880" w:right="-180"/>
      <w:rPr>
        <w:b/>
      </w:rPr>
    </w:pPr>
  </w:p>
  <w:p w:rsidR="00640802" w:rsidRDefault="00640802" w:rsidP="006F0772">
    <w:pPr>
      <w:pStyle w:val="Header"/>
    </w:pPr>
  </w:p>
  <w:p w:rsidR="00640802" w:rsidRPr="006F0772" w:rsidRDefault="00640802" w:rsidP="006F0772">
    <w:pPr>
      <w:pBdr>
        <w:bottom w:val="single" w:sz="12" w:space="1" w:color="auto"/>
      </w:pBdr>
      <w:tabs>
        <w:tab w:val="center" w:pos="4680"/>
        <w:tab w:val="right" w:pos="9360"/>
      </w:tabs>
      <w:jc w:val="right"/>
      <w:rPr>
        <w:rFonts w:eastAsia="MS Mincho"/>
      </w:rPr>
    </w:pPr>
    <w:r w:rsidRPr="006F0772">
      <w:rPr>
        <w:rFonts w:eastAsia="MS Mincho"/>
        <w:b/>
      </w:rPr>
      <w:tab/>
      <w:t>Federal Communications Commission</w:t>
    </w:r>
    <w:r w:rsidRPr="006F0772">
      <w:rPr>
        <w:rFonts w:eastAsia="MS Mincho"/>
        <w:b/>
      </w:rPr>
      <w:tab/>
      <w:t>DA 1</w:t>
    </w:r>
    <w:r w:rsidR="00316629">
      <w:rPr>
        <w:rFonts w:eastAsia="MS Mincho"/>
        <w:b/>
      </w:rPr>
      <w:t>5</w:t>
    </w:r>
    <w:r w:rsidRPr="006F0772">
      <w:rPr>
        <w:rFonts w:eastAsia="MS Mincho"/>
        <w:b/>
      </w:rPr>
      <w:t>-</w:t>
    </w:r>
    <w:r w:rsidR="0000699C">
      <w:rPr>
        <w:rFonts w:eastAsia="MS Mincho"/>
        <w:b/>
      </w:rPr>
      <w:t>566</w:t>
    </w:r>
  </w:p>
  <w:p w:rsidR="00640802" w:rsidRDefault="00640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2" w:rsidRDefault="00640802">
    <w:pPr>
      <w:pStyle w:val="Header"/>
    </w:pPr>
  </w:p>
  <w:p w:rsidR="00640802" w:rsidRPr="006F0772" w:rsidRDefault="00640802" w:rsidP="006F0772">
    <w:pPr>
      <w:pBdr>
        <w:bottom w:val="single" w:sz="12" w:space="1" w:color="auto"/>
      </w:pBdr>
      <w:tabs>
        <w:tab w:val="center" w:pos="4680"/>
        <w:tab w:val="right" w:pos="9360"/>
      </w:tabs>
      <w:jc w:val="right"/>
      <w:rPr>
        <w:rFonts w:eastAsia="MS Mincho"/>
      </w:rPr>
    </w:pPr>
    <w:r w:rsidRPr="006F0772">
      <w:rPr>
        <w:rFonts w:eastAsia="MS Mincho"/>
        <w:b/>
      </w:rPr>
      <w:tab/>
      <w:t>Federal Communications Commission</w:t>
    </w:r>
    <w:r w:rsidRPr="006F0772">
      <w:rPr>
        <w:rFonts w:eastAsia="MS Mincho"/>
        <w:b/>
      </w:rPr>
      <w:tab/>
      <w:t>DA 1</w:t>
    </w:r>
    <w:r w:rsidR="00316629">
      <w:rPr>
        <w:rFonts w:eastAsia="MS Mincho"/>
        <w:b/>
      </w:rPr>
      <w:t>5</w:t>
    </w:r>
    <w:r w:rsidRPr="006F0772">
      <w:rPr>
        <w:rFonts w:eastAsia="MS Mincho"/>
        <w:b/>
      </w:rPr>
      <w:t>-</w:t>
    </w:r>
    <w:r w:rsidR="0000699C">
      <w:rPr>
        <w:rFonts w:eastAsia="MS Mincho"/>
        <w:b/>
      </w:rPr>
      <w:t>566</w:t>
    </w:r>
  </w:p>
  <w:p w:rsidR="00640802" w:rsidRPr="006F0772" w:rsidRDefault="00640802" w:rsidP="006F0772">
    <w:pPr>
      <w:ind w:left="2880" w:right="-180"/>
      <w:rPr>
        <w:b/>
      </w:rPr>
    </w:pPr>
  </w:p>
  <w:p w:rsidR="00640802" w:rsidRDefault="0064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E48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F6EC2"/>
    <w:multiLevelType w:val="hybridMultilevel"/>
    <w:tmpl w:val="B216A570"/>
    <w:lvl w:ilvl="0" w:tplc="2CFAF31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D815F0"/>
    <w:multiLevelType w:val="hybridMultilevel"/>
    <w:tmpl w:val="8ED03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53FCE"/>
    <w:multiLevelType w:val="hybridMultilevel"/>
    <w:tmpl w:val="891A35C6"/>
    <w:lvl w:ilvl="0" w:tplc="FFFFFFFF">
      <w:start w:val="1"/>
      <w:numFmt w:val="decimal"/>
      <w:lvlText w:val="%1."/>
      <w:lvlJc w:val="left"/>
      <w:pPr>
        <w:tabs>
          <w:tab w:val="num" w:pos="252"/>
        </w:tabs>
        <w:ind w:left="252" w:firstLine="288"/>
      </w:pPr>
      <w:rPr>
        <w:rFonts w:ascii="Times New Roman" w:hAnsi="Times New Roman" w:hint="default"/>
        <w:b w:val="0"/>
        <w:i w:val="0"/>
        <w:sz w:val="22"/>
        <w:szCs w:val="22"/>
      </w:r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2859EA"/>
    <w:multiLevelType w:val="hybridMultilevel"/>
    <w:tmpl w:val="4E2EA600"/>
    <w:lvl w:ilvl="0" w:tplc="2CFAF31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E46CEC"/>
    <w:multiLevelType w:val="hybridMultilevel"/>
    <w:tmpl w:val="F416AC4C"/>
    <w:lvl w:ilvl="0" w:tplc="84BA6720">
      <w:start w:val="2"/>
      <w:numFmt w:val="decimal"/>
      <w:lvlText w:val="%1."/>
      <w:lvlJc w:val="left"/>
      <w:pPr>
        <w:tabs>
          <w:tab w:val="num" w:pos="720"/>
        </w:tabs>
        <w:ind w:left="720" w:hanging="360"/>
      </w:pPr>
    </w:lvl>
    <w:lvl w:ilvl="1" w:tplc="AF3E6ABC">
      <w:start w:val="2"/>
      <w:numFmt w:val="decimal"/>
      <w:lvlText w:val="%2."/>
      <w:lvlJc w:val="left"/>
      <w:pPr>
        <w:tabs>
          <w:tab w:val="num" w:pos="1440"/>
        </w:tabs>
        <w:ind w:left="1440" w:hanging="360"/>
      </w:pPr>
    </w:lvl>
    <w:lvl w:ilvl="2" w:tplc="3358428A">
      <w:start w:val="2"/>
      <w:numFmt w:val="decimal"/>
      <w:lvlText w:val="%3."/>
      <w:lvlJc w:val="left"/>
      <w:pPr>
        <w:tabs>
          <w:tab w:val="num" w:pos="2160"/>
        </w:tabs>
        <w:ind w:left="2160" w:hanging="360"/>
      </w:pPr>
    </w:lvl>
    <w:lvl w:ilvl="3" w:tplc="18585AD0">
      <w:start w:val="2"/>
      <w:numFmt w:val="decimal"/>
      <w:lvlText w:val="%4."/>
      <w:lvlJc w:val="left"/>
      <w:pPr>
        <w:tabs>
          <w:tab w:val="num" w:pos="2880"/>
        </w:tabs>
        <w:ind w:left="2880" w:hanging="360"/>
      </w:pPr>
    </w:lvl>
    <w:lvl w:ilvl="4" w:tplc="76DEC394">
      <w:start w:val="2"/>
      <w:numFmt w:val="decimal"/>
      <w:lvlText w:val="%5."/>
      <w:lvlJc w:val="left"/>
      <w:pPr>
        <w:tabs>
          <w:tab w:val="num" w:pos="3600"/>
        </w:tabs>
        <w:ind w:left="3600" w:hanging="360"/>
      </w:pPr>
    </w:lvl>
    <w:lvl w:ilvl="5" w:tplc="9C60BAAE">
      <w:start w:val="2"/>
      <w:numFmt w:val="decimal"/>
      <w:lvlText w:val="%6."/>
      <w:lvlJc w:val="left"/>
      <w:pPr>
        <w:tabs>
          <w:tab w:val="num" w:pos="4320"/>
        </w:tabs>
        <w:ind w:left="4320" w:hanging="360"/>
      </w:pPr>
    </w:lvl>
    <w:lvl w:ilvl="6" w:tplc="4062552C">
      <w:start w:val="2"/>
      <w:numFmt w:val="lowerRoman"/>
      <w:lvlText w:val="%7."/>
      <w:lvlJc w:val="right"/>
      <w:pPr>
        <w:tabs>
          <w:tab w:val="num" w:pos="5040"/>
        </w:tabs>
        <w:ind w:left="5040" w:hanging="360"/>
      </w:pPr>
    </w:lvl>
    <w:lvl w:ilvl="7" w:tplc="DC9E3476">
      <w:start w:val="1"/>
      <w:numFmt w:val="decimal"/>
      <w:lvlText w:val="%8."/>
      <w:lvlJc w:val="left"/>
      <w:pPr>
        <w:tabs>
          <w:tab w:val="num" w:pos="5760"/>
        </w:tabs>
        <w:ind w:left="5760" w:hanging="360"/>
      </w:pPr>
    </w:lvl>
    <w:lvl w:ilvl="8" w:tplc="DB726378">
      <w:start w:val="1"/>
      <w:numFmt w:val="decimal"/>
      <w:lvlText w:val="%9."/>
      <w:lvlJc w:val="left"/>
      <w:pPr>
        <w:tabs>
          <w:tab w:val="num" w:pos="6480"/>
        </w:tabs>
        <w:ind w:left="6480" w:hanging="360"/>
      </w:pPr>
    </w:lvl>
  </w:abstractNum>
  <w:abstractNum w:abstractNumId="6">
    <w:nsid w:val="1DF31A3C"/>
    <w:multiLevelType w:val="multilevel"/>
    <w:tmpl w:val="B73C20C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lang w:val="en-US"/>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791"/>
        </w:tabs>
        <w:ind w:left="2431"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4287"/>
        </w:tabs>
        <w:ind w:left="3927"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1567638"/>
    <w:multiLevelType w:val="hybridMultilevel"/>
    <w:tmpl w:val="4486291E"/>
    <w:lvl w:ilvl="0" w:tplc="2CFAF31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78A7AAA"/>
    <w:multiLevelType w:val="hybridMultilevel"/>
    <w:tmpl w:val="24D43134"/>
    <w:lvl w:ilvl="0" w:tplc="2CFAF31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A3A6A49"/>
    <w:multiLevelType w:val="hybridMultilevel"/>
    <w:tmpl w:val="A378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EDA256F"/>
    <w:multiLevelType w:val="hybridMultilevel"/>
    <w:tmpl w:val="620E2804"/>
    <w:lvl w:ilvl="0" w:tplc="2CFAF3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182925"/>
    <w:multiLevelType w:val="singleLevel"/>
    <w:tmpl w:val="D180CED0"/>
    <w:lvl w:ilvl="0">
      <w:start w:val="1"/>
      <w:numFmt w:val="decimal"/>
      <w:lvlText w:val="%1."/>
      <w:lvlJc w:val="left"/>
      <w:pPr>
        <w:tabs>
          <w:tab w:val="num" w:pos="1800"/>
        </w:tabs>
        <w:ind w:left="720" w:firstLine="720"/>
      </w:pPr>
    </w:lvl>
  </w:abstractNum>
  <w:abstractNum w:abstractNumId="14">
    <w:nsid w:val="68431C58"/>
    <w:multiLevelType w:val="hybridMultilevel"/>
    <w:tmpl w:val="1206C054"/>
    <w:lvl w:ilvl="0" w:tplc="30522DBE">
      <w:start w:val="1"/>
      <w:numFmt w:val="bullet"/>
      <w:lvlText w:val=""/>
      <w:lvlJc w:val="left"/>
      <w:pPr>
        <w:tabs>
          <w:tab w:val="num" w:pos="720"/>
        </w:tabs>
        <w:ind w:left="720" w:hanging="360"/>
      </w:pPr>
      <w:rPr>
        <w:rFonts w:ascii="Symbol" w:hAnsi="Symbol" w:hint="default"/>
      </w:rPr>
    </w:lvl>
    <w:lvl w:ilvl="1" w:tplc="29889BAE">
      <w:start w:val="1"/>
      <w:numFmt w:val="bullet"/>
      <w:lvlText w:val="o"/>
      <w:lvlJc w:val="left"/>
      <w:pPr>
        <w:tabs>
          <w:tab w:val="num" w:pos="1440"/>
        </w:tabs>
        <w:ind w:left="1440" w:hanging="360"/>
      </w:pPr>
      <w:rPr>
        <w:rFonts w:ascii="Courier New" w:hAnsi="Courier New" w:cs="Arial" w:hint="default"/>
      </w:rPr>
    </w:lvl>
    <w:lvl w:ilvl="2" w:tplc="0610EA54" w:tentative="1">
      <w:start w:val="1"/>
      <w:numFmt w:val="bullet"/>
      <w:lvlText w:val=""/>
      <w:lvlJc w:val="left"/>
      <w:pPr>
        <w:tabs>
          <w:tab w:val="num" w:pos="2160"/>
        </w:tabs>
        <w:ind w:left="2160" w:hanging="360"/>
      </w:pPr>
      <w:rPr>
        <w:rFonts w:ascii="Wingdings" w:hAnsi="Wingdings" w:hint="default"/>
      </w:rPr>
    </w:lvl>
    <w:lvl w:ilvl="3" w:tplc="530ED478" w:tentative="1">
      <w:start w:val="1"/>
      <w:numFmt w:val="bullet"/>
      <w:lvlText w:val=""/>
      <w:lvlJc w:val="left"/>
      <w:pPr>
        <w:tabs>
          <w:tab w:val="num" w:pos="2880"/>
        </w:tabs>
        <w:ind w:left="2880" w:hanging="360"/>
      </w:pPr>
      <w:rPr>
        <w:rFonts w:ascii="Symbol" w:hAnsi="Symbol" w:hint="default"/>
      </w:rPr>
    </w:lvl>
    <w:lvl w:ilvl="4" w:tplc="7980A850" w:tentative="1">
      <w:start w:val="1"/>
      <w:numFmt w:val="bullet"/>
      <w:lvlText w:val="o"/>
      <w:lvlJc w:val="left"/>
      <w:pPr>
        <w:tabs>
          <w:tab w:val="num" w:pos="3600"/>
        </w:tabs>
        <w:ind w:left="3600" w:hanging="360"/>
      </w:pPr>
      <w:rPr>
        <w:rFonts w:ascii="Courier New" w:hAnsi="Courier New" w:cs="Arial" w:hint="default"/>
      </w:rPr>
    </w:lvl>
    <w:lvl w:ilvl="5" w:tplc="78D4D23C" w:tentative="1">
      <w:start w:val="1"/>
      <w:numFmt w:val="bullet"/>
      <w:lvlText w:val=""/>
      <w:lvlJc w:val="left"/>
      <w:pPr>
        <w:tabs>
          <w:tab w:val="num" w:pos="4320"/>
        </w:tabs>
        <w:ind w:left="4320" w:hanging="360"/>
      </w:pPr>
      <w:rPr>
        <w:rFonts w:ascii="Wingdings" w:hAnsi="Wingdings" w:hint="default"/>
      </w:rPr>
    </w:lvl>
    <w:lvl w:ilvl="6" w:tplc="F3CC7A30" w:tentative="1">
      <w:start w:val="1"/>
      <w:numFmt w:val="bullet"/>
      <w:lvlText w:val=""/>
      <w:lvlJc w:val="left"/>
      <w:pPr>
        <w:tabs>
          <w:tab w:val="num" w:pos="5040"/>
        </w:tabs>
        <w:ind w:left="5040" w:hanging="360"/>
      </w:pPr>
      <w:rPr>
        <w:rFonts w:ascii="Symbol" w:hAnsi="Symbol" w:hint="default"/>
      </w:rPr>
    </w:lvl>
    <w:lvl w:ilvl="7" w:tplc="E67EF644" w:tentative="1">
      <w:start w:val="1"/>
      <w:numFmt w:val="bullet"/>
      <w:lvlText w:val="o"/>
      <w:lvlJc w:val="left"/>
      <w:pPr>
        <w:tabs>
          <w:tab w:val="num" w:pos="5760"/>
        </w:tabs>
        <w:ind w:left="5760" w:hanging="360"/>
      </w:pPr>
      <w:rPr>
        <w:rFonts w:ascii="Courier New" w:hAnsi="Courier New" w:cs="Arial" w:hint="default"/>
      </w:rPr>
    </w:lvl>
    <w:lvl w:ilvl="8" w:tplc="324E2622" w:tentative="1">
      <w:start w:val="1"/>
      <w:numFmt w:val="bullet"/>
      <w:lvlText w:val=""/>
      <w:lvlJc w:val="left"/>
      <w:pPr>
        <w:tabs>
          <w:tab w:val="num" w:pos="6480"/>
        </w:tabs>
        <w:ind w:left="6480" w:hanging="360"/>
      </w:pPr>
      <w:rPr>
        <w:rFonts w:ascii="Wingdings" w:hAnsi="Wingdings" w:hint="default"/>
      </w:rPr>
    </w:lvl>
  </w:abstractNum>
  <w:abstractNum w:abstractNumId="15">
    <w:nsid w:val="6AF34372"/>
    <w:multiLevelType w:val="hybridMultilevel"/>
    <w:tmpl w:val="64048D82"/>
    <w:lvl w:ilvl="0" w:tplc="331E8DA0">
      <w:start w:val="1"/>
      <w:numFmt w:val="bullet"/>
      <w:lvlText w:val=""/>
      <w:lvlJc w:val="left"/>
      <w:pPr>
        <w:tabs>
          <w:tab w:val="num" w:pos="1080"/>
        </w:tabs>
        <w:ind w:left="1080" w:hanging="360"/>
      </w:pPr>
      <w:rPr>
        <w:rFonts w:ascii="Symbol" w:hAnsi="Symbol" w:hint="default"/>
      </w:rPr>
    </w:lvl>
    <w:lvl w:ilvl="1" w:tplc="BFE8BA80">
      <w:start w:val="1"/>
      <w:numFmt w:val="bullet"/>
      <w:lvlText w:val="o"/>
      <w:lvlJc w:val="left"/>
      <w:pPr>
        <w:tabs>
          <w:tab w:val="num" w:pos="1800"/>
        </w:tabs>
        <w:ind w:left="1800" w:hanging="360"/>
      </w:pPr>
      <w:rPr>
        <w:rFonts w:ascii="Courier New" w:hAnsi="Courier New" w:cs="Arial" w:hint="default"/>
      </w:rPr>
    </w:lvl>
    <w:lvl w:ilvl="2" w:tplc="41687F46" w:tentative="1">
      <w:start w:val="1"/>
      <w:numFmt w:val="bullet"/>
      <w:lvlText w:val=""/>
      <w:lvlJc w:val="left"/>
      <w:pPr>
        <w:tabs>
          <w:tab w:val="num" w:pos="2520"/>
        </w:tabs>
        <w:ind w:left="2520" w:hanging="360"/>
      </w:pPr>
      <w:rPr>
        <w:rFonts w:ascii="Wingdings" w:hAnsi="Wingdings" w:hint="default"/>
      </w:rPr>
    </w:lvl>
    <w:lvl w:ilvl="3" w:tplc="162037B4" w:tentative="1">
      <w:start w:val="1"/>
      <w:numFmt w:val="bullet"/>
      <w:lvlText w:val=""/>
      <w:lvlJc w:val="left"/>
      <w:pPr>
        <w:tabs>
          <w:tab w:val="num" w:pos="3240"/>
        </w:tabs>
        <w:ind w:left="3240" w:hanging="360"/>
      </w:pPr>
      <w:rPr>
        <w:rFonts w:ascii="Symbol" w:hAnsi="Symbol" w:hint="default"/>
      </w:rPr>
    </w:lvl>
    <w:lvl w:ilvl="4" w:tplc="5A920496" w:tentative="1">
      <w:start w:val="1"/>
      <w:numFmt w:val="bullet"/>
      <w:lvlText w:val="o"/>
      <w:lvlJc w:val="left"/>
      <w:pPr>
        <w:tabs>
          <w:tab w:val="num" w:pos="3960"/>
        </w:tabs>
        <w:ind w:left="3960" w:hanging="360"/>
      </w:pPr>
      <w:rPr>
        <w:rFonts w:ascii="Courier New" w:hAnsi="Courier New" w:cs="Arial" w:hint="default"/>
      </w:rPr>
    </w:lvl>
    <w:lvl w:ilvl="5" w:tplc="2E365420" w:tentative="1">
      <w:start w:val="1"/>
      <w:numFmt w:val="bullet"/>
      <w:lvlText w:val=""/>
      <w:lvlJc w:val="left"/>
      <w:pPr>
        <w:tabs>
          <w:tab w:val="num" w:pos="4680"/>
        </w:tabs>
        <w:ind w:left="4680" w:hanging="360"/>
      </w:pPr>
      <w:rPr>
        <w:rFonts w:ascii="Wingdings" w:hAnsi="Wingdings" w:hint="default"/>
      </w:rPr>
    </w:lvl>
    <w:lvl w:ilvl="6" w:tplc="AA74C826" w:tentative="1">
      <w:start w:val="1"/>
      <w:numFmt w:val="bullet"/>
      <w:lvlText w:val=""/>
      <w:lvlJc w:val="left"/>
      <w:pPr>
        <w:tabs>
          <w:tab w:val="num" w:pos="5400"/>
        </w:tabs>
        <w:ind w:left="5400" w:hanging="360"/>
      </w:pPr>
      <w:rPr>
        <w:rFonts w:ascii="Symbol" w:hAnsi="Symbol" w:hint="default"/>
      </w:rPr>
    </w:lvl>
    <w:lvl w:ilvl="7" w:tplc="DB943E50" w:tentative="1">
      <w:start w:val="1"/>
      <w:numFmt w:val="bullet"/>
      <w:lvlText w:val="o"/>
      <w:lvlJc w:val="left"/>
      <w:pPr>
        <w:tabs>
          <w:tab w:val="num" w:pos="6120"/>
        </w:tabs>
        <w:ind w:left="6120" w:hanging="360"/>
      </w:pPr>
      <w:rPr>
        <w:rFonts w:ascii="Courier New" w:hAnsi="Courier New" w:cs="Arial" w:hint="default"/>
      </w:rPr>
    </w:lvl>
    <w:lvl w:ilvl="8" w:tplc="D9C4BC34" w:tentative="1">
      <w:start w:val="1"/>
      <w:numFmt w:val="bullet"/>
      <w:lvlText w:val=""/>
      <w:lvlJc w:val="left"/>
      <w:pPr>
        <w:tabs>
          <w:tab w:val="num" w:pos="6840"/>
        </w:tabs>
        <w:ind w:left="6840" w:hanging="360"/>
      </w:pPr>
      <w:rPr>
        <w:rFonts w:ascii="Wingdings" w:hAnsi="Wingdings" w:hint="default"/>
      </w:rPr>
    </w:lvl>
  </w:abstractNum>
  <w:abstractNum w:abstractNumId="16">
    <w:nsid w:val="6E7E1435"/>
    <w:multiLevelType w:val="hybridMultilevel"/>
    <w:tmpl w:val="DEB2E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5"/>
    <w:lvlOverride w:ilvl="7">
      <w:lvl w:ilvl="7" w:tplc="DC9E3476">
        <w:numFmt w:val="lowerLetter"/>
        <w:lvlText w:val="%8."/>
        <w:lvlJc w:val="left"/>
      </w:lvl>
    </w:lvlOverride>
  </w:num>
  <w:num w:numId="4">
    <w:abstractNumId w:val="6"/>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4"/>
  </w:num>
  <w:num w:numId="9">
    <w:abstractNumId w:val="12"/>
  </w:num>
  <w:num w:numId="10">
    <w:abstractNumId w:val="8"/>
  </w:num>
  <w:num w:numId="11">
    <w:abstractNumId w:val="1"/>
  </w:num>
  <w:num w:numId="12">
    <w:abstractNumId w:val="7"/>
  </w:num>
  <w:num w:numId="13">
    <w:abstractNumId w:val="15"/>
  </w:num>
  <w:num w:numId="14">
    <w:abstractNumId w:val="14"/>
  </w:num>
  <w:num w:numId="15">
    <w:abstractNumId w:val="10"/>
  </w:num>
  <w:num w:numId="16">
    <w:abstractNumId w:val="16"/>
  </w:num>
  <w:num w:numId="17">
    <w:abstractNumId w:val="2"/>
  </w:num>
  <w:num w:numId="18">
    <w:abstractNumId w:val="3"/>
  </w:num>
  <w:num w:numId="19">
    <w:abstractNumId w:val="9"/>
  </w:num>
  <w:num w:numId="20">
    <w:abstractNumId w:val="9"/>
  </w:num>
  <w:num w:numId="21">
    <w:abstractNumId w:val="13"/>
    <w:lvlOverride w:ilvl="0">
      <w:startOverride w:val="1"/>
    </w:lvlOverride>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5"/>
    <w:rsid w:val="00003FC8"/>
    <w:rsid w:val="0000699C"/>
    <w:rsid w:val="00011952"/>
    <w:rsid w:val="00012ADA"/>
    <w:rsid w:val="0002101D"/>
    <w:rsid w:val="00026CBE"/>
    <w:rsid w:val="00026F6B"/>
    <w:rsid w:val="00027206"/>
    <w:rsid w:val="00030160"/>
    <w:rsid w:val="00030716"/>
    <w:rsid w:val="00035CFE"/>
    <w:rsid w:val="000469EA"/>
    <w:rsid w:val="00050FE6"/>
    <w:rsid w:val="00051972"/>
    <w:rsid w:val="0005596B"/>
    <w:rsid w:val="00057A70"/>
    <w:rsid w:val="00063592"/>
    <w:rsid w:val="00065FB9"/>
    <w:rsid w:val="00071728"/>
    <w:rsid w:val="00074676"/>
    <w:rsid w:val="000748B1"/>
    <w:rsid w:val="00075757"/>
    <w:rsid w:val="00075E19"/>
    <w:rsid w:val="00077B30"/>
    <w:rsid w:val="00081365"/>
    <w:rsid w:val="00083217"/>
    <w:rsid w:val="00084691"/>
    <w:rsid w:val="00092AA2"/>
    <w:rsid w:val="000937F6"/>
    <w:rsid w:val="00094749"/>
    <w:rsid w:val="00097763"/>
    <w:rsid w:val="000A235B"/>
    <w:rsid w:val="000A2980"/>
    <w:rsid w:val="000A3C89"/>
    <w:rsid w:val="000B0E80"/>
    <w:rsid w:val="000B11EB"/>
    <w:rsid w:val="000B7C08"/>
    <w:rsid w:val="000C270D"/>
    <w:rsid w:val="000C3A33"/>
    <w:rsid w:val="000C5768"/>
    <w:rsid w:val="000D14CE"/>
    <w:rsid w:val="000D6121"/>
    <w:rsid w:val="000D7832"/>
    <w:rsid w:val="000E3DF7"/>
    <w:rsid w:val="000E453B"/>
    <w:rsid w:val="000E6665"/>
    <w:rsid w:val="000F06CC"/>
    <w:rsid w:val="000F1615"/>
    <w:rsid w:val="000F3C50"/>
    <w:rsid w:val="000F41ED"/>
    <w:rsid w:val="001006E8"/>
    <w:rsid w:val="00100D9E"/>
    <w:rsid w:val="0010275B"/>
    <w:rsid w:val="001105A3"/>
    <w:rsid w:val="001105E5"/>
    <w:rsid w:val="00110A29"/>
    <w:rsid w:val="001144BE"/>
    <w:rsid w:val="00115384"/>
    <w:rsid w:val="00117E85"/>
    <w:rsid w:val="00130016"/>
    <w:rsid w:val="00131740"/>
    <w:rsid w:val="001318E2"/>
    <w:rsid w:val="0013347D"/>
    <w:rsid w:val="00133816"/>
    <w:rsid w:val="00135C8A"/>
    <w:rsid w:val="00140649"/>
    <w:rsid w:val="001428A5"/>
    <w:rsid w:val="001428E7"/>
    <w:rsid w:val="00146D27"/>
    <w:rsid w:val="0015253A"/>
    <w:rsid w:val="00160E23"/>
    <w:rsid w:val="00161849"/>
    <w:rsid w:val="00170D3E"/>
    <w:rsid w:val="0017217F"/>
    <w:rsid w:val="0017385B"/>
    <w:rsid w:val="00173F61"/>
    <w:rsid w:val="00174B12"/>
    <w:rsid w:val="0017581B"/>
    <w:rsid w:val="00184485"/>
    <w:rsid w:val="00190BAC"/>
    <w:rsid w:val="0019113C"/>
    <w:rsid w:val="00191EB2"/>
    <w:rsid w:val="001951E3"/>
    <w:rsid w:val="00195449"/>
    <w:rsid w:val="001A073C"/>
    <w:rsid w:val="001A4D86"/>
    <w:rsid w:val="001A530B"/>
    <w:rsid w:val="001A7494"/>
    <w:rsid w:val="001B0EEE"/>
    <w:rsid w:val="001C2F4C"/>
    <w:rsid w:val="001C54B4"/>
    <w:rsid w:val="001C5C99"/>
    <w:rsid w:val="001D2DA7"/>
    <w:rsid w:val="001D603C"/>
    <w:rsid w:val="001D703E"/>
    <w:rsid w:val="001D7F75"/>
    <w:rsid w:val="001E482E"/>
    <w:rsid w:val="001E63A5"/>
    <w:rsid w:val="001E7239"/>
    <w:rsid w:val="001E7562"/>
    <w:rsid w:val="001F0F6E"/>
    <w:rsid w:val="001F6A20"/>
    <w:rsid w:val="00200DCC"/>
    <w:rsid w:val="00202153"/>
    <w:rsid w:val="0020745E"/>
    <w:rsid w:val="00212148"/>
    <w:rsid w:val="00224AC8"/>
    <w:rsid w:val="00224CB2"/>
    <w:rsid w:val="00231B1B"/>
    <w:rsid w:val="00233023"/>
    <w:rsid w:val="00233412"/>
    <w:rsid w:val="00235825"/>
    <w:rsid w:val="002363F1"/>
    <w:rsid w:val="002414C3"/>
    <w:rsid w:val="0024464E"/>
    <w:rsid w:val="0025157F"/>
    <w:rsid w:val="00256B7B"/>
    <w:rsid w:val="00256F93"/>
    <w:rsid w:val="00264904"/>
    <w:rsid w:val="00266108"/>
    <w:rsid w:val="00271F25"/>
    <w:rsid w:val="00274DAC"/>
    <w:rsid w:val="00280CED"/>
    <w:rsid w:val="00282ED5"/>
    <w:rsid w:val="0028359A"/>
    <w:rsid w:val="00283AA9"/>
    <w:rsid w:val="00286A02"/>
    <w:rsid w:val="0029593A"/>
    <w:rsid w:val="00296D9D"/>
    <w:rsid w:val="002A01B3"/>
    <w:rsid w:val="002A1694"/>
    <w:rsid w:val="002A2B46"/>
    <w:rsid w:val="002A5C16"/>
    <w:rsid w:val="002A62F1"/>
    <w:rsid w:val="002A6C05"/>
    <w:rsid w:val="002A7C02"/>
    <w:rsid w:val="002B5EFE"/>
    <w:rsid w:val="002C703B"/>
    <w:rsid w:val="002C7632"/>
    <w:rsid w:val="002D14FE"/>
    <w:rsid w:val="002D4C99"/>
    <w:rsid w:val="002D5035"/>
    <w:rsid w:val="002D7BA7"/>
    <w:rsid w:val="002E2F45"/>
    <w:rsid w:val="002E3AB8"/>
    <w:rsid w:val="002E711A"/>
    <w:rsid w:val="002E7915"/>
    <w:rsid w:val="002F33BF"/>
    <w:rsid w:val="002F5523"/>
    <w:rsid w:val="002F5DB9"/>
    <w:rsid w:val="002F6402"/>
    <w:rsid w:val="003000FD"/>
    <w:rsid w:val="0030068F"/>
    <w:rsid w:val="00300BD9"/>
    <w:rsid w:val="00301B42"/>
    <w:rsid w:val="003031CB"/>
    <w:rsid w:val="00303811"/>
    <w:rsid w:val="00303D16"/>
    <w:rsid w:val="00307FB3"/>
    <w:rsid w:val="003144D8"/>
    <w:rsid w:val="003157E9"/>
    <w:rsid w:val="00316629"/>
    <w:rsid w:val="003218E6"/>
    <w:rsid w:val="00322C46"/>
    <w:rsid w:val="00325AF0"/>
    <w:rsid w:val="003300D5"/>
    <w:rsid w:val="003345A1"/>
    <w:rsid w:val="00334DF0"/>
    <w:rsid w:val="00336B15"/>
    <w:rsid w:val="00336D23"/>
    <w:rsid w:val="00341A50"/>
    <w:rsid w:val="00342278"/>
    <w:rsid w:val="00344615"/>
    <w:rsid w:val="00344B11"/>
    <w:rsid w:val="003458FC"/>
    <w:rsid w:val="00346048"/>
    <w:rsid w:val="00347AAF"/>
    <w:rsid w:val="003504A8"/>
    <w:rsid w:val="00350FFE"/>
    <w:rsid w:val="00352E2A"/>
    <w:rsid w:val="00353A4B"/>
    <w:rsid w:val="00355AFF"/>
    <w:rsid w:val="003629E1"/>
    <w:rsid w:val="0036356D"/>
    <w:rsid w:val="0036569E"/>
    <w:rsid w:val="003677C4"/>
    <w:rsid w:val="003710CD"/>
    <w:rsid w:val="00373032"/>
    <w:rsid w:val="00373CE1"/>
    <w:rsid w:val="00377406"/>
    <w:rsid w:val="00384667"/>
    <w:rsid w:val="00386D8E"/>
    <w:rsid w:val="0038765A"/>
    <w:rsid w:val="003910E1"/>
    <w:rsid w:val="00391716"/>
    <w:rsid w:val="00394C74"/>
    <w:rsid w:val="00396891"/>
    <w:rsid w:val="003A440B"/>
    <w:rsid w:val="003A45E1"/>
    <w:rsid w:val="003A4C94"/>
    <w:rsid w:val="003A7D3D"/>
    <w:rsid w:val="003B07B6"/>
    <w:rsid w:val="003B61B5"/>
    <w:rsid w:val="003B7EDE"/>
    <w:rsid w:val="003C0823"/>
    <w:rsid w:val="003C2746"/>
    <w:rsid w:val="003C3C67"/>
    <w:rsid w:val="003C3FF3"/>
    <w:rsid w:val="003D18B6"/>
    <w:rsid w:val="003D3E13"/>
    <w:rsid w:val="003D5835"/>
    <w:rsid w:val="003D6DF0"/>
    <w:rsid w:val="003D719C"/>
    <w:rsid w:val="003D731B"/>
    <w:rsid w:val="003E0693"/>
    <w:rsid w:val="003E1ABD"/>
    <w:rsid w:val="003E1BF6"/>
    <w:rsid w:val="003E28E4"/>
    <w:rsid w:val="003E3B0E"/>
    <w:rsid w:val="003E554C"/>
    <w:rsid w:val="003E5CBD"/>
    <w:rsid w:val="003E79EB"/>
    <w:rsid w:val="003F06D7"/>
    <w:rsid w:val="003F6733"/>
    <w:rsid w:val="00400B29"/>
    <w:rsid w:val="00415FC6"/>
    <w:rsid w:val="0041633B"/>
    <w:rsid w:val="004173B5"/>
    <w:rsid w:val="00421113"/>
    <w:rsid w:val="004219FC"/>
    <w:rsid w:val="00425BB6"/>
    <w:rsid w:val="00430E49"/>
    <w:rsid w:val="004314C5"/>
    <w:rsid w:val="00436FE2"/>
    <w:rsid w:val="00443ADF"/>
    <w:rsid w:val="00446DC6"/>
    <w:rsid w:val="004505EB"/>
    <w:rsid w:val="00450F85"/>
    <w:rsid w:val="0045481B"/>
    <w:rsid w:val="00461B92"/>
    <w:rsid w:val="00461D99"/>
    <w:rsid w:val="00462C77"/>
    <w:rsid w:val="00464C91"/>
    <w:rsid w:val="004668FD"/>
    <w:rsid w:val="00473867"/>
    <w:rsid w:val="004761F7"/>
    <w:rsid w:val="00480D38"/>
    <w:rsid w:val="004815A4"/>
    <w:rsid w:val="00481703"/>
    <w:rsid w:val="00482E8D"/>
    <w:rsid w:val="00484B5A"/>
    <w:rsid w:val="00491BE2"/>
    <w:rsid w:val="004923ED"/>
    <w:rsid w:val="00493CE3"/>
    <w:rsid w:val="004948CE"/>
    <w:rsid w:val="004966C1"/>
    <w:rsid w:val="004A30E1"/>
    <w:rsid w:val="004A3792"/>
    <w:rsid w:val="004B0852"/>
    <w:rsid w:val="004B1184"/>
    <w:rsid w:val="004B1C0F"/>
    <w:rsid w:val="004B56CA"/>
    <w:rsid w:val="004C2A2E"/>
    <w:rsid w:val="004C627E"/>
    <w:rsid w:val="004C6314"/>
    <w:rsid w:val="004C7409"/>
    <w:rsid w:val="004E163B"/>
    <w:rsid w:val="004E1DAD"/>
    <w:rsid w:val="004E1EFE"/>
    <w:rsid w:val="004E21F1"/>
    <w:rsid w:val="004E52B0"/>
    <w:rsid w:val="004E60F0"/>
    <w:rsid w:val="004F02F7"/>
    <w:rsid w:val="004F0868"/>
    <w:rsid w:val="004F2526"/>
    <w:rsid w:val="004F34E4"/>
    <w:rsid w:val="00502FC8"/>
    <w:rsid w:val="0050329E"/>
    <w:rsid w:val="00505D92"/>
    <w:rsid w:val="00506762"/>
    <w:rsid w:val="00507C9B"/>
    <w:rsid w:val="0051294E"/>
    <w:rsid w:val="00515968"/>
    <w:rsid w:val="005163DF"/>
    <w:rsid w:val="00517BE7"/>
    <w:rsid w:val="00520F34"/>
    <w:rsid w:val="0052285F"/>
    <w:rsid w:val="005257F4"/>
    <w:rsid w:val="00525A42"/>
    <w:rsid w:val="00527023"/>
    <w:rsid w:val="005324F8"/>
    <w:rsid w:val="005328C3"/>
    <w:rsid w:val="00535BE3"/>
    <w:rsid w:val="00544B14"/>
    <w:rsid w:val="00546359"/>
    <w:rsid w:val="00546F4A"/>
    <w:rsid w:val="005470BA"/>
    <w:rsid w:val="005474C2"/>
    <w:rsid w:val="005474EA"/>
    <w:rsid w:val="005475D5"/>
    <w:rsid w:val="00550ED5"/>
    <w:rsid w:val="00552708"/>
    <w:rsid w:val="0055293C"/>
    <w:rsid w:val="00553BE9"/>
    <w:rsid w:val="0055591E"/>
    <w:rsid w:val="00556B9B"/>
    <w:rsid w:val="00561A15"/>
    <w:rsid w:val="00564345"/>
    <w:rsid w:val="005646FA"/>
    <w:rsid w:val="005654DE"/>
    <w:rsid w:val="005661DF"/>
    <w:rsid w:val="00566F8C"/>
    <w:rsid w:val="00567E91"/>
    <w:rsid w:val="0057032B"/>
    <w:rsid w:val="005708F7"/>
    <w:rsid w:val="0057214D"/>
    <w:rsid w:val="00572DA4"/>
    <w:rsid w:val="00575883"/>
    <w:rsid w:val="00576109"/>
    <w:rsid w:val="0058075A"/>
    <w:rsid w:val="00580B64"/>
    <w:rsid w:val="00585AD6"/>
    <w:rsid w:val="00585F7F"/>
    <w:rsid w:val="00591A5C"/>
    <w:rsid w:val="00592335"/>
    <w:rsid w:val="00595B26"/>
    <w:rsid w:val="00596517"/>
    <w:rsid w:val="00596647"/>
    <w:rsid w:val="00597AF2"/>
    <w:rsid w:val="005A08C1"/>
    <w:rsid w:val="005A7F94"/>
    <w:rsid w:val="005B30EC"/>
    <w:rsid w:val="005B4AD0"/>
    <w:rsid w:val="005B4DD8"/>
    <w:rsid w:val="005B5DE0"/>
    <w:rsid w:val="005C24A1"/>
    <w:rsid w:val="005C3177"/>
    <w:rsid w:val="005C3C6B"/>
    <w:rsid w:val="005D370A"/>
    <w:rsid w:val="005D51E6"/>
    <w:rsid w:val="005D60C5"/>
    <w:rsid w:val="005E0108"/>
    <w:rsid w:val="005E02DC"/>
    <w:rsid w:val="005E540F"/>
    <w:rsid w:val="005F18FE"/>
    <w:rsid w:val="005F3C8F"/>
    <w:rsid w:val="005F4F00"/>
    <w:rsid w:val="00600608"/>
    <w:rsid w:val="00602925"/>
    <w:rsid w:val="00603215"/>
    <w:rsid w:val="00603FFF"/>
    <w:rsid w:val="00605D3A"/>
    <w:rsid w:val="00612C57"/>
    <w:rsid w:val="00612F12"/>
    <w:rsid w:val="00615D6E"/>
    <w:rsid w:val="00616598"/>
    <w:rsid w:val="00617721"/>
    <w:rsid w:val="00620E44"/>
    <w:rsid w:val="006303E4"/>
    <w:rsid w:val="0063043F"/>
    <w:rsid w:val="006329B0"/>
    <w:rsid w:val="00632CD9"/>
    <w:rsid w:val="006331FF"/>
    <w:rsid w:val="00635853"/>
    <w:rsid w:val="00636BAE"/>
    <w:rsid w:val="00637AE7"/>
    <w:rsid w:val="00637C8B"/>
    <w:rsid w:val="0064057F"/>
    <w:rsid w:val="00640802"/>
    <w:rsid w:val="00643122"/>
    <w:rsid w:val="0064386B"/>
    <w:rsid w:val="0064413E"/>
    <w:rsid w:val="00644FE9"/>
    <w:rsid w:val="00647E4E"/>
    <w:rsid w:val="00652DB4"/>
    <w:rsid w:val="00657526"/>
    <w:rsid w:val="0065761B"/>
    <w:rsid w:val="006606A0"/>
    <w:rsid w:val="006638ED"/>
    <w:rsid w:val="00664CEB"/>
    <w:rsid w:val="00665538"/>
    <w:rsid w:val="00670963"/>
    <w:rsid w:val="0067763A"/>
    <w:rsid w:val="00684DC2"/>
    <w:rsid w:val="0069213E"/>
    <w:rsid w:val="006A1953"/>
    <w:rsid w:val="006A203A"/>
    <w:rsid w:val="006A2914"/>
    <w:rsid w:val="006A3E4F"/>
    <w:rsid w:val="006A71C8"/>
    <w:rsid w:val="006A7CA8"/>
    <w:rsid w:val="006B1246"/>
    <w:rsid w:val="006B182B"/>
    <w:rsid w:val="006B3DB6"/>
    <w:rsid w:val="006B4551"/>
    <w:rsid w:val="006B4DC5"/>
    <w:rsid w:val="006C14E2"/>
    <w:rsid w:val="006C15BA"/>
    <w:rsid w:val="006C6843"/>
    <w:rsid w:val="006D1F05"/>
    <w:rsid w:val="006D4B63"/>
    <w:rsid w:val="006D6917"/>
    <w:rsid w:val="006D7EF6"/>
    <w:rsid w:val="006E14AF"/>
    <w:rsid w:val="006E214F"/>
    <w:rsid w:val="006E2305"/>
    <w:rsid w:val="006E30F1"/>
    <w:rsid w:val="006E371F"/>
    <w:rsid w:val="006E4DDB"/>
    <w:rsid w:val="006E6F66"/>
    <w:rsid w:val="006F0772"/>
    <w:rsid w:val="006F0F87"/>
    <w:rsid w:val="006F5CCB"/>
    <w:rsid w:val="00700907"/>
    <w:rsid w:val="00700E28"/>
    <w:rsid w:val="00701752"/>
    <w:rsid w:val="007022A0"/>
    <w:rsid w:val="007023A5"/>
    <w:rsid w:val="00710DC8"/>
    <w:rsid w:val="00711022"/>
    <w:rsid w:val="007125B8"/>
    <w:rsid w:val="00713B50"/>
    <w:rsid w:val="00715654"/>
    <w:rsid w:val="0071709E"/>
    <w:rsid w:val="00720E08"/>
    <w:rsid w:val="00721E42"/>
    <w:rsid w:val="0072202B"/>
    <w:rsid w:val="0072240D"/>
    <w:rsid w:val="00725CDF"/>
    <w:rsid w:val="00725DB8"/>
    <w:rsid w:val="00726C3C"/>
    <w:rsid w:val="00726FEC"/>
    <w:rsid w:val="00731491"/>
    <w:rsid w:val="00735E26"/>
    <w:rsid w:val="00740033"/>
    <w:rsid w:val="00740495"/>
    <w:rsid w:val="00742E80"/>
    <w:rsid w:val="00742F99"/>
    <w:rsid w:val="007438CE"/>
    <w:rsid w:val="00747FEF"/>
    <w:rsid w:val="0075002F"/>
    <w:rsid w:val="0075004E"/>
    <w:rsid w:val="007530E9"/>
    <w:rsid w:val="00753913"/>
    <w:rsid w:val="00754645"/>
    <w:rsid w:val="00757BC4"/>
    <w:rsid w:val="0076530B"/>
    <w:rsid w:val="00771D8D"/>
    <w:rsid w:val="007764B2"/>
    <w:rsid w:val="00776F27"/>
    <w:rsid w:val="00777048"/>
    <w:rsid w:val="00780196"/>
    <w:rsid w:val="00780BD0"/>
    <w:rsid w:val="00781DF2"/>
    <w:rsid w:val="0078203B"/>
    <w:rsid w:val="007846C8"/>
    <w:rsid w:val="00793554"/>
    <w:rsid w:val="00793994"/>
    <w:rsid w:val="007951A5"/>
    <w:rsid w:val="007A3755"/>
    <w:rsid w:val="007A470A"/>
    <w:rsid w:val="007B1614"/>
    <w:rsid w:val="007B2E81"/>
    <w:rsid w:val="007B3836"/>
    <w:rsid w:val="007B401D"/>
    <w:rsid w:val="007B5D92"/>
    <w:rsid w:val="007C715E"/>
    <w:rsid w:val="007D1B2D"/>
    <w:rsid w:val="007D4DBD"/>
    <w:rsid w:val="007D6A9D"/>
    <w:rsid w:val="007D7A47"/>
    <w:rsid w:val="007E1DD0"/>
    <w:rsid w:val="007E5E46"/>
    <w:rsid w:val="007F1B0C"/>
    <w:rsid w:val="007F1D92"/>
    <w:rsid w:val="007F1DB2"/>
    <w:rsid w:val="007F3734"/>
    <w:rsid w:val="007F3CBA"/>
    <w:rsid w:val="007F3E5F"/>
    <w:rsid w:val="007F4389"/>
    <w:rsid w:val="007F4FBB"/>
    <w:rsid w:val="007F6423"/>
    <w:rsid w:val="00800781"/>
    <w:rsid w:val="00801584"/>
    <w:rsid w:val="00802A32"/>
    <w:rsid w:val="00803093"/>
    <w:rsid w:val="00813002"/>
    <w:rsid w:val="00814581"/>
    <w:rsid w:val="00814838"/>
    <w:rsid w:val="0081553F"/>
    <w:rsid w:val="008156B0"/>
    <w:rsid w:val="00815D2E"/>
    <w:rsid w:val="008206AD"/>
    <w:rsid w:val="008238E2"/>
    <w:rsid w:val="0082424D"/>
    <w:rsid w:val="008260D1"/>
    <w:rsid w:val="0082746F"/>
    <w:rsid w:val="00830255"/>
    <w:rsid w:val="008334FC"/>
    <w:rsid w:val="008341AC"/>
    <w:rsid w:val="00834206"/>
    <w:rsid w:val="008346FB"/>
    <w:rsid w:val="0083537E"/>
    <w:rsid w:val="008401DA"/>
    <w:rsid w:val="0084248E"/>
    <w:rsid w:val="00842BED"/>
    <w:rsid w:val="00843108"/>
    <w:rsid w:val="00844038"/>
    <w:rsid w:val="00845EBA"/>
    <w:rsid w:val="0085036B"/>
    <w:rsid w:val="00851718"/>
    <w:rsid w:val="008520CF"/>
    <w:rsid w:val="00854E68"/>
    <w:rsid w:val="00865DFE"/>
    <w:rsid w:val="0086765C"/>
    <w:rsid w:val="0087082C"/>
    <w:rsid w:val="00872232"/>
    <w:rsid w:val="00872A32"/>
    <w:rsid w:val="008745B7"/>
    <w:rsid w:val="00881A0D"/>
    <w:rsid w:val="00881C6C"/>
    <w:rsid w:val="00884C01"/>
    <w:rsid w:val="00884D17"/>
    <w:rsid w:val="00890755"/>
    <w:rsid w:val="00894B2A"/>
    <w:rsid w:val="008A0B05"/>
    <w:rsid w:val="008A2807"/>
    <w:rsid w:val="008B22C3"/>
    <w:rsid w:val="008B25D9"/>
    <w:rsid w:val="008B5FA5"/>
    <w:rsid w:val="008C28A3"/>
    <w:rsid w:val="008C4556"/>
    <w:rsid w:val="008C4E1F"/>
    <w:rsid w:val="008C5903"/>
    <w:rsid w:val="008C6BB2"/>
    <w:rsid w:val="008D347A"/>
    <w:rsid w:val="008D735F"/>
    <w:rsid w:val="008E034D"/>
    <w:rsid w:val="008E0C49"/>
    <w:rsid w:val="008E10C2"/>
    <w:rsid w:val="008E55B9"/>
    <w:rsid w:val="008E580E"/>
    <w:rsid w:val="008F1D97"/>
    <w:rsid w:val="008F29AA"/>
    <w:rsid w:val="008F4AA3"/>
    <w:rsid w:val="008F6DBB"/>
    <w:rsid w:val="00901CBE"/>
    <w:rsid w:val="009030D2"/>
    <w:rsid w:val="00905DB7"/>
    <w:rsid w:val="00915103"/>
    <w:rsid w:val="00921970"/>
    <w:rsid w:val="00923259"/>
    <w:rsid w:val="00933A31"/>
    <w:rsid w:val="00935544"/>
    <w:rsid w:val="009371E3"/>
    <w:rsid w:val="009442EA"/>
    <w:rsid w:val="00945805"/>
    <w:rsid w:val="00946E6F"/>
    <w:rsid w:val="00952FAA"/>
    <w:rsid w:val="009543DA"/>
    <w:rsid w:val="00955606"/>
    <w:rsid w:val="009562BE"/>
    <w:rsid w:val="0095631B"/>
    <w:rsid w:val="00961B59"/>
    <w:rsid w:val="00963A47"/>
    <w:rsid w:val="00965CE5"/>
    <w:rsid w:val="0096676E"/>
    <w:rsid w:val="00966784"/>
    <w:rsid w:val="00970238"/>
    <w:rsid w:val="00970301"/>
    <w:rsid w:val="00970F5B"/>
    <w:rsid w:val="00972EA9"/>
    <w:rsid w:val="00974058"/>
    <w:rsid w:val="0097697E"/>
    <w:rsid w:val="00977044"/>
    <w:rsid w:val="009778DC"/>
    <w:rsid w:val="009810ED"/>
    <w:rsid w:val="00982352"/>
    <w:rsid w:val="009849BE"/>
    <w:rsid w:val="0099171B"/>
    <w:rsid w:val="00991A88"/>
    <w:rsid w:val="00991DF0"/>
    <w:rsid w:val="00992C67"/>
    <w:rsid w:val="00993318"/>
    <w:rsid w:val="00993964"/>
    <w:rsid w:val="00994CB0"/>
    <w:rsid w:val="009977B1"/>
    <w:rsid w:val="009A3489"/>
    <w:rsid w:val="009A3864"/>
    <w:rsid w:val="009A3C11"/>
    <w:rsid w:val="009B0086"/>
    <w:rsid w:val="009B0851"/>
    <w:rsid w:val="009B648C"/>
    <w:rsid w:val="009C2A85"/>
    <w:rsid w:val="009C3275"/>
    <w:rsid w:val="009C747A"/>
    <w:rsid w:val="009D31A8"/>
    <w:rsid w:val="009D3DCA"/>
    <w:rsid w:val="009D6C49"/>
    <w:rsid w:val="009E0712"/>
    <w:rsid w:val="009E1EB2"/>
    <w:rsid w:val="009F2A3C"/>
    <w:rsid w:val="009F4C1E"/>
    <w:rsid w:val="009F62E7"/>
    <w:rsid w:val="00A0477F"/>
    <w:rsid w:val="00A06995"/>
    <w:rsid w:val="00A072A7"/>
    <w:rsid w:val="00A075D7"/>
    <w:rsid w:val="00A103BB"/>
    <w:rsid w:val="00A107A6"/>
    <w:rsid w:val="00A1094F"/>
    <w:rsid w:val="00A13FF5"/>
    <w:rsid w:val="00A14CFD"/>
    <w:rsid w:val="00A162BF"/>
    <w:rsid w:val="00A20CB1"/>
    <w:rsid w:val="00A21659"/>
    <w:rsid w:val="00A21E39"/>
    <w:rsid w:val="00A301E9"/>
    <w:rsid w:val="00A304CA"/>
    <w:rsid w:val="00A30E93"/>
    <w:rsid w:val="00A325B4"/>
    <w:rsid w:val="00A337FE"/>
    <w:rsid w:val="00A33FB7"/>
    <w:rsid w:val="00A34EA6"/>
    <w:rsid w:val="00A365B4"/>
    <w:rsid w:val="00A36EBB"/>
    <w:rsid w:val="00A4037F"/>
    <w:rsid w:val="00A5095D"/>
    <w:rsid w:val="00A523BE"/>
    <w:rsid w:val="00A57A85"/>
    <w:rsid w:val="00A60BA2"/>
    <w:rsid w:val="00A66580"/>
    <w:rsid w:val="00A72CDF"/>
    <w:rsid w:val="00A73C29"/>
    <w:rsid w:val="00A93556"/>
    <w:rsid w:val="00A97D38"/>
    <w:rsid w:val="00AA2B99"/>
    <w:rsid w:val="00AA7CB0"/>
    <w:rsid w:val="00AB0BEA"/>
    <w:rsid w:val="00AB1389"/>
    <w:rsid w:val="00AB4F43"/>
    <w:rsid w:val="00AC1804"/>
    <w:rsid w:val="00AC1C4D"/>
    <w:rsid w:val="00AC6BBE"/>
    <w:rsid w:val="00AE092F"/>
    <w:rsid w:val="00AE0EA7"/>
    <w:rsid w:val="00AE18B1"/>
    <w:rsid w:val="00AE1C69"/>
    <w:rsid w:val="00AE35BF"/>
    <w:rsid w:val="00AE3F83"/>
    <w:rsid w:val="00AF674D"/>
    <w:rsid w:val="00AF70C3"/>
    <w:rsid w:val="00B0360D"/>
    <w:rsid w:val="00B03D63"/>
    <w:rsid w:val="00B1669A"/>
    <w:rsid w:val="00B174BE"/>
    <w:rsid w:val="00B17A19"/>
    <w:rsid w:val="00B22AA1"/>
    <w:rsid w:val="00B2401E"/>
    <w:rsid w:val="00B279BC"/>
    <w:rsid w:val="00B31BD4"/>
    <w:rsid w:val="00B31C86"/>
    <w:rsid w:val="00B41C3E"/>
    <w:rsid w:val="00B42AD9"/>
    <w:rsid w:val="00B5266E"/>
    <w:rsid w:val="00B57781"/>
    <w:rsid w:val="00B60B73"/>
    <w:rsid w:val="00B60C10"/>
    <w:rsid w:val="00B620D6"/>
    <w:rsid w:val="00B64C80"/>
    <w:rsid w:val="00B718F2"/>
    <w:rsid w:val="00B71DD4"/>
    <w:rsid w:val="00B776C1"/>
    <w:rsid w:val="00B815A1"/>
    <w:rsid w:val="00B856B3"/>
    <w:rsid w:val="00B8712E"/>
    <w:rsid w:val="00B90306"/>
    <w:rsid w:val="00B92564"/>
    <w:rsid w:val="00B92794"/>
    <w:rsid w:val="00B9459A"/>
    <w:rsid w:val="00BA2A44"/>
    <w:rsid w:val="00BA34D0"/>
    <w:rsid w:val="00BA618A"/>
    <w:rsid w:val="00BA734A"/>
    <w:rsid w:val="00BB0012"/>
    <w:rsid w:val="00BB0039"/>
    <w:rsid w:val="00BB1CBF"/>
    <w:rsid w:val="00BB2415"/>
    <w:rsid w:val="00BB3F84"/>
    <w:rsid w:val="00BB69BE"/>
    <w:rsid w:val="00BB6D76"/>
    <w:rsid w:val="00BC1848"/>
    <w:rsid w:val="00BC75FA"/>
    <w:rsid w:val="00BE01A2"/>
    <w:rsid w:val="00BE1E0B"/>
    <w:rsid w:val="00BE2552"/>
    <w:rsid w:val="00BE326E"/>
    <w:rsid w:val="00BE3C8B"/>
    <w:rsid w:val="00BE443D"/>
    <w:rsid w:val="00BF1EC4"/>
    <w:rsid w:val="00BF2712"/>
    <w:rsid w:val="00C002F0"/>
    <w:rsid w:val="00C009A5"/>
    <w:rsid w:val="00C021A9"/>
    <w:rsid w:val="00C03BC3"/>
    <w:rsid w:val="00C06665"/>
    <w:rsid w:val="00C118C7"/>
    <w:rsid w:val="00C11A6C"/>
    <w:rsid w:val="00C13817"/>
    <w:rsid w:val="00C14872"/>
    <w:rsid w:val="00C155DF"/>
    <w:rsid w:val="00C20A03"/>
    <w:rsid w:val="00C212B0"/>
    <w:rsid w:val="00C2172F"/>
    <w:rsid w:val="00C23711"/>
    <w:rsid w:val="00C2587E"/>
    <w:rsid w:val="00C32C0F"/>
    <w:rsid w:val="00C34A4E"/>
    <w:rsid w:val="00C37BC3"/>
    <w:rsid w:val="00C400E9"/>
    <w:rsid w:val="00C41BD8"/>
    <w:rsid w:val="00C42AB8"/>
    <w:rsid w:val="00C46079"/>
    <w:rsid w:val="00C46F9E"/>
    <w:rsid w:val="00C4758D"/>
    <w:rsid w:val="00C5056B"/>
    <w:rsid w:val="00C55989"/>
    <w:rsid w:val="00C6136F"/>
    <w:rsid w:val="00C6145F"/>
    <w:rsid w:val="00C651E2"/>
    <w:rsid w:val="00C65DE8"/>
    <w:rsid w:val="00C66518"/>
    <w:rsid w:val="00C70B8C"/>
    <w:rsid w:val="00C71AC4"/>
    <w:rsid w:val="00C74D2F"/>
    <w:rsid w:val="00C76ABE"/>
    <w:rsid w:val="00C8144C"/>
    <w:rsid w:val="00C846E5"/>
    <w:rsid w:val="00C92780"/>
    <w:rsid w:val="00C92B60"/>
    <w:rsid w:val="00CA5F39"/>
    <w:rsid w:val="00CB2D6E"/>
    <w:rsid w:val="00CB5533"/>
    <w:rsid w:val="00CB6973"/>
    <w:rsid w:val="00CB6BB1"/>
    <w:rsid w:val="00CC2DE7"/>
    <w:rsid w:val="00CC56C9"/>
    <w:rsid w:val="00CC77FF"/>
    <w:rsid w:val="00CD1EEA"/>
    <w:rsid w:val="00CD5275"/>
    <w:rsid w:val="00CD576B"/>
    <w:rsid w:val="00CD7B84"/>
    <w:rsid w:val="00CE1AA2"/>
    <w:rsid w:val="00CE5ACC"/>
    <w:rsid w:val="00CE755E"/>
    <w:rsid w:val="00CF12F8"/>
    <w:rsid w:val="00CF5011"/>
    <w:rsid w:val="00CF6081"/>
    <w:rsid w:val="00CF6C54"/>
    <w:rsid w:val="00D04BDD"/>
    <w:rsid w:val="00D06AE1"/>
    <w:rsid w:val="00D078B4"/>
    <w:rsid w:val="00D120EB"/>
    <w:rsid w:val="00D13606"/>
    <w:rsid w:val="00D15368"/>
    <w:rsid w:val="00D2020D"/>
    <w:rsid w:val="00D20B31"/>
    <w:rsid w:val="00D22DFA"/>
    <w:rsid w:val="00D23BD6"/>
    <w:rsid w:val="00D25C1A"/>
    <w:rsid w:val="00D260A8"/>
    <w:rsid w:val="00D26D71"/>
    <w:rsid w:val="00D3338F"/>
    <w:rsid w:val="00D35783"/>
    <w:rsid w:val="00D3600A"/>
    <w:rsid w:val="00D41B9E"/>
    <w:rsid w:val="00D441B3"/>
    <w:rsid w:val="00D47303"/>
    <w:rsid w:val="00D476BC"/>
    <w:rsid w:val="00D50498"/>
    <w:rsid w:val="00D52FF8"/>
    <w:rsid w:val="00D536DA"/>
    <w:rsid w:val="00D61BFB"/>
    <w:rsid w:val="00D65B10"/>
    <w:rsid w:val="00D67D79"/>
    <w:rsid w:val="00D67E0C"/>
    <w:rsid w:val="00D72B35"/>
    <w:rsid w:val="00D73B64"/>
    <w:rsid w:val="00D756E4"/>
    <w:rsid w:val="00D8153D"/>
    <w:rsid w:val="00D8154F"/>
    <w:rsid w:val="00D815A8"/>
    <w:rsid w:val="00D82E16"/>
    <w:rsid w:val="00D83EDB"/>
    <w:rsid w:val="00D857E6"/>
    <w:rsid w:val="00D94453"/>
    <w:rsid w:val="00D96A3A"/>
    <w:rsid w:val="00DA09F1"/>
    <w:rsid w:val="00DB1E50"/>
    <w:rsid w:val="00DB2F5E"/>
    <w:rsid w:val="00DB44DB"/>
    <w:rsid w:val="00DB4505"/>
    <w:rsid w:val="00DC03B1"/>
    <w:rsid w:val="00DC0403"/>
    <w:rsid w:val="00DC3672"/>
    <w:rsid w:val="00DC37E0"/>
    <w:rsid w:val="00DD1A54"/>
    <w:rsid w:val="00DD1FF2"/>
    <w:rsid w:val="00DE7CF6"/>
    <w:rsid w:val="00DF1BC8"/>
    <w:rsid w:val="00DF25F6"/>
    <w:rsid w:val="00DF3A34"/>
    <w:rsid w:val="00DF4A38"/>
    <w:rsid w:val="00DF5192"/>
    <w:rsid w:val="00DF659F"/>
    <w:rsid w:val="00DF7E13"/>
    <w:rsid w:val="00E016CF"/>
    <w:rsid w:val="00E01DDA"/>
    <w:rsid w:val="00E038D1"/>
    <w:rsid w:val="00E0512A"/>
    <w:rsid w:val="00E05556"/>
    <w:rsid w:val="00E06C7E"/>
    <w:rsid w:val="00E1180F"/>
    <w:rsid w:val="00E150F4"/>
    <w:rsid w:val="00E17D39"/>
    <w:rsid w:val="00E303A2"/>
    <w:rsid w:val="00E3343A"/>
    <w:rsid w:val="00E338A9"/>
    <w:rsid w:val="00E33BF5"/>
    <w:rsid w:val="00E35C06"/>
    <w:rsid w:val="00E41EB0"/>
    <w:rsid w:val="00E432A1"/>
    <w:rsid w:val="00E4684E"/>
    <w:rsid w:val="00E5367A"/>
    <w:rsid w:val="00E53C54"/>
    <w:rsid w:val="00E53D9E"/>
    <w:rsid w:val="00E5532C"/>
    <w:rsid w:val="00E55E70"/>
    <w:rsid w:val="00E65BFB"/>
    <w:rsid w:val="00E66C55"/>
    <w:rsid w:val="00E70DF6"/>
    <w:rsid w:val="00E71275"/>
    <w:rsid w:val="00E71BB9"/>
    <w:rsid w:val="00E7494F"/>
    <w:rsid w:val="00E80D56"/>
    <w:rsid w:val="00E81A5B"/>
    <w:rsid w:val="00E861AD"/>
    <w:rsid w:val="00E926CE"/>
    <w:rsid w:val="00EA3465"/>
    <w:rsid w:val="00EA40D6"/>
    <w:rsid w:val="00EA5776"/>
    <w:rsid w:val="00EA61E8"/>
    <w:rsid w:val="00EB30DA"/>
    <w:rsid w:val="00EB34E3"/>
    <w:rsid w:val="00EB5213"/>
    <w:rsid w:val="00EB637B"/>
    <w:rsid w:val="00EC240D"/>
    <w:rsid w:val="00EC52CF"/>
    <w:rsid w:val="00ED19F9"/>
    <w:rsid w:val="00ED1B9A"/>
    <w:rsid w:val="00ED2AE3"/>
    <w:rsid w:val="00ED3754"/>
    <w:rsid w:val="00ED3798"/>
    <w:rsid w:val="00ED6DB6"/>
    <w:rsid w:val="00ED70E3"/>
    <w:rsid w:val="00ED7804"/>
    <w:rsid w:val="00ED7950"/>
    <w:rsid w:val="00EE0BA0"/>
    <w:rsid w:val="00EE0FE6"/>
    <w:rsid w:val="00EE12BF"/>
    <w:rsid w:val="00EE377C"/>
    <w:rsid w:val="00EF1333"/>
    <w:rsid w:val="00EF3889"/>
    <w:rsid w:val="00EF4E6B"/>
    <w:rsid w:val="00EF56EE"/>
    <w:rsid w:val="00EF6258"/>
    <w:rsid w:val="00F05B18"/>
    <w:rsid w:val="00F0762D"/>
    <w:rsid w:val="00F1037A"/>
    <w:rsid w:val="00F1392D"/>
    <w:rsid w:val="00F1630D"/>
    <w:rsid w:val="00F30ACC"/>
    <w:rsid w:val="00F3214F"/>
    <w:rsid w:val="00F321D5"/>
    <w:rsid w:val="00F365CE"/>
    <w:rsid w:val="00F41F0A"/>
    <w:rsid w:val="00F46177"/>
    <w:rsid w:val="00F463BF"/>
    <w:rsid w:val="00F46B3C"/>
    <w:rsid w:val="00F514C3"/>
    <w:rsid w:val="00F5326F"/>
    <w:rsid w:val="00F55689"/>
    <w:rsid w:val="00F56B85"/>
    <w:rsid w:val="00F63EFA"/>
    <w:rsid w:val="00F649F5"/>
    <w:rsid w:val="00F65942"/>
    <w:rsid w:val="00F70589"/>
    <w:rsid w:val="00F74890"/>
    <w:rsid w:val="00F8007C"/>
    <w:rsid w:val="00F807B1"/>
    <w:rsid w:val="00F81BC3"/>
    <w:rsid w:val="00F857FF"/>
    <w:rsid w:val="00F85802"/>
    <w:rsid w:val="00F86AC9"/>
    <w:rsid w:val="00F873A7"/>
    <w:rsid w:val="00F90B58"/>
    <w:rsid w:val="00F9342E"/>
    <w:rsid w:val="00F9666B"/>
    <w:rsid w:val="00FA3C3B"/>
    <w:rsid w:val="00FB4308"/>
    <w:rsid w:val="00FB570F"/>
    <w:rsid w:val="00FB7D1C"/>
    <w:rsid w:val="00FC097B"/>
    <w:rsid w:val="00FC260F"/>
    <w:rsid w:val="00FC3178"/>
    <w:rsid w:val="00FC4AB3"/>
    <w:rsid w:val="00FD0514"/>
    <w:rsid w:val="00FD51C5"/>
    <w:rsid w:val="00FE12AA"/>
    <w:rsid w:val="00FE767D"/>
    <w:rsid w:val="00FF077A"/>
    <w:rsid w:val="00FF35BE"/>
    <w:rsid w:val="00FF600E"/>
    <w:rsid w:val="00FF60C5"/>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before="240" w:after="120"/>
      <w:jc w:val="both"/>
      <w:outlineLvl w:val="0"/>
    </w:pPr>
    <w:rPr>
      <w:b/>
      <w:caps/>
    </w:rPr>
  </w:style>
  <w:style w:type="paragraph" w:styleId="Heading2">
    <w:name w:val="heading 2"/>
    <w:basedOn w:val="Normal"/>
    <w:next w:val="ParaNum"/>
    <w:qFormat/>
    <w:pPr>
      <w:keepNext/>
      <w:widowControl w:val="0"/>
      <w:numPr>
        <w:ilvl w:val="1"/>
        <w:numId w:val="1"/>
      </w:numPr>
      <w:spacing w:before="240" w:after="1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120"/>
    </w:pPr>
  </w:style>
  <w:style w:type="character" w:customStyle="1" w:styleId="ParaNumChar">
    <w:name w:val="ParaNum Char"/>
    <w:rPr>
      <w:sz w:val="22"/>
      <w:lang w:val="en-US" w:eastAsia="en-US" w:bidi="ar-SA"/>
    </w:rPr>
  </w:style>
  <w:style w:type="paragraph" w:styleId="FootnoteText">
    <w:name w:val="footnote text"/>
    <w:aliases w:val="ALTS FOOTNOTE,fn,Footnote Text Char2 Char,Footnote Text Char Char2 Char Char,Footnote Text Char4 Char Char Char Char,Footnote Text Char2 Char1 Char Char Char Char,Footnote Text Char1,fn C,Footnote Text Char,f,ALTS FOOTNOTE Char,fn Char Cha"/>
    <w:basedOn w:val="Normal"/>
    <w:link w:val="FootnoteTextChar2"/>
    <w:pPr>
      <w:spacing w:after="120"/>
    </w:pPr>
    <w:rPr>
      <w:sz w:val="20"/>
    </w:rPr>
  </w:style>
  <w:style w:type="character" w:customStyle="1" w:styleId="CharChar1">
    <w:name w:val="Char Char1"/>
    <w:rPr>
      <w:lang w:val="en-US" w:eastAsia="en-US" w:bidi="ar-SA"/>
    </w:rPr>
  </w:style>
  <w:style w:type="character" w:styleId="FootnoteReference">
    <w:name w:val="footnote reference"/>
    <w:aliases w:val="Style 12,(NECG) Footnote Reference,o,fr,Appel note de bas de p,Style 124,Style 3,Style 17,FR,Style 13,Footnote Reference/,Style 6"/>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CharChar">
    <w:name w:val="Char Char"/>
    <w:rPr>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Numberedparagraphs">
    <w:name w:val="Numbered paragraphs"/>
    <w:basedOn w:val="Normal"/>
    <w:pPr>
      <w:tabs>
        <w:tab w:val="num" w:pos="1080"/>
      </w:tabs>
      <w:spacing w:after="220"/>
      <w:ind w:firstLine="720"/>
    </w:pPr>
    <w:rPr>
      <w:sz w:val="24"/>
    </w:rPr>
  </w:style>
  <w:style w:type="paragraph" w:styleId="Caption">
    <w:name w:val="caption"/>
    <w:basedOn w:val="Normal"/>
    <w:next w:val="Normal"/>
    <w:qFormat/>
    <w:pPr>
      <w:spacing w:before="120" w:after="120"/>
    </w:pPr>
    <w:rPr>
      <w:b/>
    </w:rPr>
  </w:style>
  <w:style w:type="character" w:customStyle="1" w:styleId="Normal1">
    <w:name w:val="Normal1"/>
  </w:style>
  <w:style w:type="character" w:customStyle="1" w:styleId="StyleNumberedparagraphs11ptChar">
    <w:name w:val="Style Numbered paragraphs + 11 pt Char"/>
    <w:rPr>
      <w:noProof w:val="0"/>
      <w:sz w:val="22"/>
      <w:lang w:val="en-US" w:eastAsia="en-US" w:bidi="ar-SA"/>
    </w:rPr>
  </w:style>
  <w:style w:type="paragraph" w:customStyle="1" w:styleId="ParaNumCharChar">
    <w:name w:val="ParaNum Char Char"/>
    <w:basedOn w:val="Normal"/>
    <w:pPr>
      <w:widowControl w:val="0"/>
      <w:tabs>
        <w:tab w:val="num" w:pos="1080"/>
        <w:tab w:val="left" w:pos="1440"/>
      </w:tabs>
      <w:spacing w:after="220"/>
      <w:ind w:firstLine="720"/>
      <w:jc w:val="both"/>
    </w:pPr>
  </w:style>
  <w:style w:type="character" w:customStyle="1" w:styleId="StyleParaNum12ptCharChar">
    <w:name w:val="Style ParaNum + 12 pt Char Char"/>
    <w:rPr>
      <w:sz w:val="24"/>
      <w:lang w:val="en-US" w:eastAsia="en-US" w:bidi="ar-SA"/>
    </w:rPr>
  </w:style>
  <w:style w:type="character" w:customStyle="1" w:styleId="StyleParaNum12ptCharCharCharCharCharCharChar">
    <w:name w:val="Style ParaNum + 12 pt Char Char Char Char Char Char Char"/>
    <w:rPr>
      <w:sz w:val="24"/>
      <w:lang w:val="en-US" w:eastAsia="en-US" w:bidi="ar-SA"/>
    </w:rPr>
  </w:style>
  <w:style w:type="character" w:customStyle="1" w:styleId="rrfootnoteChar1">
    <w:name w:val="rrfootnote Char1"/>
    <w:aliases w:val="Footnote Text Char Char,rrfootnote Char Char,Footnote Text Char Char Char Char,Footnote Text Char2 Char Char Char Char,Footnote Text Char1 Char2 Char Char Char Char,Footnote Text Char1 Char Char1,Footnote Text Char1 Char Char,fn Char"/>
    <w:rPr>
      <w:lang w:val="en-US" w:eastAsia="en-US" w:bidi="ar-SA"/>
    </w:rPr>
  </w:style>
  <w:style w:type="character" w:customStyle="1" w:styleId="documentbody">
    <w:name w:val="documentbody"/>
    <w:basedOn w:val="DefaultParagraphFont"/>
  </w:style>
  <w:style w:type="character" w:customStyle="1" w:styleId="italics1">
    <w:name w:val="italics1"/>
    <w:rPr>
      <w:i/>
      <w:iCs/>
    </w:rPr>
  </w:style>
  <w:style w:type="character" w:styleId="CommentReference">
    <w:name w:val="annotation reference"/>
    <w:semiHidden/>
    <w:rPr>
      <w:sz w:val="16"/>
      <w:szCs w:val="16"/>
    </w:rPr>
  </w:style>
  <w:style w:type="paragraph" w:styleId="CommentText">
    <w:name w:val="annotation text"/>
    <w:basedOn w:val="Normal"/>
    <w:semiHidden/>
    <w:rsid w:val="009030D2"/>
    <w:rPr>
      <w:rFonts w:ascii="Arial" w:hAnsi="Arial"/>
      <w:sz w:val="18"/>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apple-style-span">
    <w:name w:val="apple-style-span"/>
    <w:basedOn w:val="DefaultParagraphFont"/>
    <w:rsid w:val="003A3E0C"/>
  </w:style>
  <w:style w:type="character" w:customStyle="1" w:styleId="apple-converted-space">
    <w:name w:val="apple-converted-space"/>
    <w:basedOn w:val="DefaultParagraphFont"/>
    <w:rsid w:val="003A3E0C"/>
  </w:style>
  <w:style w:type="character" w:customStyle="1" w:styleId="FooterChar">
    <w:name w:val="Footer Char"/>
    <w:link w:val="Footer"/>
    <w:uiPriority w:val="99"/>
    <w:rsid w:val="003677C4"/>
    <w:rPr>
      <w:sz w:val="22"/>
    </w:rPr>
  </w:style>
  <w:style w:type="character" w:customStyle="1" w:styleId="FootnoteTextChar2">
    <w:name w:val="Footnote Text Char2"/>
    <w:aliases w:val="ALTS FOOTNOTE Char1,fn Char1,Footnote Text Char2 Char Char,Footnote Text Char Char2 Char Char Char,Footnote Text Char4 Char Char Char Char Char,Footnote Text Char2 Char1 Char Char Char Char Char,Footnote Text Char1 Char,fn C Char"/>
    <w:link w:val="FootnoteText"/>
    <w:semiHidden/>
    <w:locked/>
    <w:rsid w:val="00ED19F9"/>
  </w:style>
  <w:style w:type="paragraph" w:styleId="Revision">
    <w:name w:val="Revision"/>
    <w:hidden/>
    <w:uiPriority w:val="99"/>
    <w:semiHidden/>
    <w:rsid w:val="005F4F0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before="240" w:after="120"/>
      <w:jc w:val="both"/>
      <w:outlineLvl w:val="0"/>
    </w:pPr>
    <w:rPr>
      <w:b/>
      <w:caps/>
    </w:rPr>
  </w:style>
  <w:style w:type="paragraph" w:styleId="Heading2">
    <w:name w:val="heading 2"/>
    <w:basedOn w:val="Normal"/>
    <w:next w:val="ParaNum"/>
    <w:qFormat/>
    <w:pPr>
      <w:keepNext/>
      <w:widowControl w:val="0"/>
      <w:numPr>
        <w:ilvl w:val="1"/>
        <w:numId w:val="1"/>
      </w:numPr>
      <w:spacing w:before="240" w:after="1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120"/>
    </w:pPr>
  </w:style>
  <w:style w:type="character" w:customStyle="1" w:styleId="ParaNumChar">
    <w:name w:val="ParaNum Char"/>
    <w:rPr>
      <w:sz w:val="22"/>
      <w:lang w:val="en-US" w:eastAsia="en-US" w:bidi="ar-SA"/>
    </w:rPr>
  </w:style>
  <w:style w:type="paragraph" w:styleId="FootnoteText">
    <w:name w:val="footnote text"/>
    <w:aliases w:val="ALTS FOOTNOTE,fn,Footnote Text Char2 Char,Footnote Text Char Char2 Char Char,Footnote Text Char4 Char Char Char Char,Footnote Text Char2 Char1 Char Char Char Char,Footnote Text Char1,fn C,Footnote Text Char,f,ALTS FOOTNOTE Char,fn Char Cha"/>
    <w:basedOn w:val="Normal"/>
    <w:link w:val="FootnoteTextChar2"/>
    <w:pPr>
      <w:spacing w:after="120"/>
    </w:pPr>
    <w:rPr>
      <w:sz w:val="20"/>
    </w:rPr>
  </w:style>
  <w:style w:type="character" w:customStyle="1" w:styleId="CharChar1">
    <w:name w:val="Char Char1"/>
    <w:rPr>
      <w:lang w:val="en-US" w:eastAsia="en-US" w:bidi="ar-SA"/>
    </w:rPr>
  </w:style>
  <w:style w:type="character" w:styleId="FootnoteReference">
    <w:name w:val="footnote reference"/>
    <w:aliases w:val="Style 12,(NECG) Footnote Reference,o,fr,Appel note de bas de p,Style 124,Style 3,Style 17,FR,Style 13,Footnote Reference/,Style 6"/>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CharChar">
    <w:name w:val="Char Char"/>
    <w:rPr>
      <w:sz w:val="22"/>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Numberedparagraphs">
    <w:name w:val="Numbered paragraphs"/>
    <w:basedOn w:val="Normal"/>
    <w:pPr>
      <w:tabs>
        <w:tab w:val="num" w:pos="1080"/>
      </w:tabs>
      <w:spacing w:after="220"/>
      <w:ind w:firstLine="720"/>
    </w:pPr>
    <w:rPr>
      <w:sz w:val="24"/>
    </w:rPr>
  </w:style>
  <w:style w:type="paragraph" w:styleId="Caption">
    <w:name w:val="caption"/>
    <w:basedOn w:val="Normal"/>
    <w:next w:val="Normal"/>
    <w:qFormat/>
    <w:pPr>
      <w:spacing w:before="120" w:after="120"/>
    </w:pPr>
    <w:rPr>
      <w:b/>
    </w:rPr>
  </w:style>
  <w:style w:type="character" w:customStyle="1" w:styleId="Normal1">
    <w:name w:val="Normal1"/>
  </w:style>
  <w:style w:type="character" w:customStyle="1" w:styleId="StyleNumberedparagraphs11ptChar">
    <w:name w:val="Style Numbered paragraphs + 11 pt Char"/>
    <w:rPr>
      <w:noProof w:val="0"/>
      <w:sz w:val="22"/>
      <w:lang w:val="en-US" w:eastAsia="en-US" w:bidi="ar-SA"/>
    </w:rPr>
  </w:style>
  <w:style w:type="paragraph" w:customStyle="1" w:styleId="ParaNumCharChar">
    <w:name w:val="ParaNum Char Char"/>
    <w:basedOn w:val="Normal"/>
    <w:pPr>
      <w:widowControl w:val="0"/>
      <w:tabs>
        <w:tab w:val="num" w:pos="1080"/>
        <w:tab w:val="left" w:pos="1440"/>
      </w:tabs>
      <w:spacing w:after="220"/>
      <w:ind w:firstLine="720"/>
      <w:jc w:val="both"/>
    </w:pPr>
  </w:style>
  <w:style w:type="character" w:customStyle="1" w:styleId="StyleParaNum12ptCharChar">
    <w:name w:val="Style ParaNum + 12 pt Char Char"/>
    <w:rPr>
      <w:sz w:val="24"/>
      <w:lang w:val="en-US" w:eastAsia="en-US" w:bidi="ar-SA"/>
    </w:rPr>
  </w:style>
  <w:style w:type="character" w:customStyle="1" w:styleId="StyleParaNum12ptCharCharCharCharCharCharChar">
    <w:name w:val="Style ParaNum + 12 pt Char Char Char Char Char Char Char"/>
    <w:rPr>
      <w:sz w:val="24"/>
      <w:lang w:val="en-US" w:eastAsia="en-US" w:bidi="ar-SA"/>
    </w:rPr>
  </w:style>
  <w:style w:type="character" w:customStyle="1" w:styleId="rrfootnoteChar1">
    <w:name w:val="rrfootnote Char1"/>
    <w:aliases w:val="Footnote Text Char Char,rrfootnote Char Char,Footnote Text Char Char Char Char,Footnote Text Char2 Char Char Char Char,Footnote Text Char1 Char2 Char Char Char Char,Footnote Text Char1 Char Char1,Footnote Text Char1 Char Char,fn Char"/>
    <w:rPr>
      <w:lang w:val="en-US" w:eastAsia="en-US" w:bidi="ar-SA"/>
    </w:rPr>
  </w:style>
  <w:style w:type="character" w:customStyle="1" w:styleId="documentbody">
    <w:name w:val="documentbody"/>
    <w:basedOn w:val="DefaultParagraphFont"/>
  </w:style>
  <w:style w:type="character" w:customStyle="1" w:styleId="italics1">
    <w:name w:val="italics1"/>
    <w:rPr>
      <w:i/>
      <w:iCs/>
    </w:rPr>
  </w:style>
  <w:style w:type="character" w:styleId="CommentReference">
    <w:name w:val="annotation reference"/>
    <w:semiHidden/>
    <w:rPr>
      <w:sz w:val="16"/>
      <w:szCs w:val="16"/>
    </w:rPr>
  </w:style>
  <w:style w:type="paragraph" w:styleId="CommentText">
    <w:name w:val="annotation text"/>
    <w:basedOn w:val="Normal"/>
    <w:semiHidden/>
    <w:rsid w:val="009030D2"/>
    <w:rPr>
      <w:rFonts w:ascii="Arial" w:hAnsi="Arial"/>
      <w:sz w:val="18"/>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apple-style-span">
    <w:name w:val="apple-style-span"/>
    <w:basedOn w:val="DefaultParagraphFont"/>
    <w:rsid w:val="003A3E0C"/>
  </w:style>
  <w:style w:type="character" w:customStyle="1" w:styleId="apple-converted-space">
    <w:name w:val="apple-converted-space"/>
    <w:basedOn w:val="DefaultParagraphFont"/>
    <w:rsid w:val="003A3E0C"/>
  </w:style>
  <w:style w:type="character" w:customStyle="1" w:styleId="FooterChar">
    <w:name w:val="Footer Char"/>
    <w:link w:val="Footer"/>
    <w:uiPriority w:val="99"/>
    <w:rsid w:val="003677C4"/>
    <w:rPr>
      <w:sz w:val="22"/>
    </w:rPr>
  </w:style>
  <w:style w:type="character" w:customStyle="1" w:styleId="FootnoteTextChar2">
    <w:name w:val="Footnote Text Char2"/>
    <w:aliases w:val="ALTS FOOTNOTE Char1,fn Char1,Footnote Text Char2 Char Char,Footnote Text Char Char2 Char Char Char,Footnote Text Char4 Char Char Char Char Char,Footnote Text Char2 Char1 Char Char Char Char Char,Footnote Text Char1 Char,fn C Char"/>
    <w:link w:val="FootnoteText"/>
    <w:semiHidden/>
    <w:locked/>
    <w:rsid w:val="00ED19F9"/>
  </w:style>
  <w:style w:type="paragraph" w:styleId="Revision">
    <w:name w:val="Revision"/>
    <w:hidden/>
    <w:uiPriority w:val="99"/>
    <w:semiHidden/>
    <w:rsid w:val="005F4F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441">
      <w:bodyDiv w:val="1"/>
      <w:marLeft w:val="0"/>
      <w:marRight w:val="0"/>
      <w:marTop w:val="0"/>
      <w:marBottom w:val="0"/>
      <w:divBdr>
        <w:top w:val="none" w:sz="0" w:space="0" w:color="auto"/>
        <w:left w:val="none" w:sz="0" w:space="0" w:color="auto"/>
        <w:bottom w:val="none" w:sz="0" w:space="0" w:color="auto"/>
        <w:right w:val="none" w:sz="0" w:space="0" w:color="auto"/>
      </w:divBdr>
    </w:div>
    <w:div w:id="164630461">
      <w:bodyDiv w:val="1"/>
      <w:marLeft w:val="0"/>
      <w:marRight w:val="0"/>
      <w:marTop w:val="0"/>
      <w:marBottom w:val="0"/>
      <w:divBdr>
        <w:top w:val="none" w:sz="0" w:space="0" w:color="auto"/>
        <w:left w:val="none" w:sz="0" w:space="0" w:color="auto"/>
        <w:bottom w:val="none" w:sz="0" w:space="0" w:color="auto"/>
        <w:right w:val="none" w:sz="0" w:space="0" w:color="auto"/>
      </w:divBdr>
    </w:div>
    <w:div w:id="207844480">
      <w:bodyDiv w:val="1"/>
      <w:marLeft w:val="0"/>
      <w:marRight w:val="0"/>
      <w:marTop w:val="0"/>
      <w:marBottom w:val="0"/>
      <w:divBdr>
        <w:top w:val="none" w:sz="0" w:space="0" w:color="auto"/>
        <w:left w:val="none" w:sz="0" w:space="0" w:color="auto"/>
        <w:bottom w:val="none" w:sz="0" w:space="0" w:color="auto"/>
        <w:right w:val="none" w:sz="0" w:space="0" w:color="auto"/>
      </w:divBdr>
    </w:div>
    <w:div w:id="328365400">
      <w:bodyDiv w:val="1"/>
      <w:marLeft w:val="0"/>
      <w:marRight w:val="0"/>
      <w:marTop w:val="0"/>
      <w:marBottom w:val="0"/>
      <w:divBdr>
        <w:top w:val="none" w:sz="0" w:space="0" w:color="auto"/>
        <w:left w:val="none" w:sz="0" w:space="0" w:color="auto"/>
        <w:bottom w:val="none" w:sz="0" w:space="0" w:color="auto"/>
        <w:right w:val="none" w:sz="0" w:space="0" w:color="auto"/>
      </w:divBdr>
    </w:div>
    <w:div w:id="919365174">
      <w:bodyDiv w:val="1"/>
      <w:marLeft w:val="0"/>
      <w:marRight w:val="0"/>
      <w:marTop w:val="0"/>
      <w:marBottom w:val="0"/>
      <w:divBdr>
        <w:top w:val="none" w:sz="0" w:space="0" w:color="auto"/>
        <w:left w:val="none" w:sz="0" w:space="0" w:color="auto"/>
        <w:bottom w:val="none" w:sz="0" w:space="0" w:color="auto"/>
        <w:right w:val="none" w:sz="0" w:space="0" w:color="auto"/>
      </w:divBdr>
    </w:div>
    <w:div w:id="1092817226">
      <w:bodyDiv w:val="1"/>
      <w:marLeft w:val="0"/>
      <w:marRight w:val="0"/>
      <w:marTop w:val="0"/>
      <w:marBottom w:val="0"/>
      <w:divBdr>
        <w:top w:val="none" w:sz="0" w:space="0" w:color="auto"/>
        <w:left w:val="none" w:sz="0" w:space="0" w:color="auto"/>
        <w:bottom w:val="none" w:sz="0" w:space="0" w:color="auto"/>
        <w:right w:val="none" w:sz="0" w:space="0" w:color="auto"/>
      </w:divBdr>
    </w:div>
    <w:div w:id="1167091578">
      <w:bodyDiv w:val="1"/>
      <w:marLeft w:val="0"/>
      <w:marRight w:val="0"/>
      <w:marTop w:val="0"/>
      <w:marBottom w:val="0"/>
      <w:divBdr>
        <w:top w:val="none" w:sz="0" w:space="0" w:color="auto"/>
        <w:left w:val="none" w:sz="0" w:space="0" w:color="auto"/>
        <w:bottom w:val="none" w:sz="0" w:space="0" w:color="auto"/>
        <w:right w:val="none" w:sz="0" w:space="0" w:color="auto"/>
      </w:divBdr>
    </w:div>
    <w:div w:id="1780953713">
      <w:bodyDiv w:val="1"/>
      <w:marLeft w:val="0"/>
      <w:marRight w:val="0"/>
      <w:marTop w:val="0"/>
      <w:marBottom w:val="0"/>
      <w:divBdr>
        <w:top w:val="none" w:sz="0" w:space="0" w:color="auto"/>
        <w:left w:val="none" w:sz="0" w:space="0" w:color="auto"/>
        <w:bottom w:val="none" w:sz="0" w:space="0" w:color="auto"/>
        <w:right w:val="none" w:sz="0" w:space="0" w:color="auto"/>
      </w:divBdr>
    </w:div>
    <w:div w:id="1824617648">
      <w:bodyDiv w:val="1"/>
      <w:marLeft w:val="0"/>
      <w:marRight w:val="0"/>
      <w:marTop w:val="0"/>
      <w:marBottom w:val="0"/>
      <w:divBdr>
        <w:top w:val="none" w:sz="0" w:space="0" w:color="auto"/>
        <w:left w:val="none" w:sz="0" w:space="0" w:color="auto"/>
        <w:bottom w:val="none" w:sz="0" w:space="0" w:color="auto"/>
        <w:right w:val="none" w:sz="0" w:space="0" w:color="auto"/>
      </w:divBdr>
    </w:div>
    <w:div w:id="20602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ac.org/cont/filers/what-and-how-to-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3737</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4465</CharactersWithSpaces>
  <SharedDoc>false</SharedDoc>
  <HyperlinkBase> </HyperlinkBase>
  <HLinks>
    <vt:vector size="6" baseType="variant">
      <vt:variant>
        <vt:i4>1441859</vt:i4>
      </vt:variant>
      <vt:variant>
        <vt:i4>0</vt:i4>
      </vt:variant>
      <vt:variant>
        <vt:i4>0</vt:i4>
      </vt:variant>
      <vt:variant>
        <vt:i4>5</vt:i4>
      </vt:variant>
      <vt:variant>
        <vt:lpwstr>http://www.universalservice.org/cont/499/filing-schedule.aspx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2015-05-11T16:03:00Z</dcterms:created>
  <dcterms:modified xsi:type="dcterms:W3CDTF">2015-05-11T16:03:00Z</dcterms:modified>
  <cp:category> </cp:category>
  <cp:contentStatus> </cp:contentStatus>
</cp:coreProperties>
</file>