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662" w:rsidRDefault="00F61662" w:rsidP="004160D2">
      <w:pPr>
        <w:pStyle w:val="Header"/>
        <w:tabs>
          <w:tab w:val="left" w:pos="1080"/>
        </w:tabs>
        <w:jc w:val="center"/>
        <w:rPr>
          <w:b w:val="0"/>
          <w:szCs w:val="22"/>
        </w:rPr>
      </w:pPr>
      <w:bookmarkStart w:id="0" w:name="_GoBack"/>
      <w:bookmarkEnd w:id="0"/>
      <w:r>
        <w:rPr>
          <w:szCs w:val="22"/>
        </w:rPr>
        <w:t>Before the</w:t>
      </w:r>
    </w:p>
    <w:p w:rsidR="00F61662" w:rsidRDefault="00F61662">
      <w:pPr>
        <w:pStyle w:val="Header"/>
        <w:jc w:val="center"/>
        <w:rPr>
          <w:b w:val="0"/>
          <w:szCs w:val="22"/>
        </w:rPr>
      </w:pPr>
      <w:r>
        <w:rPr>
          <w:szCs w:val="22"/>
        </w:rPr>
        <w:t>Federal Communications Commission</w:t>
      </w:r>
    </w:p>
    <w:p w:rsidR="00F61662" w:rsidRDefault="00F61662">
      <w:pPr>
        <w:pStyle w:val="Header"/>
        <w:jc w:val="center"/>
        <w:rPr>
          <w:szCs w:val="22"/>
        </w:rPr>
      </w:pPr>
      <w:r>
        <w:rPr>
          <w:szCs w:val="22"/>
        </w:rPr>
        <w:t>Washington, DC  20554</w:t>
      </w:r>
    </w:p>
    <w:p w:rsidR="00F61662" w:rsidRDefault="00F61662">
      <w:pPr>
        <w:pStyle w:val="Header"/>
        <w:rPr>
          <w:szCs w:val="22"/>
        </w:rPr>
      </w:pPr>
    </w:p>
    <w:p w:rsidR="00F61662" w:rsidRPr="00FB53E9" w:rsidRDefault="00F56FC7">
      <w:pPr>
        <w:pStyle w:val="Header"/>
        <w:tabs>
          <w:tab w:val="left" w:pos="4680"/>
        </w:tabs>
        <w:rPr>
          <w:b w:val="0"/>
          <w:szCs w:val="22"/>
        </w:rPr>
      </w:pPr>
      <w:r w:rsidRPr="00FB53E9">
        <w:rPr>
          <w:b w:val="0"/>
          <w:szCs w:val="22"/>
        </w:rPr>
        <w:t>In the Matter of</w:t>
      </w:r>
      <w:r w:rsidRPr="00FB53E9">
        <w:rPr>
          <w:b w:val="0"/>
          <w:szCs w:val="22"/>
        </w:rPr>
        <w:tab/>
      </w:r>
      <w:r w:rsidR="00F61662" w:rsidRPr="00FB53E9">
        <w:rPr>
          <w:b w:val="0"/>
          <w:szCs w:val="22"/>
        </w:rPr>
        <w:t>)</w:t>
      </w:r>
    </w:p>
    <w:p w:rsidR="00F61662" w:rsidRPr="00FB53E9" w:rsidRDefault="00F56FC7">
      <w:pPr>
        <w:pStyle w:val="Header"/>
        <w:tabs>
          <w:tab w:val="left" w:pos="4680"/>
        </w:tabs>
        <w:rPr>
          <w:b w:val="0"/>
          <w:szCs w:val="22"/>
        </w:rPr>
      </w:pPr>
      <w:r w:rsidRPr="00FB53E9">
        <w:rPr>
          <w:b w:val="0"/>
          <w:szCs w:val="22"/>
        </w:rPr>
        <w:tab/>
      </w:r>
      <w:r w:rsidR="00F61662" w:rsidRPr="00FB53E9">
        <w:rPr>
          <w:b w:val="0"/>
          <w:szCs w:val="22"/>
        </w:rPr>
        <w:t>)</w:t>
      </w:r>
    </w:p>
    <w:p w:rsidR="00F61662" w:rsidRPr="00FB53E9" w:rsidRDefault="00F61662">
      <w:pPr>
        <w:pStyle w:val="Header"/>
        <w:tabs>
          <w:tab w:val="left" w:pos="4680"/>
        </w:tabs>
        <w:rPr>
          <w:b w:val="0"/>
          <w:szCs w:val="22"/>
        </w:rPr>
      </w:pPr>
      <w:r w:rsidRPr="00FB53E9">
        <w:rPr>
          <w:b w:val="0"/>
          <w:szCs w:val="22"/>
        </w:rPr>
        <w:t xml:space="preserve">Requests for Waiver </w:t>
      </w:r>
      <w:r w:rsidR="00375568" w:rsidRPr="00FB53E9">
        <w:rPr>
          <w:b w:val="0"/>
          <w:szCs w:val="22"/>
        </w:rPr>
        <w:t>or</w:t>
      </w:r>
      <w:r w:rsidR="00F56FC7" w:rsidRPr="00FB53E9">
        <w:rPr>
          <w:b w:val="0"/>
          <w:szCs w:val="22"/>
        </w:rPr>
        <w:t xml:space="preserve"> Review of </w:t>
      </w:r>
      <w:r w:rsidR="00FB53E9">
        <w:rPr>
          <w:b w:val="0"/>
          <w:szCs w:val="22"/>
        </w:rPr>
        <w:t>Decisions</w:t>
      </w:r>
      <w:r w:rsidR="00F56FC7" w:rsidRPr="00FB53E9">
        <w:rPr>
          <w:b w:val="0"/>
          <w:szCs w:val="22"/>
        </w:rPr>
        <w:tab/>
      </w:r>
      <w:r w:rsidRPr="00FB53E9">
        <w:rPr>
          <w:b w:val="0"/>
          <w:szCs w:val="22"/>
        </w:rPr>
        <w:t>)</w:t>
      </w:r>
    </w:p>
    <w:p w:rsidR="00F61662" w:rsidRPr="00FB53E9" w:rsidRDefault="00F56FC7">
      <w:pPr>
        <w:pStyle w:val="Header"/>
        <w:tabs>
          <w:tab w:val="left" w:pos="4680"/>
        </w:tabs>
        <w:rPr>
          <w:b w:val="0"/>
          <w:szCs w:val="22"/>
        </w:rPr>
      </w:pPr>
      <w:r w:rsidRPr="00FB53E9">
        <w:rPr>
          <w:b w:val="0"/>
          <w:szCs w:val="22"/>
        </w:rPr>
        <w:t xml:space="preserve">of the </w:t>
      </w:r>
      <w:r w:rsidR="00FB53E9" w:rsidRPr="00FB53E9">
        <w:rPr>
          <w:b w:val="0"/>
          <w:szCs w:val="22"/>
        </w:rPr>
        <w:t>Universal Service Administrator by</w:t>
      </w:r>
      <w:r w:rsidRPr="00FB53E9">
        <w:rPr>
          <w:b w:val="0"/>
          <w:szCs w:val="22"/>
        </w:rPr>
        <w:tab/>
      </w:r>
      <w:r w:rsidR="00F61662" w:rsidRPr="00FB53E9">
        <w:rPr>
          <w:b w:val="0"/>
          <w:szCs w:val="22"/>
        </w:rPr>
        <w:t>)</w:t>
      </w:r>
      <w:r w:rsidR="00F61662" w:rsidRPr="00FB53E9">
        <w:rPr>
          <w:b w:val="0"/>
          <w:szCs w:val="22"/>
        </w:rPr>
        <w:tab/>
      </w:r>
      <w:r w:rsidR="00F61662" w:rsidRPr="00FB53E9">
        <w:rPr>
          <w:b w:val="0"/>
          <w:szCs w:val="22"/>
        </w:rPr>
        <w:tab/>
      </w:r>
    </w:p>
    <w:p w:rsidR="00F61662" w:rsidRPr="00FB53E9" w:rsidRDefault="00F56FC7">
      <w:pPr>
        <w:pStyle w:val="Header"/>
        <w:tabs>
          <w:tab w:val="left" w:pos="4680"/>
        </w:tabs>
        <w:rPr>
          <w:b w:val="0"/>
          <w:szCs w:val="22"/>
        </w:rPr>
      </w:pPr>
      <w:r w:rsidRPr="00FB53E9">
        <w:rPr>
          <w:b w:val="0"/>
          <w:szCs w:val="22"/>
        </w:rPr>
        <w:tab/>
      </w:r>
      <w:r w:rsidR="00F61662" w:rsidRPr="00FB53E9">
        <w:rPr>
          <w:b w:val="0"/>
          <w:szCs w:val="22"/>
        </w:rPr>
        <w:t>)</w:t>
      </w:r>
    </w:p>
    <w:p w:rsidR="00F61662" w:rsidRPr="00FB53E9" w:rsidRDefault="00E720E1" w:rsidP="00F56FC7">
      <w:pPr>
        <w:keepNext/>
        <w:keepLines/>
        <w:tabs>
          <w:tab w:val="left" w:pos="4680"/>
          <w:tab w:val="left" w:pos="5400"/>
        </w:tabs>
        <w:outlineLvl w:val="0"/>
        <w:rPr>
          <w:szCs w:val="22"/>
        </w:rPr>
      </w:pPr>
      <w:r w:rsidRPr="00FB53E9">
        <w:rPr>
          <w:szCs w:val="22"/>
        </w:rPr>
        <w:t>Ha</w:t>
      </w:r>
      <w:r w:rsidR="00F56FC7" w:rsidRPr="00FB53E9">
        <w:rPr>
          <w:szCs w:val="22"/>
        </w:rPr>
        <w:t>ncock County Library System</w:t>
      </w:r>
      <w:r w:rsidR="00F56FC7" w:rsidRPr="00FB53E9">
        <w:rPr>
          <w:szCs w:val="22"/>
        </w:rPr>
        <w:tab/>
      </w:r>
      <w:r w:rsidRPr="00FB53E9">
        <w:rPr>
          <w:szCs w:val="22"/>
        </w:rPr>
        <w:t>)</w:t>
      </w:r>
      <w:r w:rsidRPr="00FB53E9">
        <w:rPr>
          <w:szCs w:val="22"/>
        </w:rPr>
        <w:tab/>
      </w:r>
      <w:r w:rsidR="00F61662" w:rsidRPr="00FB53E9">
        <w:rPr>
          <w:szCs w:val="22"/>
        </w:rPr>
        <w:t>File No</w:t>
      </w:r>
      <w:r w:rsidRPr="00FB53E9">
        <w:rPr>
          <w:szCs w:val="22"/>
        </w:rPr>
        <w:t>s</w:t>
      </w:r>
      <w:r w:rsidR="00F61662" w:rsidRPr="00FB53E9">
        <w:rPr>
          <w:szCs w:val="22"/>
        </w:rPr>
        <w:t>. SLD-</w:t>
      </w:r>
      <w:r w:rsidRPr="00FB53E9">
        <w:rPr>
          <w:szCs w:val="22"/>
        </w:rPr>
        <w:t>354032 et al.</w:t>
      </w:r>
    </w:p>
    <w:p w:rsidR="00F61662" w:rsidRPr="00FB53E9" w:rsidRDefault="00E720E1" w:rsidP="00426E2A">
      <w:pPr>
        <w:pStyle w:val="Header"/>
        <w:tabs>
          <w:tab w:val="left" w:pos="4680"/>
        </w:tabs>
        <w:rPr>
          <w:b w:val="0"/>
          <w:szCs w:val="22"/>
        </w:rPr>
      </w:pPr>
      <w:r w:rsidRPr="00FB53E9">
        <w:rPr>
          <w:b w:val="0"/>
          <w:szCs w:val="22"/>
        </w:rPr>
        <w:t>Bay Saint Louis, Mississippi et al.</w:t>
      </w:r>
      <w:r w:rsidR="00F56FC7" w:rsidRPr="00FB53E9">
        <w:rPr>
          <w:b w:val="0"/>
          <w:szCs w:val="22"/>
        </w:rPr>
        <w:tab/>
      </w:r>
      <w:r w:rsidR="00F61662" w:rsidRPr="00FB53E9">
        <w:rPr>
          <w:b w:val="0"/>
          <w:szCs w:val="22"/>
        </w:rPr>
        <w:t>)</w:t>
      </w:r>
    </w:p>
    <w:p w:rsidR="00F61662" w:rsidRPr="00FB53E9" w:rsidRDefault="00F56FC7" w:rsidP="00426E2A">
      <w:pPr>
        <w:pStyle w:val="Header"/>
        <w:tabs>
          <w:tab w:val="left" w:pos="4680"/>
        </w:tabs>
        <w:rPr>
          <w:b w:val="0"/>
          <w:szCs w:val="22"/>
        </w:rPr>
      </w:pPr>
      <w:r w:rsidRPr="00FB53E9">
        <w:rPr>
          <w:b w:val="0"/>
          <w:szCs w:val="22"/>
        </w:rPr>
        <w:tab/>
      </w:r>
      <w:r w:rsidR="00F61662" w:rsidRPr="00FB53E9">
        <w:rPr>
          <w:b w:val="0"/>
          <w:szCs w:val="22"/>
        </w:rPr>
        <w:t>)</w:t>
      </w:r>
    </w:p>
    <w:p w:rsidR="00F61662" w:rsidRPr="00FB53E9" w:rsidRDefault="00F61662" w:rsidP="00F56FC7">
      <w:pPr>
        <w:pStyle w:val="Header"/>
        <w:tabs>
          <w:tab w:val="left" w:pos="4680"/>
          <w:tab w:val="left" w:pos="5400"/>
        </w:tabs>
        <w:rPr>
          <w:b w:val="0"/>
          <w:szCs w:val="22"/>
        </w:rPr>
      </w:pPr>
      <w:r w:rsidRPr="00FB53E9">
        <w:rPr>
          <w:b w:val="0"/>
          <w:szCs w:val="22"/>
        </w:rPr>
        <w:t>Schools and L</w:t>
      </w:r>
      <w:r w:rsidR="00F56FC7" w:rsidRPr="00FB53E9">
        <w:rPr>
          <w:b w:val="0"/>
          <w:szCs w:val="22"/>
        </w:rPr>
        <w:t>ibraries Universal Service</w:t>
      </w:r>
      <w:r w:rsidR="00F56FC7" w:rsidRPr="00FB53E9">
        <w:rPr>
          <w:b w:val="0"/>
          <w:szCs w:val="22"/>
        </w:rPr>
        <w:tab/>
        <w:t xml:space="preserve">) </w:t>
      </w:r>
      <w:r w:rsidR="00F56FC7" w:rsidRPr="00FB53E9">
        <w:rPr>
          <w:b w:val="0"/>
          <w:szCs w:val="22"/>
        </w:rPr>
        <w:tab/>
      </w:r>
      <w:r w:rsidRPr="00FB53E9">
        <w:rPr>
          <w:b w:val="0"/>
          <w:szCs w:val="22"/>
        </w:rPr>
        <w:t>CC Docket No. 02-6</w:t>
      </w:r>
    </w:p>
    <w:p w:rsidR="00F61662" w:rsidRDefault="00F56FC7">
      <w:pPr>
        <w:pStyle w:val="Header"/>
        <w:tabs>
          <w:tab w:val="left" w:pos="4680"/>
        </w:tabs>
        <w:rPr>
          <w:szCs w:val="22"/>
        </w:rPr>
      </w:pPr>
      <w:r w:rsidRPr="00FB53E9">
        <w:rPr>
          <w:b w:val="0"/>
          <w:szCs w:val="22"/>
        </w:rPr>
        <w:t>Support Mechanism</w:t>
      </w:r>
      <w:r>
        <w:rPr>
          <w:szCs w:val="22"/>
        </w:rPr>
        <w:tab/>
      </w:r>
      <w:r w:rsidR="00F61662" w:rsidRPr="007B5D45">
        <w:rPr>
          <w:b w:val="0"/>
          <w:szCs w:val="22"/>
        </w:rPr>
        <w:t>)</w:t>
      </w:r>
      <w:r w:rsidR="00F61662">
        <w:rPr>
          <w:szCs w:val="22"/>
        </w:rPr>
        <w:tab/>
      </w:r>
    </w:p>
    <w:p w:rsidR="00F61662" w:rsidRDefault="00F61662">
      <w:pPr>
        <w:pStyle w:val="Header"/>
        <w:jc w:val="center"/>
        <w:rPr>
          <w:b w:val="0"/>
          <w:caps/>
          <w:szCs w:val="22"/>
        </w:rPr>
      </w:pPr>
    </w:p>
    <w:p w:rsidR="00F61662" w:rsidRDefault="00F61662">
      <w:pPr>
        <w:pStyle w:val="Header"/>
        <w:jc w:val="center"/>
        <w:rPr>
          <w:caps/>
          <w:szCs w:val="22"/>
        </w:rPr>
      </w:pPr>
      <w:r>
        <w:rPr>
          <w:caps/>
          <w:szCs w:val="22"/>
        </w:rPr>
        <w:t>order</w:t>
      </w:r>
    </w:p>
    <w:p w:rsidR="00F61662" w:rsidRDefault="00F61662">
      <w:pPr>
        <w:pStyle w:val="Header"/>
        <w:tabs>
          <w:tab w:val="left" w:pos="1515"/>
        </w:tabs>
        <w:rPr>
          <w:szCs w:val="22"/>
        </w:rPr>
      </w:pPr>
      <w:r>
        <w:rPr>
          <w:szCs w:val="22"/>
        </w:rPr>
        <w:tab/>
      </w:r>
    </w:p>
    <w:p w:rsidR="00FB53E9" w:rsidRPr="001A06C7" w:rsidRDefault="00FB53E9" w:rsidP="00FB53E9">
      <w:pPr>
        <w:tabs>
          <w:tab w:val="left" w:pos="5760"/>
        </w:tabs>
        <w:rPr>
          <w:b/>
          <w:szCs w:val="22"/>
        </w:rPr>
      </w:pPr>
      <w:r w:rsidRPr="001A06C7">
        <w:rPr>
          <w:b/>
          <w:szCs w:val="22"/>
        </w:rPr>
        <w:t xml:space="preserve">Adopted:  </w:t>
      </w:r>
      <w:r w:rsidR="00840858">
        <w:rPr>
          <w:b/>
          <w:szCs w:val="22"/>
        </w:rPr>
        <w:t>May 11, 2015</w:t>
      </w:r>
      <w:r w:rsidRPr="001A06C7">
        <w:rPr>
          <w:b/>
          <w:szCs w:val="22"/>
        </w:rPr>
        <w:tab/>
      </w:r>
      <w:r w:rsidRPr="001A06C7">
        <w:rPr>
          <w:b/>
          <w:szCs w:val="22"/>
        </w:rPr>
        <w:tab/>
        <w:t xml:space="preserve">    </w:t>
      </w:r>
      <w:r w:rsidR="00840858">
        <w:rPr>
          <w:b/>
          <w:szCs w:val="22"/>
        </w:rPr>
        <w:t xml:space="preserve">       </w:t>
      </w:r>
      <w:r w:rsidRPr="001A06C7">
        <w:rPr>
          <w:b/>
          <w:szCs w:val="22"/>
        </w:rPr>
        <w:t xml:space="preserve">Released:  </w:t>
      </w:r>
      <w:r w:rsidR="00840858">
        <w:rPr>
          <w:b/>
          <w:szCs w:val="22"/>
        </w:rPr>
        <w:t>May 11, 2015</w:t>
      </w:r>
    </w:p>
    <w:p w:rsidR="00F61662" w:rsidRDefault="00F61662">
      <w:pPr>
        <w:pStyle w:val="Titleinfo"/>
        <w:rPr>
          <w:szCs w:val="22"/>
        </w:rPr>
      </w:pPr>
    </w:p>
    <w:p w:rsidR="00F61662" w:rsidRPr="00FB53E9" w:rsidRDefault="00F61662">
      <w:pPr>
        <w:pStyle w:val="Titleinfo"/>
        <w:rPr>
          <w:b w:val="0"/>
        </w:rPr>
      </w:pPr>
      <w:r w:rsidRPr="00FB53E9">
        <w:rPr>
          <w:b w:val="0"/>
        </w:rPr>
        <w:t>By the Chief, Telecommunications Access Policy Division, Wireline Competition Bureau:</w:t>
      </w:r>
    </w:p>
    <w:p w:rsidR="00F61662" w:rsidRDefault="00F61662">
      <w:pPr>
        <w:pStyle w:val="Titleinfo"/>
        <w:rPr>
          <w:szCs w:val="22"/>
        </w:rPr>
      </w:pPr>
    </w:p>
    <w:p w:rsidR="00F61662" w:rsidRDefault="00521A0D" w:rsidP="00FB53E9">
      <w:pPr>
        <w:pStyle w:val="ParaNum"/>
        <w:rPr>
          <w:rStyle w:val="StyleNumberedparagraphs11ptChar"/>
          <w:szCs w:val="22"/>
        </w:rPr>
      </w:pPr>
      <w:bookmarkStart w:id="1" w:name="OLE_LINK2"/>
      <w:bookmarkStart w:id="2" w:name="OLE_LINK3"/>
      <w:r>
        <w:rPr>
          <w:rStyle w:val="StyleNumberedparagraphs11ptChar"/>
          <w:szCs w:val="22"/>
        </w:rPr>
        <w:t xml:space="preserve">We deny the requests for review and/or waiver listed in the </w:t>
      </w:r>
      <w:r w:rsidR="001D7AF4">
        <w:rPr>
          <w:rStyle w:val="StyleNumberedparagraphs11ptChar"/>
          <w:szCs w:val="22"/>
        </w:rPr>
        <w:t>A</w:t>
      </w:r>
      <w:r>
        <w:rPr>
          <w:rStyle w:val="StyleNumberedparagraphs11ptChar"/>
          <w:szCs w:val="22"/>
        </w:rPr>
        <w:t xml:space="preserve">ppendix </w:t>
      </w:r>
      <w:r w:rsidR="004E499E">
        <w:rPr>
          <w:rStyle w:val="StyleNumberedparagraphs11ptChar"/>
          <w:szCs w:val="22"/>
        </w:rPr>
        <w:t xml:space="preserve">from petitioners </w:t>
      </w:r>
      <w:r w:rsidR="00EC4EE3">
        <w:rPr>
          <w:rStyle w:val="StyleNumberedparagraphs11ptChar"/>
          <w:szCs w:val="22"/>
        </w:rPr>
        <w:t xml:space="preserve">that </w:t>
      </w:r>
      <w:r w:rsidR="00EC4EE3">
        <w:t xml:space="preserve">failed to submit </w:t>
      </w:r>
      <w:r w:rsidR="0070652B">
        <w:t>their invoicing form (FCC Form</w:t>
      </w:r>
      <w:r w:rsidR="00EC4EE3">
        <w:t xml:space="preserve"> 472)</w:t>
      </w:r>
      <w:r w:rsidR="00EC4EE3" w:rsidRPr="00A33ECA">
        <w:t xml:space="preserve"> </w:t>
      </w:r>
      <w:r w:rsidR="00EC4EE3">
        <w:t xml:space="preserve">and are </w:t>
      </w:r>
      <w:r w:rsidR="004E499E">
        <w:rPr>
          <w:rStyle w:val="StyleNumberedparagraphs11ptChar"/>
          <w:szCs w:val="22"/>
        </w:rPr>
        <w:t xml:space="preserve">seeking </w:t>
      </w:r>
      <w:r w:rsidR="00EC4EE3">
        <w:t>invoicing deadline extensions</w:t>
      </w:r>
      <w:r w:rsidR="00EC4EE3">
        <w:rPr>
          <w:rStyle w:val="StyleNumberedparagraphs11ptChar"/>
          <w:szCs w:val="22"/>
        </w:rPr>
        <w:t xml:space="preserve"> for reimbursement</w:t>
      </w:r>
      <w:r w:rsidR="004E499E">
        <w:rPr>
          <w:rStyle w:val="StyleNumberedparagraphs11ptChar"/>
          <w:szCs w:val="22"/>
        </w:rPr>
        <w:t xml:space="preserve"> </w:t>
      </w:r>
      <w:r w:rsidR="00EC4EE3">
        <w:rPr>
          <w:rStyle w:val="StyleNumberedparagraphs11ptChar"/>
          <w:szCs w:val="22"/>
        </w:rPr>
        <w:t xml:space="preserve">of services </w:t>
      </w:r>
      <w:r w:rsidR="004E499E">
        <w:rPr>
          <w:rStyle w:val="StyleNumberedparagraphs11ptChar"/>
          <w:szCs w:val="22"/>
        </w:rPr>
        <w:t>under the E-rate program (more formally known as the schools and libraries universal service support program).</w:t>
      </w:r>
      <w:r w:rsidR="004E499E">
        <w:rPr>
          <w:rStyle w:val="FootnoteReference"/>
          <w:szCs w:val="22"/>
        </w:rPr>
        <w:footnoteReference w:id="2"/>
      </w:r>
      <w:r w:rsidR="004E499E">
        <w:rPr>
          <w:rStyle w:val="StyleNumberedparagraphs11ptChar"/>
          <w:szCs w:val="22"/>
        </w:rPr>
        <w:t xml:space="preserve">  </w:t>
      </w:r>
      <w:r w:rsidR="00440C56">
        <w:t xml:space="preserve">In accordance with guidance </w:t>
      </w:r>
      <w:r w:rsidR="006374AA">
        <w:t xml:space="preserve">provided by the Commission </w:t>
      </w:r>
      <w:r w:rsidR="00440C56">
        <w:t xml:space="preserve">in the </w:t>
      </w:r>
      <w:r w:rsidR="00440C56" w:rsidRPr="00440C56">
        <w:rPr>
          <w:i/>
        </w:rPr>
        <w:t>E-rate Modernization Order</w:t>
      </w:r>
      <w:r w:rsidR="00440C56">
        <w:t xml:space="preserve">, we </w:t>
      </w:r>
      <w:r w:rsidR="003D5BDB" w:rsidRPr="003D5BDB">
        <w:t xml:space="preserve">deny </w:t>
      </w:r>
      <w:r w:rsidR="003D5BDB">
        <w:t xml:space="preserve">the </w:t>
      </w:r>
      <w:r w:rsidR="003D5BDB" w:rsidRPr="003D5BDB">
        <w:t xml:space="preserve">requests because the petitioners </w:t>
      </w:r>
      <w:r w:rsidR="00440C56">
        <w:t xml:space="preserve">waited </w:t>
      </w:r>
      <w:r w:rsidR="00F87A68">
        <w:t xml:space="preserve">an unreasonable amount of time </w:t>
      </w:r>
      <w:r w:rsidR="00672941">
        <w:t xml:space="preserve">after the last date to invoice </w:t>
      </w:r>
      <w:r w:rsidR="00440C56">
        <w:t xml:space="preserve">to seek an </w:t>
      </w:r>
      <w:r w:rsidR="00672941">
        <w:t xml:space="preserve">invoicing </w:t>
      </w:r>
      <w:r w:rsidR="00440C56">
        <w:t xml:space="preserve">deadline extension </w:t>
      </w:r>
      <w:r w:rsidR="00672941">
        <w:t xml:space="preserve">and have </w:t>
      </w:r>
      <w:r w:rsidR="003D5BDB" w:rsidRPr="003D5BDB">
        <w:t xml:space="preserve">failed to present </w:t>
      </w:r>
      <w:r w:rsidR="00672941">
        <w:t xml:space="preserve">extraordinary circumstances that would justify the failure to timely submit the </w:t>
      </w:r>
      <w:r w:rsidR="003D5BDB">
        <w:t>invoices</w:t>
      </w:r>
      <w:r w:rsidR="003D5BDB" w:rsidRPr="003D5BDB">
        <w:t>.</w:t>
      </w:r>
      <w:r w:rsidR="003D5BDB" w:rsidRPr="003D5BDB">
        <w:rPr>
          <w:vertAlign w:val="superscript"/>
        </w:rPr>
        <w:footnoteReference w:id="3"/>
      </w:r>
      <w:r w:rsidR="003D5BDB">
        <w:t xml:space="preserve"> </w:t>
      </w:r>
    </w:p>
    <w:p w:rsidR="006D5319" w:rsidRPr="00B43503" w:rsidRDefault="006D5319" w:rsidP="00FB53E9">
      <w:pPr>
        <w:pStyle w:val="ParaNum"/>
      </w:pPr>
      <w:r w:rsidRPr="00B43503">
        <w:rPr>
          <w:rStyle w:val="StyleNumberedparagraphs11ptChar"/>
          <w:szCs w:val="22"/>
          <w:u w:val="single"/>
        </w:rPr>
        <w:t>Background</w:t>
      </w:r>
      <w:r w:rsidRPr="00B43503">
        <w:rPr>
          <w:rStyle w:val="StyleNumberedparagraphs11ptChar"/>
          <w:szCs w:val="22"/>
        </w:rPr>
        <w:t xml:space="preserve">.  </w:t>
      </w:r>
      <w:r w:rsidR="001360CA">
        <w:rPr>
          <w:rStyle w:val="StyleNumberedparagraphs11ptChar"/>
          <w:szCs w:val="22"/>
        </w:rPr>
        <w:t xml:space="preserve">After </w:t>
      </w:r>
      <w:r w:rsidR="001E380C">
        <w:rPr>
          <w:rStyle w:val="StyleNumberedparagraphs11ptChar"/>
          <w:szCs w:val="22"/>
        </w:rPr>
        <w:t>funding for E-rate</w:t>
      </w:r>
      <w:r w:rsidR="00F87A68">
        <w:rPr>
          <w:rStyle w:val="StyleNumberedparagraphs11ptChar"/>
          <w:szCs w:val="22"/>
        </w:rPr>
        <w:t xml:space="preserve"> eligible</w:t>
      </w:r>
      <w:r w:rsidR="001E380C">
        <w:rPr>
          <w:rStyle w:val="StyleNumberedparagraphs11ptChar"/>
          <w:szCs w:val="22"/>
        </w:rPr>
        <w:t xml:space="preserve"> services is approved, </w:t>
      </w:r>
      <w:r w:rsidR="001E380C" w:rsidRPr="006605B4">
        <w:t>applicant</w:t>
      </w:r>
      <w:r w:rsidR="001360CA">
        <w:t>s</w:t>
      </w:r>
      <w:r w:rsidR="00F87A68">
        <w:t xml:space="preserve"> must</w:t>
      </w:r>
      <w:r w:rsidR="001E380C" w:rsidRPr="006605B4">
        <w:t xml:space="preserve"> submit an FCC Form 486 to </w:t>
      </w:r>
      <w:r w:rsidR="000270B2">
        <w:rPr>
          <w:rStyle w:val="StyleNumberedparagraphs11ptChar"/>
          <w:szCs w:val="22"/>
        </w:rPr>
        <w:t>the Universal Service Administrative Company (USAC)</w:t>
      </w:r>
      <w:r w:rsidR="001E380C" w:rsidRPr="006605B4">
        <w:t xml:space="preserve"> confirming receipt of supported services from the specified service provider(s).</w:t>
      </w:r>
      <w:r w:rsidR="001E380C" w:rsidRPr="006605B4">
        <w:rPr>
          <w:vertAlign w:val="superscript"/>
        </w:rPr>
        <w:footnoteReference w:id="4"/>
      </w:r>
      <w:r w:rsidR="001E380C">
        <w:t xml:space="preserve">  After processing the FCC Form 486, USAC </w:t>
      </w:r>
      <w:r w:rsidR="00427485">
        <w:t xml:space="preserve">issues </w:t>
      </w:r>
      <w:r w:rsidR="001E380C">
        <w:t xml:space="preserve">an FCC Form 486 Notification Letter (FCC Form 486 NL) </w:t>
      </w:r>
      <w:r w:rsidR="004B02E2">
        <w:t xml:space="preserve">confirming the </w:t>
      </w:r>
      <w:r w:rsidR="00427485" w:rsidRPr="00427485">
        <w:rPr>
          <w:szCs w:val="22"/>
        </w:rPr>
        <w:t xml:space="preserve">information provided on the form and </w:t>
      </w:r>
      <w:r w:rsidR="002F1D80">
        <w:rPr>
          <w:szCs w:val="22"/>
        </w:rPr>
        <w:t xml:space="preserve">advising applicants to discuss with the service provider which of two ways the reimbursements process should work </w:t>
      </w:r>
      <w:r w:rsidR="002F1D80">
        <w:t>a</w:t>
      </w:r>
      <w:r w:rsidR="002F1D80" w:rsidRPr="00B43503">
        <w:t xml:space="preserve">fter </w:t>
      </w:r>
      <w:r w:rsidR="002F1D80">
        <w:t xml:space="preserve">E-rate eligible </w:t>
      </w:r>
      <w:r w:rsidR="002F1D80" w:rsidRPr="00B43503">
        <w:t>services have been delivered</w:t>
      </w:r>
      <w:r w:rsidR="002F1D80">
        <w:rPr>
          <w:szCs w:val="22"/>
        </w:rPr>
        <w:t>.</w:t>
      </w:r>
      <w:r w:rsidR="002F1D80">
        <w:rPr>
          <w:rStyle w:val="FootnoteReference"/>
          <w:szCs w:val="22"/>
        </w:rPr>
        <w:footnoteReference w:id="5"/>
      </w:r>
      <w:r w:rsidR="002F1D80">
        <w:rPr>
          <w:szCs w:val="22"/>
        </w:rPr>
        <w:t xml:space="preserve">  </w:t>
      </w:r>
      <w:r w:rsidRPr="00B43503">
        <w:t xml:space="preserve">If the applicant </w:t>
      </w:r>
      <w:r w:rsidR="000B5D57">
        <w:t xml:space="preserve">prefers to pay </w:t>
      </w:r>
      <w:r w:rsidRPr="00B43503">
        <w:t>the full cost of the services</w:t>
      </w:r>
      <w:r w:rsidR="00941E84">
        <w:t xml:space="preserve"> upfront</w:t>
      </w:r>
      <w:r w:rsidRPr="00B43503">
        <w:t>, th</w:t>
      </w:r>
      <w:r w:rsidR="00A7289A">
        <w:t>e</w:t>
      </w:r>
      <w:r w:rsidR="00941E84">
        <w:t>n</w:t>
      </w:r>
      <w:r w:rsidR="0043182B">
        <w:t xml:space="preserve"> </w:t>
      </w:r>
      <w:r w:rsidRPr="00B43503">
        <w:t xml:space="preserve">the applicant must submit an FCC Form 472, </w:t>
      </w:r>
      <w:r w:rsidRPr="00B43503">
        <w:lastRenderedPageBreak/>
        <w:t>Billed Entity Application for Reimbursement (BEAR) form, to secure reimbursement from USAC.</w:t>
      </w:r>
      <w:r w:rsidRPr="006D5319">
        <w:rPr>
          <w:vertAlign w:val="superscript"/>
        </w:rPr>
        <w:footnoteReference w:id="6"/>
      </w:r>
      <w:r w:rsidRPr="00B43503">
        <w:t xml:space="preserve">  If the applicant </w:t>
      </w:r>
      <w:r w:rsidR="000B5D57">
        <w:t xml:space="preserve">prefers only to pay </w:t>
      </w:r>
      <w:r w:rsidR="000E7282">
        <w:t xml:space="preserve">its portion of </w:t>
      </w:r>
      <w:r w:rsidRPr="00B43503">
        <w:t>the cost of the services, then the service provider must file an FCC Form 474, Service Provider Invoice (SPI) form, to receive its reimbursement.</w:t>
      </w:r>
      <w:r w:rsidRPr="006D5319">
        <w:rPr>
          <w:vertAlign w:val="superscript"/>
        </w:rPr>
        <w:footnoteReference w:id="7"/>
      </w:r>
      <w:r w:rsidRPr="00B43503">
        <w:t xml:space="preserve">  </w:t>
      </w:r>
      <w:r w:rsidR="0070652B">
        <w:t xml:space="preserve">All petitioners </w:t>
      </w:r>
      <w:r w:rsidR="001D7AF4">
        <w:t xml:space="preserve">seeking relief in this order </w:t>
      </w:r>
      <w:r w:rsidR="0070652B">
        <w:t xml:space="preserve">chose the FCC Form 472 BEAR form method for reimbursement.  </w:t>
      </w:r>
      <w:r w:rsidR="000E7282">
        <w:t xml:space="preserve">In the past, USAC required </w:t>
      </w:r>
      <w:r w:rsidR="00941E84">
        <w:t>invoices submitted for reimbursement</w:t>
      </w:r>
      <w:r w:rsidR="004907A3">
        <w:t xml:space="preserve"> </w:t>
      </w:r>
      <w:r w:rsidR="000E7282">
        <w:t>to</w:t>
      </w:r>
      <w:r w:rsidRPr="00B43503">
        <w:t xml:space="preserve"> be postmarked no later than 120 days after the date of the FCC Form 486 NL or 120 days after the last day to receive service, whichever </w:t>
      </w:r>
      <w:r w:rsidR="00941E84">
        <w:t>was</w:t>
      </w:r>
      <w:r w:rsidR="004907A3">
        <w:t xml:space="preserve"> </w:t>
      </w:r>
      <w:r w:rsidRPr="00B43503">
        <w:t>later.</w:t>
      </w:r>
      <w:r w:rsidRPr="006D5319">
        <w:rPr>
          <w:vertAlign w:val="superscript"/>
        </w:rPr>
        <w:footnoteReference w:id="8"/>
      </w:r>
      <w:r w:rsidR="0070652B">
        <w:t xml:space="preserve">  </w:t>
      </w:r>
      <w:r w:rsidR="00C119D8">
        <w:t>A</w:t>
      </w:r>
      <w:r w:rsidR="0070652B">
        <w:t xml:space="preserve">pplicants </w:t>
      </w:r>
      <w:r w:rsidR="00EF43E5">
        <w:t xml:space="preserve">could </w:t>
      </w:r>
      <w:r w:rsidR="00C119D8">
        <w:t xml:space="preserve">seek an extension of the invoice deadline from USAC as long as the request </w:t>
      </w:r>
      <w:r w:rsidR="00EF43E5">
        <w:t xml:space="preserve">was </w:t>
      </w:r>
      <w:r w:rsidR="00C119D8">
        <w:t>postmarked by the end of the relevant invoicing period.</w:t>
      </w:r>
      <w:r w:rsidR="00C119D8">
        <w:rPr>
          <w:rStyle w:val="FootnoteReference"/>
        </w:rPr>
        <w:footnoteReference w:id="9"/>
      </w:r>
    </w:p>
    <w:p w:rsidR="00DD3F24" w:rsidRPr="00DD3F24" w:rsidRDefault="00B43503" w:rsidP="00FB53E9">
      <w:pPr>
        <w:pStyle w:val="ParaNum"/>
        <w:rPr>
          <w:szCs w:val="22"/>
        </w:rPr>
      </w:pPr>
      <w:r>
        <w:t xml:space="preserve">In the </w:t>
      </w:r>
      <w:r w:rsidRPr="0002033C">
        <w:rPr>
          <w:i/>
        </w:rPr>
        <w:t>Canon-McMillan Order</w:t>
      </w:r>
      <w:r>
        <w:t>, the Bureau established a precedent of granting relief to petitioners demonstrating good faith in complying with the invoicing deadline despite submitting very late invoices.</w:t>
      </w:r>
      <w:r>
        <w:rPr>
          <w:rStyle w:val="FootnoteReference"/>
        </w:rPr>
        <w:footnoteReference w:id="10"/>
      </w:r>
      <w:r>
        <w:t xml:space="preserve">  </w:t>
      </w:r>
      <w:r w:rsidR="005F3CF5">
        <w:t>Th</w:t>
      </w:r>
      <w:r w:rsidR="000E7282">
        <w:t>at</w:t>
      </w:r>
      <w:r w:rsidR="005F3CF5">
        <w:t xml:space="preserve"> order </w:t>
      </w:r>
      <w:r w:rsidR="00C83D91">
        <w:rPr>
          <w:szCs w:val="22"/>
        </w:rPr>
        <w:t>noted</w:t>
      </w:r>
      <w:r w:rsidR="005F3CF5">
        <w:rPr>
          <w:szCs w:val="22"/>
        </w:rPr>
        <w:t>, however,</w:t>
      </w:r>
      <w:r w:rsidRPr="0002033C">
        <w:rPr>
          <w:szCs w:val="22"/>
        </w:rPr>
        <w:t xml:space="preserve"> that invoice filing deadlines are necessary for the efficient administration of the E-rate program and that as schools and libraries continue to participate in the E-rate program, participants should “become more experienced with the invoice requirements of the program.”</w:t>
      </w:r>
      <w:r>
        <w:rPr>
          <w:rStyle w:val="FootnoteReference"/>
          <w:szCs w:val="22"/>
        </w:rPr>
        <w:footnoteReference w:id="11"/>
      </w:r>
      <w:r>
        <w:t xml:space="preserve">  </w:t>
      </w:r>
    </w:p>
    <w:p w:rsidR="00B93AC4" w:rsidRPr="000E797E" w:rsidRDefault="00315843" w:rsidP="00FB53E9">
      <w:pPr>
        <w:pStyle w:val="ParaNum"/>
        <w:rPr>
          <w:szCs w:val="22"/>
        </w:rPr>
      </w:pPr>
      <w:r>
        <w:t xml:space="preserve">In the </w:t>
      </w:r>
      <w:r>
        <w:rPr>
          <w:i/>
        </w:rPr>
        <w:t>E-rate Modernization Order</w:t>
      </w:r>
      <w:r>
        <w:t>, the Commission recognized that</w:t>
      </w:r>
      <w:r w:rsidR="00B43503">
        <w:t xml:space="preserve"> firmer limits on invoicing extensions </w:t>
      </w:r>
      <w:r>
        <w:t xml:space="preserve">were </w:t>
      </w:r>
      <w:r w:rsidR="00B43503">
        <w:t>required</w:t>
      </w:r>
      <w:r w:rsidR="00542EB7" w:rsidRPr="00542EB7">
        <w:t xml:space="preserve"> </w:t>
      </w:r>
      <w:r w:rsidR="00542EB7">
        <w:t>to more quickly de-obligate committed funding from past years to carry forward for future E-rate funding needs.</w:t>
      </w:r>
      <w:r>
        <w:rPr>
          <w:rStyle w:val="FootnoteReference"/>
        </w:rPr>
        <w:footnoteReference w:id="12"/>
      </w:r>
      <w:r w:rsidR="00B43503">
        <w:t xml:space="preserve">  </w:t>
      </w:r>
      <w:r w:rsidR="00921D33">
        <w:t xml:space="preserve">It </w:t>
      </w:r>
      <w:r w:rsidR="000E7282">
        <w:t xml:space="preserve">codified USAC’s invoice deadline </w:t>
      </w:r>
      <w:r w:rsidR="00F87A68">
        <w:t xml:space="preserve">procedures </w:t>
      </w:r>
      <w:r w:rsidR="000E7282">
        <w:t xml:space="preserve">on a going forward basis, and </w:t>
      </w:r>
      <w:r w:rsidR="00921D33">
        <w:t xml:space="preserve">directed the Bureau to </w:t>
      </w:r>
      <w:r w:rsidR="00DD5B95">
        <w:t xml:space="preserve">grant requests for waiver of the new rule only </w:t>
      </w:r>
      <w:r w:rsidR="00D26EEC">
        <w:t>under extraordinary circums</w:t>
      </w:r>
      <w:r w:rsidR="000E797E">
        <w:t>tances</w:t>
      </w:r>
      <w:r w:rsidR="00921D33">
        <w:t>.</w:t>
      </w:r>
      <w:r w:rsidR="00921D33">
        <w:rPr>
          <w:rStyle w:val="FootnoteReference"/>
        </w:rPr>
        <w:footnoteReference w:id="13"/>
      </w:r>
      <w:r w:rsidR="00921D33">
        <w:t xml:space="preserve">  </w:t>
      </w:r>
      <w:r w:rsidR="00DD5B95">
        <w:t>With respect to invoice extension requests for fundin</w:t>
      </w:r>
      <w:r w:rsidR="000E797E">
        <w:t xml:space="preserve">g years predating the </w:t>
      </w:r>
      <w:r w:rsidR="000E797E">
        <w:lastRenderedPageBreak/>
        <w:t>Commission</w:t>
      </w:r>
      <w:r w:rsidR="000E797E">
        <w:rPr>
          <w:szCs w:val="22"/>
        </w:rPr>
        <w:t>’s codification of the invoice deadline process, t</w:t>
      </w:r>
      <w:r w:rsidR="00BD531A">
        <w:t>he Commission directed the Bureau and USAC to deny any invoice deadline extension requests of more than 12 months after the last date to invoice, absent extraordinary circumstances justifying the failure to timely submit invoices.</w:t>
      </w:r>
      <w:r w:rsidR="00BD531A">
        <w:rPr>
          <w:rStyle w:val="FootnoteReference"/>
        </w:rPr>
        <w:footnoteReference w:id="14"/>
      </w:r>
      <w:r w:rsidR="00BD531A">
        <w:t xml:space="preserve">  </w:t>
      </w:r>
      <w:r w:rsidR="00310779">
        <w:t xml:space="preserve">With respect to </w:t>
      </w:r>
      <w:r w:rsidR="000E797E">
        <w:t xml:space="preserve">all other </w:t>
      </w:r>
      <w:r w:rsidR="00310779">
        <w:t xml:space="preserve">invoice extension requests for funding years predating the Commission’s codification of the invoice deadline process, the Commission directed </w:t>
      </w:r>
      <w:r w:rsidR="000F25BC">
        <w:t xml:space="preserve">the Bureau </w:t>
      </w:r>
      <w:r w:rsidR="000E7282">
        <w:t>and</w:t>
      </w:r>
      <w:r w:rsidR="000F25BC">
        <w:t xml:space="preserve"> USAC to </w:t>
      </w:r>
      <w:r w:rsidR="00310779">
        <w:t>consider whether such requests were made in good faith and within a reasonable period of time after the services were provided, or whether other extraordinary circumstances exist that support an extension request.</w:t>
      </w:r>
      <w:r w:rsidR="00C71124">
        <w:rPr>
          <w:rStyle w:val="FootnoteReference"/>
        </w:rPr>
        <w:footnoteReference w:id="15"/>
      </w:r>
      <w:r w:rsidR="00310779">
        <w:t xml:space="preserve"> </w:t>
      </w:r>
    </w:p>
    <w:p w:rsidR="001F3DA5" w:rsidRDefault="0063419A" w:rsidP="00FB53E9">
      <w:pPr>
        <w:pStyle w:val="ParaNum"/>
        <w:rPr>
          <w:szCs w:val="22"/>
        </w:rPr>
      </w:pPr>
      <w:bookmarkStart w:id="3" w:name="_Ref416091824"/>
      <w:r w:rsidRPr="00BB5144">
        <w:rPr>
          <w:i/>
          <w:szCs w:val="22"/>
        </w:rPr>
        <w:t>Hancock County Library System</w:t>
      </w:r>
      <w:r w:rsidR="00310779">
        <w:rPr>
          <w:i/>
          <w:szCs w:val="22"/>
        </w:rPr>
        <w:t xml:space="preserve"> (Hancock County)</w:t>
      </w:r>
      <w:r w:rsidR="00703E52">
        <w:rPr>
          <w:szCs w:val="22"/>
        </w:rPr>
        <w:t>.</w:t>
      </w:r>
      <w:r>
        <w:rPr>
          <w:szCs w:val="22"/>
        </w:rPr>
        <w:t xml:space="preserve"> </w:t>
      </w:r>
      <w:r w:rsidR="00627633">
        <w:rPr>
          <w:szCs w:val="22"/>
        </w:rPr>
        <w:t xml:space="preserve"> </w:t>
      </w:r>
      <w:r w:rsidR="00627633" w:rsidRPr="00627633">
        <w:rPr>
          <w:szCs w:val="22"/>
        </w:rPr>
        <w:t xml:space="preserve">Hancock County </w:t>
      </w:r>
      <w:r w:rsidR="00627633">
        <w:rPr>
          <w:szCs w:val="22"/>
        </w:rPr>
        <w:t xml:space="preserve">failed to file any invoices for E-rate reimbursement </w:t>
      </w:r>
      <w:r w:rsidR="000E7282">
        <w:rPr>
          <w:szCs w:val="22"/>
        </w:rPr>
        <w:t>for</w:t>
      </w:r>
      <w:r w:rsidR="000563DA">
        <w:rPr>
          <w:szCs w:val="22"/>
        </w:rPr>
        <w:t xml:space="preserve"> </w:t>
      </w:r>
      <w:r w:rsidR="00627633">
        <w:rPr>
          <w:szCs w:val="22"/>
        </w:rPr>
        <w:t>a period spanning funding year 2003 to 2008.</w:t>
      </w:r>
      <w:r w:rsidR="00627633">
        <w:rPr>
          <w:rStyle w:val="FootnoteReference"/>
          <w:szCs w:val="22"/>
        </w:rPr>
        <w:footnoteReference w:id="16"/>
      </w:r>
      <w:r w:rsidR="00627633">
        <w:rPr>
          <w:szCs w:val="22"/>
        </w:rPr>
        <w:t xml:space="preserve">  </w:t>
      </w:r>
      <w:r w:rsidR="00310779">
        <w:rPr>
          <w:szCs w:val="22"/>
        </w:rPr>
        <w:t xml:space="preserve">According to </w:t>
      </w:r>
      <w:r w:rsidR="00627633">
        <w:rPr>
          <w:szCs w:val="22"/>
        </w:rPr>
        <w:t>Hancock County</w:t>
      </w:r>
      <w:r w:rsidR="00310779">
        <w:rPr>
          <w:szCs w:val="22"/>
        </w:rPr>
        <w:t xml:space="preserve">, </w:t>
      </w:r>
      <w:r w:rsidR="00627633">
        <w:rPr>
          <w:szCs w:val="22"/>
        </w:rPr>
        <w:t xml:space="preserve">a new employee was hired in 2003 and, while </w:t>
      </w:r>
      <w:r w:rsidR="00616C30">
        <w:rPr>
          <w:szCs w:val="22"/>
        </w:rPr>
        <w:t xml:space="preserve">regularly submitting E-rate applications, </w:t>
      </w:r>
      <w:r w:rsidR="005D63D7">
        <w:rPr>
          <w:szCs w:val="22"/>
        </w:rPr>
        <w:t xml:space="preserve">the employee </w:t>
      </w:r>
      <w:r w:rsidR="001F3DA5">
        <w:rPr>
          <w:szCs w:val="22"/>
        </w:rPr>
        <w:t xml:space="preserve">failed to </w:t>
      </w:r>
      <w:r w:rsidR="00616C30">
        <w:rPr>
          <w:szCs w:val="22"/>
        </w:rPr>
        <w:t>seek reimbursement for much of the services delivered to the library system during her tenure as E-rate coordinator from 2004 to 2009.</w:t>
      </w:r>
      <w:r w:rsidR="00616C30">
        <w:rPr>
          <w:rStyle w:val="FootnoteReference"/>
          <w:szCs w:val="22"/>
        </w:rPr>
        <w:footnoteReference w:id="17"/>
      </w:r>
      <w:r w:rsidR="00616C30">
        <w:rPr>
          <w:szCs w:val="22"/>
        </w:rPr>
        <w:t xml:space="preserve">  </w:t>
      </w:r>
      <w:r w:rsidR="00310779">
        <w:rPr>
          <w:szCs w:val="22"/>
        </w:rPr>
        <w:t xml:space="preserve">Notably, there </w:t>
      </w:r>
      <w:r w:rsidR="001F3DA5">
        <w:rPr>
          <w:szCs w:val="22"/>
        </w:rPr>
        <w:t xml:space="preserve">was a period of time in 2006 when a new executive director took over and </w:t>
      </w:r>
      <w:r w:rsidR="00310779">
        <w:rPr>
          <w:szCs w:val="22"/>
        </w:rPr>
        <w:t>made sure</w:t>
      </w:r>
      <w:r w:rsidR="001F3DA5">
        <w:rPr>
          <w:szCs w:val="22"/>
        </w:rPr>
        <w:t xml:space="preserve"> that E-rate applications and reimbursements were done properly.</w:t>
      </w:r>
      <w:r w:rsidR="001F3DA5">
        <w:rPr>
          <w:rStyle w:val="FootnoteReference"/>
          <w:szCs w:val="22"/>
        </w:rPr>
        <w:footnoteReference w:id="18"/>
      </w:r>
      <w:r w:rsidR="001F3DA5">
        <w:rPr>
          <w:szCs w:val="22"/>
        </w:rPr>
        <w:t xml:space="preserve">  </w:t>
      </w:r>
      <w:r w:rsidR="000E7282">
        <w:rPr>
          <w:szCs w:val="22"/>
        </w:rPr>
        <w:t xml:space="preserve">In its appeal, Hancock </w:t>
      </w:r>
      <w:r w:rsidR="00310779">
        <w:rPr>
          <w:szCs w:val="22"/>
        </w:rPr>
        <w:t xml:space="preserve">County </w:t>
      </w:r>
      <w:r w:rsidR="000E7282">
        <w:rPr>
          <w:szCs w:val="22"/>
        </w:rPr>
        <w:t xml:space="preserve">has sought permission to seek reimbursement on invoices that </w:t>
      </w:r>
      <w:r w:rsidR="0010497E">
        <w:rPr>
          <w:szCs w:val="22"/>
        </w:rPr>
        <w:t xml:space="preserve">would have been </w:t>
      </w:r>
      <w:r w:rsidR="000E7282">
        <w:rPr>
          <w:szCs w:val="22"/>
        </w:rPr>
        <w:t xml:space="preserve">no less than </w:t>
      </w:r>
      <w:r w:rsidR="00310779">
        <w:rPr>
          <w:szCs w:val="22"/>
        </w:rPr>
        <w:t>one</w:t>
      </w:r>
      <w:r w:rsidR="0010497E">
        <w:rPr>
          <w:szCs w:val="22"/>
        </w:rPr>
        <w:t xml:space="preserve"> </w:t>
      </w:r>
      <w:r w:rsidR="001F3DA5">
        <w:rPr>
          <w:szCs w:val="22"/>
        </w:rPr>
        <w:t xml:space="preserve">year </w:t>
      </w:r>
      <w:r w:rsidR="0010497E">
        <w:rPr>
          <w:szCs w:val="22"/>
        </w:rPr>
        <w:t xml:space="preserve">late </w:t>
      </w:r>
      <w:r w:rsidR="001F3DA5">
        <w:rPr>
          <w:szCs w:val="22"/>
        </w:rPr>
        <w:t>and</w:t>
      </w:r>
      <w:r w:rsidR="000E7282">
        <w:rPr>
          <w:szCs w:val="22"/>
        </w:rPr>
        <w:t xml:space="preserve"> as much as </w:t>
      </w:r>
      <w:r w:rsidR="001F3DA5">
        <w:rPr>
          <w:szCs w:val="22"/>
        </w:rPr>
        <w:t>three years late.</w:t>
      </w:r>
      <w:r w:rsidR="0010497E">
        <w:rPr>
          <w:rStyle w:val="FootnoteReference"/>
          <w:szCs w:val="22"/>
        </w:rPr>
        <w:footnoteReference w:id="19"/>
      </w:r>
      <w:bookmarkEnd w:id="3"/>
      <w:r w:rsidR="001F3DA5">
        <w:rPr>
          <w:szCs w:val="22"/>
        </w:rPr>
        <w:t xml:space="preserve">  </w:t>
      </w:r>
    </w:p>
    <w:p w:rsidR="0066183B" w:rsidRPr="00573CAA" w:rsidRDefault="00D91FA5" w:rsidP="00FB53E9">
      <w:pPr>
        <w:pStyle w:val="ParaNum"/>
        <w:rPr>
          <w:szCs w:val="22"/>
        </w:rPr>
      </w:pPr>
      <w:r w:rsidRPr="001777E4">
        <w:rPr>
          <w:i/>
          <w:szCs w:val="22"/>
        </w:rPr>
        <w:t>Madison County Public Library</w:t>
      </w:r>
      <w:r w:rsidR="00310779">
        <w:rPr>
          <w:i/>
          <w:szCs w:val="22"/>
        </w:rPr>
        <w:t xml:space="preserve"> (Madison County)</w:t>
      </w:r>
      <w:r w:rsidR="00703E52">
        <w:rPr>
          <w:szCs w:val="22"/>
        </w:rPr>
        <w:t xml:space="preserve">.  </w:t>
      </w:r>
      <w:r w:rsidR="00BB5144" w:rsidRPr="001777E4">
        <w:rPr>
          <w:szCs w:val="22"/>
        </w:rPr>
        <w:t xml:space="preserve">Madison County hired a new E-rate coordinator in August 2011 who was </w:t>
      </w:r>
      <w:r w:rsidR="00703E52">
        <w:rPr>
          <w:szCs w:val="22"/>
        </w:rPr>
        <w:t>un</w:t>
      </w:r>
      <w:r w:rsidR="00BB5144" w:rsidRPr="001777E4">
        <w:rPr>
          <w:szCs w:val="22"/>
        </w:rPr>
        <w:t>familiar with the program and unaware of the need</w:t>
      </w:r>
      <w:r w:rsidR="001777E4">
        <w:rPr>
          <w:szCs w:val="22"/>
        </w:rPr>
        <w:t xml:space="preserve"> </w:t>
      </w:r>
      <w:r w:rsidR="00BB5144" w:rsidRPr="001777E4">
        <w:rPr>
          <w:szCs w:val="22"/>
        </w:rPr>
        <w:t xml:space="preserve">to </w:t>
      </w:r>
      <w:r w:rsidR="001777E4">
        <w:rPr>
          <w:szCs w:val="22"/>
        </w:rPr>
        <w:t xml:space="preserve">file invoices to </w:t>
      </w:r>
      <w:r w:rsidR="00BB5144" w:rsidRPr="001777E4">
        <w:rPr>
          <w:szCs w:val="22"/>
        </w:rPr>
        <w:t>receive reimbursement</w:t>
      </w:r>
      <w:r w:rsidR="001777E4">
        <w:rPr>
          <w:szCs w:val="22"/>
        </w:rPr>
        <w:t xml:space="preserve"> on E-rate supported services</w:t>
      </w:r>
      <w:r w:rsidR="00BB5144" w:rsidRPr="001777E4">
        <w:rPr>
          <w:szCs w:val="22"/>
        </w:rPr>
        <w:t>.</w:t>
      </w:r>
      <w:r w:rsidR="00BB5144">
        <w:rPr>
          <w:rStyle w:val="FootnoteReference"/>
          <w:szCs w:val="22"/>
        </w:rPr>
        <w:footnoteReference w:id="20"/>
      </w:r>
      <w:r w:rsidR="00BB5144" w:rsidRPr="001777E4">
        <w:rPr>
          <w:szCs w:val="22"/>
        </w:rPr>
        <w:t xml:space="preserve">  Consequently, Madison County did not file invoices for services received in funding years 2007-2009.</w:t>
      </w:r>
      <w:r w:rsidR="00BB5144">
        <w:rPr>
          <w:rStyle w:val="FootnoteReference"/>
          <w:szCs w:val="22"/>
        </w:rPr>
        <w:footnoteReference w:id="21"/>
      </w:r>
      <w:r w:rsidR="00BB5144" w:rsidRPr="001777E4">
        <w:rPr>
          <w:szCs w:val="22"/>
        </w:rPr>
        <w:t xml:space="preserve">  In October 2012, </w:t>
      </w:r>
      <w:r w:rsidR="001777E4" w:rsidRPr="001777E4">
        <w:rPr>
          <w:szCs w:val="22"/>
        </w:rPr>
        <w:t xml:space="preserve">a consultant hired by the state of North Carolina </w:t>
      </w:r>
      <w:r w:rsidR="00703E52">
        <w:rPr>
          <w:szCs w:val="22"/>
        </w:rPr>
        <w:t xml:space="preserve">checked USAC’s website and </w:t>
      </w:r>
      <w:r w:rsidR="001777E4">
        <w:rPr>
          <w:szCs w:val="22"/>
        </w:rPr>
        <w:t>notified Madison County that is was “</w:t>
      </w:r>
      <w:r w:rsidR="001777E4" w:rsidRPr="001777E4">
        <w:rPr>
          <w:szCs w:val="22"/>
        </w:rPr>
        <w:t>past due</w:t>
      </w:r>
      <w:r w:rsidR="001777E4">
        <w:rPr>
          <w:szCs w:val="22"/>
        </w:rPr>
        <w:t>” on its invoice filing.</w:t>
      </w:r>
      <w:r w:rsidR="001777E4">
        <w:rPr>
          <w:rStyle w:val="FootnoteReference"/>
          <w:szCs w:val="22"/>
        </w:rPr>
        <w:footnoteReference w:id="22"/>
      </w:r>
      <w:r w:rsidR="00E841C9">
        <w:rPr>
          <w:szCs w:val="22"/>
        </w:rPr>
        <w:t xml:space="preserve">  </w:t>
      </w:r>
      <w:r w:rsidR="00BC0895">
        <w:rPr>
          <w:szCs w:val="22"/>
        </w:rPr>
        <w:t>Madison County</w:t>
      </w:r>
      <w:r w:rsidR="00E841C9">
        <w:rPr>
          <w:szCs w:val="22"/>
        </w:rPr>
        <w:t xml:space="preserve"> then filed an invoice extension request with USAC, which was denied</w:t>
      </w:r>
      <w:r w:rsidR="00BD4729">
        <w:rPr>
          <w:szCs w:val="22"/>
        </w:rPr>
        <w:t xml:space="preserve"> for being filed late</w:t>
      </w:r>
      <w:r w:rsidR="00E841C9">
        <w:rPr>
          <w:szCs w:val="22"/>
        </w:rPr>
        <w:t>.</w:t>
      </w:r>
      <w:r w:rsidR="00E841C9">
        <w:rPr>
          <w:rStyle w:val="FootnoteReference"/>
          <w:szCs w:val="22"/>
        </w:rPr>
        <w:footnoteReference w:id="23"/>
      </w:r>
      <w:r w:rsidR="006B3685">
        <w:rPr>
          <w:szCs w:val="22"/>
        </w:rPr>
        <w:t xml:space="preserve">  </w:t>
      </w:r>
      <w:r w:rsidR="00D503E7">
        <w:rPr>
          <w:szCs w:val="22"/>
        </w:rPr>
        <w:t xml:space="preserve">In its appeal, </w:t>
      </w:r>
      <w:r w:rsidR="00164762">
        <w:rPr>
          <w:szCs w:val="22"/>
        </w:rPr>
        <w:t xml:space="preserve">Madison </w:t>
      </w:r>
      <w:r w:rsidR="00D503E7">
        <w:rPr>
          <w:szCs w:val="22"/>
        </w:rPr>
        <w:t xml:space="preserve">County has sought permission to seek reimbursement on invoices that </w:t>
      </w:r>
      <w:r w:rsidR="0010497E">
        <w:rPr>
          <w:szCs w:val="22"/>
        </w:rPr>
        <w:t xml:space="preserve">would have been more than two years late and some </w:t>
      </w:r>
      <w:r w:rsidR="005D63D7">
        <w:rPr>
          <w:szCs w:val="22"/>
        </w:rPr>
        <w:t xml:space="preserve">that </w:t>
      </w:r>
      <w:r w:rsidR="0010497E">
        <w:rPr>
          <w:szCs w:val="22"/>
        </w:rPr>
        <w:t>would have been more than four years late.</w:t>
      </w:r>
      <w:r w:rsidR="0010497E">
        <w:rPr>
          <w:rStyle w:val="FootnoteReference"/>
          <w:szCs w:val="22"/>
        </w:rPr>
        <w:footnoteReference w:id="24"/>
      </w:r>
      <w:r w:rsidR="0010497E">
        <w:rPr>
          <w:szCs w:val="22"/>
        </w:rPr>
        <w:t xml:space="preserve"> </w:t>
      </w:r>
    </w:p>
    <w:p w:rsidR="00053732" w:rsidRDefault="006C6216" w:rsidP="00FB53E9">
      <w:pPr>
        <w:pStyle w:val="ParaNum"/>
        <w:rPr>
          <w:szCs w:val="22"/>
        </w:rPr>
      </w:pPr>
      <w:r w:rsidRPr="006C6216">
        <w:rPr>
          <w:i/>
          <w:szCs w:val="22"/>
        </w:rPr>
        <w:t>School District of South Milwaukee</w:t>
      </w:r>
      <w:r w:rsidR="00BC0895">
        <w:rPr>
          <w:i/>
          <w:szCs w:val="22"/>
        </w:rPr>
        <w:t xml:space="preserve"> (South Milwaukee)</w:t>
      </w:r>
      <w:r w:rsidR="00703E52">
        <w:rPr>
          <w:szCs w:val="22"/>
        </w:rPr>
        <w:t xml:space="preserve">.  </w:t>
      </w:r>
      <w:r w:rsidR="00381F08">
        <w:rPr>
          <w:szCs w:val="22"/>
        </w:rPr>
        <w:t xml:space="preserve">South Milwaukee </w:t>
      </w:r>
      <w:r w:rsidR="00E23418">
        <w:rPr>
          <w:szCs w:val="22"/>
        </w:rPr>
        <w:t>failed to file invoices in funding years</w:t>
      </w:r>
      <w:r w:rsidR="00381F08">
        <w:rPr>
          <w:szCs w:val="22"/>
        </w:rPr>
        <w:t xml:space="preserve"> </w:t>
      </w:r>
      <w:r w:rsidR="00E23418">
        <w:rPr>
          <w:szCs w:val="22"/>
        </w:rPr>
        <w:t>2000, 2005 and 2008.</w:t>
      </w:r>
      <w:r w:rsidR="00E23418">
        <w:rPr>
          <w:rStyle w:val="FootnoteReference"/>
          <w:szCs w:val="22"/>
        </w:rPr>
        <w:footnoteReference w:id="25"/>
      </w:r>
      <w:r w:rsidR="0038599E">
        <w:rPr>
          <w:szCs w:val="22"/>
        </w:rPr>
        <w:t xml:space="preserve">  </w:t>
      </w:r>
      <w:r w:rsidR="00703E52">
        <w:rPr>
          <w:szCs w:val="22"/>
        </w:rPr>
        <w:t xml:space="preserve">According to South Milwaukee, </w:t>
      </w:r>
      <w:r w:rsidR="00FA3431">
        <w:rPr>
          <w:szCs w:val="22"/>
        </w:rPr>
        <w:t>after an internal review</w:t>
      </w:r>
      <w:r w:rsidR="00FD1A49">
        <w:rPr>
          <w:szCs w:val="22"/>
        </w:rPr>
        <w:t xml:space="preserve"> of its finances in 2012</w:t>
      </w:r>
      <w:r w:rsidR="00FA3431">
        <w:rPr>
          <w:szCs w:val="22"/>
        </w:rPr>
        <w:t xml:space="preserve">, it discovered </w:t>
      </w:r>
      <w:r w:rsidR="00FD1A49">
        <w:rPr>
          <w:szCs w:val="22"/>
        </w:rPr>
        <w:t>that some of its invoices had not been submitted for reimbursement</w:t>
      </w:r>
      <w:r w:rsidR="005B7869">
        <w:rPr>
          <w:szCs w:val="22"/>
        </w:rPr>
        <w:t>.</w:t>
      </w:r>
      <w:r w:rsidR="005B7869">
        <w:rPr>
          <w:rStyle w:val="FootnoteReference"/>
          <w:szCs w:val="22"/>
        </w:rPr>
        <w:footnoteReference w:id="26"/>
      </w:r>
      <w:r w:rsidR="005B7869">
        <w:rPr>
          <w:szCs w:val="22"/>
        </w:rPr>
        <w:t xml:space="preserve">  </w:t>
      </w:r>
      <w:r w:rsidR="00BC0895">
        <w:rPr>
          <w:szCs w:val="22"/>
        </w:rPr>
        <w:t xml:space="preserve">South Milwaukee </w:t>
      </w:r>
      <w:r w:rsidR="005B7869">
        <w:rPr>
          <w:szCs w:val="22"/>
        </w:rPr>
        <w:t xml:space="preserve">blamed the problem on E-rate staff turnover </w:t>
      </w:r>
      <w:r w:rsidR="00FD1A49">
        <w:rPr>
          <w:szCs w:val="22"/>
        </w:rPr>
        <w:t>that resulted in confusion over how the invoicing process worked.</w:t>
      </w:r>
      <w:r w:rsidR="00FD1A49">
        <w:rPr>
          <w:rStyle w:val="FootnoteReference"/>
          <w:szCs w:val="22"/>
        </w:rPr>
        <w:footnoteReference w:id="27"/>
      </w:r>
      <w:r w:rsidR="005B7869">
        <w:rPr>
          <w:szCs w:val="22"/>
        </w:rPr>
        <w:t xml:space="preserve">  It filed invoice extension requests </w:t>
      </w:r>
      <w:r w:rsidR="00FF4582">
        <w:rPr>
          <w:szCs w:val="22"/>
        </w:rPr>
        <w:t xml:space="preserve">with USAC for </w:t>
      </w:r>
      <w:r w:rsidR="005B7869">
        <w:rPr>
          <w:szCs w:val="22"/>
        </w:rPr>
        <w:t xml:space="preserve">each </w:t>
      </w:r>
      <w:r w:rsidR="00FF4582">
        <w:rPr>
          <w:szCs w:val="22"/>
        </w:rPr>
        <w:t xml:space="preserve">of the three </w:t>
      </w:r>
      <w:r w:rsidR="005B7869">
        <w:rPr>
          <w:szCs w:val="22"/>
        </w:rPr>
        <w:t>funding year</w:t>
      </w:r>
      <w:r w:rsidR="00FF4582">
        <w:rPr>
          <w:szCs w:val="22"/>
        </w:rPr>
        <w:t>s</w:t>
      </w:r>
      <w:r w:rsidR="005B7869">
        <w:rPr>
          <w:szCs w:val="22"/>
        </w:rPr>
        <w:t>, which were denied</w:t>
      </w:r>
      <w:r w:rsidR="00BD4729">
        <w:rPr>
          <w:szCs w:val="22"/>
        </w:rPr>
        <w:t xml:space="preserve"> for being late</w:t>
      </w:r>
      <w:r w:rsidR="005B7869">
        <w:rPr>
          <w:szCs w:val="22"/>
        </w:rPr>
        <w:t>.</w:t>
      </w:r>
      <w:r w:rsidR="005B7869">
        <w:rPr>
          <w:rStyle w:val="FootnoteReference"/>
          <w:szCs w:val="22"/>
        </w:rPr>
        <w:footnoteReference w:id="28"/>
      </w:r>
      <w:r w:rsidR="00FF4582">
        <w:rPr>
          <w:szCs w:val="22"/>
        </w:rPr>
        <w:t xml:space="preserve">  </w:t>
      </w:r>
      <w:r w:rsidR="00D503E7">
        <w:rPr>
          <w:szCs w:val="22"/>
        </w:rPr>
        <w:t xml:space="preserve">In its appeal, </w:t>
      </w:r>
      <w:r w:rsidR="003E509C">
        <w:rPr>
          <w:szCs w:val="22"/>
        </w:rPr>
        <w:t xml:space="preserve">South Milwaukee </w:t>
      </w:r>
      <w:r w:rsidR="00D503E7">
        <w:rPr>
          <w:szCs w:val="22"/>
        </w:rPr>
        <w:t xml:space="preserve">has sought permission to seek reimbursement on invoices that </w:t>
      </w:r>
      <w:r w:rsidR="00C9253B">
        <w:rPr>
          <w:szCs w:val="22"/>
        </w:rPr>
        <w:t xml:space="preserve">would have been more than two and a half years late and some would have been more than </w:t>
      </w:r>
      <w:r w:rsidR="00703E52">
        <w:rPr>
          <w:szCs w:val="22"/>
        </w:rPr>
        <w:t>a decade</w:t>
      </w:r>
      <w:r w:rsidR="00C9253B">
        <w:rPr>
          <w:szCs w:val="22"/>
        </w:rPr>
        <w:t xml:space="preserve"> late.</w:t>
      </w:r>
      <w:r w:rsidR="00C9253B">
        <w:rPr>
          <w:rStyle w:val="FootnoteReference"/>
          <w:szCs w:val="22"/>
        </w:rPr>
        <w:footnoteReference w:id="29"/>
      </w:r>
    </w:p>
    <w:p w:rsidR="001C7BA3" w:rsidRDefault="001C7BA3" w:rsidP="00FB53E9">
      <w:pPr>
        <w:pStyle w:val="ParaNum"/>
        <w:rPr>
          <w:szCs w:val="22"/>
        </w:rPr>
      </w:pPr>
      <w:bookmarkStart w:id="4" w:name="_Ref416091835"/>
      <w:r w:rsidRPr="00FF0C6F">
        <w:rPr>
          <w:i/>
          <w:szCs w:val="22"/>
        </w:rPr>
        <w:t>Morton High School District 201</w:t>
      </w:r>
      <w:r>
        <w:rPr>
          <w:i/>
          <w:szCs w:val="22"/>
        </w:rPr>
        <w:t xml:space="preserve"> (Morton High School)</w:t>
      </w:r>
      <w:r>
        <w:rPr>
          <w:szCs w:val="22"/>
        </w:rPr>
        <w:t xml:space="preserve">.  </w:t>
      </w:r>
      <w:r w:rsidRPr="00FF0C6F">
        <w:rPr>
          <w:szCs w:val="22"/>
        </w:rPr>
        <w:t>Morton High</w:t>
      </w:r>
      <w:r>
        <w:rPr>
          <w:szCs w:val="22"/>
        </w:rPr>
        <w:t xml:space="preserve"> School</w:t>
      </w:r>
      <w:r w:rsidRPr="00FF0C6F">
        <w:rPr>
          <w:szCs w:val="22"/>
        </w:rPr>
        <w:t xml:space="preserve"> failed to file any invoices from several funding years dating back to </w:t>
      </w:r>
      <w:r>
        <w:rPr>
          <w:szCs w:val="22"/>
        </w:rPr>
        <w:t>2000</w:t>
      </w:r>
      <w:r w:rsidRPr="00FF0C6F">
        <w:rPr>
          <w:szCs w:val="22"/>
        </w:rPr>
        <w:t>.</w:t>
      </w:r>
      <w:r>
        <w:rPr>
          <w:rStyle w:val="FootnoteReference"/>
          <w:szCs w:val="22"/>
        </w:rPr>
        <w:footnoteReference w:id="30"/>
      </w:r>
      <w:r w:rsidRPr="00FF0C6F">
        <w:rPr>
          <w:szCs w:val="22"/>
        </w:rPr>
        <w:t xml:space="preserve">  </w:t>
      </w:r>
      <w:r>
        <w:rPr>
          <w:szCs w:val="22"/>
        </w:rPr>
        <w:t xml:space="preserve"> It filed an invoice extension request with USAC, which was denied for being late.</w:t>
      </w:r>
      <w:r>
        <w:rPr>
          <w:rStyle w:val="FootnoteReference"/>
          <w:szCs w:val="22"/>
        </w:rPr>
        <w:footnoteReference w:id="31"/>
      </w:r>
      <w:r>
        <w:rPr>
          <w:szCs w:val="22"/>
        </w:rPr>
        <w:t xml:space="preserve">  On appeal, Morton High School offered no explanation for its failure to file invoices timely other than staff confusion over E-rate rules and procedures.</w:t>
      </w:r>
      <w:r>
        <w:rPr>
          <w:rStyle w:val="FootnoteReference"/>
          <w:szCs w:val="22"/>
        </w:rPr>
        <w:footnoteReference w:id="32"/>
      </w:r>
      <w:r>
        <w:rPr>
          <w:szCs w:val="22"/>
        </w:rPr>
        <w:t xml:space="preserve">  Morton High School sought a </w:t>
      </w:r>
      <w:r w:rsidR="00542EB7">
        <w:rPr>
          <w:szCs w:val="22"/>
        </w:rPr>
        <w:t>10</w:t>
      </w:r>
      <w:r>
        <w:rPr>
          <w:szCs w:val="22"/>
        </w:rPr>
        <w:t xml:space="preserve"> month extension to file two of its invoices and it sought an extension of more than a year for the balance of its invoices which included invoices that were more than a decade late.</w:t>
      </w:r>
      <w:r>
        <w:rPr>
          <w:rStyle w:val="FootnoteReference"/>
          <w:szCs w:val="22"/>
        </w:rPr>
        <w:footnoteReference w:id="33"/>
      </w:r>
      <w:bookmarkEnd w:id="4"/>
      <w:r>
        <w:rPr>
          <w:szCs w:val="22"/>
        </w:rPr>
        <w:t xml:space="preserve">  </w:t>
      </w:r>
    </w:p>
    <w:p w:rsidR="00976793" w:rsidRPr="00976793" w:rsidRDefault="00F4410B" w:rsidP="00FB53E9">
      <w:pPr>
        <w:pStyle w:val="ParaNum"/>
        <w:rPr>
          <w:szCs w:val="22"/>
        </w:rPr>
      </w:pPr>
      <w:r w:rsidRPr="00921D33">
        <w:rPr>
          <w:rStyle w:val="StyleNumberedparagraphs11ptChar"/>
          <w:szCs w:val="22"/>
          <w:u w:val="single"/>
        </w:rPr>
        <w:t>Discussion</w:t>
      </w:r>
      <w:r w:rsidRPr="00921D33">
        <w:rPr>
          <w:rStyle w:val="StyleNumberedparagraphs11ptChar"/>
          <w:szCs w:val="22"/>
        </w:rPr>
        <w:t xml:space="preserve">.  </w:t>
      </w:r>
      <w:r w:rsidR="00BC0895">
        <w:rPr>
          <w:rStyle w:val="StyleNumberedparagraphs11ptChar"/>
          <w:szCs w:val="22"/>
        </w:rPr>
        <w:t>We deny the requests for invoice extensions identified in the Appendix, b</w:t>
      </w:r>
      <w:r w:rsidR="00703E52">
        <w:rPr>
          <w:rStyle w:val="StyleNumberedparagraphs11ptChar"/>
          <w:szCs w:val="22"/>
        </w:rPr>
        <w:t>ased on the Commission</w:t>
      </w:r>
      <w:r w:rsidR="005D2AF0">
        <w:rPr>
          <w:rStyle w:val="StyleNumberedparagraphs11ptChar"/>
          <w:szCs w:val="22"/>
        </w:rPr>
        <w:t>’s</w:t>
      </w:r>
      <w:r w:rsidR="00703E52">
        <w:rPr>
          <w:rStyle w:val="StyleNumberedparagraphs11ptChar"/>
          <w:szCs w:val="22"/>
        </w:rPr>
        <w:t xml:space="preserve"> </w:t>
      </w:r>
      <w:r w:rsidR="00921D33" w:rsidRPr="00921D33">
        <w:rPr>
          <w:rStyle w:val="StyleNumberedparagraphs11ptChar"/>
          <w:szCs w:val="22"/>
        </w:rPr>
        <w:t>guidance</w:t>
      </w:r>
      <w:r w:rsidR="00703E52">
        <w:rPr>
          <w:rStyle w:val="StyleNumberedparagraphs11ptChar"/>
          <w:szCs w:val="22"/>
        </w:rPr>
        <w:t xml:space="preserve"> in the</w:t>
      </w:r>
      <w:r w:rsidR="00921D33">
        <w:t xml:space="preserve"> </w:t>
      </w:r>
      <w:r w:rsidR="00921D33" w:rsidRPr="00921D33">
        <w:rPr>
          <w:i/>
        </w:rPr>
        <w:t>E-rate Modernization Order</w:t>
      </w:r>
      <w:r w:rsidR="00AF4043">
        <w:t xml:space="preserve">.  </w:t>
      </w:r>
      <w:r w:rsidR="00D928CC">
        <w:t xml:space="preserve">All of the </w:t>
      </w:r>
      <w:r w:rsidR="00A7289A">
        <w:t>p</w:t>
      </w:r>
      <w:r w:rsidR="00AF4043">
        <w:t xml:space="preserve">etitioners </w:t>
      </w:r>
      <w:r w:rsidR="00523A49">
        <w:t xml:space="preserve">seek </w:t>
      </w:r>
      <w:r w:rsidR="00AF4043">
        <w:t xml:space="preserve">permission to file </w:t>
      </w:r>
      <w:r w:rsidR="00523A49">
        <w:t>invoices that were m</w:t>
      </w:r>
      <w:r w:rsidR="00D928CC">
        <w:t>ore than 12 months lat</w:t>
      </w:r>
      <w:r w:rsidR="00523A49">
        <w:t xml:space="preserve">e at the time the </w:t>
      </w:r>
      <w:r w:rsidR="00A7289A">
        <w:t>p</w:t>
      </w:r>
      <w:r w:rsidR="00523A49">
        <w:t>etitioners first sought invoice deadline extensions.  So</w:t>
      </w:r>
      <w:r w:rsidR="00D928CC">
        <w:t xml:space="preserve">me of the requests </w:t>
      </w:r>
      <w:r w:rsidR="00523A49">
        <w:t xml:space="preserve">ask for </w:t>
      </w:r>
      <w:r w:rsidR="00D928CC">
        <w:t xml:space="preserve">permission to seek reimbursement many years after services were delivered.  None of the </w:t>
      </w:r>
      <w:r w:rsidR="00A7289A">
        <w:t>p</w:t>
      </w:r>
      <w:r w:rsidR="00D928CC">
        <w:t xml:space="preserve">etitioners offer compelling explanations for their delay in seeking reimbursement.  </w:t>
      </w:r>
      <w:r w:rsidR="00523A49">
        <w:t>Instead they offer employee confusion, lack of understanding of the program rules, or staff turnover as bases for failing to seek reimbursement in a timely fashion, or no reason at all for their failure to timely submit invoices.</w:t>
      </w:r>
      <w:r w:rsidR="00523A49">
        <w:rPr>
          <w:rStyle w:val="FootnoteReference"/>
        </w:rPr>
        <w:footnoteReference w:id="34"/>
      </w:r>
      <w:r w:rsidR="00895F72">
        <w:t xml:space="preserve">  </w:t>
      </w:r>
      <w:r w:rsidR="00407CB4">
        <w:t xml:space="preserve">The Commission has previously found that </w:t>
      </w:r>
      <w:r w:rsidR="00AA231E" w:rsidRPr="00711BB8">
        <w:t xml:space="preserve">misunderstanding </w:t>
      </w:r>
      <w:r w:rsidR="00AA231E">
        <w:t>does not relieve an applicant</w:t>
      </w:r>
      <w:r w:rsidR="00AA231E" w:rsidRPr="00711BB8">
        <w:t xml:space="preserve"> of </w:t>
      </w:r>
      <w:r w:rsidR="00AA231E">
        <w:t xml:space="preserve">its </w:t>
      </w:r>
      <w:r w:rsidR="00AA231E" w:rsidRPr="00711BB8">
        <w:t xml:space="preserve">responsibility to understand and comply with the </w:t>
      </w:r>
      <w:r w:rsidR="00AA231E" w:rsidRPr="00F56FC7">
        <w:t>Commission's rules</w:t>
      </w:r>
      <w:r w:rsidR="00AA231E" w:rsidRPr="00711BB8">
        <w:t xml:space="preserve"> and procedures.</w:t>
      </w:r>
      <w:bookmarkStart w:id="5" w:name="_Ref416086863"/>
      <w:r w:rsidR="00AA231E">
        <w:rPr>
          <w:rStyle w:val="FootnoteReference"/>
        </w:rPr>
        <w:footnoteReference w:id="35"/>
      </w:r>
      <w:bookmarkEnd w:id="5"/>
      <w:r w:rsidR="00AA231E">
        <w:t xml:space="preserve"> </w:t>
      </w:r>
      <w:r w:rsidR="00976793">
        <w:t xml:space="preserve">  Thus, with respect to the requests that were filed more than 12 months after USAC’s invoice extension, we find that the </w:t>
      </w:r>
      <w:r w:rsidR="00A7289A">
        <w:t>p</w:t>
      </w:r>
      <w:r w:rsidR="00976793">
        <w:t>etitioners have not demonstrated “extraordinary circumstances” that woul</w:t>
      </w:r>
      <w:r w:rsidR="0099578B">
        <w:t>d justify filing invoice extension requests more than a year late</w:t>
      </w:r>
      <w:r w:rsidR="00976793">
        <w:t>.</w:t>
      </w:r>
      <w:r w:rsidR="00976793">
        <w:rPr>
          <w:rStyle w:val="FootnoteReference"/>
        </w:rPr>
        <w:footnoteReference w:id="36"/>
      </w:r>
    </w:p>
    <w:p w:rsidR="00581B45" w:rsidRPr="00A860E0" w:rsidRDefault="0099578B" w:rsidP="00FB53E9">
      <w:pPr>
        <w:pStyle w:val="ParaNum"/>
        <w:rPr>
          <w:szCs w:val="22"/>
        </w:rPr>
      </w:pPr>
      <w:r>
        <w:t xml:space="preserve">In addition to seeking invoice deadline extensions that were many years late, Morton High School sought extensions for filing two invoices 10 months late.  </w:t>
      </w:r>
      <w:r w:rsidR="00C51148">
        <w:t>In deciding Morton High School’s request with respect to those two invoices, we must consider whether such requests were made in good faith and within a reasonable period of time after the services were provided, or whether other extraordinary circumstances exist that support an extension request.</w:t>
      </w:r>
      <w:r w:rsidR="00C51148" w:rsidRPr="003D5BDB">
        <w:rPr>
          <w:vertAlign w:val="superscript"/>
        </w:rPr>
        <w:footnoteReference w:id="37"/>
      </w:r>
      <w:r w:rsidR="00C51148">
        <w:t xml:space="preserve">  We have already determined that employee misunderstanding or confusion of the E-rate invoicing procedures does not represent “extraordinary circumstances” that would justify the failure to timely submit the invoices, or to seek an extension of the invoice filing deadline</w:t>
      </w:r>
      <w:r w:rsidR="00C51148" w:rsidRPr="003D5BDB">
        <w:t>.</w:t>
      </w:r>
      <w:r w:rsidR="00C51148">
        <w:rPr>
          <w:rStyle w:val="FootnoteReference"/>
        </w:rPr>
        <w:footnoteReference w:id="38"/>
      </w:r>
      <w:r w:rsidR="00C51148">
        <w:t xml:space="preserve">  </w:t>
      </w:r>
      <w:r w:rsidR="00A860E0">
        <w:t xml:space="preserve">We also find that staff confusion about how to comply with the E-rate rules is not a </w:t>
      </w:r>
      <w:r w:rsidR="00A860E0">
        <w:rPr>
          <w:szCs w:val="22"/>
        </w:rPr>
        <w:t xml:space="preserve">“reasonable basis” for a substantial delay in submitting invoices for payment.  </w:t>
      </w:r>
      <w:r w:rsidR="00542EB7">
        <w:t>Morton High School’s petition</w:t>
      </w:r>
      <w:r w:rsidR="00A860E0">
        <w:t>, therefore,</w:t>
      </w:r>
      <w:r w:rsidR="00542EB7">
        <w:t xml:space="preserve"> offers no basis on which to find that a 10 month delay in seeking an invoicing deadline extension was reasonable</w:t>
      </w:r>
      <w:r w:rsidR="00A860E0">
        <w:t>.</w:t>
      </w:r>
      <w:r w:rsidR="008C45DD">
        <w:rPr>
          <w:rStyle w:val="FootnoteReference"/>
        </w:rPr>
        <w:footnoteReference w:id="39"/>
      </w:r>
      <w:r w:rsidR="00542EB7">
        <w:t xml:space="preserve"> </w:t>
      </w:r>
    </w:p>
    <w:bookmarkEnd w:id="1"/>
    <w:bookmarkEnd w:id="2"/>
    <w:p w:rsidR="00E1273D" w:rsidRPr="009371CF" w:rsidRDefault="00D4561A" w:rsidP="00FB53E9">
      <w:pPr>
        <w:pStyle w:val="ParaNum"/>
        <w:rPr>
          <w:szCs w:val="22"/>
        </w:rPr>
      </w:pPr>
      <w:r w:rsidRPr="00DB7629">
        <w:rPr>
          <w:rStyle w:val="StyleNumberedparagraphs11ptChar"/>
          <w:szCs w:val="22"/>
        </w:rPr>
        <w:t xml:space="preserve">ACCORDINGLY, IT IS ORDERED, </w:t>
      </w:r>
      <w:r w:rsidRPr="00DB7629">
        <w:t xml:space="preserve">pursuant to the authority contained in sections 1-4 and 254 of the Communications Act of 1934, as amended, 47 U.S.C. §§ 151-154 and 254, and sections 0.91, 0.291, 1.3 and 54.722(a) of the Commission’s rules, 47 C.F.R. §§ 0.91, 0.291, 1.3 and 54.722(a), the Requests for Review </w:t>
      </w:r>
      <w:r>
        <w:t xml:space="preserve">and/or Waiver </w:t>
      </w:r>
      <w:r w:rsidRPr="00DB7629">
        <w:t xml:space="preserve">filed by </w:t>
      </w:r>
      <w:r>
        <w:t xml:space="preserve">Petitioners in the Appendix </w:t>
      </w:r>
      <w:r w:rsidRPr="00DB7629">
        <w:t>are DENIED.</w:t>
      </w:r>
    </w:p>
    <w:p w:rsidR="00E1273D" w:rsidRPr="00375568" w:rsidRDefault="00E1273D" w:rsidP="00E1273D">
      <w:pPr>
        <w:pStyle w:val="ParaNum"/>
        <w:numPr>
          <w:ilvl w:val="0"/>
          <w:numId w:val="0"/>
        </w:numPr>
        <w:ind w:left="720"/>
        <w:rPr>
          <w:szCs w:val="22"/>
        </w:rPr>
      </w:pPr>
    </w:p>
    <w:p w:rsidR="00F61662" w:rsidRDefault="00F61662" w:rsidP="001B2A06">
      <w:pPr>
        <w:keepNext/>
        <w:tabs>
          <w:tab w:val="left" w:pos="-720"/>
        </w:tabs>
        <w:suppressAutoHyphens/>
        <w:ind w:left="4320"/>
        <w:outlineLvl w:val="0"/>
        <w:rPr>
          <w:szCs w:val="22"/>
        </w:rPr>
      </w:pPr>
    </w:p>
    <w:p w:rsidR="00F61662" w:rsidRDefault="00F61662" w:rsidP="001B2A06">
      <w:pPr>
        <w:keepNext/>
        <w:tabs>
          <w:tab w:val="left" w:pos="-720"/>
        </w:tabs>
        <w:suppressAutoHyphens/>
        <w:ind w:left="4320"/>
        <w:outlineLvl w:val="0"/>
        <w:rPr>
          <w:szCs w:val="22"/>
        </w:rPr>
      </w:pPr>
      <w:r>
        <w:rPr>
          <w:szCs w:val="22"/>
        </w:rPr>
        <w:t>FEDERAL COMMUNICATIONS COMMISSION</w:t>
      </w:r>
    </w:p>
    <w:p w:rsidR="00F61662" w:rsidRDefault="00F61662" w:rsidP="001B2A06">
      <w:pPr>
        <w:keepNext/>
        <w:tabs>
          <w:tab w:val="left" w:pos="-720"/>
        </w:tabs>
        <w:suppressAutoHyphens/>
        <w:ind w:left="4320"/>
        <w:rPr>
          <w:szCs w:val="22"/>
        </w:rPr>
      </w:pPr>
    </w:p>
    <w:p w:rsidR="00F61662" w:rsidRDefault="00F61662" w:rsidP="001B2A06">
      <w:pPr>
        <w:keepNext/>
        <w:keepLines/>
        <w:ind w:left="4320"/>
        <w:outlineLvl w:val="0"/>
        <w:rPr>
          <w:szCs w:val="22"/>
        </w:rPr>
      </w:pPr>
    </w:p>
    <w:p w:rsidR="00F61662" w:rsidRDefault="00F61662" w:rsidP="001B2A06">
      <w:pPr>
        <w:keepNext/>
        <w:keepLines/>
        <w:ind w:left="3600" w:firstLine="720"/>
        <w:outlineLvl w:val="0"/>
        <w:rPr>
          <w:szCs w:val="22"/>
        </w:rPr>
      </w:pPr>
    </w:p>
    <w:p w:rsidR="00F61662" w:rsidRDefault="00F61662" w:rsidP="001B2A06">
      <w:pPr>
        <w:keepNext/>
        <w:keepLines/>
        <w:ind w:left="3600" w:firstLine="720"/>
        <w:outlineLvl w:val="0"/>
        <w:rPr>
          <w:szCs w:val="22"/>
        </w:rPr>
      </w:pPr>
    </w:p>
    <w:p w:rsidR="00F61662" w:rsidRDefault="00B57F23" w:rsidP="001B2A06">
      <w:pPr>
        <w:keepNext/>
        <w:keepLines/>
        <w:ind w:left="3600" w:firstLine="720"/>
        <w:outlineLvl w:val="0"/>
        <w:rPr>
          <w:szCs w:val="22"/>
        </w:rPr>
      </w:pPr>
      <w:r>
        <w:rPr>
          <w:szCs w:val="22"/>
        </w:rPr>
        <w:t>Ryan B. Palmer</w:t>
      </w:r>
    </w:p>
    <w:p w:rsidR="00F61662" w:rsidRDefault="00F61662" w:rsidP="001B2A06">
      <w:pPr>
        <w:keepNext/>
        <w:keepLines/>
        <w:ind w:left="3600" w:firstLine="720"/>
        <w:outlineLvl w:val="0"/>
        <w:rPr>
          <w:szCs w:val="22"/>
        </w:rPr>
      </w:pPr>
      <w:r>
        <w:rPr>
          <w:szCs w:val="22"/>
        </w:rPr>
        <w:t>Chief</w:t>
      </w:r>
    </w:p>
    <w:p w:rsidR="00F61662" w:rsidRDefault="00F61662" w:rsidP="001B2A06">
      <w:pPr>
        <w:keepNext/>
        <w:keepLines/>
        <w:ind w:left="4320"/>
        <w:outlineLvl w:val="0"/>
        <w:rPr>
          <w:szCs w:val="22"/>
        </w:rPr>
      </w:pPr>
      <w:r>
        <w:rPr>
          <w:szCs w:val="22"/>
        </w:rPr>
        <w:t>Telecommunications Access Policy Division</w:t>
      </w:r>
    </w:p>
    <w:p w:rsidR="00F61662" w:rsidRDefault="00F61662" w:rsidP="006056C7">
      <w:pPr>
        <w:keepNext/>
        <w:keepLines/>
        <w:ind w:left="4320"/>
        <w:outlineLvl w:val="0"/>
        <w:rPr>
          <w:szCs w:val="22"/>
        </w:rPr>
      </w:pPr>
      <w:r>
        <w:rPr>
          <w:szCs w:val="22"/>
        </w:rPr>
        <w:t>Wireline Competition Bureau</w:t>
      </w:r>
    </w:p>
    <w:p w:rsidR="00F479C1" w:rsidRDefault="00F479C1" w:rsidP="00375568">
      <w:pPr>
        <w:pStyle w:val="Header"/>
        <w:jc w:val="center"/>
        <w:rPr>
          <w:b w:val="0"/>
          <w:szCs w:val="22"/>
        </w:rPr>
      </w:pPr>
      <w:r>
        <w:rPr>
          <w:szCs w:val="22"/>
        </w:rPr>
        <w:br w:type="page"/>
      </w:r>
      <w:r w:rsidRPr="00DC7D4E">
        <w:rPr>
          <w:szCs w:val="22"/>
        </w:rPr>
        <w:t>APPENDIX</w:t>
      </w:r>
      <w:r>
        <w:rPr>
          <w:szCs w:val="22"/>
        </w:rPr>
        <w:t xml:space="preserve"> </w:t>
      </w:r>
    </w:p>
    <w:p w:rsidR="00F479C1" w:rsidRPr="00DC7D4E" w:rsidRDefault="00F479C1" w:rsidP="00F479C1">
      <w:pPr>
        <w:pStyle w:val="Header"/>
        <w:jc w:val="center"/>
        <w:rPr>
          <w:b w:val="0"/>
          <w:szCs w:val="22"/>
        </w:rPr>
      </w:pPr>
      <w:r>
        <w:rPr>
          <w:szCs w:val="22"/>
        </w:rPr>
        <w:t xml:space="preserve">Requests for Review </w:t>
      </w:r>
      <w:r w:rsidR="000E47F0">
        <w:rPr>
          <w:szCs w:val="22"/>
        </w:rPr>
        <w:t>and/</w:t>
      </w:r>
      <w:r>
        <w:rPr>
          <w:szCs w:val="22"/>
        </w:rPr>
        <w:t>or Waiver</w:t>
      </w:r>
    </w:p>
    <w:p w:rsidR="00F479C1" w:rsidRPr="00DC7D4E" w:rsidRDefault="00F479C1" w:rsidP="00F479C1">
      <w:pPr>
        <w:keepNext/>
        <w:keepLines/>
        <w:jc w:val="center"/>
        <w:outlineLvl w:val="0"/>
        <w:rPr>
          <w:b/>
          <w:szCs w:val="22"/>
        </w:rPr>
      </w:pPr>
    </w:p>
    <w:tbl>
      <w:tblPr>
        <w:tblW w:w="954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0"/>
        <w:gridCol w:w="1980"/>
        <w:gridCol w:w="1350"/>
        <w:gridCol w:w="1980"/>
      </w:tblGrid>
      <w:tr w:rsidR="00F479C1" w:rsidRPr="00DC7D4E" w:rsidTr="00F56FC7">
        <w:trPr>
          <w:cantSplit/>
          <w:trHeight w:val="377"/>
          <w:tblHeader/>
          <w:jc w:val="center"/>
        </w:trPr>
        <w:tc>
          <w:tcPr>
            <w:tcW w:w="4230" w:type="dxa"/>
          </w:tcPr>
          <w:p w:rsidR="00F479C1" w:rsidRPr="00DC7D4E" w:rsidRDefault="00F479C1" w:rsidP="001D0DAB">
            <w:pPr>
              <w:keepNext/>
              <w:keepLines/>
              <w:jc w:val="center"/>
              <w:outlineLvl w:val="0"/>
              <w:rPr>
                <w:b/>
                <w:szCs w:val="22"/>
              </w:rPr>
            </w:pPr>
            <w:r w:rsidRPr="00DC7D4E">
              <w:rPr>
                <w:b/>
                <w:szCs w:val="22"/>
              </w:rPr>
              <w:t>Petitioner</w:t>
            </w:r>
          </w:p>
        </w:tc>
        <w:tc>
          <w:tcPr>
            <w:tcW w:w="1980" w:type="dxa"/>
          </w:tcPr>
          <w:p w:rsidR="00F479C1" w:rsidRPr="00DC7D4E" w:rsidRDefault="00F479C1" w:rsidP="001D0DAB">
            <w:pPr>
              <w:keepNext/>
              <w:keepLines/>
              <w:jc w:val="center"/>
              <w:outlineLvl w:val="0"/>
              <w:rPr>
                <w:b/>
                <w:szCs w:val="22"/>
              </w:rPr>
            </w:pPr>
            <w:r w:rsidRPr="00DC7D4E">
              <w:rPr>
                <w:b/>
                <w:szCs w:val="22"/>
              </w:rPr>
              <w:t>Application</w:t>
            </w:r>
          </w:p>
          <w:p w:rsidR="00F479C1" w:rsidRPr="00DC7D4E" w:rsidRDefault="00F479C1" w:rsidP="001D0DAB">
            <w:pPr>
              <w:keepNext/>
              <w:keepLines/>
              <w:jc w:val="center"/>
              <w:outlineLvl w:val="0"/>
              <w:rPr>
                <w:b/>
                <w:szCs w:val="22"/>
              </w:rPr>
            </w:pPr>
            <w:r w:rsidRPr="00DC7D4E">
              <w:rPr>
                <w:b/>
                <w:szCs w:val="22"/>
              </w:rPr>
              <w:t>Number</w:t>
            </w:r>
            <w:r>
              <w:rPr>
                <w:b/>
                <w:szCs w:val="22"/>
              </w:rPr>
              <w:t>s</w:t>
            </w:r>
          </w:p>
        </w:tc>
        <w:tc>
          <w:tcPr>
            <w:tcW w:w="1350" w:type="dxa"/>
          </w:tcPr>
          <w:p w:rsidR="00F479C1" w:rsidRPr="00DC7D4E" w:rsidRDefault="00F479C1" w:rsidP="001D0DAB">
            <w:pPr>
              <w:keepNext/>
              <w:keepLines/>
              <w:jc w:val="center"/>
              <w:outlineLvl w:val="0"/>
              <w:rPr>
                <w:b/>
                <w:szCs w:val="22"/>
              </w:rPr>
            </w:pPr>
            <w:r w:rsidRPr="00DC7D4E">
              <w:rPr>
                <w:b/>
                <w:szCs w:val="22"/>
              </w:rPr>
              <w:t>Funding</w:t>
            </w:r>
          </w:p>
          <w:p w:rsidR="00F479C1" w:rsidRPr="00DC7D4E" w:rsidRDefault="00F479C1" w:rsidP="001D0DAB">
            <w:pPr>
              <w:keepNext/>
              <w:keepLines/>
              <w:jc w:val="center"/>
              <w:outlineLvl w:val="0"/>
              <w:rPr>
                <w:b/>
                <w:szCs w:val="22"/>
              </w:rPr>
            </w:pPr>
            <w:r w:rsidRPr="00DC7D4E">
              <w:rPr>
                <w:b/>
                <w:szCs w:val="22"/>
              </w:rPr>
              <w:t>Year</w:t>
            </w:r>
            <w:r w:rsidR="00EC1255">
              <w:rPr>
                <w:b/>
                <w:szCs w:val="22"/>
              </w:rPr>
              <w:t>(s)</w:t>
            </w:r>
          </w:p>
        </w:tc>
        <w:tc>
          <w:tcPr>
            <w:tcW w:w="1980" w:type="dxa"/>
          </w:tcPr>
          <w:p w:rsidR="00F479C1" w:rsidRPr="00DC7D4E" w:rsidRDefault="00F479C1" w:rsidP="001D0DAB">
            <w:pPr>
              <w:keepNext/>
              <w:keepLines/>
              <w:jc w:val="center"/>
              <w:outlineLvl w:val="0"/>
              <w:rPr>
                <w:b/>
                <w:szCs w:val="22"/>
              </w:rPr>
            </w:pPr>
            <w:r w:rsidRPr="00DC7D4E">
              <w:rPr>
                <w:b/>
                <w:szCs w:val="22"/>
              </w:rPr>
              <w:t xml:space="preserve">Date Request for Review/Waiver Filed  </w:t>
            </w:r>
          </w:p>
        </w:tc>
      </w:tr>
      <w:tr w:rsidR="00014CAB" w:rsidRPr="00DC7D4E" w:rsidTr="00F56FC7">
        <w:trPr>
          <w:jc w:val="center"/>
        </w:trPr>
        <w:tc>
          <w:tcPr>
            <w:tcW w:w="4230" w:type="dxa"/>
          </w:tcPr>
          <w:p w:rsidR="00014CAB" w:rsidRDefault="00014CAB" w:rsidP="001D0DAB">
            <w:pPr>
              <w:keepNext/>
              <w:keepLines/>
              <w:outlineLvl w:val="0"/>
              <w:rPr>
                <w:szCs w:val="22"/>
              </w:rPr>
            </w:pPr>
            <w:r>
              <w:rPr>
                <w:szCs w:val="22"/>
              </w:rPr>
              <w:t>Hancock County Library System</w:t>
            </w:r>
          </w:p>
          <w:p w:rsidR="00014CAB" w:rsidRDefault="00014CAB" w:rsidP="001D0DAB">
            <w:pPr>
              <w:keepNext/>
              <w:keepLines/>
              <w:outlineLvl w:val="0"/>
              <w:rPr>
                <w:szCs w:val="22"/>
              </w:rPr>
            </w:pPr>
            <w:r>
              <w:rPr>
                <w:szCs w:val="22"/>
              </w:rPr>
              <w:t>Bay Saint Louis, Mississippi</w:t>
            </w:r>
          </w:p>
        </w:tc>
        <w:tc>
          <w:tcPr>
            <w:tcW w:w="1980" w:type="dxa"/>
          </w:tcPr>
          <w:p w:rsidR="00014CAB" w:rsidRDefault="00014CAB" w:rsidP="00EC1255">
            <w:pPr>
              <w:keepNext/>
              <w:keepLines/>
              <w:jc w:val="center"/>
              <w:outlineLvl w:val="0"/>
              <w:rPr>
                <w:szCs w:val="22"/>
              </w:rPr>
            </w:pPr>
            <w:r>
              <w:rPr>
                <w:szCs w:val="22"/>
              </w:rPr>
              <w:t>354032, 393974, 479566, 483775, 534582, 581931, 635497</w:t>
            </w:r>
          </w:p>
        </w:tc>
        <w:tc>
          <w:tcPr>
            <w:tcW w:w="1350" w:type="dxa"/>
          </w:tcPr>
          <w:p w:rsidR="00014CAB" w:rsidRDefault="00014CAB" w:rsidP="00EC1255">
            <w:pPr>
              <w:keepNext/>
              <w:keepLines/>
              <w:jc w:val="center"/>
              <w:outlineLvl w:val="0"/>
              <w:rPr>
                <w:szCs w:val="22"/>
              </w:rPr>
            </w:pPr>
            <w:r>
              <w:rPr>
                <w:szCs w:val="22"/>
              </w:rPr>
              <w:t>2003,</w:t>
            </w:r>
            <w:r w:rsidR="00EC1255">
              <w:rPr>
                <w:szCs w:val="22"/>
              </w:rPr>
              <w:t xml:space="preserve"> 2</w:t>
            </w:r>
            <w:r>
              <w:rPr>
                <w:szCs w:val="22"/>
              </w:rPr>
              <w:t>004, 2005, 2006, 2007, 2008</w:t>
            </w:r>
          </w:p>
        </w:tc>
        <w:tc>
          <w:tcPr>
            <w:tcW w:w="1980" w:type="dxa"/>
          </w:tcPr>
          <w:p w:rsidR="00014CAB" w:rsidRDefault="00014CAB" w:rsidP="001D0DAB">
            <w:pPr>
              <w:keepNext/>
              <w:keepLines/>
              <w:jc w:val="center"/>
              <w:outlineLvl w:val="0"/>
              <w:rPr>
                <w:szCs w:val="22"/>
              </w:rPr>
            </w:pPr>
            <w:r>
              <w:rPr>
                <w:szCs w:val="22"/>
              </w:rPr>
              <w:t>Jun. 10, 2010</w:t>
            </w:r>
          </w:p>
        </w:tc>
      </w:tr>
      <w:tr w:rsidR="00F479C1" w:rsidRPr="00DC7D4E" w:rsidTr="00F56FC7">
        <w:trPr>
          <w:jc w:val="center"/>
        </w:trPr>
        <w:tc>
          <w:tcPr>
            <w:tcW w:w="4230" w:type="dxa"/>
          </w:tcPr>
          <w:p w:rsidR="00F479C1" w:rsidRDefault="00F479C1" w:rsidP="001D0DAB">
            <w:pPr>
              <w:keepNext/>
              <w:keepLines/>
              <w:outlineLvl w:val="0"/>
              <w:rPr>
                <w:szCs w:val="22"/>
              </w:rPr>
            </w:pPr>
            <w:r>
              <w:rPr>
                <w:szCs w:val="22"/>
              </w:rPr>
              <w:t>Madison County Public Library</w:t>
            </w:r>
          </w:p>
          <w:p w:rsidR="00F479C1" w:rsidRDefault="00F479C1" w:rsidP="001D0DAB">
            <w:pPr>
              <w:keepNext/>
              <w:keepLines/>
              <w:outlineLvl w:val="0"/>
              <w:rPr>
                <w:szCs w:val="22"/>
              </w:rPr>
            </w:pPr>
            <w:r>
              <w:rPr>
                <w:szCs w:val="22"/>
              </w:rPr>
              <w:t>Marshall, North Carolin</w:t>
            </w:r>
            <w:r w:rsidR="00EC1255">
              <w:rPr>
                <w:szCs w:val="22"/>
              </w:rPr>
              <w:t>a</w:t>
            </w:r>
          </w:p>
        </w:tc>
        <w:tc>
          <w:tcPr>
            <w:tcW w:w="1980" w:type="dxa"/>
          </w:tcPr>
          <w:p w:rsidR="00F479C1" w:rsidRDefault="00F479C1" w:rsidP="00EC1255">
            <w:pPr>
              <w:keepNext/>
              <w:keepLines/>
              <w:jc w:val="center"/>
              <w:outlineLvl w:val="0"/>
              <w:rPr>
                <w:szCs w:val="22"/>
              </w:rPr>
            </w:pPr>
            <w:r>
              <w:rPr>
                <w:szCs w:val="22"/>
              </w:rPr>
              <w:t>567999, 624417, 692415, 765019</w:t>
            </w:r>
          </w:p>
        </w:tc>
        <w:tc>
          <w:tcPr>
            <w:tcW w:w="1350" w:type="dxa"/>
          </w:tcPr>
          <w:p w:rsidR="00F479C1" w:rsidRDefault="00F479C1" w:rsidP="00E14C6B">
            <w:pPr>
              <w:keepNext/>
              <w:keepLines/>
              <w:jc w:val="center"/>
              <w:outlineLvl w:val="0"/>
              <w:rPr>
                <w:szCs w:val="22"/>
              </w:rPr>
            </w:pPr>
            <w:r>
              <w:rPr>
                <w:szCs w:val="22"/>
              </w:rPr>
              <w:t>2007, 2008, 2009, 2010</w:t>
            </w:r>
          </w:p>
        </w:tc>
        <w:tc>
          <w:tcPr>
            <w:tcW w:w="1980" w:type="dxa"/>
          </w:tcPr>
          <w:p w:rsidR="00F479C1" w:rsidRDefault="00F479C1" w:rsidP="001D0DAB">
            <w:pPr>
              <w:keepNext/>
              <w:keepLines/>
              <w:jc w:val="center"/>
              <w:outlineLvl w:val="0"/>
              <w:rPr>
                <w:szCs w:val="22"/>
              </w:rPr>
            </w:pPr>
            <w:r>
              <w:rPr>
                <w:szCs w:val="22"/>
              </w:rPr>
              <w:t>Feb. 5, 2013</w:t>
            </w:r>
          </w:p>
        </w:tc>
      </w:tr>
      <w:tr w:rsidR="00F479C1" w:rsidRPr="00DC7D4E" w:rsidTr="00F56FC7">
        <w:trPr>
          <w:jc w:val="center"/>
        </w:trPr>
        <w:tc>
          <w:tcPr>
            <w:tcW w:w="4230" w:type="dxa"/>
          </w:tcPr>
          <w:p w:rsidR="00F479C1" w:rsidRDefault="00CC4199" w:rsidP="001D0DAB">
            <w:pPr>
              <w:keepNext/>
              <w:keepLines/>
              <w:outlineLvl w:val="0"/>
              <w:rPr>
                <w:szCs w:val="22"/>
              </w:rPr>
            </w:pPr>
            <w:r>
              <w:rPr>
                <w:szCs w:val="22"/>
              </w:rPr>
              <w:t>Morton High School District 201</w:t>
            </w:r>
          </w:p>
          <w:p w:rsidR="00CC4199" w:rsidRDefault="00CC4199" w:rsidP="001D0DAB">
            <w:pPr>
              <w:keepNext/>
              <w:keepLines/>
              <w:outlineLvl w:val="0"/>
              <w:rPr>
                <w:szCs w:val="22"/>
              </w:rPr>
            </w:pPr>
            <w:r>
              <w:rPr>
                <w:szCs w:val="22"/>
              </w:rPr>
              <w:t>Cicero, Illinois</w:t>
            </w:r>
          </w:p>
        </w:tc>
        <w:tc>
          <w:tcPr>
            <w:tcW w:w="1980" w:type="dxa"/>
          </w:tcPr>
          <w:p w:rsidR="00F479C1" w:rsidRDefault="00CC4199" w:rsidP="00EC1255">
            <w:pPr>
              <w:keepNext/>
              <w:keepLines/>
              <w:jc w:val="center"/>
              <w:outlineLvl w:val="0"/>
              <w:rPr>
                <w:szCs w:val="22"/>
              </w:rPr>
            </w:pPr>
            <w:r>
              <w:rPr>
                <w:szCs w:val="22"/>
              </w:rPr>
              <w:t>189628, 209346, 317439, 325912, 343725, 375457, 410957, 465175, 501473, 582194, 619261, 688166, 734836</w:t>
            </w:r>
          </w:p>
        </w:tc>
        <w:tc>
          <w:tcPr>
            <w:tcW w:w="1350" w:type="dxa"/>
          </w:tcPr>
          <w:p w:rsidR="00F479C1" w:rsidRDefault="00CC4199" w:rsidP="00E14C6B">
            <w:pPr>
              <w:keepNext/>
              <w:keepLines/>
              <w:jc w:val="center"/>
              <w:outlineLvl w:val="0"/>
              <w:rPr>
                <w:szCs w:val="22"/>
              </w:rPr>
            </w:pPr>
            <w:r>
              <w:rPr>
                <w:szCs w:val="22"/>
              </w:rPr>
              <w:t>2000, 2001, 2002, 2003, 2004, 2005, 2006, 2007, 2008, 2009, 2010</w:t>
            </w:r>
          </w:p>
        </w:tc>
        <w:tc>
          <w:tcPr>
            <w:tcW w:w="1980" w:type="dxa"/>
          </w:tcPr>
          <w:p w:rsidR="00F479C1" w:rsidRDefault="00CC4199" w:rsidP="001D0DAB">
            <w:pPr>
              <w:keepNext/>
              <w:keepLines/>
              <w:jc w:val="center"/>
              <w:outlineLvl w:val="0"/>
              <w:rPr>
                <w:szCs w:val="22"/>
              </w:rPr>
            </w:pPr>
            <w:r>
              <w:rPr>
                <w:szCs w:val="22"/>
              </w:rPr>
              <w:t>Dec. 10, 2012</w:t>
            </w:r>
          </w:p>
        </w:tc>
      </w:tr>
      <w:tr w:rsidR="00B21212" w:rsidRPr="00DC7D4E" w:rsidTr="00F56FC7">
        <w:trPr>
          <w:jc w:val="center"/>
        </w:trPr>
        <w:tc>
          <w:tcPr>
            <w:tcW w:w="4230" w:type="dxa"/>
          </w:tcPr>
          <w:p w:rsidR="00B21212" w:rsidRDefault="00B21212" w:rsidP="001D0DAB">
            <w:pPr>
              <w:keepNext/>
              <w:keepLines/>
              <w:outlineLvl w:val="0"/>
              <w:rPr>
                <w:szCs w:val="22"/>
              </w:rPr>
            </w:pPr>
            <w:r>
              <w:rPr>
                <w:szCs w:val="22"/>
              </w:rPr>
              <w:t>School District</w:t>
            </w:r>
            <w:r w:rsidR="00F360EE">
              <w:rPr>
                <w:szCs w:val="22"/>
              </w:rPr>
              <w:t xml:space="preserve"> of South Milwaukee</w:t>
            </w:r>
          </w:p>
          <w:p w:rsidR="00B21212" w:rsidRDefault="00B21212" w:rsidP="001D0DAB">
            <w:pPr>
              <w:keepNext/>
              <w:keepLines/>
              <w:outlineLvl w:val="0"/>
              <w:rPr>
                <w:szCs w:val="22"/>
              </w:rPr>
            </w:pPr>
            <w:r>
              <w:rPr>
                <w:szCs w:val="22"/>
              </w:rPr>
              <w:t>South Milwaukee, Wisconsin</w:t>
            </w:r>
          </w:p>
        </w:tc>
        <w:tc>
          <w:tcPr>
            <w:tcW w:w="1980" w:type="dxa"/>
          </w:tcPr>
          <w:p w:rsidR="00B21212" w:rsidRDefault="00B21212" w:rsidP="00EC1255">
            <w:pPr>
              <w:keepNext/>
              <w:keepLines/>
              <w:jc w:val="center"/>
              <w:outlineLvl w:val="0"/>
              <w:rPr>
                <w:szCs w:val="22"/>
              </w:rPr>
            </w:pPr>
            <w:r>
              <w:rPr>
                <w:szCs w:val="22"/>
              </w:rPr>
              <w:t>178569</w:t>
            </w:r>
            <w:r w:rsidR="00F047BE">
              <w:rPr>
                <w:szCs w:val="22"/>
              </w:rPr>
              <w:t>, 481886, 621011</w:t>
            </w:r>
          </w:p>
        </w:tc>
        <w:tc>
          <w:tcPr>
            <w:tcW w:w="1350" w:type="dxa"/>
          </w:tcPr>
          <w:p w:rsidR="00B21212" w:rsidRDefault="00B21212" w:rsidP="00E14C6B">
            <w:pPr>
              <w:keepNext/>
              <w:keepLines/>
              <w:jc w:val="center"/>
              <w:outlineLvl w:val="0"/>
              <w:rPr>
                <w:szCs w:val="22"/>
              </w:rPr>
            </w:pPr>
            <w:r>
              <w:rPr>
                <w:szCs w:val="22"/>
              </w:rPr>
              <w:t>2000</w:t>
            </w:r>
            <w:r w:rsidR="00115B27">
              <w:rPr>
                <w:szCs w:val="22"/>
              </w:rPr>
              <w:t>, 2005, 2008</w:t>
            </w:r>
          </w:p>
        </w:tc>
        <w:tc>
          <w:tcPr>
            <w:tcW w:w="1980" w:type="dxa"/>
          </w:tcPr>
          <w:p w:rsidR="00B21212" w:rsidRDefault="00B21212" w:rsidP="001D0DAB">
            <w:pPr>
              <w:keepNext/>
              <w:keepLines/>
              <w:jc w:val="center"/>
              <w:outlineLvl w:val="0"/>
              <w:rPr>
                <w:szCs w:val="22"/>
              </w:rPr>
            </w:pPr>
            <w:r>
              <w:rPr>
                <w:szCs w:val="22"/>
              </w:rPr>
              <w:t>Jul. 30, 2012</w:t>
            </w:r>
          </w:p>
        </w:tc>
      </w:tr>
    </w:tbl>
    <w:p w:rsidR="009304C4" w:rsidRDefault="009304C4"/>
    <w:sectPr w:rsidR="009304C4" w:rsidSect="00EB3488">
      <w:headerReference w:type="even" r:id="rId8"/>
      <w:headerReference w:type="default" r:id="rId9"/>
      <w:footerReference w:type="even" r:id="rId10"/>
      <w:footerReference w:type="default" r:id="rId11"/>
      <w:headerReference w:type="first" r:id="rId12"/>
      <w:footerReference w:type="first" r:id="rId13"/>
      <w:pgSz w:w="12240" w:h="15840"/>
      <w:pgMar w:top="1080" w:right="1440" w:bottom="108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ED0" w:rsidRDefault="00B63ED0">
      <w:r>
        <w:separator/>
      </w:r>
    </w:p>
  </w:endnote>
  <w:endnote w:type="continuationSeparator" w:id="0">
    <w:p w:rsidR="00B63ED0" w:rsidRDefault="00B63ED0">
      <w:r>
        <w:continuationSeparator/>
      </w:r>
    </w:p>
  </w:endnote>
  <w:endnote w:type="continuationNotice" w:id="1">
    <w:p w:rsidR="00B63ED0" w:rsidRDefault="00B63E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662" w:rsidRDefault="00F616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61662" w:rsidRDefault="00F61662">
    <w:pPr>
      <w:pStyle w:val="Footer"/>
    </w:pPr>
  </w:p>
  <w:p w:rsidR="00F61662" w:rsidRDefault="00F6166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662" w:rsidRDefault="00F61662">
    <w:pPr>
      <w:pStyle w:val="Footer"/>
      <w:framePr w:wrap="around" w:vAnchor="text" w:hAnchor="margin" w:xAlign="center" w:y="1"/>
      <w:rPr>
        <w:rStyle w:val="PageNumber"/>
        <w:szCs w:val="22"/>
      </w:rPr>
    </w:pPr>
    <w:r>
      <w:rPr>
        <w:rStyle w:val="PageNumber"/>
        <w:szCs w:val="22"/>
      </w:rPr>
      <w:fldChar w:fldCharType="begin"/>
    </w:r>
    <w:r>
      <w:rPr>
        <w:rStyle w:val="PageNumber"/>
        <w:szCs w:val="22"/>
      </w:rPr>
      <w:instrText xml:space="preserve">PAGE  </w:instrText>
    </w:r>
    <w:r>
      <w:rPr>
        <w:rStyle w:val="PageNumber"/>
        <w:szCs w:val="22"/>
      </w:rPr>
      <w:fldChar w:fldCharType="separate"/>
    </w:r>
    <w:r w:rsidR="009B172B">
      <w:rPr>
        <w:rStyle w:val="PageNumber"/>
        <w:noProof/>
        <w:szCs w:val="22"/>
      </w:rPr>
      <w:t>2</w:t>
    </w:r>
    <w:r>
      <w:rPr>
        <w:rStyle w:val="PageNumber"/>
        <w:szCs w:val="22"/>
      </w:rPr>
      <w:fldChar w:fldCharType="end"/>
    </w:r>
  </w:p>
  <w:p w:rsidR="00F61662" w:rsidRDefault="00F61662">
    <w:pPr>
      <w:pStyle w:val="Footer"/>
      <w:tabs>
        <w:tab w:val="clear" w:pos="4320"/>
        <w:tab w:val="clear" w:pos="8640"/>
      </w:tabs>
    </w:pPr>
    <w:r>
      <w:tab/>
    </w:r>
    <w:r>
      <w:tab/>
    </w:r>
    <w:r>
      <w:tab/>
    </w:r>
    <w:r>
      <w:tab/>
    </w:r>
    <w:r>
      <w:tab/>
    </w:r>
    <w:r>
      <w:tab/>
    </w:r>
  </w:p>
  <w:p w:rsidR="00F61662" w:rsidRDefault="00F6166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811" w:rsidRDefault="006548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ED0" w:rsidRDefault="00B63ED0">
      <w:r>
        <w:separator/>
      </w:r>
    </w:p>
  </w:footnote>
  <w:footnote w:type="continuationSeparator" w:id="0">
    <w:p w:rsidR="00B63ED0" w:rsidRPr="003002EA" w:rsidRDefault="00B63ED0" w:rsidP="003002EA">
      <w:pPr>
        <w:rPr>
          <w:sz w:val="20"/>
        </w:rPr>
      </w:pPr>
      <w:r w:rsidRPr="003002EA">
        <w:rPr>
          <w:sz w:val="20"/>
        </w:rPr>
        <w:separator/>
      </w:r>
    </w:p>
    <w:p w:rsidR="00B63ED0" w:rsidRPr="003002EA" w:rsidRDefault="00B63ED0" w:rsidP="003002EA">
      <w:pPr>
        <w:rPr>
          <w:sz w:val="20"/>
        </w:rPr>
      </w:pPr>
      <w:r w:rsidRPr="003002EA">
        <w:rPr>
          <w:sz w:val="20"/>
        </w:rPr>
        <w:t>(...continued from previous page)</w:t>
      </w:r>
    </w:p>
  </w:footnote>
  <w:footnote w:type="continuationNotice" w:id="1">
    <w:p w:rsidR="00B63ED0" w:rsidRDefault="00B63ED0" w:rsidP="003002EA">
      <w:pPr>
        <w:jc w:val="right"/>
      </w:pPr>
      <w:r>
        <w:rPr>
          <w:sz w:val="20"/>
        </w:rPr>
        <w:t>(continued....)</w:t>
      </w:r>
    </w:p>
  </w:footnote>
  <w:footnote w:id="2">
    <w:p w:rsidR="004E499E" w:rsidRDefault="004E499E" w:rsidP="00E45080">
      <w:pPr>
        <w:pStyle w:val="FootnoteText"/>
      </w:pPr>
      <w:r>
        <w:rPr>
          <w:rStyle w:val="FootnoteReference"/>
        </w:rPr>
        <w:footnoteRef/>
      </w:r>
      <w:r>
        <w:t xml:space="preserve"> The requests for waiver and review are listed in </w:t>
      </w:r>
      <w:r w:rsidR="006D5319">
        <w:t>the Appendix</w:t>
      </w:r>
      <w:r>
        <w:t xml:space="preserve">.  Section 54.719(c) of the Commission’s rules provides that any person aggrieved by an action taken by a division of USAC may seek review from the Commission.  47 C.F.R. § 54.719(c).  </w:t>
      </w:r>
    </w:p>
  </w:footnote>
  <w:footnote w:id="3">
    <w:p w:rsidR="003D5BDB" w:rsidRDefault="003D5BDB" w:rsidP="00E45080">
      <w:pPr>
        <w:pStyle w:val="FootnoteText"/>
      </w:pPr>
      <w:r>
        <w:rPr>
          <w:rStyle w:val="FootnoteReference"/>
        </w:rPr>
        <w:footnoteRef/>
      </w:r>
      <w:r>
        <w:t xml:space="preserve"> </w:t>
      </w:r>
      <w:r>
        <w:rPr>
          <w:i/>
        </w:rPr>
        <w:t>See</w:t>
      </w:r>
      <w:r w:rsidR="00672941">
        <w:rPr>
          <w:i/>
        </w:rPr>
        <w:t xml:space="preserve"> </w:t>
      </w:r>
      <w:r w:rsidR="00672941" w:rsidRPr="00ED5399">
        <w:rPr>
          <w:i/>
        </w:rPr>
        <w:t>Modernizing the E-rate Program for Schools and Libraries</w:t>
      </w:r>
      <w:r w:rsidR="00672941" w:rsidRPr="00ED5399">
        <w:t>, WC Docket No. 13-184, Order and Further Notice of Propo</w:t>
      </w:r>
      <w:r w:rsidR="00672941">
        <w:t xml:space="preserve">sed Rulemaking, 29 FCC Rcd 8870, 8967, para. 242 </w:t>
      </w:r>
      <w:r w:rsidR="00672941" w:rsidRPr="00ED5399">
        <w:t>(2014) (</w:t>
      </w:r>
      <w:r w:rsidR="00672941" w:rsidRPr="00ED5399">
        <w:rPr>
          <w:i/>
        </w:rPr>
        <w:t>E-rate Modernization Order</w:t>
      </w:r>
      <w:r w:rsidR="00672941" w:rsidRPr="00ED5399">
        <w:t>).</w:t>
      </w:r>
    </w:p>
  </w:footnote>
  <w:footnote w:id="4">
    <w:p w:rsidR="001E380C" w:rsidRDefault="001E380C" w:rsidP="00E45080">
      <w:pPr>
        <w:pStyle w:val="FootnoteText"/>
        <w:rPr>
          <w:lang w:val="en"/>
        </w:rPr>
      </w:pPr>
      <w:r>
        <w:rPr>
          <w:rStyle w:val="FootnoteReference"/>
        </w:rPr>
        <w:footnoteRef/>
      </w:r>
      <w:r>
        <w:rPr>
          <w:i/>
        </w:rPr>
        <w:t xml:space="preserve"> See</w:t>
      </w:r>
      <w:r>
        <w:t xml:space="preserve"> </w:t>
      </w:r>
      <w:r w:rsidR="00856F2D">
        <w:t>USAC</w:t>
      </w:r>
      <w:r>
        <w:t>,</w:t>
      </w:r>
      <w:r w:rsidR="00856F2D">
        <w:t xml:space="preserve"> </w:t>
      </w:r>
      <w:r w:rsidR="00856F2D">
        <w:rPr>
          <w:i/>
        </w:rPr>
        <w:t>Schools and Libraries (E-rate):</w:t>
      </w:r>
      <w:r>
        <w:t xml:space="preserve"> </w:t>
      </w:r>
      <w:r w:rsidRPr="00856F2D">
        <w:rPr>
          <w:i/>
        </w:rPr>
        <w:t>FCC Form 486 Filing</w:t>
      </w:r>
      <w:r>
        <w:t xml:space="preserve">, </w:t>
      </w:r>
      <w:hyperlink r:id="rId1" w:history="1">
        <w:r w:rsidR="00856F2D" w:rsidRPr="00C27F69">
          <w:rPr>
            <w:rStyle w:val="Hyperlink"/>
          </w:rPr>
          <w:t>http://www.usac.org/sl/applicants/step06/form-486.aspx</w:t>
        </w:r>
      </w:hyperlink>
      <w:r w:rsidR="00856F2D">
        <w:t xml:space="preserve"> </w:t>
      </w:r>
      <w:r>
        <w:t>(</w:t>
      </w:r>
      <w:r w:rsidR="00856F2D">
        <w:t xml:space="preserve">last visited May </w:t>
      </w:r>
      <w:r w:rsidR="00F05220">
        <w:t>11</w:t>
      </w:r>
      <w:r>
        <w:t>, 20</w:t>
      </w:r>
      <w:r w:rsidR="001360CA">
        <w:t>15</w:t>
      </w:r>
      <w:r w:rsidR="00856F2D">
        <w:t>).</w:t>
      </w:r>
      <w:r>
        <w:t xml:space="preserve">  Specifically, the FCC Form 486 must be filed to: (1) authori</w:t>
      </w:r>
      <w:r>
        <w:rPr>
          <w:lang w:val="en"/>
        </w:rPr>
        <w:t xml:space="preserve">ze the payment of invoices from the service provider(s); (2) indicate approval of Technology Plans, as required; and (3) indicate the status of compliance with CIPA (Pub.L. 106-554).  </w:t>
      </w:r>
      <w:r>
        <w:rPr>
          <w:i/>
          <w:lang w:val="en"/>
        </w:rPr>
        <w:t>Id</w:t>
      </w:r>
      <w:r>
        <w:rPr>
          <w:lang w:val="en"/>
        </w:rPr>
        <w:t>.</w:t>
      </w:r>
      <w:r>
        <w:rPr>
          <w:rFonts w:ascii="Arial" w:hAnsi="Arial" w:cs="Arial"/>
          <w:color w:val="006FD2"/>
          <w:sz w:val="18"/>
          <w:szCs w:val="18"/>
          <w:lang w:val="en"/>
        </w:rPr>
        <w:t xml:space="preserve"> </w:t>
      </w:r>
    </w:p>
  </w:footnote>
  <w:footnote w:id="5">
    <w:p w:rsidR="002F1D80" w:rsidRPr="00D503E7" w:rsidRDefault="002F1D80" w:rsidP="00E45080">
      <w:pPr>
        <w:pStyle w:val="FootnoteText"/>
      </w:pPr>
      <w:r>
        <w:rPr>
          <w:rStyle w:val="FootnoteReference"/>
        </w:rPr>
        <w:footnoteRef/>
      </w:r>
      <w:r>
        <w:t xml:space="preserve"> </w:t>
      </w:r>
      <w:r>
        <w:rPr>
          <w:i/>
        </w:rPr>
        <w:t xml:space="preserve">See </w:t>
      </w:r>
      <w:r w:rsidR="00856F2D">
        <w:t xml:space="preserve">USAC, </w:t>
      </w:r>
      <w:r w:rsidR="00856F2D">
        <w:rPr>
          <w:i/>
        </w:rPr>
        <w:t>Schools and Libraries (E-rate):</w:t>
      </w:r>
      <w:r w:rsidR="00856F2D">
        <w:t xml:space="preserve"> </w:t>
      </w:r>
      <w:r w:rsidR="000B5D57" w:rsidRPr="00856F2D">
        <w:rPr>
          <w:i/>
        </w:rPr>
        <w:t>Starting Services</w:t>
      </w:r>
      <w:r w:rsidR="000B5D57">
        <w:t xml:space="preserve">, </w:t>
      </w:r>
      <w:hyperlink r:id="rId2" w:history="1">
        <w:r w:rsidR="00856F2D" w:rsidRPr="00C27F69">
          <w:rPr>
            <w:rStyle w:val="Hyperlink"/>
          </w:rPr>
          <w:t>http://www.usac.org/sl/applicants/step06/</w:t>
        </w:r>
      </w:hyperlink>
      <w:r w:rsidR="00856F2D">
        <w:t xml:space="preserve"> </w:t>
      </w:r>
      <w:r w:rsidR="000B5D57">
        <w:t xml:space="preserve">(last </w:t>
      </w:r>
      <w:r w:rsidR="00F05220">
        <w:t>visited May 11</w:t>
      </w:r>
      <w:r w:rsidR="00856F2D">
        <w:t>, 2015</w:t>
      </w:r>
      <w:r w:rsidR="000B5D57">
        <w:t xml:space="preserve">); </w:t>
      </w:r>
      <w:r w:rsidR="000B5D57">
        <w:rPr>
          <w:i/>
        </w:rPr>
        <w:t xml:space="preserve">see also </w:t>
      </w:r>
      <w:r>
        <w:rPr>
          <w:i/>
        </w:rPr>
        <w:t>Schools and Libraries Universal Service Support Mechanism</w:t>
      </w:r>
      <w:r>
        <w:t>, CC Docket No. 02-6, Second Report and Order and Further Notice of Proposed Rulemaking, 18 FCC Rcd 9202, 9217-19, paras. 44-50 (2003) (</w:t>
      </w:r>
      <w:r>
        <w:rPr>
          <w:i/>
        </w:rPr>
        <w:t>Schools Second Report and Order</w:t>
      </w:r>
      <w:r>
        <w:t xml:space="preserve">); </w:t>
      </w:r>
      <w:r w:rsidR="00856F2D">
        <w:t xml:space="preserve">USAC, </w:t>
      </w:r>
      <w:r w:rsidR="00856F2D">
        <w:rPr>
          <w:i/>
        </w:rPr>
        <w:t>Schools and Libraries:</w:t>
      </w:r>
      <w:r>
        <w:t xml:space="preserve"> </w:t>
      </w:r>
      <w:r w:rsidRPr="00856F2D">
        <w:rPr>
          <w:i/>
        </w:rPr>
        <w:t>Form 472 Filing</w:t>
      </w:r>
      <w:r w:rsidR="00856F2D" w:rsidRPr="00856F2D">
        <w:rPr>
          <w:i/>
        </w:rPr>
        <w:t xml:space="preserve"> Information</w:t>
      </w:r>
      <w:r>
        <w:t xml:space="preserve">, </w:t>
      </w:r>
      <w:hyperlink r:id="rId3" w:history="1">
        <w:r w:rsidR="00856F2D" w:rsidRPr="00C27F69">
          <w:rPr>
            <w:rStyle w:val="Hyperlink"/>
          </w:rPr>
          <w:t>http://www.sl.universalservice.org/reference/8bear.asp</w:t>
        </w:r>
      </w:hyperlink>
      <w:r w:rsidR="00F05220">
        <w:t xml:space="preserve"> (last visited May 11</w:t>
      </w:r>
      <w:r w:rsidR="00856F2D">
        <w:t>, 2015</w:t>
      </w:r>
      <w:r>
        <w:t xml:space="preserve">); </w:t>
      </w:r>
      <w:r w:rsidR="00856F2D">
        <w:t xml:space="preserve">USAC, </w:t>
      </w:r>
      <w:r w:rsidR="00856F2D">
        <w:rPr>
          <w:i/>
        </w:rPr>
        <w:t>Schools and Libraries (E-rate):</w:t>
      </w:r>
      <w:r w:rsidR="00856F2D">
        <w:t xml:space="preserve"> </w:t>
      </w:r>
      <w:r w:rsidR="00856F2D" w:rsidRPr="00856F2D">
        <w:rPr>
          <w:i/>
        </w:rPr>
        <w:t>Invoicing</w:t>
      </w:r>
      <w:r>
        <w:t xml:space="preserve">, </w:t>
      </w:r>
      <w:hyperlink r:id="rId4" w:history="1">
        <w:r w:rsidR="00856F2D" w:rsidRPr="00C27F69">
          <w:rPr>
            <w:rStyle w:val="Hyperlink"/>
          </w:rPr>
          <w:t>http://www.usac.org/sl/service-providers/step05/default.aspx</w:t>
        </w:r>
      </w:hyperlink>
      <w:r w:rsidR="00856F2D">
        <w:rPr>
          <w:rStyle w:val="Hyperlink"/>
        </w:rPr>
        <w:t xml:space="preserve"> </w:t>
      </w:r>
      <w:r>
        <w:t>(</w:t>
      </w:r>
      <w:r w:rsidR="00F05220">
        <w:t>last visited May 11</w:t>
      </w:r>
      <w:r w:rsidR="00856F2D">
        <w:t>, 2015</w:t>
      </w:r>
      <w:r>
        <w:t>)</w:t>
      </w:r>
      <w:r w:rsidR="000B5D57">
        <w:t>.</w:t>
      </w:r>
    </w:p>
  </w:footnote>
  <w:footnote w:id="6">
    <w:p w:rsidR="006D5319" w:rsidRDefault="006D5319" w:rsidP="00E45080">
      <w:pPr>
        <w:pStyle w:val="FootnoteText"/>
      </w:pPr>
      <w:r>
        <w:rPr>
          <w:rStyle w:val="FootnoteReference"/>
        </w:rPr>
        <w:footnoteRef/>
      </w:r>
      <w:r>
        <w:t xml:space="preserve"> FCC Form 472, </w:t>
      </w:r>
      <w:r w:rsidRPr="00856F2D">
        <w:rPr>
          <w:i/>
        </w:rPr>
        <w:t>Billed Entity Applicant Reimbursement (BEAR) Form</w:t>
      </w:r>
      <w:r>
        <w:t xml:space="preserve">, </w:t>
      </w:r>
      <w:hyperlink r:id="rId5" w:history="1">
        <w:r w:rsidR="00856F2D" w:rsidRPr="00C27F69">
          <w:rPr>
            <w:rStyle w:val="Hyperlink"/>
          </w:rPr>
          <w:t>http://www.universalservice.org/_res/documents/sl/pdf/forms/472.pdf</w:t>
        </w:r>
      </w:hyperlink>
      <w:r w:rsidR="00856F2D">
        <w:t xml:space="preserve"> </w:t>
      </w:r>
      <w:r>
        <w:t>(</w:t>
      </w:r>
      <w:r w:rsidR="00856F2D">
        <w:t xml:space="preserve">last visited May </w:t>
      </w:r>
      <w:r w:rsidR="00F05220">
        <w:t>11</w:t>
      </w:r>
      <w:r w:rsidR="00856F2D">
        <w:t>, 2015</w:t>
      </w:r>
      <w:r>
        <w:t>).</w:t>
      </w:r>
      <w:r w:rsidR="004907A3" w:rsidRPr="004907A3">
        <w:rPr>
          <w:szCs w:val="22"/>
        </w:rPr>
        <w:t xml:space="preserve"> </w:t>
      </w:r>
      <w:r w:rsidR="007A401A">
        <w:rPr>
          <w:szCs w:val="22"/>
        </w:rPr>
        <w:t xml:space="preserve"> </w:t>
      </w:r>
      <w:r w:rsidR="004907A3" w:rsidRPr="00EB2C9E">
        <w:rPr>
          <w:szCs w:val="22"/>
        </w:rPr>
        <w:t>Based on information provided on the FCC Form 472, USAC remits the E-rate support payments to the service provider</w:t>
      </w:r>
      <w:r w:rsidR="004907A3">
        <w:rPr>
          <w:szCs w:val="22"/>
        </w:rPr>
        <w:t xml:space="preserve"> which then reimburses </w:t>
      </w:r>
      <w:r w:rsidR="004907A3" w:rsidRPr="00EB2C9E">
        <w:rPr>
          <w:szCs w:val="22"/>
        </w:rPr>
        <w:t>applicants within 20 business days of receiving the reimbursement payment.</w:t>
      </w:r>
      <w:r w:rsidR="004907A3">
        <w:rPr>
          <w:szCs w:val="22"/>
        </w:rPr>
        <w:t xml:space="preserve">  </w:t>
      </w:r>
      <w:r w:rsidR="004907A3">
        <w:rPr>
          <w:i/>
        </w:rPr>
        <w:t xml:space="preserve">See </w:t>
      </w:r>
      <w:r w:rsidR="004907A3">
        <w:t xml:space="preserve">47 C.F.R. § 54.514(b) (2010); </w:t>
      </w:r>
      <w:r w:rsidR="004907A3">
        <w:rPr>
          <w:i/>
        </w:rPr>
        <w:t>see also</w:t>
      </w:r>
      <w:r w:rsidR="004907A3">
        <w:t xml:space="preserve"> </w:t>
      </w:r>
      <w:r w:rsidR="004907A3">
        <w:rPr>
          <w:i/>
        </w:rPr>
        <w:t>Schools Second Report and Order</w:t>
      </w:r>
      <w:r w:rsidR="004907A3">
        <w:t>, 18 FCC Rcd at 9219, para.51.</w:t>
      </w:r>
    </w:p>
  </w:footnote>
  <w:footnote w:id="7">
    <w:p w:rsidR="006D5319" w:rsidRDefault="006D5319" w:rsidP="00E45080">
      <w:pPr>
        <w:pStyle w:val="FootnoteText"/>
      </w:pPr>
      <w:r>
        <w:rPr>
          <w:rStyle w:val="FootnoteReference"/>
        </w:rPr>
        <w:footnoteRef/>
      </w:r>
      <w:r>
        <w:t xml:space="preserve"> FCC Form 474, </w:t>
      </w:r>
      <w:r w:rsidRPr="00856F2D">
        <w:rPr>
          <w:i/>
        </w:rPr>
        <w:t>Service Provider Invoice (SPI) Form</w:t>
      </w:r>
      <w:r>
        <w:t xml:space="preserve">, </w:t>
      </w:r>
      <w:hyperlink r:id="rId6" w:history="1">
        <w:r w:rsidR="00DA35D1" w:rsidRPr="00C27F69">
          <w:rPr>
            <w:rStyle w:val="Hyperlink"/>
          </w:rPr>
          <w:t>http://www.universalservice.org/_res/documents/sl/pdf/forms/474.pdf</w:t>
        </w:r>
      </w:hyperlink>
      <w:r w:rsidR="00DA35D1">
        <w:t xml:space="preserve"> </w:t>
      </w:r>
      <w:r>
        <w:t>(</w:t>
      </w:r>
      <w:r w:rsidR="00DA35D1">
        <w:t xml:space="preserve">last visited May </w:t>
      </w:r>
      <w:r w:rsidR="00F05220">
        <w:t>11</w:t>
      </w:r>
      <w:r w:rsidR="00DA35D1">
        <w:t>, 2015</w:t>
      </w:r>
      <w:r>
        <w:t>).</w:t>
      </w:r>
    </w:p>
  </w:footnote>
  <w:footnote w:id="8">
    <w:p w:rsidR="006D5319" w:rsidRDefault="006D5319" w:rsidP="00E45080">
      <w:pPr>
        <w:pStyle w:val="FootnoteText"/>
        <w:rPr>
          <w:b/>
        </w:rPr>
      </w:pPr>
      <w:r>
        <w:rPr>
          <w:rStyle w:val="FootnoteReference"/>
        </w:rPr>
        <w:footnoteRef/>
      </w:r>
      <w:r>
        <w:rPr>
          <w:i/>
        </w:rPr>
        <w:t xml:space="preserve"> See </w:t>
      </w:r>
      <w:r w:rsidR="00DA35D1">
        <w:t xml:space="preserve">USAC, </w:t>
      </w:r>
      <w:r w:rsidR="00DA35D1">
        <w:rPr>
          <w:i/>
        </w:rPr>
        <w:t>Schools and Libraries:</w:t>
      </w:r>
      <w:r w:rsidR="00DA35D1">
        <w:t xml:space="preserve"> </w:t>
      </w:r>
      <w:r w:rsidRPr="00DA35D1">
        <w:rPr>
          <w:i/>
        </w:rPr>
        <w:t>June 2002 Announcements, Invoicing Deadlines Extended</w:t>
      </w:r>
      <w:r>
        <w:t xml:space="preserve">, </w:t>
      </w:r>
      <w:hyperlink r:id="rId7" w:anchor="062002" w:history="1">
        <w:r w:rsidR="00DA35D1" w:rsidRPr="00C27F69">
          <w:rPr>
            <w:rStyle w:val="Hyperlink"/>
          </w:rPr>
          <w:t>http://www.sl.universalservice.org/whatsnew/2002/062002.asp#062002</w:t>
        </w:r>
      </w:hyperlink>
      <w:r w:rsidR="00DA35D1">
        <w:t xml:space="preserve"> </w:t>
      </w:r>
      <w:r>
        <w:t>(</w:t>
      </w:r>
      <w:r w:rsidR="00DA35D1">
        <w:t xml:space="preserve">last visited May </w:t>
      </w:r>
      <w:r w:rsidR="00F05220">
        <w:t>11</w:t>
      </w:r>
      <w:r w:rsidR="00DA35D1">
        <w:t>, 2015</w:t>
      </w:r>
      <w:r>
        <w:t>)</w:t>
      </w:r>
      <w:r>
        <w:rPr>
          <w:i/>
        </w:rPr>
        <w:t>.</w:t>
      </w:r>
      <w:r>
        <w:t xml:space="preserve">  Prior to Funding Year 2003, invo</w:t>
      </w:r>
      <w:r w:rsidR="00DA35D1">
        <w:t xml:space="preserve">ice deadlines were as follows: </w:t>
      </w:r>
      <w:r w:rsidR="0064621B">
        <w:t xml:space="preserve">For </w:t>
      </w:r>
      <w:r>
        <w:t>Funding Year 2000, the invoice deadline was January 31, 2002 or no later than 90 days after the date of the FCC Form 486 N</w:t>
      </w:r>
      <w:r w:rsidR="0064621B">
        <w:t xml:space="preserve">otification </w:t>
      </w:r>
      <w:r>
        <w:t>L</w:t>
      </w:r>
      <w:r w:rsidR="0064621B">
        <w:t>etter</w:t>
      </w:r>
      <w:r>
        <w:t xml:space="preserve"> to the service provider.  </w:t>
      </w:r>
      <w:r>
        <w:rPr>
          <w:i/>
        </w:rPr>
        <w:t>See</w:t>
      </w:r>
      <w:r>
        <w:t xml:space="preserve"> </w:t>
      </w:r>
      <w:r w:rsidR="00DA35D1" w:rsidRPr="00DA35D1">
        <w:t xml:space="preserve">USAC, </w:t>
      </w:r>
      <w:r w:rsidR="00DA35D1" w:rsidRPr="00DA35D1">
        <w:rPr>
          <w:i/>
        </w:rPr>
        <w:t>Schools and Libraries</w:t>
      </w:r>
      <w:r w:rsidR="00DA35D1">
        <w:rPr>
          <w:i/>
        </w:rPr>
        <w:t>: November 2001 Announcements,</w:t>
      </w:r>
      <w:r>
        <w:t xml:space="preserve"> </w:t>
      </w:r>
      <w:r w:rsidRPr="00DA35D1">
        <w:rPr>
          <w:i/>
        </w:rPr>
        <w:t>Funding Year 3 Disbursement Closeout Process</w:t>
      </w:r>
      <w:r>
        <w:t>,</w:t>
      </w:r>
      <w:r>
        <w:rPr>
          <w:i/>
        </w:rPr>
        <w:t xml:space="preserve"> </w:t>
      </w:r>
      <w:hyperlink r:id="rId8" w:anchor="111301" w:history="1">
        <w:r w:rsidR="00DA35D1" w:rsidRPr="00C27F69">
          <w:rPr>
            <w:rStyle w:val="Hyperlink"/>
          </w:rPr>
          <w:t>http://www.sl.universalservice.org/whatsnew/2001/112001.asp#111301</w:t>
        </w:r>
      </w:hyperlink>
      <w:r w:rsidR="00DA35D1">
        <w:t xml:space="preserve"> </w:t>
      </w:r>
      <w:r>
        <w:t>(</w:t>
      </w:r>
      <w:r w:rsidR="00DA35D1">
        <w:t xml:space="preserve">last visited May </w:t>
      </w:r>
      <w:r w:rsidR="00F05220">
        <w:t>11</w:t>
      </w:r>
      <w:r w:rsidR="00DA35D1">
        <w:t>, 2015</w:t>
      </w:r>
      <w:r>
        <w:t>)</w:t>
      </w:r>
      <w:r>
        <w:rPr>
          <w:i/>
        </w:rPr>
        <w:t>.</w:t>
      </w:r>
      <w:r w:rsidR="00DA35D1">
        <w:rPr>
          <w:i/>
        </w:rPr>
        <w:t xml:space="preserve">  </w:t>
      </w:r>
      <w:r>
        <w:t xml:space="preserve">For Funding Year 2001, the invoice deadline was December 9, 2002.  </w:t>
      </w:r>
      <w:r>
        <w:rPr>
          <w:i/>
        </w:rPr>
        <w:t xml:space="preserve">See </w:t>
      </w:r>
      <w:r w:rsidR="00DA35D1" w:rsidRPr="00DA35D1">
        <w:t xml:space="preserve">USAC, </w:t>
      </w:r>
      <w:r w:rsidR="00DA35D1" w:rsidRPr="00DA35D1">
        <w:rPr>
          <w:i/>
        </w:rPr>
        <w:t>Schools and Libraries</w:t>
      </w:r>
      <w:r w:rsidR="00DA35D1">
        <w:rPr>
          <w:i/>
        </w:rPr>
        <w:t>: December 2002 Announcements</w:t>
      </w:r>
      <w:r>
        <w:t xml:space="preserve">, Deadline for Invoices for FY 2001Recurring Services, </w:t>
      </w:r>
      <w:hyperlink r:id="rId9" w:anchor="120302a" w:history="1">
        <w:r w:rsidR="00DA35D1" w:rsidRPr="00C27F69">
          <w:rPr>
            <w:rStyle w:val="Hyperlink"/>
          </w:rPr>
          <w:t>http://www.sl.universalservice.org/whatsnew/2002/122002.asp#120302a</w:t>
        </w:r>
      </w:hyperlink>
      <w:r w:rsidR="00DA35D1">
        <w:t xml:space="preserve"> </w:t>
      </w:r>
      <w:r>
        <w:t>(</w:t>
      </w:r>
      <w:r w:rsidR="00DA35D1">
        <w:t xml:space="preserve">last visited May </w:t>
      </w:r>
      <w:r w:rsidR="00F05220">
        <w:t>11</w:t>
      </w:r>
      <w:r w:rsidR="00DA35D1">
        <w:t>, 2015</w:t>
      </w:r>
      <w:r>
        <w:t>)</w:t>
      </w:r>
      <w:r>
        <w:rPr>
          <w:i/>
        </w:rPr>
        <w:t>.</w:t>
      </w:r>
      <w:r>
        <w:t xml:space="preserve">  For Funding Year 2002, the invoice deadline was December 31, 2002.  </w:t>
      </w:r>
      <w:r>
        <w:rPr>
          <w:i/>
        </w:rPr>
        <w:t xml:space="preserve">See </w:t>
      </w:r>
      <w:r w:rsidR="00DA35D1" w:rsidRPr="00DA35D1">
        <w:t xml:space="preserve">USAC, </w:t>
      </w:r>
      <w:r w:rsidR="00DA35D1" w:rsidRPr="00DA35D1">
        <w:rPr>
          <w:i/>
        </w:rPr>
        <w:t>Schools and Libraries</w:t>
      </w:r>
      <w:r w:rsidR="00DA35D1">
        <w:rPr>
          <w:i/>
        </w:rPr>
        <w:t xml:space="preserve">: </w:t>
      </w:r>
      <w:r w:rsidRPr="00DA35D1">
        <w:rPr>
          <w:i/>
        </w:rPr>
        <w:t>October 2003 Announcements, Two October Deadlines for Certain Applicants</w:t>
      </w:r>
      <w:r>
        <w:t xml:space="preserve">, </w:t>
      </w:r>
      <w:hyperlink r:id="rId10" w:anchor="100803" w:history="1">
        <w:r w:rsidR="00DA35D1" w:rsidRPr="00C27F69">
          <w:rPr>
            <w:rStyle w:val="Hyperlink"/>
          </w:rPr>
          <w:t>http://www.sl.universalservice.org/whatsnew/2003/102003.asp#100803</w:t>
        </w:r>
      </w:hyperlink>
      <w:r w:rsidR="00DA35D1">
        <w:t xml:space="preserve"> </w:t>
      </w:r>
      <w:r>
        <w:t>(</w:t>
      </w:r>
      <w:r w:rsidR="00DA35D1">
        <w:t xml:space="preserve">last visited May </w:t>
      </w:r>
      <w:r w:rsidR="00F05220">
        <w:t>11</w:t>
      </w:r>
      <w:r w:rsidR="00DA35D1">
        <w:t>, 2015</w:t>
      </w:r>
      <w:r>
        <w:t>)</w:t>
      </w:r>
      <w:r>
        <w:rPr>
          <w:i/>
        </w:rPr>
        <w:t xml:space="preserve">. </w:t>
      </w:r>
      <w:r>
        <w:t xml:space="preserve"> </w:t>
      </w:r>
    </w:p>
  </w:footnote>
  <w:footnote w:id="9">
    <w:p w:rsidR="00C119D8" w:rsidRPr="00C119D8" w:rsidRDefault="00C119D8" w:rsidP="00E45080">
      <w:pPr>
        <w:pStyle w:val="FootnoteText"/>
      </w:pPr>
      <w:r>
        <w:rPr>
          <w:rStyle w:val="FootnoteReference"/>
        </w:rPr>
        <w:footnoteRef/>
      </w:r>
      <w:r>
        <w:t xml:space="preserve"> </w:t>
      </w:r>
      <w:r>
        <w:rPr>
          <w:i/>
        </w:rPr>
        <w:t>See</w:t>
      </w:r>
      <w:r w:rsidR="00EF43E5">
        <w:rPr>
          <w:i/>
        </w:rPr>
        <w:t>, e.g.</w:t>
      </w:r>
      <w:r w:rsidR="00EF43E5" w:rsidRPr="00F05220">
        <w:t>,</w:t>
      </w:r>
      <w:r w:rsidR="00EF43E5">
        <w:rPr>
          <w:i/>
        </w:rPr>
        <w:t xml:space="preserve"> </w:t>
      </w:r>
      <w:r w:rsidR="00EF43E5" w:rsidRPr="00E841C9">
        <w:t>Letter from</w:t>
      </w:r>
      <w:r w:rsidR="00EF43E5">
        <w:t xml:space="preserve"> USAC, Schools and Libraries Division, to Greg Weisiger, Madison County Public Library (dated Jan. 28, 2013) (Administrator’s Decision on </w:t>
      </w:r>
      <w:r w:rsidR="00DA35D1">
        <w:t xml:space="preserve">Madison </w:t>
      </w:r>
      <w:r w:rsidR="00EF43E5">
        <w:t>Invoice Deadline Extension Request) (</w:t>
      </w:r>
      <w:r w:rsidR="001D7AF4">
        <w:t xml:space="preserve">denying an invoice extension request because </w:t>
      </w:r>
      <w:r w:rsidR="00EF43E5">
        <w:t>“[c]urrent guidelines and procedures require Invoice Deadline Extension requests to be filed by the end of the relevant invoice receipt period for: the service category of the FRN requiring an extension (120 days after the en</w:t>
      </w:r>
      <w:r w:rsidR="001D7AF4">
        <w:t xml:space="preserve">d of the service delivery date”)). </w:t>
      </w:r>
    </w:p>
  </w:footnote>
  <w:footnote w:id="10">
    <w:p w:rsidR="00B43503" w:rsidRPr="002D0D29" w:rsidRDefault="00B43503" w:rsidP="00E45080">
      <w:pPr>
        <w:pStyle w:val="FootnoteText"/>
      </w:pPr>
      <w:r w:rsidRPr="002D0D29">
        <w:rPr>
          <w:rStyle w:val="FootnoteReference"/>
        </w:rPr>
        <w:footnoteRef/>
      </w:r>
      <w:r w:rsidRPr="002D0D29">
        <w:t xml:space="preserve"> </w:t>
      </w:r>
      <w:r w:rsidRPr="002D0D29">
        <w:rPr>
          <w:i/>
        </w:rPr>
        <w:t xml:space="preserve">See </w:t>
      </w:r>
      <w:r w:rsidR="00785C47" w:rsidRPr="002D0D29">
        <w:rPr>
          <w:i/>
        </w:rPr>
        <w:t>Requests for Review of the Decisions of the Universal Service Administrator by Canon-McMillan School District et al., Schools and Libraries Universal Service Support Mechanism</w:t>
      </w:r>
      <w:r w:rsidR="00785C47" w:rsidRPr="002D0D29">
        <w:t>, CC Docket No. 02-6, Order, 23 FCC Rcd at 15555, 15558, para.</w:t>
      </w:r>
      <w:r w:rsidR="00785C47">
        <w:t xml:space="preserve"> 6</w:t>
      </w:r>
      <w:r w:rsidR="00785C47" w:rsidRPr="002D0D29">
        <w:t xml:space="preserve"> (Wireline Comp. Bur. 2008) (</w:t>
      </w:r>
      <w:r w:rsidR="00785C47" w:rsidRPr="002D0D29">
        <w:rPr>
          <w:i/>
        </w:rPr>
        <w:t>Canon-McMillan Order</w:t>
      </w:r>
      <w:r w:rsidR="00785C47" w:rsidRPr="002D0D29">
        <w:t>).</w:t>
      </w:r>
      <w:r w:rsidRPr="002D0D29">
        <w:t xml:space="preserve"> </w:t>
      </w:r>
    </w:p>
  </w:footnote>
  <w:footnote w:id="11">
    <w:p w:rsidR="00B43503" w:rsidRPr="002D0D29" w:rsidRDefault="00B43503" w:rsidP="00E45080">
      <w:pPr>
        <w:pStyle w:val="FootnoteText"/>
      </w:pPr>
      <w:r w:rsidRPr="002D0D29">
        <w:rPr>
          <w:rStyle w:val="FootnoteReference"/>
        </w:rPr>
        <w:footnoteRef/>
      </w:r>
      <w:r w:rsidRPr="002D0D29">
        <w:t xml:space="preserve"> </w:t>
      </w:r>
      <w:r w:rsidRPr="002D0D29">
        <w:rPr>
          <w:i/>
        </w:rPr>
        <w:t xml:space="preserve">See id. </w:t>
      </w:r>
      <w:r w:rsidRPr="002D0D29">
        <w:t xml:space="preserve">at 15558-9, paras. 7, 9. </w:t>
      </w:r>
      <w:r w:rsidR="007A401A">
        <w:t xml:space="preserve"> </w:t>
      </w:r>
      <w:r w:rsidRPr="002D0D29">
        <w:t xml:space="preserve">The Bureau granted relief to petitioners whose late filings or failures to file were due to personnel changes or inadvertent employee errors.  </w:t>
      </w:r>
      <w:r w:rsidRPr="002D0D29">
        <w:rPr>
          <w:i/>
        </w:rPr>
        <w:t>Id.</w:t>
      </w:r>
      <w:r w:rsidRPr="002D0D29">
        <w:t xml:space="preserve"> at 15558, para. 6.</w:t>
      </w:r>
    </w:p>
  </w:footnote>
  <w:footnote w:id="12">
    <w:p w:rsidR="00315843" w:rsidRPr="00921D33" w:rsidRDefault="00315843" w:rsidP="00E45080">
      <w:pPr>
        <w:pStyle w:val="FootnoteText"/>
      </w:pPr>
      <w:r>
        <w:rPr>
          <w:rStyle w:val="FootnoteReference"/>
        </w:rPr>
        <w:footnoteRef/>
      </w:r>
      <w:r>
        <w:t xml:space="preserve"> </w:t>
      </w:r>
      <w:r w:rsidR="00921D33">
        <w:rPr>
          <w:i/>
        </w:rPr>
        <w:t>E-rate Modernization Order</w:t>
      </w:r>
      <w:r w:rsidR="00921D33">
        <w:t>, 29 FCC Rcd at 896</w:t>
      </w:r>
      <w:r w:rsidR="00542EB7">
        <w:t>5-67</w:t>
      </w:r>
      <w:r w:rsidR="00921D33">
        <w:t>, para</w:t>
      </w:r>
      <w:r w:rsidR="00310779">
        <w:t>s</w:t>
      </w:r>
      <w:r w:rsidR="00921D33">
        <w:t xml:space="preserve">. </w:t>
      </w:r>
      <w:r w:rsidR="00310779">
        <w:t>238-</w:t>
      </w:r>
      <w:r w:rsidR="00921D33">
        <w:t>242.</w:t>
      </w:r>
    </w:p>
  </w:footnote>
  <w:footnote w:id="13">
    <w:p w:rsidR="00921D33" w:rsidRPr="00921D33" w:rsidRDefault="00921D33" w:rsidP="00E45080">
      <w:pPr>
        <w:pStyle w:val="FootnoteText"/>
        <w:rPr>
          <w:i/>
        </w:rPr>
      </w:pPr>
      <w:r>
        <w:rPr>
          <w:rStyle w:val="FootnoteReference"/>
        </w:rPr>
        <w:footnoteRef/>
      </w:r>
      <w:r>
        <w:t xml:space="preserve"> </w:t>
      </w:r>
      <w:r>
        <w:rPr>
          <w:i/>
        </w:rPr>
        <w:t>I</w:t>
      </w:r>
      <w:r w:rsidR="000E797E">
        <w:rPr>
          <w:i/>
        </w:rPr>
        <w:t>d</w:t>
      </w:r>
      <w:r w:rsidR="00E14B7B">
        <w:rPr>
          <w:i/>
        </w:rPr>
        <w:t>.</w:t>
      </w:r>
      <w:r w:rsidR="000E797E" w:rsidRPr="00E14B7B">
        <w:t xml:space="preserve"> at 8965-</w:t>
      </w:r>
      <w:r w:rsidR="00E14B7B">
        <w:t>66, paras. 238-240.</w:t>
      </w:r>
    </w:p>
  </w:footnote>
  <w:footnote w:id="14">
    <w:p w:rsidR="00BD531A" w:rsidRPr="00E320EE" w:rsidRDefault="00BD531A" w:rsidP="00E45080">
      <w:pPr>
        <w:pStyle w:val="FootnoteText"/>
      </w:pPr>
      <w:r>
        <w:rPr>
          <w:rStyle w:val="FootnoteReference"/>
        </w:rPr>
        <w:footnoteRef/>
      </w:r>
      <w:r>
        <w:t xml:space="preserve"> </w:t>
      </w:r>
      <w:r>
        <w:rPr>
          <w:i/>
        </w:rPr>
        <w:t>Id.</w:t>
      </w:r>
      <w:r>
        <w:t xml:space="preserve"> at 8967, para. 242.</w:t>
      </w:r>
      <w:r w:rsidRPr="00315843">
        <w:t xml:space="preserve"> </w:t>
      </w:r>
      <w:r>
        <w:t xml:space="preserve"> </w:t>
      </w:r>
    </w:p>
  </w:footnote>
  <w:footnote w:id="15">
    <w:p w:rsidR="00C71124" w:rsidRPr="00C71124" w:rsidRDefault="00C71124" w:rsidP="00E45080">
      <w:pPr>
        <w:pStyle w:val="FootnoteText"/>
      </w:pPr>
      <w:r>
        <w:rPr>
          <w:rStyle w:val="FootnoteReference"/>
        </w:rPr>
        <w:footnoteRef/>
      </w:r>
      <w:r>
        <w:t xml:space="preserve"> </w:t>
      </w:r>
      <w:r>
        <w:rPr>
          <w:i/>
        </w:rPr>
        <w:t>Id</w:t>
      </w:r>
      <w:r>
        <w:t>.</w:t>
      </w:r>
    </w:p>
  </w:footnote>
  <w:footnote w:id="16">
    <w:p w:rsidR="00627633" w:rsidRPr="00627633" w:rsidRDefault="00627633" w:rsidP="00E45080">
      <w:pPr>
        <w:pStyle w:val="FootnoteText"/>
      </w:pPr>
      <w:r>
        <w:rPr>
          <w:rStyle w:val="FootnoteReference"/>
        </w:rPr>
        <w:footnoteRef/>
      </w:r>
      <w:r>
        <w:t xml:space="preserve"> Hancock County Library System Request for Waiver at 1.</w:t>
      </w:r>
    </w:p>
  </w:footnote>
  <w:footnote w:id="17">
    <w:p w:rsidR="00616C30" w:rsidRPr="00616C30" w:rsidRDefault="00616C30" w:rsidP="00E45080">
      <w:pPr>
        <w:pStyle w:val="FootnoteText"/>
      </w:pPr>
      <w:r>
        <w:rPr>
          <w:rStyle w:val="FootnoteReference"/>
        </w:rPr>
        <w:footnoteRef/>
      </w:r>
      <w:r>
        <w:t xml:space="preserve"> </w:t>
      </w:r>
      <w:r>
        <w:rPr>
          <w:i/>
        </w:rPr>
        <w:t>Id.</w:t>
      </w:r>
      <w:r>
        <w:t xml:space="preserve"> at </w:t>
      </w:r>
      <w:r w:rsidR="001F3DA5">
        <w:t>2</w:t>
      </w:r>
      <w:r>
        <w:t>.</w:t>
      </w:r>
    </w:p>
  </w:footnote>
  <w:footnote w:id="18">
    <w:p w:rsidR="001F3DA5" w:rsidRPr="001F3DA5" w:rsidRDefault="001F3DA5" w:rsidP="00E45080">
      <w:pPr>
        <w:pStyle w:val="FootnoteText"/>
        <w:rPr>
          <w:i/>
        </w:rPr>
      </w:pPr>
      <w:r>
        <w:rPr>
          <w:rStyle w:val="FootnoteReference"/>
        </w:rPr>
        <w:footnoteRef/>
      </w:r>
      <w:r>
        <w:t xml:space="preserve"> </w:t>
      </w:r>
      <w:r>
        <w:rPr>
          <w:i/>
        </w:rPr>
        <w:t xml:space="preserve">Id. </w:t>
      </w:r>
      <w:r w:rsidRPr="001F3DA5">
        <w:t>at 3.</w:t>
      </w:r>
    </w:p>
  </w:footnote>
  <w:footnote w:id="19">
    <w:p w:rsidR="0010497E" w:rsidRDefault="0010497E" w:rsidP="00E45080">
      <w:pPr>
        <w:pStyle w:val="FootnoteText"/>
      </w:pPr>
      <w:r>
        <w:rPr>
          <w:rStyle w:val="FootnoteReference"/>
        </w:rPr>
        <w:footnoteRef/>
      </w:r>
      <w:r>
        <w:t xml:space="preserve"> </w:t>
      </w:r>
      <w:r w:rsidR="00D503E7" w:rsidRPr="000B5D57">
        <w:rPr>
          <w:i/>
        </w:rPr>
        <w:t>Id</w:t>
      </w:r>
      <w:r w:rsidR="00D503E7">
        <w:t xml:space="preserve">. at 1 </w:t>
      </w:r>
      <w:r w:rsidR="000E7282">
        <w:t>(Untimeliness of request c</w:t>
      </w:r>
      <w:r w:rsidR="00AD3FA3">
        <w:t xml:space="preserve">alculated based on the date of Hancock County’s </w:t>
      </w:r>
      <w:r w:rsidR="00CD0E8A">
        <w:t xml:space="preserve">request for waiver filed with the Commission </w:t>
      </w:r>
      <w:r w:rsidR="00AD3FA3">
        <w:t>and the last date to invoice for each funding request</w:t>
      </w:r>
      <w:r w:rsidR="000E7282">
        <w:t xml:space="preserve"> under USAC’s then existing procedures</w:t>
      </w:r>
      <w:r w:rsidR="00AD3FA3">
        <w:t>.</w:t>
      </w:r>
      <w:r w:rsidR="000E7282">
        <w:t>)</w:t>
      </w:r>
      <w:r w:rsidR="00AD3FA3">
        <w:t xml:space="preserve"> </w:t>
      </w:r>
    </w:p>
  </w:footnote>
  <w:footnote w:id="20">
    <w:p w:rsidR="00BB5144" w:rsidRDefault="00BB5144" w:rsidP="00E45080">
      <w:pPr>
        <w:pStyle w:val="FootnoteText"/>
      </w:pPr>
      <w:r>
        <w:rPr>
          <w:rStyle w:val="FootnoteReference"/>
        </w:rPr>
        <w:footnoteRef/>
      </w:r>
      <w:r>
        <w:t xml:space="preserve"> Madison County Public Library Request for Waiver at 2.</w:t>
      </w:r>
    </w:p>
  </w:footnote>
  <w:footnote w:id="21">
    <w:p w:rsidR="00BB5144" w:rsidRPr="001777E4" w:rsidRDefault="00BB5144" w:rsidP="00E45080">
      <w:pPr>
        <w:pStyle w:val="FootnoteText"/>
      </w:pPr>
      <w:r>
        <w:rPr>
          <w:rStyle w:val="FootnoteReference"/>
        </w:rPr>
        <w:footnoteRef/>
      </w:r>
      <w:r>
        <w:t xml:space="preserve"> </w:t>
      </w:r>
      <w:r w:rsidR="001777E4">
        <w:rPr>
          <w:i/>
        </w:rPr>
        <w:t xml:space="preserve">Id. </w:t>
      </w:r>
    </w:p>
  </w:footnote>
  <w:footnote w:id="22">
    <w:p w:rsidR="001777E4" w:rsidRPr="00E841C9" w:rsidRDefault="001777E4" w:rsidP="00E45080">
      <w:pPr>
        <w:pStyle w:val="FootnoteText"/>
      </w:pPr>
      <w:r>
        <w:rPr>
          <w:rStyle w:val="FootnoteReference"/>
        </w:rPr>
        <w:footnoteRef/>
      </w:r>
      <w:r>
        <w:t xml:space="preserve"> </w:t>
      </w:r>
      <w:r w:rsidR="00E841C9">
        <w:rPr>
          <w:i/>
        </w:rPr>
        <w:t>Id</w:t>
      </w:r>
      <w:r w:rsidR="00E841C9">
        <w:t>.</w:t>
      </w:r>
    </w:p>
  </w:footnote>
  <w:footnote w:id="23">
    <w:p w:rsidR="00E841C9" w:rsidRPr="00E841C9" w:rsidRDefault="00E841C9" w:rsidP="00E45080">
      <w:pPr>
        <w:pStyle w:val="FootnoteText"/>
        <w:rPr>
          <w:i/>
        </w:rPr>
      </w:pPr>
      <w:r>
        <w:rPr>
          <w:rStyle w:val="FootnoteReference"/>
        </w:rPr>
        <w:footnoteRef/>
      </w:r>
      <w:r>
        <w:t xml:space="preserve"> </w:t>
      </w:r>
      <w:r>
        <w:rPr>
          <w:i/>
        </w:rPr>
        <w:t>Id.</w:t>
      </w:r>
      <w:r w:rsidRPr="00DA35D1">
        <w:t>;</w:t>
      </w:r>
      <w:r>
        <w:rPr>
          <w:i/>
        </w:rPr>
        <w:t xml:space="preserve"> </w:t>
      </w:r>
      <w:r w:rsidR="00DA35D1">
        <w:t>Administrator’s Decision on Madison Invoice Deadline Extension Request.</w:t>
      </w:r>
    </w:p>
  </w:footnote>
  <w:footnote w:id="24">
    <w:p w:rsidR="0010497E" w:rsidRDefault="0010497E" w:rsidP="00E45080">
      <w:pPr>
        <w:pStyle w:val="FootnoteText"/>
      </w:pPr>
      <w:r>
        <w:rPr>
          <w:rStyle w:val="FootnoteReference"/>
        </w:rPr>
        <w:footnoteRef/>
      </w:r>
      <w:r>
        <w:t xml:space="preserve"> </w:t>
      </w:r>
      <w:r w:rsidR="00D503E7">
        <w:t>Madison County Public Library Request for Waiver at 2 (Untimeliness of request c</w:t>
      </w:r>
      <w:r w:rsidR="00C9253B">
        <w:t>alculated based on the date of Madison County'</w:t>
      </w:r>
      <w:r w:rsidR="00CD0E8A">
        <w:t xml:space="preserve">s </w:t>
      </w:r>
      <w:r w:rsidR="00C9253B">
        <w:t>invoice deadline extension and the last date to invoice for each funding request</w:t>
      </w:r>
      <w:r w:rsidR="00D503E7">
        <w:t xml:space="preserve"> under USAC’s then existing procedures)</w:t>
      </w:r>
      <w:r w:rsidR="00C9253B">
        <w:t>.</w:t>
      </w:r>
    </w:p>
  </w:footnote>
  <w:footnote w:id="25">
    <w:p w:rsidR="00E23418" w:rsidRPr="006C6216" w:rsidRDefault="00E23418" w:rsidP="00E45080">
      <w:pPr>
        <w:pStyle w:val="FootnoteText"/>
      </w:pPr>
      <w:r>
        <w:rPr>
          <w:rStyle w:val="FootnoteReference"/>
        </w:rPr>
        <w:footnoteRef/>
      </w:r>
      <w:r>
        <w:t xml:space="preserve"> </w:t>
      </w:r>
      <w:r w:rsidR="006C6216">
        <w:t xml:space="preserve">School District of South Milwaukee </w:t>
      </w:r>
      <w:r w:rsidR="00FD1A49">
        <w:t>Request for Waiver at 1-2.</w:t>
      </w:r>
    </w:p>
  </w:footnote>
  <w:footnote w:id="26">
    <w:p w:rsidR="005B7869" w:rsidRPr="005B7869" w:rsidRDefault="005B7869" w:rsidP="00E45080">
      <w:pPr>
        <w:pStyle w:val="FootnoteText"/>
      </w:pPr>
      <w:r>
        <w:rPr>
          <w:rStyle w:val="FootnoteReference"/>
        </w:rPr>
        <w:footnoteRef/>
      </w:r>
      <w:r>
        <w:t xml:space="preserve"> </w:t>
      </w:r>
      <w:r>
        <w:rPr>
          <w:i/>
        </w:rPr>
        <w:t>Id</w:t>
      </w:r>
      <w:r>
        <w:t>. at 2.</w:t>
      </w:r>
    </w:p>
  </w:footnote>
  <w:footnote w:id="27">
    <w:p w:rsidR="00FD1A49" w:rsidRPr="00FD1A49" w:rsidRDefault="00FD1A49" w:rsidP="00E45080">
      <w:pPr>
        <w:pStyle w:val="FootnoteText"/>
      </w:pPr>
      <w:r>
        <w:rPr>
          <w:rStyle w:val="FootnoteReference"/>
        </w:rPr>
        <w:footnoteRef/>
      </w:r>
      <w:r>
        <w:t xml:space="preserve"> </w:t>
      </w:r>
      <w:r>
        <w:rPr>
          <w:i/>
        </w:rPr>
        <w:t>Id.</w:t>
      </w:r>
      <w:r>
        <w:t xml:space="preserve"> at 2</w:t>
      </w:r>
    </w:p>
  </w:footnote>
  <w:footnote w:id="28">
    <w:p w:rsidR="005B7869" w:rsidRPr="00E841C9" w:rsidRDefault="005B7869" w:rsidP="00E45080">
      <w:pPr>
        <w:pStyle w:val="FootnoteText"/>
        <w:rPr>
          <w:i/>
        </w:rPr>
      </w:pPr>
      <w:r>
        <w:rPr>
          <w:rStyle w:val="FootnoteReference"/>
        </w:rPr>
        <w:footnoteRef/>
      </w:r>
      <w:r>
        <w:t xml:space="preserve"> </w:t>
      </w:r>
      <w:r>
        <w:rPr>
          <w:i/>
        </w:rPr>
        <w:t>Id.</w:t>
      </w:r>
      <w:r w:rsidRPr="00F05220">
        <w:t>;</w:t>
      </w:r>
      <w:r>
        <w:rPr>
          <w:i/>
        </w:rPr>
        <w:t xml:space="preserve"> see, e.g., </w:t>
      </w:r>
      <w:r w:rsidRPr="00E841C9">
        <w:t>Letter from</w:t>
      </w:r>
      <w:r>
        <w:t xml:space="preserve"> USAC, Schools and Libraries Division, to Brian Gannon, </w:t>
      </w:r>
      <w:r w:rsidRPr="005B7869">
        <w:rPr>
          <w:szCs w:val="22"/>
        </w:rPr>
        <w:t>School District of South Milwaukee</w:t>
      </w:r>
      <w:r>
        <w:t xml:space="preserve"> (dated Jun. 14, 2012) (Administrator’s Decision on </w:t>
      </w:r>
      <w:r w:rsidR="00DA35D1">
        <w:t xml:space="preserve">South Milwaukee </w:t>
      </w:r>
      <w:r>
        <w:t>Invoice Deadline Extension Request).</w:t>
      </w:r>
    </w:p>
  </w:footnote>
  <w:footnote w:id="29">
    <w:p w:rsidR="00C9253B" w:rsidRDefault="00C9253B" w:rsidP="00E45080">
      <w:pPr>
        <w:pStyle w:val="FootnoteText"/>
      </w:pPr>
      <w:r>
        <w:rPr>
          <w:rStyle w:val="FootnoteReference"/>
        </w:rPr>
        <w:footnoteRef/>
      </w:r>
      <w:r>
        <w:t xml:space="preserve"> </w:t>
      </w:r>
      <w:r w:rsidR="00D503E7">
        <w:t>School District of South Milwaukee Request for Waiver at 1-2 (Untimeliness of request c</w:t>
      </w:r>
      <w:r>
        <w:t>alculated based on the date of South Milwaukee’s invoice deadline extension and the last date to invoice for each funding request</w:t>
      </w:r>
      <w:r w:rsidR="00D503E7">
        <w:t xml:space="preserve"> under USAC’s then existing procedures).</w:t>
      </w:r>
      <w:r>
        <w:t>.</w:t>
      </w:r>
    </w:p>
  </w:footnote>
  <w:footnote w:id="30">
    <w:p w:rsidR="001C7BA3" w:rsidRDefault="001C7BA3" w:rsidP="00E45080">
      <w:pPr>
        <w:pStyle w:val="FootnoteText"/>
      </w:pPr>
      <w:r>
        <w:rPr>
          <w:rStyle w:val="FootnoteReference"/>
        </w:rPr>
        <w:footnoteRef/>
      </w:r>
      <w:r>
        <w:t xml:space="preserve"> Morton High School District 201 Request for Review at Exh. A.</w:t>
      </w:r>
    </w:p>
  </w:footnote>
  <w:footnote w:id="31">
    <w:p w:rsidR="001C7BA3" w:rsidRPr="00E841C9" w:rsidRDefault="001C7BA3" w:rsidP="00E45080">
      <w:pPr>
        <w:pStyle w:val="FootnoteText"/>
        <w:rPr>
          <w:i/>
        </w:rPr>
      </w:pPr>
      <w:r>
        <w:rPr>
          <w:rStyle w:val="FootnoteReference"/>
        </w:rPr>
        <w:footnoteRef/>
      </w:r>
      <w:r>
        <w:t xml:space="preserve"> </w:t>
      </w:r>
      <w:r>
        <w:rPr>
          <w:i/>
        </w:rPr>
        <w:t>Id.</w:t>
      </w:r>
      <w:r w:rsidRPr="00F05220">
        <w:t>;</w:t>
      </w:r>
      <w:r>
        <w:rPr>
          <w:i/>
        </w:rPr>
        <w:t xml:space="preserve"> </w:t>
      </w:r>
      <w:r w:rsidRPr="00E841C9">
        <w:t>Letter from</w:t>
      </w:r>
      <w:r>
        <w:t xml:space="preserve"> USAC, Schools and Libraries Division, to Cathy Johnson, </w:t>
      </w:r>
      <w:r w:rsidRPr="00FF0C6F">
        <w:rPr>
          <w:szCs w:val="22"/>
        </w:rPr>
        <w:t>Morton High School District 201</w:t>
      </w:r>
      <w:r>
        <w:t xml:space="preserve"> (dated Oct. 11, 2012) (Administrator’s Decision on</w:t>
      </w:r>
      <w:r w:rsidR="00DA35D1">
        <w:t xml:space="preserve"> Morton</w:t>
      </w:r>
      <w:r>
        <w:t xml:space="preserve"> Invoice Deadline Extension Request).</w:t>
      </w:r>
    </w:p>
  </w:footnote>
  <w:footnote w:id="32">
    <w:p w:rsidR="001C7BA3" w:rsidRDefault="001C7BA3" w:rsidP="00E45080">
      <w:pPr>
        <w:pStyle w:val="FootnoteText"/>
      </w:pPr>
      <w:r>
        <w:rPr>
          <w:rStyle w:val="FootnoteReference"/>
        </w:rPr>
        <w:footnoteRef/>
      </w:r>
      <w:r>
        <w:t xml:space="preserve"> Morton High School District 201 Request for Review at 2.</w:t>
      </w:r>
    </w:p>
  </w:footnote>
  <w:footnote w:id="33">
    <w:p w:rsidR="001C7BA3" w:rsidRDefault="001C7BA3" w:rsidP="00E45080">
      <w:pPr>
        <w:pStyle w:val="FootnoteText"/>
      </w:pPr>
      <w:r>
        <w:rPr>
          <w:rStyle w:val="FootnoteReference"/>
        </w:rPr>
        <w:footnoteRef/>
      </w:r>
      <w:r>
        <w:t xml:space="preserve"> </w:t>
      </w:r>
      <w:r>
        <w:rPr>
          <w:i/>
        </w:rPr>
        <w:t>Id</w:t>
      </w:r>
      <w:r>
        <w:t>. (Untimeliness of requests calculated based on the date of Morton High School’s invoice deadline extension and the last date to invoice for each funding request under USAC’s then existing procedures).</w:t>
      </w:r>
    </w:p>
  </w:footnote>
  <w:footnote w:id="34">
    <w:p w:rsidR="00523A49" w:rsidRDefault="00523A49" w:rsidP="00E45080">
      <w:pPr>
        <w:pStyle w:val="FootnoteText"/>
      </w:pPr>
      <w:r>
        <w:rPr>
          <w:rStyle w:val="FootnoteReference"/>
        </w:rPr>
        <w:footnoteRef/>
      </w:r>
      <w:r>
        <w:t xml:space="preserve"> </w:t>
      </w:r>
      <w:r w:rsidR="00895F72">
        <w:rPr>
          <w:i/>
        </w:rPr>
        <w:t xml:space="preserve">See supra </w:t>
      </w:r>
      <w:r w:rsidR="00895F72">
        <w:t xml:space="preserve">paras. </w:t>
      </w:r>
      <w:r w:rsidR="007A401A">
        <w:t>5</w:t>
      </w:r>
      <w:r w:rsidR="00895F72">
        <w:t>-</w:t>
      </w:r>
      <w:r w:rsidR="007A401A">
        <w:t>8.</w:t>
      </w:r>
    </w:p>
  </w:footnote>
  <w:footnote w:id="35">
    <w:p w:rsidR="00AA231E" w:rsidRDefault="00AA231E" w:rsidP="00E45080">
      <w:pPr>
        <w:pStyle w:val="FootnoteText"/>
      </w:pPr>
      <w:r>
        <w:rPr>
          <w:rStyle w:val="FootnoteReference"/>
        </w:rPr>
        <w:footnoteRef/>
      </w:r>
      <w:r>
        <w:t xml:space="preserve"> </w:t>
      </w:r>
      <w:r>
        <w:rPr>
          <w:i/>
        </w:rPr>
        <w:t>See, e.g.</w:t>
      </w:r>
      <w:r w:rsidRPr="00F05220">
        <w:t>,</w:t>
      </w:r>
      <w:r>
        <w:rPr>
          <w:i/>
        </w:rPr>
        <w:t xml:space="preserve"> </w:t>
      </w:r>
      <w:r w:rsidRPr="00711BB8">
        <w:rPr>
          <w:i/>
        </w:rPr>
        <w:t>Request for Waiver by Dermott Special School District et al</w:t>
      </w:r>
      <w:r>
        <w:rPr>
          <w:i/>
        </w:rPr>
        <w:t>.</w:t>
      </w:r>
      <w:r w:rsidRPr="00711BB8">
        <w:rPr>
          <w:i/>
        </w:rPr>
        <w:t xml:space="preserve">, Federal-State Joint Board on Universal Service, Changes to the Board of Directors of the National Exchange Carrier Association, Inc., </w:t>
      </w:r>
      <w:r w:rsidRPr="00711BB8">
        <w:t>CC Docket Nos. 96-45 and 97-21, Order, 17</w:t>
      </w:r>
      <w:r>
        <w:t xml:space="preserve"> FCC Rcd </w:t>
      </w:r>
      <w:r w:rsidRPr="00711BB8">
        <w:t>5087 (Com. Car. Bur. 2002</w:t>
      </w:r>
      <w:r>
        <w:t>)</w:t>
      </w:r>
      <w:r w:rsidRPr="00711BB8">
        <w:t>;</w:t>
      </w:r>
      <w:r>
        <w:rPr>
          <w:i/>
        </w:rPr>
        <w:t xml:space="preserve"> </w:t>
      </w:r>
      <w:r w:rsidRPr="0026251E">
        <w:rPr>
          <w:i/>
        </w:rPr>
        <w:t>Request for Waiver by Elgin Independent School District; Federal-State Joint Board on Universal Service; Changes to the Board of Directors of the National Exchange Carrier Association, Inc.</w:t>
      </w:r>
      <w:r>
        <w:t>, CC Docket Nos. 96-45 and 97-2, Order, 16 FCC Rcd 15895 (Com. Car. Bur. 2001).</w:t>
      </w:r>
    </w:p>
  </w:footnote>
  <w:footnote w:id="36">
    <w:p w:rsidR="00976793" w:rsidRPr="00573CAA" w:rsidRDefault="00976793" w:rsidP="00E45080">
      <w:pPr>
        <w:pStyle w:val="FootnoteText"/>
        <w:rPr>
          <w:i/>
        </w:rPr>
      </w:pPr>
      <w:r>
        <w:rPr>
          <w:rStyle w:val="FootnoteReference"/>
        </w:rPr>
        <w:footnoteRef/>
      </w:r>
      <w:r>
        <w:t xml:space="preserve"> </w:t>
      </w:r>
      <w:r w:rsidR="00895F72">
        <w:rPr>
          <w:i/>
        </w:rPr>
        <w:t xml:space="preserve">See </w:t>
      </w:r>
      <w:r w:rsidR="00895F72" w:rsidRPr="00ED5399">
        <w:rPr>
          <w:i/>
        </w:rPr>
        <w:t>E-rate Modernization Order</w:t>
      </w:r>
      <w:r w:rsidR="00895F72">
        <w:t>, 29 FCC Rcd at 8967, para. 242</w:t>
      </w:r>
      <w:r w:rsidR="00895F72" w:rsidRPr="00ED5399">
        <w:t>.</w:t>
      </w:r>
    </w:p>
  </w:footnote>
  <w:footnote w:id="37">
    <w:p w:rsidR="00C51148" w:rsidRDefault="00C51148" w:rsidP="00E45080">
      <w:pPr>
        <w:pStyle w:val="FootnoteText"/>
      </w:pPr>
      <w:r>
        <w:rPr>
          <w:rStyle w:val="FootnoteReference"/>
        </w:rPr>
        <w:footnoteRef/>
      </w:r>
      <w:r>
        <w:t xml:space="preserve"> </w:t>
      </w:r>
      <w:r>
        <w:rPr>
          <w:i/>
        </w:rPr>
        <w:t>See id</w:t>
      </w:r>
      <w:r w:rsidRPr="00ED5399">
        <w:t>.</w:t>
      </w:r>
    </w:p>
  </w:footnote>
  <w:footnote w:id="38">
    <w:p w:rsidR="00C51148" w:rsidRDefault="00C51148" w:rsidP="00E45080">
      <w:pPr>
        <w:pStyle w:val="FootnoteText"/>
      </w:pPr>
      <w:r>
        <w:rPr>
          <w:rStyle w:val="FootnoteReference"/>
        </w:rPr>
        <w:footnoteRef/>
      </w:r>
      <w:r>
        <w:t xml:space="preserve"> </w:t>
      </w:r>
      <w:r>
        <w:rPr>
          <w:i/>
        </w:rPr>
        <w:t xml:space="preserve">See </w:t>
      </w:r>
      <w:r w:rsidRPr="00573CAA">
        <w:rPr>
          <w:i/>
        </w:rPr>
        <w:t>supra</w:t>
      </w:r>
      <w:r>
        <w:t xml:space="preserve"> para. </w:t>
      </w:r>
      <w:r w:rsidR="008C45DD">
        <w:t>9</w:t>
      </w:r>
      <w:r>
        <w:t xml:space="preserve">.  </w:t>
      </w:r>
    </w:p>
  </w:footnote>
  <w:footnote w:id="39">
    <w:p w:rsidR="008C45DD" w:rsidRDefault="008C45DD" w:rsidP="00E45080">
      <w:pPr>
        <w:pStyle w:val="FootnoteText"/>
      </w:pPr>
      <w:r>
        <w:rPr>
          <w:rStyle w:val="FootnoteReference"/>
        </w:rPr>
        <w:footnoteRef/>
      </w:r>
      <w:r>
        <w:t xml:space="preserve"> In light of our determination that the deadline extension requests at issue were not made within a reasonable period of time and were not justified by extraordinary circumstances, we need not determine whether those deadline extension request were made in good faith, although the Commission guidance makes clear that USAC and the Commission can and should deny invoice deadline extension requests that are not made in good faith.  </w:t>
      </w:r>
      <w:r>
        <w:rPr>
          <w:i/>
        </w:rPr>
        <w:t xml:space="preserve">See </w:t>
      </w:r>
      <w:r w:rsidRPr="00ED5399">
        <w:rPr>
          <w:i/>
        </w:rPr>
        <w:t>E-rate Modernization Order</w:t>
      </w:r>
      <w:r>
        <w:t>, 29 FCC Rcd at 8967, para. 242.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811" w:rsidRDefault="006548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662" w:rsidRDefault="00F61662">
    <w:pPr>
      <w:pStyle w:val="FirstPageHeader"/>
      <w:tabs>
        <w:tab w:val="clear" w:pos="4320"/>
        <w:tab w:val="clear" w:pos="8640"/>
        <w:tab w:val="center" w:pos="4680"/>
        <w:tab w:val="right" w:pos="9360"/>
      </w:tabs>
      <w:rPr>
        <w:b w:val="0"/>
        <w:i/>
        <w:szCs w:val="22"/>
      </w:rPr>
    </w:pPr>
    <w:r>
      <w:rPr>
        <w:szCs w:val="22"/>
        <w:u w:val="single"/>
      </w:rPr>
      <w:tab/>
      <w:t>Federal Communications Commission</w:t>
    </w:r>
    <w:r>
      <w:rPr>
        <w:szCs w:val="22"/>
        <w:u w:val="single"/>
      </w:rPr>
      <w:tab/>
      <w:t xml:space="preserve">  DA </w:t>
    </w:r>
    <w:r>
      <w:rPr>
        <w:szCs w:val="22"/>
        <w:u w:val="single"/>
      </w:rPr>
      <w:fldChar w:fldCharType="begin"/>
    </w:r>
    <w:r>
      <w:rPr>
        <w:szCs w:val="22"/>
        <w:u w:val="single"/>
      </w:rPr>
      <w:instrText xml:space="preserve"> AUTOTEXTLIST  \* MERGEFORMAT </w:instrText>
    </w:r>
    <w:r>
      <w:rPr>
        <w:szCs w:val="22"/>
        <w:u w:val="single"/>
      </w:rPr>
      <w:fldChar w:fldCharType="end"/>
    </w:r>
    <w:r>
      <w:rPr>
        <w:szCs w:val="22"/>
        <w:u w:val="single"/>
      </w:rPr>
      <w:fldChar w:fldCharType="begin"/>
    </w:r>
    <w:r>
      <w:rPr>
        <w:szCs w:val="22"/>
        <w:u w:val="single"/>
      </w:rPr>
      <w:instrText xml:space="preserve"> AUTOTEXTLIST  \* MERGEFORMAT </w:instrText>
    </w:r>
    <w:r>
      <w:rPr>
        <w:szCs w:val="22"/>
        <w:u w:val="single"/>
      </w:rPr>
      <w:fldChar w:fldCharType="end"/>
    </w:r>
    <w:r w:rsidR="00B57F23">
      <w:rPr>
        <w:szCs w:val="22"/>
        <w:u w:val="single"/>
      </w:rPr>
      <w:t>15</w:t>
    </w:r>
    <w:r>
      <w:rPr>
        <w:szCs w:val="22"/>
        <w:u w:val="single"/>
      </w:rPr>
      <w:t>-</w:t>
    </w:r>
    <w:r w:rsidR="00840858">
      <w:rPr>
        <w:szCs w:val="22"/>
        <w:u w:val="single"/>
      </w:rPr>
      <w:t>570</w:t>
    </w:r>
  </w:p>
  <w:p w:rsidR="00F61662" w:rsidRPr="00A24310" w:rsidRDefault="00F61662" w:rsidP="004312B4">
    <w:pPr>
      <w:pStyle w:val="FirstPageHeader"/>
      <w:tabs>
        <w:tab w:val="clear" w:pos="4320"/>
        <w:tab w:val="clear" w:pos="8640"/>
        <w:tab w:val="center" w:pos="4680"/>
        <w:tab w:val="right" w:pos="936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662" w:rsidRDefault="00F61662">
    <w:pPr>
      <w:pStyle w:val="FirstPageHeader"/>
      <w:tabs>
        <w:tab w:val="clear" w:pos="4320"/>
        <w:tab w:val="clear" w:pos="8640"/>
        <w:tab w:val="center" w:pos="4680"/>
        <w:tab w:val="right" w:pos="9360"/>
      </w:tabs>
      <w:rPr>
        <w:u w:val="single"/>
      </w:rPr>
    </w:pPr>
    <w:r>
      <w:rPr>
        <w:u w:val="single"/>
      </w:rPr>
      <w:tab/>
      <w:t>Federal Communications Commission</w:t>
    </w:r>
    <w:r>
      <w:rPr>
        <w:u w:val="single"/>
      </w:rPr>
      <w:tab/>
      <w:t xml:space="preserve">  DA </w:t>
    </w:r>
    <w:r>
      <w:rPr>
        <w:u w:val="single"/>
      </w:rPr>
      <w:fldChar w:fldCharType="begin"/>
    </w:r>
    <w:r>
      <w:rPr>
        <w:u w:val="single"/>
      </w:rPr>
      <w:instrText xml:space="preserve"> AUTOTEXTLIST  \* MERGEFORMAT </w:instrText>
    </w:r>
    <w:r>
      <w:rPr>
        <w:u w:val="single"/>
      </w:rPr>
      <w:fldChar w:fldCharType="end"/>
    </w:r>
    <w:r>
      <w:rPr>
        <w:u w:val="single"/>
      </w:rPr>
      <w:fldChar w:fldCharType="begin"/>
    </w:r>
    <w:r>
      <w:rPr>
        <w:u w:val="single"/>
      </w:rPr>
      <w:instrText xml:space="preserve"> AUTOTEXTLIST  \* MERGEFORMAT </w:instrText>
    </w:r>
    <w:r>
      <w:rPr>
        <w:u w:val="single"/>
      </w:rPr>
      <w:fldChar w:fldCharType="end"/>
    </w:r>
    <w:r w:rsidR="004160D2">
      <w:rPr>
        <w:u w:val="single"/>
      </w:rPr>
      <w:t>15</w:t>
    </w:r>
    <w:r>
      <w:rPr>
        <w:u w:val="single"/>
      </w:rPr>
      <w:t>-</w:t>
    </w:r>
    <w:r w:rsidR="00840858">
      <w:rPr>
        <w:u w:val="single"/>
      </w:rPr>
      <w:t>570</w:t>
    </w:r>
  </w:p>
  <w:p w:rsidR="00F61662" w:rsidRPr="00550C50" w:rsidRDefault="00F61662" w:rsidP="00165C66">
    <w:pPr>
      <w:pStyle w:val="FirstPageHeader"/>
      <w:tabs>
        <w:tab w:val="clear" w:pos="4320"/>
        <w:tab w:val="clear" w:pos="8640"/>
        <w:tab w:val="center" w:pos="468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v:imagedata r:id="rId1" o:title=""/>
      </v:shape>
    </w:pict>
  </w:numPicBullet>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6D83D08"/>
    <w:multiLevelType w:val="multilevel"/>
    <w:tmpl w:val="47282E80"/>
    <w:lvl w:ilvl="0">
      <w:start w:val="1"/>
      <w:numFmt w:val="upperRoman"/>
      <w:suff w:val="nothing"/>
      <w:lvlText w:val="%1.  "/>
      <w:lvlJc w:val="left"/>
      <w:rPr>
        <w:rFonts w:ascii="Times New Roman" w:hAnsi="Times New Roman" w:cs="Times New Roman" w:hint="default"/>
        <w:b/>
        <w:i w:val="0"/>
        <w:sz w:val="22"/>
      </w:rPr>
    </w:lvl>
    <w:lvl w:ilvl="1">
      <w:start w:val="1"/>
      <w:numFmt w:val="upperLetter"/>
      <w:lvlText w:val="%2."/>
      <w:lvlJc w:val="left"/>
      <w:pPr>
        <w:tabs>
          <w:tab w:val="num" w:pos="1080"/>
        </w:tabs>
        <w:ind w:left="720"/>
      </w:pPr>
      <w:rPr>
        <w:rFonts w:cs="Times New Roman"/>
      </w:rPr>
    </w:lvl>
    <w:lvl w:ilvl="2">
      <w:start w:val="1"/>
      <w:numFmt w:val="decimal"/>
      <w:lvlRestart w:val="0"/>
      <w:pStyle w:val="Numberedparagraphs"/>
      <w:lvlText w:val="%3."/>
      <w:lvlJc w:val="left"/>
      <w:pPr>
        <w:tabs>
          <w:tab w:val="num" w:pos="1440"/>
        </w:tabs>
        <w:ind w:left="360" w:firstLine="720"/>
      </w:pPr>
      <w:rPr>
        <w:rFonts w:ascii="Times New Roman" w:hAnsi="Times New Roman" w:cs="Times New Roman" w:hint="default"/>
        <w:b w:val="0"/>
        <w:i w:val="0"/>
        <w:color w:val="auto"/>
        <w:sz w:val="22"/>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5">
    <w:nsid w:val="3D0F1B3D"/>
    <w:multiLevelType w:val="multilevel"/>
    <w:tmpl w:val="E7BC9EA6"/>
    <w:lvl w:ilvl="0">
      <w:start w:val="1"/>
      <w:numFmt w:val="decimal"/>
      <w:lvlText w:val="%1."/>
      <w:lvlJc w:val="left"/>
      <w:pPr>
        <w:tabs>
          <w:tab w:val="num" w:pos="1260"/>
        </w:tabs>
        <w:ind w:left="180" w:firstLine="720"/>
      </w:pPr>
      <w:rPr>
        <w:rFonts w:ascii="Times New Roman" w:hAnsi="Times New Roman" w:cs="Times New Roman" w:hint="default"/>
        <w:b w:val="0"/>
        <w:i w:val="0"/>
        <w:caps w:val="0"/>
        <w:strike w:val="0"/>
        <w:dstrike w:val="0"/>
        <w:shadow w:val="0"/>
        <w:emboss w:val="0"/>
        <w:imprint w:val="0"/>
        <w:vanish w:val="0"/>
        <w:sz w:val="22"/>
        <w:u w:val="none"/>
        <w:vertAlign w:val="baseline"/>
      </w:rPr>
    </w:lvl>
    <w:lvl w:ilvl="1">
      <w:start w:val="1"/>
      <w:numFmt w:val="upperLetter"/>
      <w:lvlText w:val="%2."/>
      <w:lvlJc w:val="left"/>
      <w:pPr>
        <w:tabs>
          <w:tab w:val="num" w:pos="1080"/>
        </w:tabs>
        <w:ind w:left="720"/>
      </w:pPr>
      <w:rPr>
        <w:rFonts w:cs="Times New Roman"/>
      </w:rPr>
    </w:lvl>
    <w:lvl w:ilvl="2">
      <w:start w:val="1"/>
      <w:numFmt w:val="decimal"/>
      <w:lvlRestart w:val="0"/>
      <w:lvlText w:val="%3."/>
      <w:lvlJc w:val="left"/>
      <w:pPr>
        <w:tabs>
          <w:tab w:val="num" w:pos="1440"/>
        </w:tabs>
        <w:ind w:left="360" w:firstLine="720"/>
      </w:pPr>
      <w:rPr>
        <w:rFonts w:ascii="Times New Roman" w:hAnsi="Times New Roman" w:cs="Times New Roman" w:hint="default"/>
        <w:b w:val="0"/>
        <w:i w:val="0"/>
        <w:color w:val="auto"/>
        <w:sz w:val="22"/>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341241F"/>
    <w:multiLevelType w:val="singleLevel"/>
    <w:tmpl w:val="4C62BFF4"/>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4"/>
  </w:num>
  <w:num w:numId="2">
    <w:abstractNumId w:val="7"/>
  </w:num>
  <w:num w:numId="3">
    <w:abstractNumId w:val="5"/>
  </w:num>
  <w:num w:numId="4">
    <w:abstractNumId w:val="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num>
  <w:num w:numId="8">
    <w:abstractNumId w:val="1"/>
  </w:num>
  <w:num w:numId="9">
    <w:abstractNumId w:val="3"/>
  </w:num>
  <w:num w:numId="10">
    <w:abstractNumId w:val="6"/>
  </w:num>
  <w:num w:numId="11">
    <w:abstractNumId w:val="2"/>
  </w:num>
  <w:num w:numId="12">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E4B63"/>
    <w:rsid w:val="0000007D"/>
    <w:rsid w:val="0000107D"/>
    <w:rsid w:val="000127FF"/>
    <w:rsid w:val="00014CAB"/>
    <w:rsid w:val="0001657C"/>
    <w:rsid w:val="0002153A"/>
    <w:rsid w:val="000243E6"/>
    <w:rsid w:val="000270B2"/>
    <w:rsid w:val="00030AB4"/>
    <w:rsid w:val="00034434"/>
    <w:rsid w:val="00041588"/>
    <w:rsid w:val="00051441"/>
    <w:rsid w:val="00053732"/>
    <w:rsid w:val="000563DA"/>
    <w:rsid w:val="00063F34"/>
    <w:rsid w:val="00064C14"/>
    <w:rsid w:val="0006565F"/>
    <w:rsid w:val="00065EC5"/>
    <w:rsid w:val="00080391"/>
    <w:rsid w:val="00086899"/>
    <w:rsid w:val="00086A26"/>
    <w:rsid w:val="000901B3"/>
    <w:rsid w:val="0009555A"/>
    <w:rsid w:val="00097CAE"/>
    <w:rsid w:val="000A55F9"/>
    <w:rsid w:val="000B5D57"/>
    <w:rsid w:val="000C2A3A"/>
    <w:rsid w:val="000E2D49"/>
    <w:rsid w:val="000E47F0"/>
    <w:rsid w:val="000E7282"/>
    <w:rsid w:val="000E797E"/>
    <w:rsid w:val="000F25BC"/>
    <w:rsid w:val="000F426C"/>
    <w:rsid w:val="000F687E"/>
    <w:rsid w:val="00100EF1"/>
    <w:rsid w:val="00101648"/>
    <w:rsid w:val="00101C46"/>
    <w:rsid w:val="0010497E"/>
    <w:rsid w:val="00105FBD"/>
    <w:rsid w:val="00115B27"/>
    <w:rsid w:val="001169BF"/>
    <w:rsid w:val="001257BA"/>
    <w:rsid w:val="00125A0A"/>
    <w:rsid w:val="00134783"/>
    <w:rsid w:val="00134B5D"/>
    <w:rsid w:val="001360CA"/>
    <w:rsid w:val="0013636C"/>
    <w:rsid w:val="00137002"/>
    <w:rsid w:val="0015139E"/>
    <w:rsid w:val="00154168"/>
    <w:rsid w:val="00155BA9"/>
    <w:rsid w:val="001605E9"/>
    <w:rsid w:val="00164762"/>
    <w:rsid w:val="0016539A"/>
    <w:rsid w:val="00165C66"/>
    <w:rsid w:val="0016663F"/>
    <w:rsid w:val="00170119"/>
    <w:rsid w:val="001758DA"/>
    <w:rsid w:val="001777E4"/>
    <w:rsid w:val="00182567"/>
    <w:rsid w:val="00185A71"/>
    <w:rsid w:val="00186B36"/>
    <w:rsid w:val="001870F0"/>
    <w:rsid w:val="0019461A"/>
    <w:rsid w:val="0019794F"/>
    <w:rsid w:val="001A053A"/>
    <w:rsid w:val="001A2EA4"/>
    <w:rsid w:val="001A317B"/>
    <w:rsid w:val="001A6EC3"/>
    <w:rsid w:val="001B2A06"/>
    <w:rsid w:val="001B4017"/>
    <w:rsid w:val="001C149A"/>
    <w:rsid w:val="001C7BA3"/>
    <w:rsid w:val="001D0DAB"/>
    <w:rsid w:val="001D4E1F"/>
    <w:rsid w:val="001D55AD"/>
    <w:rsid w:val="001D6A36"/>
    <w:rsid w:val="001D7AF4"/>
    <w:rsid w:val="001E1A65"/>
    <w:rsid w:val="001E380C"/>
    <w:rsid w:val="001E46C8"/>
    <w:rsid w:val="001E624A"/>
    <w:rsid w:val="001F20D2"/>
    <w:rsid w:val="001F3B00"/>
    <w:rsid w:val="001F3DA5"/>
    <w:rsid w:val="001F4D4C"/>
    <w:rsid w:val="001F635D"/>
    <w:rsid w:val="0021067D"/>
    <w:rsid w:val="00213D5F"/>
    <w:rsid w:val="00217459"/>
    <w:rsid w:val="002213E5"/>
    <w:rsid w:val="00223B32"/>
    <w:rsid w:val="0023251D"/>
    <w:rsid w:val="00233E94"/>
    <w:rsid w:val="0024074F"/>
    <w:rsid w:val="00247C5C"/>
    <w:rsid w:val="002502F8"/>
    <w:rsid w:val="002503FE"/>
    <w:rsid w:val="00250F64"/>
    <w:rsid w:val="002612C9"/>
    <w:rsid w:val="0027071A"/>
    <w:rsid w:val="00271745"/>
    <w:rsid w:val="0028439C"/>
    <w:rsid w:val="00285102"/>
    <w:rsid w:val="0028551C"/>
    <w:rsid w:val="00287A25"/>
    <w:rsid w:val="00291E9A"/>
    <w:rsid w:val="00295F4A"/>
    <w:rsid w:val="00296D2A"/>
    <w:rsid w:val="002B4EC3"/>
    <w:rsid w:val="002C3018"/>
    <w:rsid w:val="002D635D"/>
    <w:rsid w:val="002E0422"/>
    <w:rsid w:val="002F1D80"/>
    <w:rsid w:val="002F2516"/>
    <w:rsid w:val="002F5F37"/>
    <w:rsid w:val="003002EA"/>
    <w:rsid w:val="003007B4"/>
    <w:rsid w:val="00304CB0"/>
    <w:rsid w:val="00310779"/>
    <w:rsid w:val="00310B50"/>
    <w:rsid w:val="00311B89"/>
    <w:rsid w:val="00312438"/>
    <w:rsid w:val="00314276"/>
    <w:rsid w:val="003142CB"/>
    <w:rsid w:val="00315843"/>
    <w:rsid w:val="00321025"/>
    <w:rsid w:val="00321107"/>
    <w:rsid w:val="00321A0E"/>
    <w:rsid w:val="00323E83"/>
    <w:rsid w:val="00332706"/>
    <w:rsid w:val="003406C4"/>
    <w:rsid w:val="003421BB"/>
    <w:rsid w:val="003433F2"/>
    <w:rsid w:val="003462AD"/>
    <w:rsid w:val="00347EFF"/>
    <w:rsid w:val="00360F1F"/>
    <w:rsid w:val="00375568"/>
    <w:rsid w:val="00377DB4"/>
    <w:rsid w:val="00381F08"/>
    <w:rsid w:val="00383145"/>
    <w:rsid w:val="00383F70"/>
    <w:rsid w:val="0038599E"/>
    <w:rsid w:val="003861D6"/>
    <w:rsid w:val="0038733B"/>
    <w:rsid w:val="0038735A"/>
    <w:rsid w:val="00387AFD"/>
    <w:rsid w:val="00390C5C"/>
    <w:rsid w:val="003961FB"/>
    <w:rsid w:val="00396A41"/>
    <w:rsid w:val="003A127E"/>
    <w:rsid w:val="003A5CAB"/>
    <w:rsid w:val="003B4A0E"/>
    <w:rsid w:val="003C01A2"/>
    <w:rsid w:val="003C6A36"/>
    <w:rsid w:val="003C7818"/>
    <w:rsid w:val="003D5BDB"/>
    <w:rsid w:val="003E1C1D"/>
    <w:rsid w:val="003E4216"/>
    <w:rsid w:val="003E4B63"/>
    <w:rsid w:val="003E4C87"/>
    <w:rsid w:val="003E509C"/>
    <w:rsid w:val="003F0527"/>
    <w:rsid w:val="003F5491"/>
    <w:rsid w:val="00401457"/>
    <w:rsid w:val="0040581D"/>
    <w:rsid w:val="00407A35"/>
    <w:rsid w:val="00407CB4"/>
    <w:rsid w:val="004160D2"/>
    <w:rsid w:val="0042299D"/>
    <w:rsid w:val="004232D2"/>
    <w:rsid w:val="00426E2A"/>
    <w:rsid w:val="00427354"/>
    <w:rsid w:val="00427399"/>
    <w:rsid w:val="00427485"/>
    <w:rsid w:val="004312B4"/>
    <w:rsid w:val="0043182B"/>
    <w:rsid w:val="00433013"/>
    <w:rsid w:val="004403B5"/>
    <w:rsid w:val="00440C56"/>
    <w:rsid w:val="0044123F"/>
    <w:rsid w:val="00443403"/>
    <w:rsid w:val="0044797B"/>
    <w:rsid w:val="00450FDE"/>
    <w:rsid w:val="00456CFF"/>
    <w:rsid w:val="0045747E"/>
    <w:rsid w:val="004608CF"/>
    <w:rsid w:val="00460B78"/>
    <w:rsid w:val="00463A00"/>
    <w:rsid w:val="00470796"/>
    <w:rsid w:val="00474A52"/>
    <w:rsid w:val="00474F01"/>
    <w:rsid w:val="00475626"/>
    <w:rsid w:val="004773EC"/>
    <w:rsid w:val="00480387"/>
    <w:rsid w:val="004822EC"/>
    <w:rsid w:val="00483EC2"/>
    <w:rsid w:val="004907A3"/>
    <w:rsid w:val="004914F5"/>
    <w:rsid w:val="00491A98"/>
    <w:rsid w:val="004A1FEB"/>
    <w:rsid w:val="004A27BF"/>
    <w:rsid w:val="004A7FC7"/>
    <w:rsid w:val="004B02E2"/>
    <w:rsid w:val="004B559C"/>
    <w:rsid w:val="004B7849"/>
    <w:rsid w:val="004C48D9"/>
    <w:rsid w:val="004C68AE"/>
    <w:rsid w:val="004C6B99"/>
    <w:rsid w:val="004C7D09"/>
    <w:rsid w:val="004D15C4"/>
    <w:rsid w:val="004D4086"/>
    <w:rsid w:val="004E0BC7"/>
    <w:rsid w:val="004E1AD6"/>
    <w:rsid w:val="004E1F20"/>
    <w:rsid w:val="004E499E"/>
    <w:rsid w:val="004F45B4"/>
    <w:rsid w:val="004F47B7"/>
    <w:rsid w:val="004F5030"/>
    <w:rsid w:val="00501C63"/>
    <w:rsid w:val="005124D0"/>
    <w:rsid w:val="00512A49"/>
    <w:rsid w:val="00512D95"/>
    <w:rsid w:val="00512F6F"/>
    <w:rsid w:val="00515F25"/>
    <w:rsid w:val="00520CFF"/>
    <w:rsid w:val="00521A0D"/>
    <w:rsid w:val="00523A49"/>
    <w:rsid w:val="00526CB9"/>
    <w:rsid w:val="0053204F"/>
    <w:rsid w:val="005360DD"/>
    <w:rsid w:val="00542EB7"/>
    <w:rsid w:val="00543119"/>
    <w:rsid w:val="00547BFF"/>
    <w:rsid w:val="0055079B"/>
    <w:rsid w:val="00550C50"/>
    <w:rsid w:val="0055128E"/>
    <w:rsid w:val="005532D1"/>
    <w:rsid w:val="005536CA"/>
    <w:rsid w:val="00573CAA"/>
    <w:rsid w:val="005773AD"/>
    <w:rsid w:val="00581B45"/>
    <w:rsid w:val="00581BA5"/>
    <w:rsid w:val="00593490"/>
    <w:rsid w:val="005A4056"/>
    <w:rsid w:val="005B112D"/>
    <w:rsid w:val="005B197E"/>
    <w:rsid w:val="005B384D"/>
    <w:rsid w:val="005B4D40"/>
    <w:rsid w:val="005B7869"/>
    <w:rsid w:val="005B78C4"/>
    <w:rsid w:val="005D162C"/>
    <w:rsid w:val="005D1F98"/>
    <w:rsid w:val="005D2AF0"/>
    <w:rsid w:val="005D5057"/>
    <w:rsid w:val="005D63D7"/>
    <w:rsid w:val="005D67C1"/>
    <w:rsid w:val="005E3B1C"/>
    <w:rsid w:val="005E4477"/>
    <w:rsid w:val="005E60E4"/>
    <w:rsid w:val="005E642F"/>
    <w:rsid w:val="005F3CF5"/>
    <w:rsid w:val="005F4AA3"/>
    <w:rsid w:val="005F51BD"/>
    <w:rsid w:val="006040E9"/>
    <w:rsid w:val="006056C7"/>
    <w:rsid w:val="00606477"/>
    <w:rsid w:val="00613EFA"/>
    <w:rsid w:val="006167BF"/>
    <w:rsid w:val="00616C30"/>
    <w:rsid w:val="00620E7D"/>
    <w:rsid w:val="006243A6"/>
    <w:rsid w:val="00627633"/>
    <w:rsid w:val="00630507"/>
    <w:rsid w:val="0063309D"/>
    <w:rsid w:val="0063419A"/>
    <w:rsid w:val="00636CCC"/>
    <w:rsid w:val="006374AA"/>
    <w:rsid w:val="00645C03"/>
    <w:rsid w:val="0064621B"/>
    <w:rsid w:val="00654811"/>
    <w:rsid w:val="0065634F"/>
    <w:rsid w:val="006605B4"/>
    <w:rsid w:val="0066183B"/>
    <w:rsid w:val="00666A08"/>
    <w:rsid w:val="00667E74"/>
    <w:rsid w:val="00672941"/>
    <w:rsid w:val="0067445A"/>
    <w:rsid w:val="00674A6F"/>
    <w:rsid w:val="00674AB6"/>
    <w:rsid w:val="00676243"/>
    <w:rsid w:val="0068174B"/>
    <w:rsid w:val="00683EA7"/>
    <w:rsid w:val="00692DFE"/>
    <w:rsid w:val="00696E42"/>
    <w:rsid w:val="006A2AC3"/>
    <w:rsid w:val="006A6C0D"/>
    <w:rsid w:val="006B2D97"/>
    <w:rsid w:val="006B3685"/>
    <w:rsid w:val="006B797A"/>
    <w:rsid w:val="006C1ED4"/>
    <w:rsid w:val="006C6216"/>
    <w:rsid w:val="006C629D"/>
    <w:rsid w:val="006C7290"/>
    <w:rsid w:val="006D2047"/>
    <w:rsid w:val="006D5319"/>
    <w:rsid w:val="006F28C8"/>
    <w:rsid w:val="007020A5"/>
    <w:rsid w:val="00703E52"/>
    <w:rsid w:val="0070652B"/>
    <w:rsid w:val="00711BB8"/>
    <w:rsid w:val="007150E5"/>
    <w:rsid w:val="00720389"/>
    <w:rsid w:val="00721200"/>
    <w:rsid w:val="007228E9"/>
    <w:rsid w:val="007239C7"/>
    <w:rsid w:val="00723E4D"/>
    <w:rsid w:val="007255D9"/>
    <w:rsid w:val="00727222"/>
    <w:rsid w:val="00746E84"/>
    <w:rsid w:val="00752F3D"/>
    <w:rsid w:val="007532C4"/>
    <w:rsid w:val="007625C7"/>
    <w:rsid w:val="00764090"/>
    <w:rsid w:val="007717D2"/>
    <w:rsid w:val="00774974"/>
    <w:rsid w:val="00776DAD"/>
    <w:rsid w:val="00784284"/>
    <w:rsid w:val="007855C4"/>
    <w:rsid w:val="00785C47"/>
    <w:rsid w:val="00793B81"/>
    <w:rsid w:val="0079469C"/>
    <w:rsid w:val="007959F3"/>
    <w:rsid w:val="007A401A"/>
    <w:rsid w:val="007B368C"/>
    <w:rsid w:val="007B5D45"/>
    <w:rsid w:val="007C39D0"/>
    <w:rsid w:val="007C3FDC"/>
    <w:rsid w:val="007C554B"/>
    <w:rsid w:val="007C64A7"/>
    <w:rsid w:val="007D2BCF"/>
    <w:rsid w:val="007D3A71"/>
    <w:rsid w:val="007E09A1"/>
    <w:rsid w:val="007E2165"/>
    <w:rsid w:val="007F4545"/>
    <w:rsid w:val="007F58B2"/>
    <w:rsid w:val="007F5ACE"/>
    <w:rsid w:val="007F77BE"/>
    <w:rsid w:val="00801190"/>
    <w:rsid w:val="00802FA2"/>
    <w:rsid w:val="00803D28"/>
    <w:rsid w:val="00807A0E"/>
    <w:rsid w:val="0081233C"/>
    <w:rsid w:val="008166F6"/>
    <w:rsid w:val="00827C0C"/>
    <w:rsid w:val="00832B26"/>
    <w:rsid w:val="00837FBA"/>
    <w:rsid w:val="00840858"/>
    <w:rsid w:val="00842101"/>
    <w:rsid w:val="0084751C"/>
    <w:rsid w:val="00856F2D"/>
    <w:rsid w:val="0086306A"/>
    <w:rsid w:val="0086655B"/>
    <w:rsid w:val="00866A2E"/>
    <w:rsid w:val="00870415"/>
    <w:rsid w:val="008727A0"/>
    <w:rsid w:val="008761AF"/>
    <w:rsid w:val="00883D32"/>
    <w:rsid w:val="00887696"/>
    <w:rsid w:val="00890004"/>
    <w:rsid w:val="00895F72"/>
    <w:rsid w:val="00895F74"/>
    <w:rsid w:val="00896A0F"/>
    <w:rsid w:val="008A0903"/>
    <w:rsid w:val="008A0C78"/>
    <w:rsid w:val="008A16A5"/>
    <w:rsid w:val="008A1C9E"/>
    <w:rsid w:val="008A28F6"/>
    <w:rsid w:val="008A7BCD"/>
    <w:rsid w:val="008C45DD"/>
    <w:rsid w:val="008C69E0"/>
    <w:rsid w:val="008C7AEA"/>
    <w:rsid w:val="008D387F"/>
    <w:rsid w:val="008D4FED"/>
    <w:rsid w:val="008D51A0"/>
    <w:rsid w:val="008D536E"/>
    <w:rsid w:val="008D5677"/>
    <w:rsid w:val="008D6E3F"/>
    <w:rsid w:val="008E07E9"/>
    <w:rsid w:val="008E799B"/>
    <w:rsid w:val="008F4E0F"/>
    <w:rsid w:val="00907B21"/>
    <w:rsid w:val="00921D33"/>
    <w:rsid w:val="009222C9"/>
    <w:rsid w:val="009304C4"/>
    <w:rsid w:val="0093134D"/>
    <w:rsid w:val="00932588"/>
    <w:rsid w:val="009371CF"/>
    <w:rsid w:val="00941E84"/>
    <w:rsid w:val="00947BF8"/>
    <w:rsid w:val="00953D92"/>
    <w:rsid w:val="00955E5A"/>
    <w:rsid w:val="00961298"/>
    <w:rsid w:val="00964481"/>
    <w:rsid w:val="0096573F"/>
    <w:rsid w:val="00966074"/>
    <w:rsid w:val="009664B0"/>
    <w:rsid w:val="00976793"/>
    <w:rsid w:val="00981EB4"/>
    <w:rsid w:val="00986292"/>
    <w:rsid w:val="009923E7"/>
    <w:rsid w:val="0099578B"/>
    <w:rsid w:val="009969FA"/>
    <w:rsid w:val="009A1505"/>
    <w:rsid w:val="009A18A3"/>
    <w:rsid w:val="009A249F"/>
    <w:rsid w:val="009A28B0"/>
    <w:rsid w:val="009A2E7F"/>
    <w:rsid w:val="009B172B"/>
    <w:rsid w:val="009D047F"/>
    <w:rsid w:val="009D30A5"/>
    <w:rsid w:val="009E0153"/>
    <w:rsid w:val="009E6F7D"/>
    <w:rsid w:val="00A02360"/>
    <w:rsid w:val="00A03C07"/>
    <w:rsid w:val="00A05A5E"/>
    <w:rsid w:val="00A05C72"/>
    <w:rsid w:val="00A152C6"/>
    <w:rsid w:val="00A20F0F"/>
    <w:rsid w:val="00A23C9C"/>
    <w:rsid w:val="00A24310"/>
    <w:rsid w:val="00A24357"/>
    <w:rsid w:val="00A33ECA"/>
    <w:rsid w:val="00A36DA8"/>
    <w:rsid w:val="00A45B78"/>
    <w:rsid w:val="00A45CDC"/>
    <w:rsid w:val="00A47B5E"/>
    <w:rsid w:val="00A527DE"/>
    <w:rsid w:val="00A57BF2"/>
    <w:rsid w:val="00A61FD6"/>
    <w:rsid w:val="00A61FDA"/>
    <w:rsid w:val="00A65C45"/>
    <w:rsid w:val="00A70271"/>
    <w:rsid w:val="00A70B3A"/>
    <w:rsid w:val="00A7289A"/>
    <w:rsid w:val="00A73DB4"/>
    <w:rsid w:val="00A80403"/>
    <w:rsid w:val="00A860E0"/>
    <w:rsid w:val="00A86848"/>
    <w:rsid w:val="00A8685A"/>
    <w:rsid w:val="00A94EA4"/>
    <w:rsid w:val="00A973F0"/>
    <w:rsid w:val="00AA231E"/>
    <w:rsid w:val="00AA6B72"/>
    <w:rsid w:val="00AB15E7"/>
    <w:rsid w:val="00AB2D73"/>
    <w:rsid w:val="00AB43B8"/>
    <w:rsid w:val="00AB6107"/>
    <w:rsid w:val="00AB624E"/>
    <w:rsid w:val="00AC07BB"/>
    <w:rsid w:val="00AC24DF"/>
    <w:rsid w:val="00AC330F"/>
    <w:rsid w:val="00AD3FA3"/>
    <w:rsid w:val="00AE6606"/>
    <w:rsid w:val="00AE6693"/>
    <w:rsid w:val="00AE7B24"/>
    <w:rsid w:val="00AE7BCF"/>
    <w:rsid w:val="00AF15E3"/>
    <w:rsid w:val="00AF4043"/>
    <w:rsid w:val="00B004E2"/>
    <w:rsid w:val="00B02C91"/>
    <w:rsid w:val="00B03AC3"/>
    <w:rsid w:val="00B067E5"/>
    <w:rsid w:val="00B07C8C"/>
    <w:rsid w:val="00B107B0"/>
    <w:rsid w:val="00B1147F"/>
    <w:rsid w:val="00B1162F"/>
    <w:rsid w:val="00B17006"/>
    <w:rsid w:val="00B21212"/>
    <w:rsid w:val="00B21C9E"/>
    <w:rsid w:val="00B26739"/>
    <w:rsid w:val="00B30104"/>
    <w:rsid w:val="00B408E4"/>
    <w:rsid w:val="00B43503"/>
    <w:rsid w:val="00B4589F"/>
    <w:rsid w:val="00B46C73"/>
    <w:rsid w:val="00B47481"/>
    <w:rsid w:val="00B56493"/>
    <w:rsid w:val="00B56D03"/>
    <w:rsid w:val="00B57F23"/>
    <w:rsid w:val="00B610F1"/>
    <w:rsid w:val="00B63ED0"/>
    <w:rsid w:val="00B65772"/>
    <w:rsid w:val="00B6758D"/>
    <w:rsid w:val="00B72341"/>
    <w:rsid w:val="00B72B3A"/>
    <w:rsid w:val="00B73D09"/>
    <w:rsid w:val="00B74C0E"/>
    <w:rsid w:val="00B76F48"/>
    <w:rsid w:val="00B81BA3"/>
    <w:rsid w:val="00B81E47"/>
    <w:rsid w:val="00B843F9"/>
    <w:rsid w:val="00B92ED9"/>
    <w:rsid w:val="00B93AC4"/>
    <w:rsid w:val="00BA00D7"/>
    <w:rsid w:val="00BA2607"/>
    <w:rsid w:val="00BA26FA"/>
    <w:rsid w:val="00BA37FC"/>
    <w:rsid w:val="00BA7CD6"/>
    <w:rsid w:val="00BB0A68"/>
    <w:rsid w:val="00BB4B68"/>
    <w:rsid w:val="00BB4F90"/>
    <w:rsid w:val="00BB5144"/>
    <w:rsid w:val="00BB5BC1"/>
    <w:rsid w:val="00BC0895"/>
    <w:rsid w:val="00BC0B86"/>
    <w:rsid w:val="00BC5BA7"/>
    <w:rsid w:val="00BC7FD1"/>
    <w:rsid w:val="00BD0C15"/>
    <w:rsid w:val="00BD4729"/>
    <w:rsid w:val="00BD531A"/>
    <w:rsid w:val="00BD6AC2"/>
    <w:rsid w:val="00BD7B56"/>
    <w:rsid w:val="00BE28F2"/>
    <w:rsid w:val="00BE32FF"/>
    <w:rsid w:val="00BE35B9"/>
    <w:rsid w:val="00BF7974"/>
    <w:rsid w:val="00C03723"/>
    <w:rsid w:val="00C03DBA"/>
    <w:rsid w:val="00C04A76"/>
    <w:rsid w:val="00C06E13"/>
    <w:rsid w:val="00C113D9"/>
    <w:rsid w:val="00C119D8"/>
    <w:rsid w:val="00C24EDC"/>
    <w:rsid w:val="00C27B5C"/>
    <w:rsid w:val="00C33E3B"/>
    <w:rsid w:val="00C34E5F"/>
    <w:rsid w:val="00C4120E"/>
    <w:rsid w:val="00C43EEC"/>
    <w:rsid w:val="00C454CE"/>
    <w:rsid w:val="00C46C89"/>
    <w:rsid w:val="00C4712F"/>
    <w:rsid w:val="00C4715F"/>
    <w:rsid w:val="00C47522"/>
    <w:rsid w:val="00C51148"/>
    <w:rsid w:val="00C54F29"/>
    <w:rsid w:val="00C710C8"/>
    <w:rsid w:val="00C71124"/>
    <w:rsid w:val="00C74013"/>
    <w:rsid w:val="00C77F11"/>
    <w:rsid w:val="00C82890"/>
    <w:rsid w:val="00C83D91"/>
    <w:rsid w:val="00C901E2"/>
    <w:rsid w:val="00C9253B"/>
    <w:rsid w:val="00C92ECB"/>
    <w:rsid w:val="00C959CD"/>
    <w:rsid w:val="00CA0036"/>
    <w:rsid w:val="00CA3DD7"/>
    <w:rsid w:val="00CA40CB"/>
    <w:rsid w:val="00CA617A"/>
    <w:rsid w:val="00CA6572"/>
    <w:rsid w:val="00CB490D"/>
    <w:rsid w:val="00CB587D"/>
    <w:rsid w:val="00CB5DCD"/>
    <w:rsid w:val="00CB6DBC"/>
    <w:rsid w:val="00CC4199"/>
    <w:rsid w:val="00CC6209"/>
    <w:rsid w:val="00CC77C3"/>
    <w:rsid w:val="00CD0E8A"/>
    <w:rsid w:val="00CD43DC"/>
    <w:rsid w:val="00CE290C"/>
    <w:rsid w:val="00D03548"/>
    <w:rsid w:val="00D11D74"/>
    <w:rsid w:val="00D136D3"/>
    <w:rsid w:val="00D145B0"/>
    <w:rsid w:val="00D178A8"/>
    <w:rsid w:val="00D21F7D"/>
    <w:rsid w:val="00D2208A"/>
    <w:rsid w:val="00D26EEC"/>
    <w:rsid w:val="00D31BCB"/>
    <w:rsid w:val="00D32F58"/>
    <w:rsid w:val="00D3571A"/>
    <w:rsid w:val="00D42257"/>
    <w:rsid w:val="00D439B2"/>
    <w:rsid w:val="00D4561A"/>
    <w:rsid w:val="00D503E7"/>
    <w:rsid w:val="00D5119E"/>
    <w:rsid w:val="00D54C20"/>
    <w:rsid w:val="00D6302C"/>
    <w:rsid w:val="00D65D08"/>
    <w:rsid w:val="00D67395"/>
    <w:rsid w:val="00D757C0"/>
    <w:rsid w:val="00D86469"/>
    <w:rsid w:val="00D91FA5"/>
    <w:rsid w:val="00D928CC"/>
    <w:rsid w:val="00DA1D05"/>
    <w:rsid w:val="00DA35D1"/>
    <w:rsid w:val="00DA690D"/>
    <w:rsid w:val="00DA70BD"/>
    <w:rsid w:val="00DB2AA8"/>
    <w:rsid w:val="00DB6BCA"/>
    <w:rsid w:val="00DC1250"/>
    <w:rsid w:val="00DC1607"/>
    <w:rsid w:val="00DC7AB8"/>
    <w:rsid w:val="00DD1DB4"/>
    <w:rsid w:val="00DD2C89"/>
    <w:rsid w:val="00DD3F24"/>
    <w:rsid w:val="00DD48EF"/>
    <w:rsid w:val="00DD5996"/>
    <w:rsid w:val="00DD5B95"/>
    <w:rsid w:val="00DD75EE"/>
    <w:rsid w:val="00DE0B5A"/>
    <w:rsid w:val="00DF0436"/>
    <w:rsid w:val="00DF5AE6"/>
    <w:rsid w:val="00E01800"/>
    <w:rsid w:val="00E02F45"/>
    <w:rsid w:val="00E054E8"/>
    <w:rsid w:val="00E05C06"/>
    <w:rsid w:val="00E06D3B"/>
    <w:rsid w:val="00E1273D"/>
    <w:rsid w:val="00E13E08"/>
    <w:rsid w:val="00E14B7B"/>
    <w:rsid w:val="00E14C6B"/>
    <w:rsid w:val="00E16BD1"/>
    <w:rsid w:val="00E21B77"/>
    <w:rsid w:val="00E23418"/>
    <w:rsid w:val="00E320EE"/>
    <w:rsid w:val="00E37233"/>
    <w:rsid w:val="00E435F7"/>
    <w:rsid w:val="00E45080"/>
    <w:rsid w:val="00E473D1"/>
    <w:rsid w:val="00E47BEC"/>
    <w:rsid w:val="00E50E0C"/>
    <w:rsid w:val="00E64C8F"/>
    <w:rsid w:val="00E720E1"/>
    <w:rsid w:val="00E73174"/>
    <w:rsid w:val="00E76354"/>
    <w:rsid w:val="00E76F26"/>
    <w:rsid w:val="00E81287"/>
    <w:rsid w:val="00E841C9"/>
    <w:rsid w:val="00E915A5"/>
    <w:rsid w:val="00E922F8"/>
    <w:rsid w:val="00E960A9"/>
    <w:rsid w:val="00E97D89"/>
    <w:rsid w:val="00EA400C"/>
    <w:rsid w:val="00EB2C9E"/>
    <w:rsid w:val="00EB3488"/>
    <w:rsid w:val="00EB675E"/>
    <w:rsid w:val="00EB71CB"/>
    <w:rsid w:val="00EC0EE6"/>
    <w:rsid w:val="00EC1255"/>
    <w:rsid w:val="00EC335B"/>
    <w:rsid w:val="00EC4EE3"/>
    <w:rsid w:val="00ED138F"/>
    <w:rsid w:val="00EE7376"/>
    <w:rsid w:val="00EE7B55"/>
    <w:rsid w:val="00EF27A8"/>
    <w:rsid w:val="00EF43E5"/>
    <w:rsid w:val="00F047BE"/>
    <w:rsid w:val="00F04E80"/>
    <w:rsid w:val="00F05220"/>
    <w:rsid w:val="00F05BD0"/>
    <w:rsid w:val="00F13FB7"/>
    <w:rsid w:val="00F15179"/>
    <w:rsid w:val="00F17F81"/>
    <w:rsid w:val="00F23A77"/>
    <w:rsid w:val="00F24630"/>
    <w:rsid w:val="00F360EE"/>
    <w:rsid w:val="00F411C8"/>
    <w:rsid w:val="00F4410B"/>
    <w:rsid w:val="00F447B3"/>
    <w:rsid w:val="00F479C1"/>
    <w:rsid w:val="00F47A1B"/>
    <w:rsid w:val="00F50CD9"/>
    <w:rsid w:val="00F56FC7"/>
    <w:rsid w:val="00F570D4"/>
    <w:rsid w:val="00F57ECD"/>
    <w:rsid w:val="00F6121B"/>
    <w:rsid w:val="00F61662"/>
    <w:rsid w:val="00F64399"/>
    <w:rsid w:val="00F66065"/>
    <w:rsid w:val="00F8197C"/>
    <w:rsid w:val="00F82B5E"/>
    <w:rsid w:val="00F84CD7"/>
    <w:rsid w:val="00F869A8"/>
    <w:rsid w:val="00F87A68"/>
    <w:rsid w:val="00F97C9B"/>
    <w:rsid w:val="00FA12FA"/>
    <w:rsid w:val="00FA2FD2"/>
    <w:rsid w:val="00FA3431"/>
    <w:rsid w:val="00FA77D2"/>
    <w:rsid w:val="00FB2C51"/>
    <w:rsid w:val="00FB3ED7"/>
    <w:rsid w:val="00FB4834"/>
    <w:rsid w:val="00FB53E9"/>
    <w:rsid w:val="00FB7A86"/>
    <w:rsid w:val="00FC1BB5"/>
    <w:rsid w:val="00FC72F6"/>
    <w:rsid w:val="00FD1A49"/>
    <w:rsid w:val="00FD4CC9"/>
    <w:rsid w:val="00FE2018"/>
    <w:rsid w:val="00FE7337"/>
    <w:rsid w:val="00FF0C6F"/>
    <w:rsid w:val="00FF3024"/>
    <w:rsid w:val="00FF323D"/>
    <w:rsid w:val="00FF3663"/>
    <w:rsid w:val="00FF376A"/>
    <w:rsid w:val="00FF4582"/>
    <w:rsid w:val="00FF6712"/>
    <w:rsid w:val="00FF6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172B"/>
    <w:pPr>
      <w:widowControl w:val="0"/>
    </w:pPr>
    <w:rPr>
      <w:snapToGrid w:val="0"/>
      <w:kern w:val="28"/>
      <w:sz w:val="22"/>
    </w:rPr>
  </w:style>
  <w:style w:type="paragraph" w:styleId="Heading1">
    <w:name w:val="heading 1"/>
    <w:basedOn w:val="Normal"/>
    <w:next w:val="ParaNum"/>
    <w:link w:val="Heading1Char"/>
    <w:qFormat/>
    <w:rsid w:val="009B172B"/>
    <w:pPr>
      <w:keepNext/>
      <w:numPr>
        <w:numId w:val="9"/>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9B172B"/>
    <w:pPr>
      <w:keepNext/>
      <w:numPr>
        <w:ilvl w:val="1"/>
        <w:numId w:val="9"/>
      </w:numPr>
      <w:spacing w:after="120"/>
      <w:outlineLvl w:val="1"/>
    </w:pPr>
    <w:rPr>
      <w:b/>
    </w:rPr>
  </w:style>
  <w:style w:type="paragraph" w:styleId="Heading3">
    <w:name w:val="heading 3"/>
    <w:basedOn w:val="Normal"/>
    <w:next w:val="ParaNum"/>
    <w:link w:val="Heading3Char"/>
    <w:qFormat/>
    <w:rsid w:val="009B172B"/>
    <w:pPr>
      <w:keepNext/>
      <w:numPr>
        <w:ilvl w:val="2"/>
        <w:numId w:val="9"/>
      </w:numPr>
      <w:tabs>
        <w:tab w:val="left" w:pos="2160"/>
      </w:tabs>
      <w:spacing w:after="120"/>
      <w:outlineLvl w:val="2"/>
    </w:pPr>
    <w:rPr>
      <w:b/>
    </w:rPr>
  </w:style>
  <w:style w:type="paragraph" w:styleId="Heading4">
    <w:name w:val="heading 4"/>
    <w:basedOn w:val="Normal"/>
    <w:next w:val="ParaNum"/>
    <w:link w:val="Heading4Char"/>
    <w:qFormat/>
    <w:rsid w:val="009B172B"/>
    <w:pPr>
      <w:keepNext/>
      <w:numPr>
        <w:ilvl w:val="3"/>
        <w:numId w:val="9"/>
      </w:numPr>
      <w:tabs>
        <w:tab w:val="left" w:pos="2880"/>
      </w:tabs>
      <w:spacing w:after="120"/>
      <w:outlineLvl w:val="3"/>
    </w:pPr>
    <w:rPr>
      <w:b/>
    </w:rPr>
  </w:style>
  <w:style w:type="paragraph" w:styleId="Heading5">
    <w:name w:val="heading 5"/>
    <w:basedOn w:val="Normal"/>
    <w:next w:val="ParaNum"/>
    <w:link w:val="Heading5Char"/>
    <w:qFormat/>
    <w:rsid w:val="009B172B"/>
    <w:pPr>
      <w:keepNext/>
      <w:numPr>
        <w:ilvl w:val="4"/>
        <w:numId w:val="9"/>
      </w:numPr>
      <w:tabs>
        <w:tab w:val="left" w:pos="3600"/>
      </w:tabs>
      <w:suppressAutoHyphens/>
      <w:spacing w:after="120"/>
      <w:outlineLvl w:val="4"/>
    </w:pPr>
    <w:rPr>
      <w:b/>
    </w:rPr>
  </w:style>
  <w:style w:type="paragraph" w:styleId="Heading6">
    <w:name w:val="heading 6"/>
    <w:basedOn w:val="Normal"/>
    <w:next w:val="ParaNum"/>
    <w:link w:val="Heading6Char"/>
    <w:qFormat/>
    <w:rsid w:val="009B172B"/>
    <w:pPr>
      <w:numPr>
        <w:ilvl w:val="5"/>
        <w:numId w:val="9"/>
      </w:numPr>
      <w:tabs>
        <w:tab w:val="left" w:pos="4320"/>
      </w:tabs>
      <w:spacing w:after="120"/>
      <w:outlineLvl w:val="5"/>
    </w:pPr>
    <w:rPr>
      <w:b/>
    </w:rPr>
  </w:style>
  <w:style w:type="paragraph" w:styleId="Heading7">
    <w:name w:val="heading 7"/>
    <w:basedOn w:val="Normal"/>
    <w:next w:val="ParaNum"/>
    <w:link w:val="Heading7Char"/>
    <w:qFormat/>
    <w:rsid w:val="009B172B"/>
    <w:pPr>
      <w:numPr>
        <w:ilvl w:val="6"/>
        <w:numId w:val="9"/>
      </w:numPr>
      <w:tabs>
        <w:tab w:val="left" w:pos="5040"/>
      </w:tabs>
      <w:spacing w:after="120"/>
      <w:ind w:left="5040" w:hanging="720"/>
      <w:outlineLvl w:val="6"/>
    </w:pPr>
    <w:rPr>
      <w:b/>
    </w:rPr>
  </w:style>
  <w:style w:type="paragraph" w:styleId="Heading8">
    <w:name w:val="heading 8"/>
    <w:basedOn w:val="Normal"/>
    <w:next w:val="ParaNum"/>
    <w:link w:val="Heading8Char"/>
    <w:qFormat/>
    <w:rsid w:val="009B172B"/>
    <w:pPr>
      <w:numPr>
        <w:ilvl w:val="7"/>
        <w:numId w:val="9"/>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9B172B"/>
    <w:pPr>
      <w:numPr>
        <w:ilvl w:val="8"/>
        <w:numId w:val="9"/>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B172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B172B"/>
  </w:style>
  <w:style w:type="paragraph" w:styleId="BalloonText">
    <w:name w:val="Balloon Text"/>
    <w:basedOn w:val="Normal"/>
    <w:link w:val="BalloonTextChar"/>
    <w:semiHidden/>
    <w:rsid w:val="00EB3488"/>
    <w:rPr>
      <w:rFonts w:ascii="Tahoma" w:hAnsi="Tahoma" w:cs="Tahoma"/>
      <w:sz w:val="16"/>
      <w:szCs w:val="16"/>
    </w:rPr>
  </w:style>
  <w:style w:type="character" w:customStyle="1" w:styleId="Heading1Char">
    <w:name w:val="Heading 1 Char"/>
    <w:link w:val="Heading1"/>
    <w:locked/>
    <w:rsid w:val="0055079B"/>
    <w:rPr>
      <w:rFonts w:ascii="Times New Roman Bold" w:hAnsi="Times New Roman Bold"/>
      <w:b/>
      <w:caps/>
      <w:snapToGrid w:val="0"/>
      <w:kern w:val="28"/>
      <w:sz w:val="22"/>
    </w:rPr>
  </w:style>
  <w:style w:type="character" w:customStyle="1" w:styleId="Heading2Char">
    <w:name w:val="Heading 2 Char"/>
    <w:link w:val="Heading2"/>
    <w:locked/>
    <w:rsid w:val="0055079B"/>
    <w:rPr>
      <w:b/>
      <w:snapToGrid w:val="0"/>
      <w:kern w:val="28"/>
      <w:sz w:val="22"/>
    </w:rPr>
  </w:style>
  <w:style w:type="character" w:customStyle="1" w:styleId="Heading3Char">
    <w:name w:val="Heading 3 Char"/>
    <w:link w:val="Heading3"/>
    <w:locked/>
    <w:rsid w:val="0055079B"/>
    <w:rPr>
      <w:b/>
      <w:snapToGrid w:val="0"/>
      <w:kern w:val="28"/>
      <w:sz w:val="22"/>
    </w:rPr>
  </w:style>
  <w:style w:type="character" w:customStyle="1" w:styleId="Heading4Char">
    <w:name w:val="Heading 4 Char"/>
    <w:link w:val="Heading4"/>
    <w:locked/>
    <w:rsid w:val="0055079B"/>
    <w:rPr>
      <w:b/>
      <w:snapToGrid w:val="0"/>
      <w:kern w:val="28"/>
      <w:sz w:val="22"/>
    </w:rPr>
  </w:style>
  <w:style w:type="character" w:customStyle="1" w:styleId="Heading5Char">
    <w:name w:val="Heading 5 Char"/>
    <w:link w:val="Heading5"/>
    <w:locked/>
    <w:rsid w:val="0055079B"/>
    <w:rPr>
      <w:b/>
      <w:snapToGrid w:val="0"/>
      <w:kern w:val="28"/>
      <w:sz w:val="22"/>
    </w:rPr>
  </w:style>
  <w:style w:type="character" w:customStyle="1" w:styleId="Heading6Char">
    <w:name w:val="Heading 6 Char"/>
    <w:link w:val="Heading6"/>
    <w:locked/>
    <w:rsid w:val="0055079B"/>
    <w:rPr>
      <w:b/>
      <w:snapToGrid w:val="0"/>
      <w:kern w:val="28"/>
      <w:sz w:val="22"/>
    </w:rPr>
  </w:style>
  <w:style w:type="character" w:customStyle="1" w:styleId="Heading7Char">
    <w:name w:val="Heading 7 Char"/>
    <w:link w:val="Heading7"/>
    <w:locked/>
    <w:rsid w:val="0055079B"/>
    <w:rPr>
      <w:b/>
      <w:snapToGrid w:val="0"/>
      <w:kern w:val="28"/>
      <w:sz w:val="22"/>
    </w:rPr>
  </w:style>
  <w:style w:type="character" w:customStyle="1" w:styleId="Heading8Char">
    <w:name w:val="Heading 8 Char"/>
    <w:link w:val="Heading8"/>
    <w:locked/>
    <w:rsid w:val="0055079B"/>
    <w:rPr>
      <w:b/>
      <w:snapToGrid w:val="0"/>
      <w:kern w:val="28"/>
      <w:sz w:val="22"/>
    </w:rPr>
  </w:style>
  <w:style w:type="character" w:customStyle="1" w:styleId="Heading9Char">
    <w:name w:val="Heading 9 Char"/>
    <w:link w:val="Heading9"/>
    <w:locked/>
    <w:rsid w:val="0055079B"/>
    <w:rPr>
      <w:b/>
      <w:snapToGrid w:val="0"/>
      <w:kern w:val="28"/>
      <w:sz w:val="22"/>
    </w:rPr>
  </w:style>
  <w:style w:type="character" w:customStyle="1" w:styleId="BalloonTextChar">
    <w:name w:val="Balloon Text Char"/>
    <w:link w:val="BalloonText"/>
    <w:semiHidden/>
    <w:locked/>
    <w:rsid w:val="0055079B"/>
    <w:rPr>
      <w:rFonts w:cs="Times New Roman"/>
      <w:sz w:val="2"/>
    </w:rPr>
  </w:style>
  <w:style w:type="paragraph" w:styleId="Header">
    <w:name w:val="header"/>
    <w:basedOn w:val="Normal"/>
    <w:link w:val="HeaderChar"/>
    <w:autoRedefine/>
    <w:rsid w:val="009B172B"/>
    <w:pPr>
      <w:tabs>
        <w:tab w:val="center" w:pos="4680"/>
        <w:tab w:val="right" w:pos="9360"/>
      </w:tabs>
    </w:pPr>
    <w:rPr>
      <w:b/>
    </w:rPr>
  </w:style>
  <w:style w:type="character" w:customStyle="1" w:styleId="HeaderChar">
    <w:name w:val="Header Char"/>
    <w:link w:val="Header"/>
    <w:locked/>
    <w:rsid w:val="0055079B"/>
    <w:rPr>
      <w:b/>
      <w:snapToGrid w:val="0"/>
      <w:kern w:val="28"/>
      <w:sz w:val="22"/>
    </w:rPr>
  </w:style>
  <w:style w:type="paragraph" w:styleId="Footer">
    <w:name w:val="footer"/>
    <w:basedOn w:val="Normal"/>
    <w:link w:val="FooterChar"/>
    <w:rsid w:val="009B172B"/>
    <w:pPr>
      <w:tabs>
        <w:tab w:val="center" w:pos="4320"/>
        <w:tab w:val="right" w:pos="8640"/>
      </w:tabs>
    </w:pPr>
  </w:style>
  <w:style w:type="character" w:customStyle="1" w:styleId="FooterChar">
    <w:name w:val="Footer Char"/>
    <w:link w:val="Footer"/>
    <w:locked/>
    <w:rsid w:val="00EB3488"/>
    <w:rPr>
      <w:snapToGrid w:val="0"/>
      <w:kern w:val="28"/>
      <w:sz w:val="22"/>
    </w:rPr>
  </w:style>
  <w:style w:type="character" w:styleId="PageNumber">
    <w:name w:val="page number"/>
    <w:basedOn w:val="DefaultParagraphFont"/>
    <w:rsid w:val="009B172B"/>
  </w:style>
  <w:style w:type="paragraph" w:customStyle="1" w:styleId="FirstPageHeader">
    <w:name w:val="First Page Header"/>
    <w:basedOn w:val="Normal"/>
    <w:rsid w:val="00EB3488"/>
    <w:pPr>
      <w:tabs>
        <w:tab w:val="center" w:pos="4320"/>
        <w:tab w:val="right" w:pos="8640"/>
      </w:tabs>
    </w:pPr>
    <w:rPr>
      <w:b/>
    </w:rPr>
  </w:style>
  <w:style w:type="paragraph" w:customStyle="1" w:styleId="Titleinfo">
    <w:name w:val="Title info"/>
    <w:basedOn w:val="Header"/>
    <w:rsid w:val="00EB3488"/>
  </w:style>
  <w:style w:type="paragraph" w:customStyle="1" w:styleId="Numberedparagraphs">
    <w:name w:val="Numbered paragraphs"/>
    <w:basedOn w:val="Normal"/>
    <w:rsid w:val="00EB3488"/>
    <w:pPr>
      <w:numPr>
        <w:ilvl w:val="2"/>
        <w:numId w:val="1"/>
      </w:numPr>
      <w:spacing w:after="220"/>
    </w:p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
    <w:link w:val="FootnoteTextChar2"/>
    <w:rsid w:val="009B172B"/>
    <w:pPr>
      <w:spacing w:after="120"/>
    </w:p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
    <w:semiHidden/>
    <w:locked/>
    <w:rsid w:val="0055079B"/>
    <w:rPr>
      <w:rFonts w:cs="Times New Roman"/>
      <w:sz w:val="20"/>
      <w:szCs w:val="20"/>
    </w:rPr>
  </w:style>
  <w:style w:type="character" w:styleId="FootnoteReference">
    <w:name w:val="footnote reference"/>
    <w:aliases w:val="Style 12,(NECG) Footnote Reference,Style 13,Appel note de bas de p,Style 124,fr,o,Style 3,FR,Style 6,Style 17,Footnote Reference/,Style 7,Footnote Reference1"/>
    <w:rsid w:val="009B172B"/>
    <w:rPr>
      <w:rFonts w:ascii="Times New Roman" w:hAnsi="Times New Roman"/>
      <w:dstrike w:val="0"/>
      <w:color w:val="auto"/>
      <w:sz w:val="20"/>
      <w:vertAlign w:val="superscript"/>
    </w:rPr>
  </w:style>
  <w:style w:type="character" w:styleId="Hyperlink">
    <w:name w:val="Hyperlink"/>
    <w:rsid w:val="009B172B"/>
    <w:rPr>
      <w:color w:val="0000FF"/>
      <w:u w:val="single"/>
    </w:rPr>
  </w:style>
  <w:style w:type="character" w:customStyle="1" w:styleId="documentbody1">
    <w:name w:val="documentbody1"/>
    <w:rsid w:val="00EB3488"/>
    <w:rPr>
      <w:rFonts w:ascii="Verdana" w:hAnsi="Verdana"/>
      <w:sz w:val="19"/>
    </w:rPr>
  </w:style>
  <w:style w:type="character" w:styleId="FollowedHyperlink">
    <w:name w:val="FollowedHyperlink"/>
    <w:rsid w:val="00EB3488"/>
    <w:rPr>
      <w:rFonts w:cs="Times New Roman"/>
      <w:color w:val="800080"/>
      <w:u w:val="single"/>
    </w:rPr>
  </w:style>
  <w:style w:type="paragraph" w:customStyle="1" w:styleId="StyleNumberedparagraphs11pt">
    <w:name w:val="Style Numbered paragraphs + 11 pt"/>
    <w:basedOn w:val="Numberedparagraphs"/>
    <w:autoRedefine/>
    <w:rsid w:val="00EB3488"/>
    <w:pPr>
      <w:numPr>
        <w:ilvl w:val="0"/>
        <w:numId w:val="0"/>
      </w:numPr>
      <w:ind w:firstLine="720"/>
    </w:pPr>
    <w:rPr>
      <w:szCs w:val="22"/>
    </w:rPr>
  </w:style>
  <w:style w:type="character" w:customStyle="1" w:styleId="NumberedparagraphsChar">
    <w:name w:val="Numbered paragraphs Char"/>
    <w:rsid w:val="00EB3488"/>
    <w:rPr>
      <w:sz w:val="24"/>
      <w:lang w:val="en-US" w:eastAsia="en-US"/>
    </w:rPr>
  </w:style>
  <w:style w:type="character" w:customStyle="1" w:styleId="StyleNumberedparagraphs11ptChar">
    <w:name w:val="Style Numbered paragraphs + 11 pt Char"/>
    <w:rsid w:val="00EB3488"/>
    <w:rPr>
      <w:sz w:val="22"/>
      <w:lang w:val="en-US" w:eastAsia="en-US"/>
    </w:rPr>
  </w:style>
  <w:style w:type="paragraph" w:styleId="NormalWeb">
    <w:name w:val="Normal (Web)"/>
    <w:basedOn w:val="Normal"/>
    <w:rsid w:val="00EB3488"/>
    <w:pPr>
      <w:spacing w:before="100" w:beforeAutospacing="1" w:after="100" w:afterAutospacing="1"/>
    </w:pPr>
    <w:rPr>
      <w:szCs w:val="24"/>
    </w:rPr>
  </w:style>
  <w:style w:type="character" w:customStyle="1" w:styleId="FootnoteTextChar11">
    <w:name w:val="Footnote Text Char11"/>
    <w:aliases w:val="ALTS FOOTNOTE Char11,fn Char11,Footnote Text Char Char2,ALTS FOOTNOTE Char Char2,fn Char Char2,Footnote Text Char1 Char Char2,Footnote Text Char Char Char Char2,Footnote Text Char2 Char Char Char Char2,Footnote Text Char3 Char"/>
    <w:rsid w:val="00EB3488"/>
    <w:rPr>
      <w:lang w:val="en-US" w:eastAsia="en-US"/>
    </w:rPr>
  </w:style>
  <w:style w:type="character" w:customStyle="1" w:styleId="FootnoteTextChar1Char1">
    <w:name w:val="Footnote Text Char1 Char1"/>
    <w:aliases w:val="Footnote Text Char Char Char1,Footnote Text Char1 Char Char Char1,Footnote Text Char Char Char Char Char1,Footnote Text Char1 Char Char Char Char Char,ALTS FOOTNOTE Char1 Char Char Char Char Char,Footnote Text Char Char1 Char"/>
    <w:rsid w:val="00EB3488"/>
    <w:rPr>
      <w:sz w:val="24"/>
      <w:lang w:val="en-US" w:eastAsia="en-US"/>
    </w:rPr>
  </w:style>
  <w:style w:type="character" w:styleId="EndnoteReference">
    <w:name w:val="endnote reference"/>
    <w:semiHidden/>
    <w:rsid w:val="009B172B"/>
    <w:rPr>
      <w:vertAlign w:val="superscript"/>
    </w:rPr>
  </w:style>
  <w:style w:type="character" w:customStyle="1" w:styleId="StyleFootnoteReference10pt">
    <w:name w:val="Style Footnote Reference + 10 pt"/>
    <w:rsid w:val="00EB3488"/>
    <w:rPr>
      <w:rFonts w:ascii="Times New Roman" w:hAnsi="Times New Roman"/>
      <w:sz w:val="22"/>
      <w:vertAlign w:val="superscript"/>
    </w:rPr>
  </w:style>
  <w:style w:type="paragraph" w:customStyle="1" w:styleId="NumberedList">
    <w:name w:val="Numbered List"/>
    <w:basedOn w:val="Normal"/>
    <w:rsid w:val="00EB3488"/>
    <w:pPr>
      <w:numPr>
        <w:numId w:val="2"/>
      </w:numPr>
      <w:spacing w:after="220"/>
    </w:pPr>
  </w:style>
  <w:style w:type="paragraph" w:customStyle="1" w:styleId="ParaNum">
    <w:name w:val="ParaNum"/>
    <w:basedOn w:val="Normal"/>
    <w:rsid w:val="009B172B"/>
    <w:pPr>
      <w:numPr>
        <w:numId w:val="4"/>
      </w:numPr>
      <w:tabs>
        <w:tab w:val="clear" w:pos="1080"/>
        <w:tab w:val="num" w:pos="1440"/>
      </w:tabs>
      <w:spacing w:after="120"/>
    </w:pPr>
  </w:style>
  <w:style w:type="paragraph" w:customStyle="1" w:styleId="TableFormat">
    <w:name w:val="TableFormat"/>
    <w:basedOn w:val="Bullet"/>
    <w:rsid w:val="009B172B"/>
    <w:pPr>
      <w:tabs>
        <w:tab w:val="clear" w:pos="2160"/>
        <w:tab w:val="left" w:pos="5040"/>
      </w:tabs>
      <w:ind w:left="5040" w:hanging="3600"/>
    </w:pPr>
  </w:style>
  <w:style w:type="character" w:customStyle="1" w:styleId="FootnoteTextChar2Char">
    <w:name w:val="Footnote Text Char2 Char"/>
    <w:aliases w:val="Footnote Text Char1 Char Char Char,rrfootnote Char Char Char Char,ALTS FOOTNOTE Char1 Char Char Char,fn Char1 Char Char Char,Footnote Text Char Char Char Char Char1 Cha,ALTS FOOTNOTE Char1 Char,fn Char1 Char,fn Char Char Char"/>
    <w:rsid w:val="00EB3488"/>
    <w:rPr>
      <w:lang w:val="en-US" w:eastAsia="en-US"/>
    </w:rPr>
  </w:style>
  <w:style w:type="character" w:customStyle="1" w:styleId="searchterm3">
    <w:name w:val="searchterm3"/>
    <w:rsid w:val="00EB3488"/>
    <w:rPr>
      <w:rFonts w:ascii="Verdana" w:hAnsi="Verdana"/>
      <w:b/>
      <w:sz w:val="19"/>
      <w:shd w:val="clear" w:color="auto" w:fill="FFFF00"/>
    </w:rPr>
  </w:style>
  <w:style w:type="table" w:styleId="TableGrid">
    <w:name w:val="Table Grid"/>
    <w:basedOn w:val="TableNormal"/>
    <w:rsid w:val="00EB34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NumCharCharCharCharChar">
    <w:name w:val="ParaNum Char Char Char Char Char"/>
    <w:basedOn w:val="Normal"/>
    <w:rsid w:val="00EB3488"/>
    <w:pPr>
      <w:tabs>
        <w:tab w:val="num" w:pos="1080"/>
      </w:tabs>
      <w:spacing w:after="220"/>
      <w:ind w:firstLine="720"/>
      <w:jc w:val="both"/>
    </w:pPr>
  </w:style>
  <w:style w:type="character" w:customStyle="1" w:styleId="FootnoteTextChar2">
    <w:name w:val="Footnote Text Char2"/>
    <w:aliases w:val="ALTS FOOTNOTE Char2,fn Char2,Footnote Text Char Char1,ALTS FOOTNOTE Char Char1,fn Char Char1,Footnote Text Char1 Char Char1,Footnote Text Char Char Char Char1,Footnote Text Char2 Char Char Char Char1"/>
    <w:link w:val="FootnoteText"/>
    <w:locked/>
    <w:rsid w:val="00EB3488"/>
  </w:style>
  <w:style w:type="character" w:styleId="CommentReference">
    <w:name w:val="annotation reference"/>
    <w:rsid w:val="00EB3488"/>
    <w:rPr>
      <w:rFonts w:cs="Times New Roman"/>
      <w:sz w:val="16"/>
    </w:rPr>
  </w:style>
  <w:style w:type="paragraph" w:styleId="CommentText">
    <w:name w:val="annotation text"/>
    <w:basedOn w:val="Normal"/>
    <w:link w:val="CommentTextChar"/>
    <w:rsid w:val="00EB3488"/>
    <w:rPr>
      <w:sz w:val="20"/>
    </w:rPr>
  </w:style>
  <w:style w:type="character" w:customStyle="1" w:styleId="CommentTextChar">
    <w:name w:val="Comment Text Char"/>
    <w:link w:val="CommentText"/>
    <w:locked/>
    <w:rsid w:val="00EB3488"/>
    <w:rPr>
      <w:rFonts w:cs="Times New Roman"/>
    </w:rPr>
  </w:style>
  <w:style w:type="paragraph" w:styleId="CommentSubject">
    <w:name w:val="annotation subject"/>
    <w:basedOn w:val="CommentText"/>
    <w:next w:val="CommentText"/>
    <w:link w:val="CommentSubjectChar"/>
    <w:rsid w:val="00EB3488"/>
    <w:rPr>
      <w:b/>
      <w:bCs/>
    </w:rPr>
  </w:style>
  <w:style w:type="character" w:customStyle="1" w:styleId="CommentSubjectChar">
    <w:name w:val="Comment Subject Char"/>
    <w:link w:val="CommentSubject"/>
    <w:locked/>
    <w:rsid w:val="00EB3488"/>
    <w:rPr>
      <w:rFonts w:cs="Times New Roman"/>
      <w:b/>
    </w:rPr>
  </w:style>
  <w:style w:type="paragraph" w:styleId="TOC5">
    <w:name w:val="toc 5"/>
    <w:basedOn w:val="Normal"/>
    <w:next w:val="Normal"/>
    <w:autoRedefine/>
    <w:rsid w:val="009B172B"/>
    <w:pPr>
      <w:tabs>
        <w:tab w:val="left" w:pos="1800"/>
        <w:tab w:val="right" w:leader="dot" w:pos="9360"/>
      </w:tabs>
      <w:suppressAutoHyphens/>
      <w:ind w:left="1800" w:right="720" w:hanging="360"/>
    </w:pPr>
    <w:rPr>
      <w:noProof/>
    </w:rPr>
  </w:style>
  <w:style w:type="paragraph" w:styleId="Revision">
    <w:name w:val="Revision"/>
    <w:hidden/>
    <w:semiHidden/>
    <w:rsid w:val="00B56D03"/>
    <w:rPr>
      <w:sz w:val="24"/>
    </w:rPr>
  </w:style>
  <w:style w:type="paragraph" w:styleId="EndnoteText">
    <w:name w:val="endnote text"/>
    <w:basedOn w:val="Normal"/>
    <w:link w:val="EndnoteTextChar"/>
    <w:locked/>
    <w:rsid w:val="009B172B"/>
    <w:rPr>
      <w:sz w:val="20"/>
    </w:rPr>
  </w:style>
  <w:style w:type="character" w:customStyle="1" w:styleId="EndnoteTextChar">
    <w:name w:val="Endnote Text Char"/>
    <w:basedOn w:val="DefaultParagraphFont"/>
    <w:link w:val="EndnoteText"/>
    <w:rsid w:val="00B57F23"/>
    <w:rPr>
      <w:snapToGrid w:val="0"/>
      <w:kern w:val="28"/>
    </w:rPr>
  </w:style>
  <w:style w:type="paragraph" w:styleId="TOC1">
    <w:name w:val="toc 1"/>
    <w:basedOn w:val="Normal"/>
    <w:next w:val="Normal"/>
    <w:rsid w:val="009B172B"/>
    <w:pPr>
      <w:tabs>
        <w:tab w:val="left" w:pos="360"/>
        <w:tab w:val="right" w:leader="dot" w:pos="9360"/>
      </w:tabs>
      <w:suppressAutoHyphens/>
      <w:ind w:left="360" w:right="720" w:hanging="360"/>
    </w:pPr>
    <w:rPr>
      <w:caps/>
      <w:noProof/>
    </w:rPr>
  </w:style>
  <w:style w:type="paragraph" w:styleId="TOC2">
    <w:name w:val="toc 2"/>
    <w:basedOn w:val="Normal"/>
    <w:next w:val="Normal"/>
    <w:rsid w:val="009B172B"/>
    <w:pPr>
      <w:tabs>
        <w:tab w:val="left" w:pos="720"/>
        <w:tab w:val="right" w:leader="dot" w:pos="9360"/>
      </w:tabs>
      <w:suppressAutoHyphens/>
      <w:ind w:left="720" w:right="720" w:hanging="360"/>
    </w:pPr>
    <w:rPr>
      <w:noProof/>
    </w:rPr>
  </w:style>
  <w:style w:type="paragraph" w:styleId="TOC3">
    <w:name w:val="toc 3"/>
    <w:basedOn w:val="Normal"/>
    <w:next w:val="Normal"/>
    <w:rsid w:val="009B172B"/>
    <w:pPr>
      <w:tabs>
        <w:tab w:val="left" w:pos="1080"/>
        <w:tab w:val="right" w:leader="dot" w:pos="9360"/>
      </w:tabs>
      <w:suppressAutoHyphens/>
      <w:ind w:left="1080" w:right="720" w:hanging="360"/>
    </w:pPr>
    <w:rPr>
      <w:noProof/>
    </w:rPr>
  </w:style>
  <w:style w:type="paragraph" w:styleId="TOC4">
    <w:name w:val="toc 4"/>
    <w:basedOn w:val="Normal"/>
    <w:next w:val="Normal"/>
    <w:autoRedefine/>
    <w:rsid w:val="009B172B"/>
    <w:pPr>
      <w:tabs>
        <w:tab w:val="left" w:pos="1440"/>
        <w:tab w:val="right" w:leader="dot" w:pos="9360"/>
      </w:tabs>
      <w:suppressAutoHyphens/>
      <w:ind w:left="1440" w:right="720" w:hanging="360"/>
    </w:pPr>
    <w:rPr>
      <w:noProof/>
    </w:rPr>
  </w:style>
  <w:style w:type="paragraph" w:styleId="TOC6">
    <w:name w:val="toc 6"/>
    <w:basedOn w:val="Normal"/>
    <w:next w:val="Normal"/>
    <w:autoRedefine/>
    <w:rsid w:val="009B172B"/>
    <w:pPr>
      <w:tabs>
        <w:tab w:val="left" w:pos="2160"/>
        <w:tab w:val="right" w:leader="dot" w:pos="9360"/>
      </w:tabs>
      <w:suppressAutoHyphens/>
      <w:ind w:left="2160" w:hanging="360"/>
    </w:pPr>
    <w:rPr>
      <w:noProof/>
    </w:rPr>
  </w:style>
  <w:style w:type="paragraph" w:styleId="TOC7">
    <w:name w:val="toc 7"/>
    <w:basedOn w:val="Normal"/>
    <w:next w:val="Normal"/>
    <w:autoRedefine/>
    <w:rsid w:val="009B172B"/>
    <w:pPr>
      <w:tabs>
        <w:tab w:val="left" w:pos="2520"/>
        <w:tab w:val="right" w:leader="dot" w:pos="9360"/>
      </w:tabs>
      <w:suppressAutoHyphens/>
      <w:ind w:left="2520" w:hanging="360"/>
    </w:pPr>
    <w:rPr>
      <w:noProof/>
    </w:rPr>
  </w:style>
  <w:style w:type="paragraph" w:styleId="TOC8">
    <w:name w:val="toc 8"/>
    <w:basedOn w:val="Normal"/>
    <w:next w:val="Normal"/>
    <w:autoRedefine/>
    <w:rsid w:val="009B172B"/>
    <w:pPr>
      <w:tabs>
        <w:tab w:val="left" w:pos="2880"/>
        <w:tab w:val="right" w:leader="dot" w:pos="9360"/>
      </w:tabs>
      <w:suppressAutoHyphens/>
      <w:ind w:left="2880" w:hanging="360"/>
    </w:pPr>
    <w:rPr>
      <w:noProof/>
    </w:rPr>
  </w:style>
  <w:style w:type="paragraph" w:styleId="TOC9">
    <w:name w:val="toc 9"/>
    <w:basedOn w:val="Normal"/>
    <w:next w:val="Normal"/>
    <w:autoRedefine/>
    <w:rsid w:val="009B172B"/>
    <w:pPr>
      <w:tabs>
        <w:tab w:val="left" w:pos="3240"/>
        <w:tab w:val="right" w:leader="dot" w:pos="9360"/>
      </w:tabs>
      <w:suppressAutoHyphens/>
      <w:ind w:left="3240" w:hanging="360"/>
    </w:pPr>
    <w:rPr>
      <w:noProof/>
    </w:rPr>
  </w:style>
  <w:style w:type="paragraph" w:styleId="TOAHeading">
    <w:name w:val="toa heading"/>
    <w:basedOn w:val="Normal"/>
    <w:next w:val="Normal"/>
    <w:locked/>
    <w:rsid w:val="009B172B"/>
    <w:pPr>
      <w:tabs>
        <w:tab w:val="right" w:pos="9360"/>
      </w:tabs>
      <w:suppressAutoHyphens/>
    </w:pPr>
  </w:style>
  <w:style w:type="character" w:customStyle="1" w:styleId="EquationCaption">
    <w:name w:val="_Equation Caption"/>
    <w:rsid w:val="009B172B"/>
  </w:style>
  <w:style w:type="paragraph" w:styleId="BlockText">
    <w:name w:val="Block Text"/>
    <w:basedOn w:val="Normal"/>
    <w:locked/>
    <w:rsid w:val="009B172B"/>
    <w:pPr>
      <w:spacing w:after="240"/>
      <w:ind w:left="1440" w:right="1440"/>
    </w:pPr>
  </w:style>
  <w:style w:type="paragraph" w:customStyle="1" w:styleId="Paratitle">
    <w:name w:val="Para title"/>
    <w:basedOn w:val="Normal"/>
    <w:rsid w:val="009B172B"/>
    <w:pPr>
      <w:tabs>
        <w:tab w:val="center" w:pos="9270"/>
      </w:tabs>
      <w:spacing w:after="240"/>
    </w:pPr>
    <w:rPr>
      <w:spacing w:val="-2"/>
    </w:rPr>
  </w:style>
  <w:style w:type="paragraph" w:customStyle="1" w:styleId="Bullet">
    <w:name w:val="Bullet"/>
    <w:basedOn w:val="Normal"/>
    <w:rsid w:val="009B172B"/>
    <w:pPr>
      <w:tabs>
        <w:tab w:val="left" w:pos="2160"/>
      </w:tabs>
      <w:spacing w:after="220"/>
      <w:ind w:left="2160" w:hanging="720"/>
    </w:pPr>
  </w:style>
  <w:style w:type="paragraph" w:customStyle="1" w:styleId="TOCTitle">
    <w:name w:val="TOC Title"/>
    <w:basedOn w:val="Normal"/>
    <w:rsid w:val="009B172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B172B"/>
    <w:pPr>
      <w:jc w:val="center"/>
    </w:pPr>
    <w:rPr>
      <w:rFonts w:ascii="Times New Roman Bold" w:hAnsi="Times New Roman Bold"/>
      <w:b/>
      <w:bCs/>
      <w:caps/>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172B"/>
    <w:pPr>
      <w:widowControl w:val="0"/>
    </w:pPr>
    <w:rPr>
      <w:snapToGrid w:val="0"/>
      <w:kern w:val="28"/>
      <w:sz w:val="22"/>
    </w:rPr>
  </w:style>
  <w:style w:type="paragraph" w:styleId="Heading1">
    <w:name w:val="heading 1"/>
    <w:basedOn w:val="Normal"/>
    <w:next w:val="ParaNum"/>
    <w:link w:val="Heading1Char"/>
    <w:qFormat/>
    <w:rsid w:val="009B172B"/>
    <w:pPr>
      <w:keepNext/>
      <w:numPr>
        <w:numId w:val="9"/>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9B172B"/>
    <w:pPr>
      <w:keepNext/>
      <w:numPr>
        <w:ilvl w:val="1"/>
        <w:numId w:val="9"/>
      </w:numPr>
      <w:spacing w:after="120"/>
      <w:outlineLvl w:val="1"/>
    </w:pPr>
    <w:rPr>
      <w:b/>
    </w:rPr>
  </w:style>
  <w:style w:type="paragraph" w:styleId="Heading3">
    <w:name w:val="heading 3"/>
    <w:basedOn w:val="Normal"/>
    <w:next w:val="ParaNum"/>
    <w:link w:val="Heading3Char"/>
    <w:qFormat/>
    <w:rsid w:val="009B172B"/>
    <w:pPr>
      <w:keepNext/>
      <w:numPr>
        <w:ilvl w:val="2"/>
        <w:numId w:val="9"/>
      </w:numPr>
      <w:tabs>
        <w:tab w:val="left" w:pos="2160"/>
      </w:tabs>
      <w:spacing w:after="120"/>
      <w:outlineLvl w:val="2"/>
    </w:pPr>
    <w:rPr>
      <w:b/>
    </w:rPr>
  </w:style>
  <w:style w:type="paragraph" w:styleId="Heading4">
    <w:name w:val="heading 4"/>
    <w:basedOn w:val="Normal"/>
    <w:next w:val="ParaNum"/>
    <w:link w:val="Heading4Char"/>
    <w:qFormat/>
    <w:rsid w:val="009B172B"/>
    <w:pPr>
      <w:keepNext/>
      <w:numPr>
        <w:ilvl w:val="3"/>
        <w:numId w:val="9"/>
      </w:numPr>
      <w:tabs>
        <w:tab w:val="left" w:pos="2880"/>
      </w:tabs>
      <w:spacing w:after="120"/>
      <w:outlineLvl w:val="3"/>
    </w:pPr>
    <w:rPr>
      <w:b/>
    </w:rPr>
  </w:style>
  <w:style w:type="paragraph" w:styleId="Heading5">
    <w:name w:val="heading 5"/>
    <w:basedOn w:val="Normal"/>
    <w:next w:val="ParaNum"/>
    <w:link w:val="Heading5Char"/>
    <w:qFormat/>
    <w:rsid w:val="009B172B"/>
    <w:pPr>
      <w:keepNext/>
      <w:numPr>
        <w:ilvl w:val="4"/>
        <w:numId w:val="9"/>
      </w:numPr>
      <w:tabs>
        <w:tab w:val="left" w:pos="3600"/>
      </w:tabs>
      <w:suppressAutoHyphens/>
      <w:spacing w:after="120"/>
      <w:outlineLvl w:val="4"/>
    </w:pPr>
    <w:rPr>
      <w:b/>
    </w:rPr>
  </w:style>
  <w:style w:type="paragraph" w:styleId="Heading6">
    <w:name w:val="heading 6"/>
    <w:basedOn w:val="Normal"/>
    <w:next w:val="ParaNum"/>
    <w:link w:val="Heading6Char"/>
    <w:qFormat/>
    <w:rsid w:val="009B172B"/>
    <w:pPr>
      <w:numPr>
        <w:ilvl w:val="5"/>
        <w:numId w:val="9"/>
      </w:numPr>
      <w:tabs>
        <w:tab w:val="left" w:pos="4320"/>
      </w:tabs>
      <w:spacing w:after="120"/>
      <w:outlineLvl w:val="5"/>
    </w:pPr>
    <w:rPr>
      <w:b/>
    </w:rPr>
  </w:style>
  <w:style w:type="paragraph" w:styleId="Heading7">
    <w:name w:val="heading 7"/>
    <w:basedOn w:val="Normal"/>
    <w:next w:val="ParaNum"/>
    <w:link w:val="Heading7Char"/>
    <w:qFormat/>
    <w:rsid w:val="009B172B"/>
    <w:pPr>
      <w:numPr>
        <w:ilvl w:val="6"/>
        <w:numId w:val="9"/>
      </w:numPr>
      <w:tabs>
        <w:tab w:val="left" w:pos="5040"/>
      </w:tabs>
      <w:spacing w:after="120"/>
      <w:ind w:left="5040" w:hanging="720"/>
      <w:outlineLvl w:val="6"/>
    </w:pPr>
    <w:rPr>
      <w:b/>
    </w:rPr>
  </w:style>
  <w:style w:type="paragraph" w:styleId="Heading8">
    <w:name w:val="heading 8"/>
    <w:basedOn w:val="Normal"/>
    <w:next w:val="ParaNum"/>
    <w:link w:val="Heading8Char"/>
    <w:qFormat/>
    <w:rsid w:val="009B172B"/>
    <w:pPr>
      <w:numPr>
        <w:ilvl w:val="7"/>
        <w:numId w:val="9"/>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9B172B"/>
    <w:pPr>
      <w:numPr>
        <w:ilvl w:val="8"/>
        <w:numId w:val="9"/>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B172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B172B"/>
  </w:style>
  <w:style w:type="paragraph" w:styleId="BalloonText">
    <w:name w:val="Balloon Text"/>
    <w:basedOn w:val="Normal"/>
    <w:link w:val="BalloonTextChar"/>
    <w:semiHidden/>
    <w:rsid w:val="00EB3488"/>
    <w:rPr>
      <w:rFonts w:ascii="Tahoma" w:hAnsi="Tahoma" w:cs="Tahoma"/>
      <w:sz w:val="16"/>
      <w:szCs w:val="16"/>
    </w:rPr>
  </w:style>
  <w:style w:type="character" w:customStyle="1" w:styleId="Heading1Char">
    <w:name w:val="Heading 1 Char"/>
    <w:link w:val="Heading1"/>
    <w:locked/>
    <w:rsid w:val="0055079B"/>
    <w:rPr>
      <w:rFonts w:ascii="Times New Roman Bold" w:hAnsi="Times New Roman Bold"/>
      <w:b/>
      <w:caps/>
      <w:snapToGrid w:val="0"/>
      <w:kern w:val="28"/>
      <w:sz w:val="22"/>
    </w:rPr>
  </w:style>
  <w:style w:type="character" w:customStyle="1" w:styleId="Heading2Char">
    <w:name w:val="Heading 2 Char"/>
    <w:link w:val="Heading2"/>
    <w:locked/>
    <w:rsid w:val="0055079B"/>
    <w:rPr>
      <w:b/>
      <w:snapToGrid w:val="0"/>
      <w:kern w:val="28"/>
      <w:sz w:val="22"/>
    </w:rPr>
  </w:style>
  <w:style w:type="character" w:customStyle="1" w:styleId="Heading3Char">
    <w:name w:val="Heading 3 Char"/>
    <w:link w:val="Heading3"/>
    <w:locked/>
    <w:rsid w:val="0055079B"/>
    <w:rPr>
      <w:b/>
      <w:snapToGrid w:val="0"/>
      <w:kern w:val="28"/>
      <w:sz w:val="22"/>
    </w:rPr>
  </w:style>
  <w:style w:type="character" w:customStyle="1" w:styleId="Heading4Char">
    <w:name w:val="Heading 4 Char"/>
    <w:link w:val="Heading4"/>
    <w:locked/>
    <w:rsid w:val="0055079B"/>
    <w:rPr>
      <w:b/>
      <w:snapToGrid w:val="0"/>
      <w:kern w:val="28"/>
      <w:sz w:val="22"/>
    </w:rPr>
  </w:style>
  <w:style w:type="character" w:customStyle="1" w:styleId="Heading5Char">
    <w:name w:val="Heading 5 Char"/>
    <w:link w:val="Heading5"/>
    <w:locked/>
    <w:rsid w:val="0055079B"/>
    <w:rPr>
      <w:b/>
      <w:snapToGrid w:val="0"/>
      <w:kern w:val="28"/>
      <w:sz w:val="22"/>
    </w:rPr>
  </w:style>
  <w:style w:type="character" w:customStyle="1" w:styleId="Heading6Char">
    <w:name w:val="Heading 6 Char"/>
    <w:link w:val="Heading6"/>
    <w:locked/>
    <w:rsid w:val="0055079B"/>
    <w:rPr>
      <w:b/>
      <w:snapToGrid w:val="0"/>
      <w:kern w:val="28"/>
      <w:sz w:val="22"/>
    </w:rPr>
  </w:style>
  <w:style w:type="character" w:customStyle="1" w:styleId="Heading7Char">
    <w:name w:val="Heading 7 Char"/>
    <w:link w:val="Heading7"/>
    <w:locked/>
    <w:rsid w:val="0055079B"/>
    <w:rPr>
      <w:b/>
      <w:snapToGrid w:val="0"/>
      <w:kern w:val="28"/>
      <w:sz w:val="22"/>
    </w:rPr>
  </w:style>
  <w:style w:type="character" w:customStyle="1" w:styleId="Heading8Char">
    <w:name w:val="Heading 8 Char"/>
    <w:link w:val="Heading8"/>
    <w:locked/>
    <w:rsid w:val="0055079B"/>
    <w:rPr>
      <w:b/>
      <w:snapToGrid w:val="0"/>
      <w:kern w:val="28"/>
      <w:sz w:val="22"/>
    </w:rPr>
  </w:style>
  <w:style w:type="character" w:customStyle="1" w:styleId="Heading9Char">
    <w:name w:val="Heading 9 Char"/>
    <w:link w:val="Heading9"/>
    <w:locked/>
    <w:rsid w:val="0055079B"/>
    <w:rPr>
      <w:b/>
      <w:snapToGrid w:val="0"/>
      <w:kern w:val="28"/>
      <w:sz w:val="22"/>
    </w:rPr>
  </w:style>
  <w:style w:type="character" w:customStyle="1" w:styleId="BalloonTextChar">
    <w:name w:val="Balloon Text Char"/>
    <w:link w:val="BalloonText"/>
    <w:semiHidden/>
    <w:locked/>
    <w:rsid w:val="0055079B"/>
    <w:rPr>
      <w:rFonts w:cs="Times New Roman"/>
      <w:sz w:val="2"/>
    </w:rPr>
  </w:style>
  <w:style w:type="paragraph" w:styleId="Header">
    <w:name w:val="header"/>
    <w:basedOn w:val="Normal"/>
    <w:link w:val="HeaderChar"/>
    <w:autoRedefine/>
    <w:rsid w:val="009B172B"/>
    <w:pPr>
      <w:tabs>
        <w:tab w:val="center" w:pos="4680"/>
        <w:tab w:val="right" w:pos="9360"/>
      </w:tabs>
    </w:pPr>
    <w:rPr>
      <w:b/>
    </w:rPr>
  </w:style>
  <w:style w:type="character" w:customStyle="1" w:styleId="HeaderChar">
    <w:name w:val="Header Char"/>
    <w:link w:val="Header"/>
    <w:locked/>
    <w:rsid w:val="0055079B"/>
    <w:rPr>
      <w:b/>
      <w:snapToGrid w:val="0"/>
      <w:kern w:val="28"/>
      <w:sz w:val="22"/>
    </w:rPr>
  </w:style>
  <w:style w:type="paragraph" w:styleId="Footer">
    <w:name w:val="footer"/>
    <w:basedOn w:val="Normal"/>
    <w:link w:val="FooterChar"/>
    <w:rsid w:val="009B172B"/>
    <w:pPr>
      <w:tabs>
        <w:tab w:val="center" w:pos="4320"/>
        <w:tab w:val="right" w:pos="8640"/>
      </w:tabs>
    </w:pPr>
  </w:style>
  <w:style w:type="character" w:customStyle="1" w:styleId="FooterChar">
    <w:name w:val="Footer Char"/>
    <w:link w:val="Footer"/>
    <w:locked/>
    <w:rsid w:val="00EB3488"/>
    <w:rPr>
      <w:snapToGrid w:val="0"/>
      <w:kern w:val="28"/>
      <w:sz w:val="22"/>
    </w:rPr>
  </w:style>
  <w:style w:type="character" w:styleId="PageNumber">
    <w:name w:val="page number"/>
    <w:basedOn w:val="DefaultParagraphFont"/>
    <w:rsid w:val="009B172B"/>
  </w:style>
  <w:style w:type="paragraph" w:customStyle="1" w:styleId="FirstPageHeader">
    <w:name w:val="First Page Header"/>
    <w:basedOn w:val="Normal"/>
    <w:rsid w:val="00EB3488"/>
    <w:pPr>
      <w:tabs>
        <w:tab w:val="center" w:pos="4320"/>
        <w:tab w:val="right" w:pos="8640"/>
      </w:tabs>
    </w:pPr>
    <w:rPr>
      <w:b/>
    </w:rPr>
  </w:style>
  <w:style w:type="paragraph" w:customStyle="1" w:styleId="Titleinfo">
    <w:name w:val="Title info"/>
    <w:basedOn w:val="Header"/>
    <w:rsid w:val="00EB3488"/>
  </w:style>
  <w:style w:type="paragraph" w:customStyle="1" w:styleId="Numberedparagraphs">
    <w:name w:val="Numbered paragraphs"/>
    <w:basedOn w:val="Normal"/>
    <w:rsid w:val="00EB3488"/>
    <w:pPr>
      <w:numPr>
        <w:ilvl w:val="2"/>
        <w:numId w:val="1"/>
      </w:numPr>
      <w:spacing w:after="220"/>
    </w:p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
    <w:link w:val="FootnoteTextChar2"/>
    <w:rsid w:val="009B172B"/>
    <w:pPr>
      <w:spacing w:after="120"/>
    </w:p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
    <w:semiHidden/>
    <w:locked/>
    <w:rsid w:val="0055079B"/>
    <w:rPr>
      <w:rFonts w:cs="Times New Roman"/>
      <w:sz w:val="20"/>
      <w:szCs w:val="20"/>
    </w:rPr>
  </w:style>
  <w:style w:type="character" w:styleId="FootnoteReference">
    <w:name w:val="footnote reference"/>
    <w:aliases w:val="Style 12,(NECG) Footnote Reference,Style 13,Appel note de bas de p,Style 124,fr,o,Style 3,FR,Style 6,Style 17,Footnote Reference/,Style 7,Footnote Reference1"/>
    <w:rsid w:val="009B172B"/>
    <w:rPr>
      <w:rFonts w:ascii="Times New Roman" w:hAnsi="Times New Roman"/>
      <w:dstrike w:val="0"/>
      <w:color w:val="auto"/>
      <w:sz w:val="20"/>
      <w:vertAlign w:val="superscript"/>
    </w:rPr>
  </w:style>
  <w:style w:type="character" w:styleId="Hyperlink">
    <w:name w:val="Hyperlink"/>
    <w:rsid w:val="009B172B"/>
    <w:rPr>
      <w:color w:val="0000FF"/>
      <w:u w:val="single"/>
    </w:rPr>
  </w:style>
  <w:style w:type="character" w:customStyle="1" w:styleId="documentbody1">
    <w:name w:val="documentbody1"/>
    <w:rsid w:val="00EB3488"/>
    <w:rPr>
      <w:rFonts w:ascii="Verdana" w:hAnsi="Verdana"/>
      <w:sz w:val="19"/>
    </w:rPr>
  </w:style>
  <w:style w:type="character" w:styleId="FollowedHyperlink">
    <w:name w:val="FollowedHyperlink"/>
    <w:rsid w:val="00EB3488"/>
    <w:rPr>
      <w:rFonts w:cs="Times New Roman"/>
      <w:color w:val="800080"/>
      <w:u w:val="single"/>
    </w:rPr>
  </w:style>
  <w:style w:type="paragraph" w:customStyle="1" w:styleId="StyleNumberedparagraphs11pt">
    <w:name w:val="Style Numbered paragraphs + 11 pt"/>
    <w:basedOn w:val="Numberedparagraphs"/>
    <w:autoRedefine/>
    <w:rsid w:val="00EB3488"/>
    <w:pPr>
      <w:numPr>
        <w:ilvl w:val="0"/>
        <w:numId w:val="0"/>
      </w:numPr>
      <w:ind w:firstLine="720"/>
    </w:pPr>
    <w:rPr>
      <w:szCs w:val="22"/>
    </w:rPr>
  </w:style>
  <w:style w:type="character" w:customStyle="1" w:styleId="NumberedparagraphsChar">
    <w:name w:val="Numbered paragraphs Char"/>
    <w:rsid w:val="00EB3488"/>
    <w:rPr>
      <w:sz w:val="24"/>
      <w:lang w:val="en-US" w:eastAsia="en-US"/>
    </w:rPr>
  </w:style>
  <w:style w:type="character" w:customStyle="1" w:styleId="StyleNumberedparagraphs11ptChar">
    <w:name w:val="Style Numbered paragraphs + 11 pt Char"/>
    <w:rsid w:val="00EB3488"/>
    <w:rPr>
      <w:sz w:val="22"/>
      <w:lang w:val="en-US" w:eastAsia="en-US"/>
    </w:rPr>
  </w:style>
  <w:style w:type="paragraph" w:styleId="NormalWeb">
    <w:name w:val="Normal (Web)"/>
    <w:basedOn w:val="Normal"/>
    <w:rsid w:val="00EB3488"/>
    <w:pPr>
      <w:spacing w:before="100" w:beforeAutospacing="1" w:after="100" w:afterAutospacing="1"/>
    </w:pPr>
    <w:rPr>
      <w:szCs w:val="24"/>
    </w:rPr>
  </w:style>
  <w:style w:type="character" w:customStyle="1" w:styleId="FootnoteTextChar11">
    <w:name w:val="Footnote Text Char11"/>
    <w:aliases w:val="ALTS FOOTNOTE Char11,fn Char11,Footnote Text Char Char2,ALTS FOOTNOTE Char Char2,fn Char Char2,Footnote Text Char1 Char Char2,Footnote Text Char Char Char Char2,Footnote Text Char2 Char Char Char Char2,Footnote Text Char3 Char"/>
    <w:rsid w:val="00EB3488"/>
    <w:rPr>
      <w:lang w:val="en-US" w:eastAsia="en-US"/>
    </w:rPr>
  </w:style>
  <w:style w:type="character" w:customStyle="1" w:styleId="FootnoteTextChar1Char1">
    <w:name w:val="Footnote Text Char1 Char1"/>
    <w:aliases w:val="Footnote Text Char Char Char1,Footnote Text Char1 Char Char Char1,Footnote Text Char Char Char Char Char1,Footnote Text Char1 Char Char Char Char Char,ALTS FOOTNOTE Char1 Char Char Char Char Char,Footnote Text Char Char1 Char"/>
    <w:rsid w:val="00EB3488"/>
    <w:rPr>
      <w:sz w:val="24"/>
      <w:lang w:val="en-US" w:eastAsia="en-US"/>
    </w:rPr>
  </w:style>
  <w:style w:type="character" w:styleId="EndnoteReference">
    <w:name w:val="endnote reference"/>
    <w:semiHidden/>
    <w:rsid w:val="009B172B"/>
    <w:rPr>
      <w:vertAlign w:val="superscript"/>
    </w:rPr>
  </w:style>
  <w:style w:type="character" w:customStyle="1" w:styleId="StyleFootnoteReference10pt">
    <w:name w:val="Style Footnote Reference + 10 pt"/>
    <w:rsid w:val="00EB3488"/>
    <w:rPr>
      <w:rFonts w:ascii="Times New Roman" w:hAnsi="Times New Roman"/>
      <w:sz w:val="22"/>
      <w:vertAlign w:val="superscript"/>
    </w:rPr>
  </w:style>
  <w:style w:type="paragraph" w:customStyle="1" w:styleId="NumberedList">
    <w:name w:val="Numbered List"/>
    <w:basedOn w:val="Normal"/>
    <w:rsid w:val="00EB3488"/>
    <w:pPr>
      <w:numPr>
        <w:numId w:val="2"/>
      </w:numPr>
      <w:spacing w:after="220"/>
    </w:pPr>
  </w:style>
  <w:style w:type="paragraph" w:customStyle="1" w:styleId="ParaNum">
    <w:name w:val="ParaNum"/>
    <w:basedOn w:val="Normal"/>
    <w:rsid w:val="009B172B"/>
    <w:pPr>
      <w:numPr>
        <w:numId w:val="4"/>
      </w:numPr>
      <w:tabs>
        <w:tab w:val="clear" w:pos="1080"/>
        <w:tab w:val="num" w:pos="1440"/>
      </w:tabs>
      <w:spacing w:after="120"/>
    </w:pPr>
  </w:style>
  <w:style w:type="paragraph" w:customStyle="1" w:styleId="TableFormat">
    <w:name w:val="TableFormat"/>
    <w:basedOn w:val="Bullet"/>
    <w:rsid w:val="009B172B"/>
    <w:pPr>
      <w:tabs>
        <w:tab w:val="clear" w:pos="2160"/>
        <w:tab w:val="left" w:pos="5040"/>
      </w:tabs>
      <w:ind w:left="5040" w:hanging="3600"/>
    </w:pPr>
  </w:style>
  <w:style w:type="character" w:customStyle="1" w:styleId="FootnoteTextChar2Char">
    <w:name w:val="Footnote Text Char2 Char"/>
    <w:aliases w:val="Footnote Text Char1 Char Char Char,rrfootnote Char Char Char Char,ALTS FOOTNOTE Char1 Char Char Char,fn Char1 Char Char Char,Footnote Text Char Char Char Char Char1 Cha,ALTS FOOTNOTE Char1 Char,fn Char1 Char,fn Char Char Char"/>
    <w:rsid w:val="00EB3488"/>
    <w:rPr>
      <w:lang w:val="en-US" w:eastAsia="en-US"/>
    </w:rPr>
  </w:style>
  <w:style w:type="character" w:customStyle="1" w:styleId="searchterm3">
    <w:name w:val="searchterm3"/>
    <w:rsid w:val="00EB3488"/>
    <w:rPr>
      <w:rFonts w:ascii="Verdana" w:hAnsi="Verdana"/>
      <w:b/>
      <w:sz w:val="19"/>
      <w:shd w:val="clear" w:color="auto" w:fill="FFFF00"/>
    </w:rPr>
  </w:style>
  <w:style w:type="table" w:styleId="TableGrid">
    <w:name w:val="Table Grid"/>
    <w:basedOn w:val="TableNormal"/>
    <w:rsid w:val="00EB34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NumCharCharCharCharChar">
    <w:name w:val="ParaNum Char Char Char Char Char"/>
    <w:basedOn w:val="Normal"/>
    <w:rsid w:val="00EB3488"/>
    <w:pPr>
      <w:tabs>
        <w:tab w:val="num" w:pos="1080"/>
      </w:tabs>
      <w:spacing w:after="220"/>
      <w:ind w:firstLine="720"/>
      <w:jc w:val="both"/>
    </w:pPr>
  </w:style>
  <w:style w:type="character" w:customStyle="1" w:styleId="FootnoteTextChar2">
    <w:name w:val="Footnote Text Char2"/>
    <w:aliases w:val="ALTS FOOTNOTE Char2,fn Char2,Footnote Text Char Char1,ALTS FOOTNOTE Char Char1,fn Char Char1,Footnote Text Char1 Char Char1,Footnote Text Char Char Char Char1,Footnote Text Char2 Char Char Char Char1"/>
    <w:link w:val="FootnoteText"/>
    <w:locked/>
    <w:rsid w:val="00EB3488"/>
  </w:style>
  <w:style w:type="character" w:styleId="CommentReference">
    <w:name w:val="annotation reference"/>
    <w:rsid w:val="00EB3488"/>
    <w:rPr>
      <w:rFonts w:cs="Times New Roman"/>
      <w:sz w:val="16"/>
    </w:rPr>
  </w:style>
  <w:style w:type="paragraph" w:styleId="CommentText">
    <w:name w:val="annotation text"/>
    <w:basedOn w:val="Normal"/>
    <w:link w:val="CommentTextChar"/>
    <w:rsid w:val="00EB3488"/>
    <w:rPr>
      <w:sz w:val="20"/>
    </w:rPr>
  </w:style>
  <w:style w:type="character" w:customStyle="1" w:styleId="CommentTextChar">
    <w:name w:val="Comment Text Char"/>
    <w:link w:val="CommentText"/>
    <w:locked/>
    <w:rsid w:val="00EB3488"/>
    <w:rPr>
      <w:rFonts w:cs="Times New Roman"/>
    </w:rPr>
  </w:style>
  <w:style w:type="paragraph" w:styleId="CommentSubject">
    <w:name w:val="annotation subject"/>
    <w:basedOn w:val="CommentText"/>
    <w:next w:val="CommentText"/>
    <w:link w:val="CommentSubjectChar"/>
    <w:rsid w:val="00EB3488"/>
    <w:rPr>
      <w:b/>
      <w:bCs/>
    </w:rPr>
  </w:style>
  <w:style w:type="character" w:customStyle="1" w:styleId="CommentSubjectChar">
    <w:name w:val="Comment Subject Char"/>
    <w:link w:val="CommentSubject"/>
    <w:locked/>
    <w:rsid w:val="00EB3488"/>
    <w:rPr>
      <w:rFonts w:cs="Times New Roman"/>
      <w:b/>
    </w:rPr>
  </w:style>
  <w:style w:type="paragraph" w:styleId="TOC5">
    <w:name w:val="toc 5"/>
    <w:basedOn w:val="Normal"/>
    <w:next w:val="Normal"/>
    <w:autoRedefine/>
    <w:rsid w:val="009B172B"/>
    <w:pPr>
      <w:tabs>
        <w:tab w:val="left" w:pos="1800"/>
        <w:tab w:val="right" w:leader="dot" w:pos="9360"/>
      </w:tabs>
      <w:suppressAutoHyphens/>
      <w:ind w:left="1800" w:right="720" w:hanging="360"/>
    </w:pPr>
    <w:rPr>
      <w:noProof/>
    </w:rPr>
  </w:style>
  <w:style w:type="paragraph" w:styleId="Revision">
    <w:name w:val="Revision"/>
    <w:hidden/>
    <w:semiHidden/>
    <w:rsid w:val="00B56D03"/>
    <w:rPr>
      <w:sz w:val="24"/>
    </w:rPr>
  </w:style>
  <w:style w:type="paragraph" w:styleId="EndnoteText">
    <w:name w:val="endnote text"/>
    <w:basedOn w:val="Normal"/>
    <w:link w:val="EndnoteTextChar"/>
    <w:locked/>
    <w:rsid w:val="009B172B"/>
    <w:rPr>
      <w:sz w:val="20"/>
    </w:rPr>
  </w:style>
  <w:style w:type="character" w:customStyle="1" w:styleId="EndnoteTextChar">
    <w:name w:val="Endnote Text Char"/>
    <w:basedOn w:val="DefaultParagraphFont"/>
    <w:link w:val="EndnoteText"/>
    <w:rsid w:val="00B57F23"/>
    <w:rPr>
      <w:snapToGrid w:val="0"/>
      <w:kern w:val="28"/>
    </w:rPr>
  </w:style>
  <w:style w:type="paragraph" w:styleId="TOC1">
    <w:name w:val="toc 1"/>
    <w:basedOn w:val="Normal"/>
    <w:next w:val="Normal"/>
    <w:rsid w:val="009B172B"/>
    <w:pPr>
      <w:tabs>
        <w:tab w:val="left" w:pos="360"/>
        <w:tab w:val="right" w:leader="dot" w:pos="9360"/>
      </w:tabs>
      <w:suppressAutoHyphens/>
      <w:ind w:left="360" w:right="720" w:hanging="360"/>
    </w:pPr>
    <w:rPr>
      <w:caps/>
      <w:noProof/>
    </w:rPr>
  </w:style>
  <w:style w:type="paragraph" w:styleId="TOC2">
    <w:name w:val="toc 2"/>
    <w:basedOn w:val="Normal"/>
    <w:next w:val="Normal"/>
    <w:rsid w:val="009B172B"/>
    <w:pPr>
      <w:tabs>
        <w:tab w:val="left" w:pos="720"/>
        <w:tab w:val="right" w:leader="dot" w:pos="9360"/>
      </w:tabs>
      <w:suppressAutoHyphens/>
      <w:ind w:left="720" w:right="720" w:hanging="360"/>
    </w:pPr>
    <w:rPr>
      <w:noProof/>
    </w:rPr>
  </w:style>
  <w:style w:type="paragraph" w:styleId="TOC3">
    <w:name w:val="toc 3"/>
    <w:basedOn w:val="Normal"/>
    <w:next w:val="Normal"/>
    <w:rsid w:val="009B172B"/>
    <w:pPr>
      <w:tabs>
        <w:tab w:val="left" w:pos="1080"/>
        <w:tab w:val="right" w:leader="dot" w:pos="9360"/>
      </w:tabs>
      <w:suppressAutoHyphens/>
      <w:ind w:left="1080" w:right="720" w:hanging="360"/>
    </w:pPr>
    <w:rPr>
      <w:noProof/>
    </w:rPr>
  </w:style>
  <w:style w:type="paragraph" w:styleId="TOC4">
    <w:name w:val="toc 4"/>
    <w:basedOn w:val="Normal"/>
    <w:next w:val="Normal"/>
    <w:autoRedefine/>
    <w:rsid w:val="009B172B"/>
    <w:pPr>
      <w:tabs>
        <w:tab w:val="left" w:pos="1440"/>
        <w:tab w:val="right" w:leader="dot" w:pos="9360"/>
      </w:tabs>
      <w:suppressAutoHyphens/>
      <w:ind w:left="1440" w:right="720" w:hanging="360"/>
    </w:pPr>
    <w:rPr>
      <w:noProof/>
    </w:rPr>
  </w:style>
  <w:style w:type="paragraph" w:styleId="TOC6">
    <w:name w:val="toc 6"/>
    <w:basedOn w:val="Normal"/>
    <w:next w:val="Normal"/>
    <w:autoRedefine/>
    <w:rsid w:val="009B172B"/>
    <w:pPr>
      <w:tabs>
        <w:tab w:val="left" w:pos="2160"/>
        <w:tab w:val="right" w:leader="dot" w:pos="9360"/>
      </w:tabs>
      <w:suppressAutoHyphens/>
      <w:ind w:left="2160" w:hanging="360"/>
    </w:pPr>
    <w:rPr>
      <w:noProof/>
    </w:rPr>
  </w:style>
  <w:style w:type="paragraph" w:styleId="TOC7">
    <w:name w:val="toc 7"/>
    <w:basedOn w:val="Normal"/>
    <w:next w:val="Normal"/>
    <w:autoRedefine/>
    <w:rsid w:val="009B172B"/>
    <w:pPr>
      <w:tabs>
        <w:tab w:val="left" w:pos="2520"/>
        <w:tab w:val="right" w:leader="dot" w:pos="9360"/>
      </w:tabs>
      <w:suppressAutoHyphens/>
      <w:ind w:left="2520" w:hanging="360"/>
    </w:pPr>
    <w:rPr>
      <w:noProof/>
    </w:rPr>
  </w:style>
  <w:style w:type="paragraph" w:styleId="TOC8">
    <w:name w:val="toc 8"/>
    <w:basedOn w:val="Normal"/>
    <w:next w:val="Normal"/>
    <w:autoRedefine/>
    <w:rsid w:val="009B172B"/>
    <w:pPr>
      <w:tabs>
        <w:tab w:val="left" w:pos="2880"/>
        <w:tab w:val="right" w:leader="dot" w:pos="9360"/>
      </w:tabs>
      <w:suppressAutoHyphens/>
      <w:ind w:left="2880" w:hanging="360"/>
    </w:pPr>
    <w:rPr>
      <w:noProof/>
    </w:rPr>
  </w:style>
  <w:style w:type="paragraph" w:styleId="TOC9">
    <w:name w:val="toc 9"/>
    <w:basedOn w:val="Normal"/>
    <w:next w:val="Normal"/>
    <w:autoRedefine/>
    <w:rsid w:val="009B172B"/>
    <w:pPr>
      <w:tabs>
        <w:tab w:val="left" w:pos="3240"/>
        <w:tab w:val="right" w:leader="dot" w:pos="9360"/>
      </w:tabs>
      <w:suppressAutoHyphens/>
      <w:ind w:left="3240" w:hanging="360"/>
    </w:pPr>
    <w:rPr>
      <w:noProof/>
    </w:rPr>
  </w:style>
  <w:style w:type="paragraph" w:styleId="TOAHeading">
    <w:name w:val="toa heading"/>
    <w:basedOn w:val="Normal"/>
    <w:next w:val="Normal"/>
    <w:locked/>
    <w:rsid w:val="009B172B"/>
    <w:pPr>
      <w:tabs>
        <w:tab w:val="right" w:pos="9360"/>
      </w:tabs>
      <w:suppressAutoHyphens/>
    </w:pPr>
  </w:style>
  <w:style w:type="character" w:customStyle="1" w:styleId="EquationCaption">
    <w:name w:val="_Equation Caption"/>
    <w:rsid w:val="009B172B"/>
  </w:style>
  <w:style w:type="paragraph" w:styleId="BlockText">
    <w:name w:val="Block Text"/>
    <w:basedOn w:val="Normal"/>
    <w:locked/>
    <w:rsid w:val="009B172B"/>
    <w:pPr>
      <w:spacing w:after="240"/>
      <w:ind w:left="1440" w:right="1440"/>
    </w:pPr>
  </w:style>
  <w:style w:type="paragraph" w:customStyle="1" w:styleId="Paratitle">
    <w:name w:val="Para title"/>
    <w:basedOn w:val="Normal"/>
    <w:rsid w:val="009B172B"/>
    <w:pPr>
      <w:tabs>
        <w:tab w:val="center" w:pos="9270"/>
      </w:tabs>
      <w:spacing w:after="240"/>
    </w:pPr>
    <w:rPr>
      <w:spacing w:val="-2"/>
    </w:rPr>
  </w:style>
  <w:style w:type="paragraph" w:customStyle="1" w:styleId="Bullet">
    <w:name w:val="Bullet"/>
    <w:basedOn w:val="Normal"/>
    <w:rsid w:val="009B172B"/>
    <w:pPr>
      <w:tabs>
        <w:tab w:val="left" w:pos="2160"/>
      </w:tabs>
      <w:spacing w:after="220"/>
      <w:ind w:left="2160" w:hanging="720"/>
    </w:pPr>
  </w:style>
  <w:style w:type="paragraph" w:customStyle="1" w:styleId="TOCTitle">
    <w:name w:val="TOC Title"/>
    <w:basedOn w:val="Normal"/>
    <w:rsid w:val="009B172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B172B"/>
    <w:pPr>
      <w:jc w:val="center"/>
    </w:pPr>
    <w:rPr>
      <w:rFonts w:ascii="Times New Roman Bold" w:hAnsi="Times New Roman Bold"/>
      <w:b/>
      <w:bCs/>
      <w:cap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1598712347">
      <w:bodyDiv w:val="1"/>
      <w:marLeft w:val="0"/>
      <w:marRight w:val="0"/>
      <w:marTop w:val="0"/>
      <w:marBottom w:val="0"/>
      <w:divBdr>
        <w:top w:val="none" w:sz="0" w:space="0" w:color="auto"/>
        <w:left w:val="none" w:sz="0" w:space="0" w:color="auto"/>
        <w:bottom w:val="none" w:sz="0" w:space="0" w:color="auto"/>
        <w:right w:val="none" w:sz="0" w:space="0" w:color="auto"/>
      </w:divBdr>
    </w:div>
    <w:div w:id="198738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sl.universalservice.org/whatsnew/2001/112001.asp" TargetMode="External"/><Relationship Id="rId3" Type="http://schemas.openxmlformats.org/officeDocument/2006/relationships/hyperlink" Target="http://www.sl.universalservice.org/reference/8bear.asp" TargetMode="External"/><Relationship Id="rId7" Type="http://schemas.openxmlformats.org/officeDocument/2006/relationships/hyperlink" Target="http://www.sl.universalservice.org/whatsnew/2002/062002.asp" TargetMode="External"/><Relationship Id="rId2" Type="http://schemas.openxmlformats.org/officeDocument/2006/relationships/hyperlink" Target="http://www.usac.org/sl/applicants/step06/" TargetMode="External"/><Relationship Id="rId1" Type="http://schemas.openxmlformats.org/officeDocument/2006/relationships/hyperlink" Target="http://www.usac.org/sl/applicants/step06/form-486.aspx" TargetMode="External"/><Relationship Id="rId6" Type="http://schemas.openxmlformats.org/officeDocument/2006/relationships/hyperlink" Target="http://www.universalservice.org/_res/documents/sl/pdf/forms/474.pdf" TargetMode="External"/><Relationship Id="rId5" Type="http://schemas.openxmlformats.org/officeDocument/2006/relationships/hyperlink" Target="http://www.universalservice.org/_res/documents/sl/pdf/forms/472.pdf" TargetMode="External"/><Relationship Id="rId10" Type="http://schemas.openxmlformats.org/officeDocument/2006/relationships/hyperlink" Target="http://www.sl.universalservice.org/whatsnew/2003/102003.asp" TargetMode="External"/><Relationship Id="rId4" Type="http://schemas.openxmlformats.org/officeDocument/2006/relationships/hyperlink" Target="http://www.usac.org/sl/service-providers/step05/default.aspx" TargetMode="External"/><Relationship Id="rId9" Type="http://schemas.openxmlformats.org/officeDocument/2006/relationships/hyperlink" Target="http://www.sl.universalservice.org/whatsnew/2002/122002.as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3</Pages>
  <Words>1675</Words>
  <Characters>9091</Characters>
  <Application>Microsoft Office Word</Application>
  <DocSecurity>0</DocSecurity>
  <Lines>181</Lines>
  <Paragraphs>60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10785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2012-06-11T17:29:00Z</cp:lastPrinted>
  <dcterms:created xsi:type="dcterms:W3CDTF">2015-05-11T18:24:00Z</dcterms:created>
  <dcterms:modified xsi:type="dcterms:W3CDTF">2015-05-11T18:24:00Z</dcterms:modified>
  <cp:category> </cp:category>
  <cp:contentStatus> </cp:contentStatus>
</cp:coreProperties>
</file>