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C1" w:rsidRPr="00643FB4" w:rsidRDefault="002E73C1" w:rsidP="005D0346">
      <w:pPr>
        <w:rPr>
          <w:sz w:val="24"/>
          <w:szCs w:val="24"/>
        </w:rPr>
      </w:pPr>
      <w:bookmarkStart w:id="0" w:name="_GoBack"/>
      <w:bookmarkEnd w:id="0"/>
    </w:p>
    <w:p w:rsidR="002E73C1" w:rsidRPr="004103DB" w:rsidRDefault="00880A58" w:rsidP="005D0346">
      <w:pPr>
        <w:jc w:val="right"/>
        <w:rPr>
          <w:b/>
          <w:sz w:val="24"/>
          <w:szCs w:val="24"/>
        </w:rPr>
      </w:pPr>
      <w:r w:rsidRPr="004103DB">
        <w:rPr>
          <w:b/>
          <w:sz w:val="24"/>
          <w:szCs w:val="24"/>
        </w:rPr>
        <w:t xml:space="preserve">DA </w:t>
      </w:r>
      <w:r w:rsidR="006C3403" w:rsidRPr="004103DB">
        <w:rPr>
          <w:b/>
          <w:sz w:val="24"/>
          <w:szCs w:val="24"/>
        </w:rPr>
        <w:t>1</w:t>
      </w:r>
      <w:r w:rsidR="00B40414" w:rsidRPr="004103DB">
        <w:rPr>
          <w:b/>
          <w:sz w:val="24"/>
          <w:szCs w:val="24"/>
        </w:rPr>
        <w:t>5</w:t>
      </w:r>
      <w:r w:rsidR="006C3403" w:rsidRPr="004103DB">
        <w:rPr>
          <w:b/>
          <w:sz w:val="24"/>
          <w:szCs w:val="24"/>
        </w:rPr>
        <w:t>-</w:t>
      </w:r>
      <w:r w:rsidR="00B96983" w:rsidRPr="004103DB">
        <w:rPr>
          <w:b/>
          <w:sz w:val="24"/>
          <w:szCs w:val="24"/>
        </w:rPr>
        <w:t>576</w:t>
      </w:r>
    </w:p>
    <w:p w:rsidR="002E73C1" w:rsidRPr="00643FB4" w:rsidRDefault="002E73C1" w:rsidP="005D0346">
      <w:pPr>
        <w:jc w:val="center"/>
        <w:rPr>
          <w:sz w:val="24"/>
          <w:szCs w:val="24"/>
        </w:rPr>
      </w:pPr>
    </w:p>
    <w:p w:rsidR="002E73C1" w:rsidRPr="00490863" w:rsidRDefault="002E73C1" w:rsidP="005D0346">
      <w:pPr>
        <w:jc w:val="center"/>
        <w:rPr>
          <w:b/>
          <w:sz w:val="36"/>
          <w:szCs w:val="36"/>
        </w:rPr>
      </w:pPr>
      <w:r w:rsidRPr="00490863">
        <w:rPr>
          <w:b/>
          <w:sz w:val="36"/>
          <w:szCs w:val="36"/>
        </w:rPr>
        <w:t>Small Entity Compliance Guide</w:t>
      </w:r>
    </w:p>
    <w:p w:rsidR="002E73C1" w:rsidRPr="00490863" w:rsidRDefault="002E73C1" w:rsidP="005D0346">
      <w:pPr>
        <w:jc w:val="center"/>
        <w:rPr>
          <w:sz w:val="22"/>
          <w:szCs w:val="22"/>
        </w:rPr>
      </w:pPr>
    </w:p>
    <w:p w:rsidR="00226909" w:rsidRPr="00E144FD" w:rsidRDefault="00B96983" w:rsidP="005D0346">
      <w:pPr>
        <w:jc w:val="center"/>
        <w:rPr>
          <w:b/>
          <w:sz w:val="28"/>
          <w:szCs w:val="28"/>
        </w:rPr>
      </w:pPr>
      <w:r>
        <w:rPr>
          <w:b/>
          <w:sz w:val="28"/>
          <w:szCs w:val="28"/>
        </w:rPr>
        <w:t xml:space="preserve">Expanding the Economic </w:t>
      </w:r>
      <w:r w:rsidR="0048448D" w:rsidRPr="00E144FD">
        <w:rPr>
          <w:b/>
          <w:sz w:val="28"/>
          <w:szCs w:val="28"/>
        </w:rPr>
        <w:t xml:space="preserve">and Innovation Opportunities of </w:t>
      </w:r>
    </w:p>
    <w:p w:rsidR="002E73C1" w:rsidRPr="00E144FD" w:rsidRDefault="0048448D" w:rsidP="005D0346">
      <w:pPr>
        <w:jc w:val="center"/>
        <w:rPr>
          <w:b/>
          <w:sz w:val="28"/>
          <w:szCs w:val="28"/>
        </w:rPr>
      </w:pPr>
      <w:r w:rsidRPr="00E144FD">
        <w:rPr>
          <w:b/>
          <w:sz w:val="28"/>
          <w:szCs w:val="28"/>
        </w:rPr>
        <w:t>Spectrum Through Incentive Auctions</w:t>
      </w:r>
    </w:p>
    <w:p w:rsidR="0048448D" w:rsidRPr="00490863" w:rsidRDefault="0048448D" w:rsidP="005D0346">
      <w:pPr>
        <w:jc w:val="center"/>
        <w:rPr>
          <w:b/>
          <w:sz w:val="22"/>
          <w:szCs w:val="22"/>
        </w:rPr>
      </w:pPr>
    </w:p>
    <w:p w:rsidR="0082280C" w:rsidRPr="00E144FD" w:rsidRDefault="00867182" w:rsidP="005D0346">
      <w:pPr>
        <w:jc w:val="center"/>
        <w:rPr>
          <w:sz w:val="24"/>
          <w:szCs w:val="24"/>
        </w:rPr>
      </w:pPr>
      <w:r>
        <w:rPr>
          <w:sz w:val="24"/>
          <w:szCs w:val="24"/>
        </w:rPr>
        <w:t xml:space="preserve">Second </w:t>
      </w:r>
      <w:r w:rsidR="0082280C" w:rsidRPr="00E144FD">
        <w:rPr>
          <w:sz w:val="24"/>
          <w:szCs w:val="24"/>
        </w:rPr>
        <w:t>Report and Order</w:t>
      </w:r>
    </w:p>
    <w:p w:rsidR="008202D3" w:rsidRPr="00E144FD" w:rsidRDefault="0048448D" w:rsidP="005D0346">
      <w:pPr>
        <w:jc w:val="center"/>
        <w:rPr>
          <w:spacing w:val="-2"/>
          <w:sz w:val="24"/>
          <w:szCs w:val="24"/>
        </w:rPr>
      </w:pPr>
      <w:r w:rsidRPr="00E144FD">
        <w:rPr>
          <w:spacing w:val="-2"/>
          <w:sz w:val="24"/>
          <w:szCs w:val="24"/>
        </w:rPr>
        <w:t xml:space="preserve">GN </w:t>
      </w:r>
      <w:r w:rsidR="00145E0A" w:rsidRPr="00E144FD">
        <w:rPr>
          <w:spacing w:val="-2"/>
          <w:sz w:val="24"/>
          <w:szCs w:val="24"/>
        </w:rPr>
        <w:t>Docket No. 12-</w:t>
      </w:r>
      <w:r w:rsidR="0082280C" w:rsidRPr="00E144FD">
        <w:rPr>
          <w:spacing w:val="-2"/>
          <w:sz w:val="24"/>
          <w:szCs w:val="24"/>
        </w:rPr>
        <w:t>2</w:t>
      </w:r>
      <w:r w:rsidRPr="00E144FD">
        <w:rPr>
          <w:spacing w:val="-2"/>
          <w:sz w:val="24"/>
          <w:szCs w:val="24"/>
        </w:rPr>
        <w:t>68</w:t>
      </w:r>
      <w:r w:rsidR="00437E6D">
        <w:rPr>
          <w:spacing w:val="-2"/>
          <w:sz w:val="24"/>
          <w:szCs w:val="24"/>
        </w:rPr>
        <w:t>; ET Docket Nos. 13-26 and 14-14</w:t>
      </w:r>
    </w:p>
    <w:p w:rsidR="002E73C1" w:rsidRDefault="002E73C1" w:rsidP="005D0346">
      <w:pPr>
        <w:jc w:val="center"/>
        <w:rPr>
          <w:spacing w:val="-2"/>
          <w:sz w:val="24"/>
          <w:szCs w:val="24"/>
        </w:rPr>
      </w:pPr>
      <w:r w:rsidRPr="00E144FD">
        <w:rPr>
          <w:spacing w:val="-2"/>
          <w:sz w:val="24"/>
          <w:szCs w:val="24"/>
        </w:rPr>
        <w:t xml:space="preserve">FCC </w:t>
      </w:r>
      <w:r w:rsidR="0048448D" w:rsidRPr="00E144FD">
        <w:rPr>
          <w:spacing w:val="-2"/>
          <w:sz w:val="24"/>
          <w:szCs w:val="24"/>
        </w:rPr>
        <w:t>14-</w:t>
      </w:r>
      <w:r w:rsidR="00867182">
        <w:rPr>
          <w:spacing w:val="-2"/>
          <w:sz w:val="24"/>
          <w:szCs w:val="24"/>
        </w:rPr>
        <w:t>1</w:t>
      </w:r>
      <w:r w:rsidR="0048448D" w:rsidRPr="00E144FD">
        <w:rPr>
          <w:spacing w:val="-2"/>
          <w:sz w:val="24"/>
          <w:szCs w:val="24"/>
        </w:rPr>
        <w:t>5</w:t>
      </w:r>
      <w:r w:rsidR="00867182">
        <w:rPr>
          <w:spacing w:val="-2"/>
          <w:sz w:val="24"/>
          <w:szCs w:val="24"/>
        </w:rPr>
        <w:t>7</w:t>
      </w:r>
    </w:p>
    <w:p w:rsidR="0082280C" w:rsidRPr="00E144FD" w:rsidRDefault="0082280C" w:rsidP="005D0346">
      <w:pPr>
        <w:jc w:val="center"/>
        <w:rPr>
          <w:sz w:val="24"/>
          <w:szCs w:val="24"/>
        </w:rPr>
      </w:pPr>
      <w:r w:rsidRPr="00E144FD">
        <w:rPr>
          <w:spacing w:val="-2"/>
          <w:sz w:val="24"/>
          <w:szCs w:val="24"/>
        </w:rPr>
        <w:t xml:space="preserve">Released </w:t>
      </w:r>
      <w:r w:rsidR="00867182">
        <w:rPr>
          <w:spacing w:val="-2"/>
          <w:sz w:val="24"/>
          <w:szCs w:val="24"/>
        </w:rPr>
        <w:t>October 17</w:t>
      </w:r>
      <w:r w:rsidRPr="00E144FD">
        <w:rPr>
          <w:spacing w:val="-2"/>
          <w:sz w:val="24"/>
          <w:szCs w:val="24"/>
        </w:rPr>
        <w:t>, 2014</w:t>
      </w:r>
    </w:p>
    <w:p w:rsidR="002E73C1" w:rsidRPr="00643FB4" w:rsidRDefault="002E73C1" w:rsidP="005D0346">
      <w:pPr>
        <w:rPr>
          <w:sz w:val="24"/>
          <w:szCs w:val="24"/>
        </w:rPr>
      </w:pPr>
    </w:p>
    <w:p w:rsidR="00A1166E" w:rsidRPr="00262313" w:rsidRDefault="00A1166E" w:rsidP="00A1166E">
      <w:pPr>
        <w:tabs>
          <w:tab w:val="left" w:pos="360"/>
        </w:tabs>
        <w:ind w:left="1080" w:right="648"/>
        <w:jc w:val="both"/>
        <w:rPr>
          <w:b/>
          <w:sz w:val="22"/>
          <w:szCs w:val="22"/>
        </w:rPr>
      </w:pPr>
      <w:r w:rsidRPr="00262313">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A1166E" w:rsidRPr="00262313" w:rsidRDefault="00A1166E" w:rsidP="00A1166E">
      <w:pPr>
        <w:tabs>
          <w:tab w:val="left" w:pos="360"/>
        </w:tabs>
        <w:ind w:left="1080" w:right="720"/>
        <w:jc w:val="both"/>
        <w:rPr>
          <w:b/>
          <w:sz w:val="22"/>
          <w:szCs w:val="22"/>
        </w:rPr>
      </w:pPr>
    </w:p>
    <w:p w:rsidR="00A1166E" w:rsidRPr="00262313" w:rsidRDefault="00A1166E" w:rsidP="00A1166E">
      <w:pPr>
        <w:tabs>
          <w:tab w:val="left" w:pos="360"/>
        </w:tabs>
        <w:ind w:left="1080" w:right="720"/>
        <w:jc w:val="both"/>
        <w:rPr>
          <w:b/>
          <w:sz w:val="22"/>
          <w:szCs w:val="22"/>
        </w:rPr>
      </w:pPr>
      <w:r w:rsidRPr="00262313">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A1166E" w:rsidRPr="00262313" w:rsidRDefault="00A1166E" w:rsidP="00A1166E">
      <w:pPr>
        <w:rPr>
          <w:b/>
          <w:sz w:val="22"/>
          <w:szCs w:val="22"/>
        </w:rPr>
      </w:pPr>
    </w:p>
    <w:p w:rsidR="00E144FD" w:rsidRPr="00262313" w:rsidRDefault="00A1166E" w:rsidP="00A1166E">
      <w:pPr>
        <w:jc w:val="center"/>
        <w:rPr>
          <w:b/>
          <w:color w:val="000000"/>
          <w:sz w:val="22"/>
          <w:szCs w:val="22"/>
        </w:rPr>
      </w:pPr>
      <w:r w:rsidRPr="00262313">
        <w:rPr>
          <w:b/>
          <w:color w:val="000000"/>
          <w:sz w:val="22"/>
          <w:szCs w:val="22"/>
        </w:rPr>
        <w:t>1</w:t>
      </w:r>
      <w:r>
        <w:rPr>
          <w:b/>
          <w:color w:val="000000"/>
          <w:sz w:val="22"/>
          <w:szCs w:val="22"/>
        </w:rPr>
        <w:t>-888-CALL-FCC (1-888-225-5322)</w:t>
      </w:r>
      <w:r w:rsidRPr="00262313">
        <w:rPr>
          <w:b/>
          <w:color w:val="000000"/>
          <w:sz w:val="22"/>
          <w:szCs w:val="22"/>
        </w:rPr>
        <w:br/>
        <w:t>TTY: 1-888-TELL-FCC  (1-888-835-5322)  </w:t>
      </w:r>
      <w:r w:rsidRPr="00262313">
        <w:rPr>
          <w:b/>
          <w:color w:val="000000"/>
          <w:sz w:val="22"/>
          <w:szCs w:val="22"/>
        </w:rPr>
        <w:br/>
        <w:t>Fax: 1-866-418-0232</w:t>
      </w:r>
    </w:p>
    <w:p w:rsidR="00E144FD" w:rsidRDefault="00E144FD">
      <w:pPr>
        <w:spacing w:after="200" w:line="276" w:lineRule="auto"/>
        <w:rPr>
          <w:b/>
          <w:color w:val="0000FF"/>
          <w:sz w:val="24"/>
          <w:szCs w:val="24"/>
          <w:u w:val="single"/>
        </w:rPr>
      </w:pPr>
      <w:r>
        <w:rPr>
          <w:b/>
          <w:color w:val="0000FF"/>
          <w:sz w:val="24"/>
          <w:szCs w:val="24"/>
          <w:u w:val="single"/>
        </w:rPr>
        <w:br w:type="page"/>
      </w:r>
    </w:p>
    <w:p w:rsidR="00606041" w:rsidRPr="00606041" w:rsidRDefault="00606041" w:rsidP="00606041">
      <w:pPr>
        <w:pStyle w:val="TOCTitle"/>
        <w:rPr>
          <w:rFonts w:ascii="Times New Roman" w:hAnsi="Times New Roman"/>
          <w:szCs w:val="22"/>
        </w:rPr>
      </w:pPr>
      <w:r w:rsidRPr="00606041">
        <w:rPr>
          <w:rFonts w:ascii="Times New Roman" w:hAnsi="Times New Roman"/>
          <w:szCs w:val="22"/>
        </w:rPr>
        <w:lastRenderedPageBreak/>
        <w:t>Table of Contents</w:t>
      </w:r>
    </w:p>
    <w:p w:rsidR="00606041" w:rsidRPr="00AC29B5" w:rsidRDefault="00663E6C" w:rsidP="00606041">
      <w:pPr>
        <w:pStyle w:val="Paratitle"/>
        <w:rPr>
          <w:b/>
          <w:szCs w:val="22"/>
        </w:rPr>
      </w:pPr>
      <w:r>
        <w:rPr>
          <w:b/>
          <w:szCs w:val="22"/>
        </w:rPr>
        <w:t xml:space="preserve">Heading                                                                                              </w:t>
      </w:r>
      <w:r w:rsidR="00441F1E">
        <w:rPr>
          <w:b/>
          <w:szCs w:val="22"/>
        </w:rPr>
        <w:t xml:space="preserve">  </w:t>
      </w:r>
      <w:r>
        <w:rPr>
          <w:b/>
          <w:szCs w:val="22"/>
        </w:rPr>
        <w:t xml:space="preserve">                                             </w:t>
      </w:r>
      <w:r w:rsidR="00C91D58">
        <w:rPr>
          <w:b/>
          <w:szCs w:val="22"/>
        </w:rPr>
        <w:t xml:space="preserve"> </w:t>
      </w:r>
      <w:r w:rsidR="00145642">
        <w:rPr>
          <w:b/>
          <w:szCs w:val="22"/>
        </w:rPr>
        <w:t xml:space="preserve">        </w:t>
      </w:r>
      <w:r w:rsidR="00606041" w:rsidRPr="00AC29B5">
        <w:rPr>
          <w:b/>
          <w:szCs w:val="22"/>
        </w:rPr>
        <w:t>Page #</w:t>
      </w:r>
      <w:bookmarkStart w:id="1" w:name="start_here"/>
      <w:bookmarkEnd w:id="1"/>
    </w:p>
    <w:p w:rsidR="00AC29B5" w:rsidRDefault="00606041" w:rsidP="00AC29B5">
      <w:pPr>
        <w:pStyle w:val="TOC1"/>
        <w:spacing w:after="0"/>
        <w:rPr>
          <w:b/>
          <w:sz w:val="22"/>
          <w:szCs w:val="22"/>
        </w:rPr>
      </w:pPr>
      <w:r w:rsidRPr="00AC29B5">
        <w:rPr>
          <w:b/>
          <w:sz w:val="22"/>
          <w:szCs w:val="22"/>
        </w:rPr>
        <w:t>I.</w:t>
      </w:r>
      <w:r w:rsidRPr="00AC29B5">
        <w:rPr>
          <w:rFonts w:eastAsiaTheme="minorEastAsia"/>
          <w:b/>
          <w:sz w:val="22"/>
          <w:szCs w:val="22"/>
        </w:rPr>
        <w:tab/>
      </w:r>
      <w:r w:rsidRPr="00AC29B5">
        <w:rPr>
          <w:rFonts w:eastAsiaTheme="minorEastAsia"/>
          <w:b/>
          <w:caps/>
          <w:sz w:val="22"/>
          <w:szCs w:val="22"/>
        </w:rPr>
        <w:t>OBJECTIVES OF THE PROCEEDING</w:t>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00441F1E">
        <w:rPr>
          <w:b/>
          <w:sz w:val="22"/>
          <w:szCs w:val="22"/>
        </w:rPr>
        <w:t xml:space="preserve"> </w:t>
      </w:r>
      <w:r w:rsidR="00C91D58">
        <w:rPr>
          <w:b/>
          <w:sz w:val="22"/>
          <w:szCs w:val="22"/>
        </w:rPr>
        <w:t xml:space="preserve"> </w:t>
      </w:r>
      <w:r w:rsidR="00441F1E">
        <w:rPr>
          <w:b/>
          <w:sz w:val="22"/>
          <w:szCs w:val="22"/>
        </w:rPr>
        <w:t xml:space="preserve"> </w:t>
      </w:r>
      <w:r w:rsidR="00145642">
        <w:rPr>
          <w:b/>
          <w:sz w:val="22"/>
          <w:szCs w:val="22"/>
        </w:rPr>
        <w:t xml:space="preserve">       </w:t>
      </w:r>
      <w:r w:rsidR="008E6415">
        <w:rPr>
          <w:b/>
          <w:sz w:val="22"/>
          <w:szCs w:val="22"/>
        </w:rPr>
        <w:t xml:space="preserve"> </w:t>
      </w:r>
      <w:r w:rsidR="00AC29B5">
        <w:rPr>
          <w:b/>
          <w:sz w:val="22"/>
          <w:szCs w:val="22"/>
        </w:rPr>
        <w:t>2</w:t>
      </w:r>
    </w:p>
    <w:p w:rsidR="00AC29B5" w:rsidRPr="00AC29B5" w:rsidRDefault="00AC29B5" w:rsidP="00AC29B5">
      <w:pPr>
        <w:rPr>
          <w:rFonts w:eastAsiaTheme="minorEastAsia"/>
        </w:rPr>
      </w:pPr>
    </w:p>
    <w:p w:rsidR="00AC29B5" w:rsidRDefault="00606041" w:rsidP="009E522C">
      <w:pPr>
        <w:pStyle w:val="TOC1"/>
        <w:spacing w:after="0"/>
        <w:rPr>
          <w:b/>
          <w:sz w:val="22"/>
          <w:szCs w:val="22"/>
        </w:rPr>
      </w:pPr>
      <w:r w:rsidRPr="00AC29B5">
        <w:rPr>
          <w:b/>
          <w:sz w:val="22"/>
          <w:szCs w:val="22"/>
        </w:rPr>
        <w:t>II.</w:t>
      </w:r>
      <w:r w:rsidRPr="00AC29B5">
        <w:rPr>
          <w:rFonts w:eastAsiaTheme="minorEastAsia"/>
          <w:b/>
          <w:sz w:val="22"/>
          <w:szCs w:val="22"/>
        </w:rPr>
        <w:tab/>
      </w:r>
      <w:r w:rsidRPr="00AC29B5">
        <w:rPr>
          <w:rFonts w:eastAsiaTheme="minorEastAsia"/>
          <w:b/>
          <w:caps/>
          <w:sz w:val="22"/>
          <w:szCs w:val="22"/>
        </w:rPr>
        <w:t xml:space="preserve">REGULATIONS AND POLICIES THAT THE COMMISSION ADOPTED OR </w:t>
      </w:r>
      <w:r w:rsidRPr="00AC29B5">
        <w:rPr>
          <w:rFonts w:eastAsiaTheme="minorEastAsia"/>
          <w:b/>
          <w:caps/>
          <w:sz w:val="22"/>
          <w:szCs w:val="22"/>
        </w:rPr>
        <w:tab/>
        <w:t>MODIFIED, I</w:t>
      </w:r>
      <w:r w:rsidRPr="00AC29B5">
        <w:rPr>
          <w:b/>
          <w:sz w:val="22"/>
          <w:szCs w:val="22"/>
        </w:rPr>
        <w:t xml:space="preserve">NCLUDING COMPLIANCE </w:t>
      </w:r>
      <w:r w:rsidRPr="00AC29B5">
        <w:rPr>
          <w:b/>
          <w:sz w:val="22"/>
          <w:szCs w:val="22"/>
        </w:rPr>
        <w:tab/>
        <w:t xml:space="preserve">REQUIREMENTS </w:t>
      </w:r>
      <w:r w:rsidRPr="00AC29B5">
        <w:rPr>
          <w:b/>
          <w:sz w:val="22"/>
          <w:szCs w:val="22"/>
        </w:rPr>
        <w:tab/>
      </w:r>
      <w:r w:rsidR="009E522C">
        <w:rPr>
          <w:b/>
          <w:sz w:val="22"/>
          <w:szCs w:val="22"/>
        </w:rPr>
        <w:t xml:space="preserve">              </w:t>
      </w:r>
      <w:r w:rsidR="009E522C">
        <w:rPr>
          <w:b/>
          <w:sz w:val="22"/>
          <w:szCs w:val="22"/>
        </w:rPr>
        <w:tab/>
        <w:t xml:space="preserve">          3</w:t>
      </w:r>
    </w:p>
    <w:p w:rsidR="009E522C" w:rsidRPr="009E522C" w:rsidRDefault="009E522C" w:rsidP="009E522C"/>
    <w:p w:rsidR="00606041" w:rsidRPr="00AC29B5" w:rsidRDefault="00606041" w:rsidP="00DE1586">
      <w:pPr>
        <w:pStyle w:val="TOC2"/>
        <w:numPr>
          <w:ilvl w:val="0"/>
          <w:numId w:val="6"/>
        </w:numPr>
        <w:tabs>
          <w:tab w:val="left" w:pos="360"/>
        </w:tabs>
        <w:spacing w:after="0"/>
        <w:rPr>
          <w:b/>
          <w:sz w:val="22"/>
          <w:szCs w:val="22"/>
        </w:rPr>
      </w:pPr>
      <w:r w:rsidRPr="00AC29B5">
        <w:rPr>
          <w:rFonts w:eastAsiaTheme="minorEastAsia"/>
          <w:b/>
          <w:sz w:val="22"/>
          <w:szCs w:val="22"/>
        </w:rPr>
        <w:t>Re</w:t>
      </w:r>
      <w:r w:rsidR="001C5A69">
        <w:rPr>
          <w:rFonts w:eastAsiaTheme="minorEastAsia"/>
          <w:b/>
          <w:sz w:val="22"/>
          <w:szCs w:val="22"/>
        </w:rPr>
        <w:t>quested Additional Limits on New Interference in the Repacking Process</w:t>
      </w:r>
      <w:r w:rsidR="001C5A69">
        <w:rPr>
          <w:b/>
          <w:sz w:val="22"/>
          <w:szCs w:val="22"/>
        </w:rPr>
        <w:t xml:space="preserve">        </w:t>
      </w:r>
      <w:r w:rsidR="00441F1E">
        <w:rPr>
          <w:b/>
          <w:sz w:val="22"/>
          <w:szCs w:val="22"/>
        </w:rPr>
        <w:t xml:space="preserve">  </w:t>
      </w:r>
      <w:r w:rsidR="00C91D58">
        <w:rPr>
          <w:b/>
          <w:sz w:val="22"/>
          <w:szCs w:val="22"/>
        </w:rPr>
        <w:t xml:space="preserve"> </w:t>
      </w:r>
      <w:r w:rsidR="00145642">
        <w:rPr>
          <w:b/>
          <w:sz w:val="22"/>
          <w:szCs w:val="22"/>
        </w:rPr>
        <w:t xml:space="preserve">        </w:t>
      </w:r>
      <w:r w:rsidR="00125BF0">
        <w:rPr>
          <w:b/>
          <w:sz w:val="22"/>
          <w:szCs w:val="22"/>
        </w:rPr>
        <w:t>3</w:t>
      </w:r>
    </w:p>
    <w:p w:rsidR="00606041" w:rsidRPr="00AC29B5" w:rsidRDefault="00606041" w:rsidP="00AC29B5">
      <w:pPr>
        <w:pStyle w:val="TOC2"/>
        <w:tabs>
          <w:tab w:val="left" w:pos="360"/>
        </w:tabs>
        <w:spacing w:after="0"/>
        <w:rPr>
          <w:rFonts w:eastAsiaTheme="minorEastAsia"/>
          <w:b/>
          <w:sz w:val="22"/>
          <w:szCs w:val="22"/>
        </w:rPr>
      </w:pPr>
      <w:r w:rsidRPr="00AC29B5">
        <w:rPr>
          <w:b/>
          <w:sz w:val="22"/>
          <w:szCs w:val="22"/>
        </w:rPr>
        <w:tab/>
      </w:r>
      <w:r w:rsidRPr="00AC29B5">
        <w:rPr>
          <w:b/>
          <w:sz w:val="22"/>
          <w:szCs w:val="22"/>
        </w:rPr>
        <w:tab/>
      </w:r>
    </w:p>
    <w:p w:rsidR="00AC29B5" w:rsidRDefault="00663E6C" w:rsidP="00DE1586">
      <w:pPr>
        <w:pStyle w:val="TOC2"/>
        <w:numPr>
          <w:ilvl w:val="0"/>
          <w:numId w:val="6"/>
        </w:numPr>
        <w:tabs>
          <w:tab w:val="left" w:pos="360"/>
        </w:tabs>
        <w:spacing w:after="0"/>
        <w:rPr>
          <w:b/>
          <w:sz w:val="22"/>
          <w:szCs w:val="22"/>
        </w:rPr>
      </w:pPr>
      <w:r w:rsidRPr="009263E1">
        <w:rPr>
          <w:rFonts w:eastAsiaTheme="minorEastAsia"/>
          <w:b/>
          <w:sz w:val="22"/>
          <w:szCs w:val="22"/>
        </w:rPr>
        <w:t>ISIX Methodology and Input Values to Determine 600 MHz Band Wireless</w:t>
      </w:r>
      <w:r w:rsidR="00606041" w:rsidRPr="009263E1">
        <w:rPr>
          <w:b/>
          <w:sz w:val="22"/>
          <w:szCs w:val="22"/>
        </w:rPr>
        <w:tab/>
      </w:r>
      <w:r w:rsidRPr="009263E1">
        <w:rPr>
          <w:b/>
          <w:sz w:val="22"/>
          <w:szCs w:val="22"/>
        </w:rPr>
        <w:t xml:space="preserve">   License Area Impairments During the Incentive Auction                                        </w:t>
      </w:r>
      <w:r w:rsidR="009263E1">
        <w:rPr>
          <w:b/>
          <w:sz w:val="22"/>
          <w:szCs w:val="22"/>
        </w:rPr>
        <w:t xml:space="preserve"> </w:t>
      </w:r>
      <w:r w:rsidR="00145642">
        <w:rPr>
          <w:b/>
          <w:sz w:val="22"/>
          <w:szCs w:val="22"/>
        </w:rPr>
        <w:t xml:space="preserve">         </w:t>
      </w:r>
      <w:r w:rsidR="00A66144">
        <w:rPr>
          <w:b/>
          <w:sz w:val="22"/>
          <w:szCs w:val="22"/>
        </w:rPr>
        <w:t xml:space="preserve"> </w:t>
      </w:r>
      <w:r w:rsidR="00421B3A">
        <w:rPr>
          <w:b/>
          <w:sz w:val="22"/>
          <w:szCs w:val="22"/>
        </w:rPr>
        <w:t>5</w:t>
      </w:r>
    </w:p>
    <w:p w:rsidR="00677A9B" w:rsidRDefault="00677A9B" w:rsidP="00606041">
      <w:pPr>
        <w:pStyle w:val="TOC1"/>
        <w:spacing w:after="0"/>
        <w:rPr>
          <w:b/>
          <w:sz w:val="22"/>
          <w:szCs w:val="22"/>
        </w:rPr>
      </w:pPr>
    </w:p>
    <w:p w:rsidR="00E005C8" w:rsidRDefault="00E005C8" w:rsidP="00606041">
      <w:pPr>
        <w:pStyle w:val="TOC1"/>
        <w:spacing w:after="0"/>
        <w:rPr>
          <w:b/>
          <w:sz w:val="22"/>
          <w:szCs w:val="22"/>
        </w:rPr>
      </w:pPr>
      <w:r>
        <w:rPr>
          <w:b/>
          <w:sz w:val="22"/>
          <w:szCs w:val="22"/>
        </w:rPr>
        <w:t>III.</w:t>
      </w:r>
      <w:r>
        <w:rPr>
          <w:b/>
          <w:sz w:val="22"/>
          <w:szCs w:val="22"/>
        </w:rPr>
        <w:tab/>
      </w:r>
      <w:r w:rsidRPr="00AC29B5">
        <w:rPr>
          <w:b/>
          <w:sz w:val="22"/>
          <w:szCs w:val="22"/>
        </w:rPr>
        <w:t xml:space="preserve">RECORDKEEPING AND OTHER COMPLIANCE </w:t>
      </w:r>
      <w:r w:rsidRPr="00AC29B5">
        <w:rPr>
          <w:b/>
          <w:sz w:val="22"/>
          <w:szCs w:val="22"/>
        </w:rPr>
        <w:tab/>
        <w:t>REQUIREMENTS</w:t>
      </w:r>
    </w:p>
    <w:p w:rsidR="00E005C8" w:rsidRPr="00D54493" w:rsidRDefault="00E005C8" w:rsidP="00D54493"/>
    <w:p w:rsidR="00606041" w:rsidRPr="00AC29B5" w:rsidRDefault="00606041" w:rsidP="00606041">
      <w:pPr>
        <w:pStyle w:val="TOC1"/>
        <w:spacing w:after="0"/>
        <w:rPr>
          <w:rFonts w:eastAsiaTheme="minorEastAsia"/>
          <w:b/>
          <w:caps/>
          <w:sz w:val="22"/>
          <w:szCs w:val="22"/>
        </w:rPr>
      </w:pPr>
      <w:r w:rsidRPr="00AC29B5">
        <w:rPr>
          <w:b/>
          <w:sz w:val="22"/>
          <w:szCs w:val="22"/>
        </w:rPr>
        <w:t>I</w:t>
      </w:r>
      <w:r w:rsidR="00E005C8">
        <w:rPr>
          <w:b/>
          <w:sz w:val="22"/>
          <w:szCs w:val="22"/>
        </w:rPr>
        <w:t>V</w:t>
      </w:r>
      <w:r w:rsidRPr="00AC29B5">
        <w:rPr>
          <w:b/>
          <w:sz w:val="22"/>
          <w:szCs w:val="22"/>
        </w:rPr>
        <w:t>.</w:t>
      </w:r>
      <w:r w:rsidRPr="00AC29B5">
        <w:rPr>
          <w:rFonts w:eastAsiaTheme="minorEastAsia"/>
          <w:b/>
          <w:sz w:val="22"/>
          <w:szCs w:val="22"/>
        </w:rPr>
        <w:tab/>
      </w:r>
      <w:r w:rsidRPr="00AC29B5">
        <w:rPr>
          <w:rFonts w:eastAsiaTheme="minorEastAsia"/>
          <w:b/>
          <w:caps/>
          <w:sz w:val="22"/>
          <w:szCs w:val="22"/>
        </w:rPr>
        <w:t>INTERNET LINKS</w:t>
      </w:r>
      <w:r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145642">
        <w:rPr>
          <w:b/>
          <w:sz w:val="22"/>
          <w:szCs w:val="22"/>
        </w:rPr>
        <w:t xml:space="preserve">        </w:t>
      </w:r>
      <w:r w:rsidR="00421B3A">
        <w:rPr>
          <w:b/>
          <w:sz w:val="22"/>
          <w:szCs w:val="22"/>
        </w:rPr>
        <w:t xml:space="preserve">  </w:t>
      </w:r>
      <w:r w:rsidR="00C847AF">
        <w:rPr>
          <w:b/>
          <w:sz w:val="22"/>
          <w:szCs w:val="22"/>
        </w:rPr>
        <w:t>6</w:t>
      </w:r>
    </w:p>
    <w:p w:rsidR="002E73C1" w:rsidRPr="0043709C" w:rsidRDefault="002E73C1" w:rsidP="00DE1586">
      <w:pPr>
        <w:pStyle w:val="ListParagraph"/>
        <w:numPr>
          <w:ilvl w:val="0"/>
          <w:numId w:val="4"/>
        </w:numPr>
        <w:rPr>
          <w:b/>
          <w:sz w:val="24"/>
          <w:szCs w:val="24"/>
        </w:rPr>
      </w:pPr>
      <w:r w:rsidRPr="0043709C">
        <w:rPr>
          <w:b/>
          <w:sz w:val="24"/>
          <w:szCs w:val="24"/>
          <w:highlight w:val="yellow"/>
          <w:u w:val="single"/>
        </w:rPr>
        <w:br w:type="page"/>
      </w:r>
      <w:r w:rsidRPr="0043709C">
        <w:rPr>
          <w:b/>
          <w:sz w:val="24"/>
          <w:szCs w:val="24"/>
        </w:rPr>
        <w:lastRenderedPageBreak/>
        <w:t>OBJECTIVES OF THE PROCEEDING</w:t>
      </w:r>
    </w:p>
    <w:p w:rsidR="0043709C" w:rsidRPr="0043709C" w:rsidRDefault="0043709C" w:rsidP="0043709C">
      <w:pPr>
        <w:pStyle w:val="ListParagraph"/>
        <w:ind w:left="1080"/>
        <w:rPr>
          <w:b/>
          <w:sz w:val="24"/>
          <w:szCs w:val="24"/>
          <w:u w:val="single"/>
        </w:rPr>
      </w:pPr>
    </w:p>
    <w:p w:rsidR="00241392" w:rsidRDefault="00302015" w:rsidP="009E522C">
      <w:pPr>
        <w:pStyle w:val="ParaNum"/>
        <w:widowControl w:val="0"/>
        <w:numPr>
          <w:ilvl w:val="0"/>
          <w:numId w:val="0"/>
        </w:numPr>
        <w:spacing w:after="240"/>
        <w:ind w:left="86" w:firstLine="720"/>
        <w:rPr>
          <w:sz w:val="24"/>
          <w:szCs w:val="24"/>
        </w:rPr>
      </w:pPr>
      <w:r w:rsidRPr="003F66DB">
        <w:rPr>
          <w:sz w:val="24"/>
          <w:szCs w:val="24"/>
        </w:rPr>
        <w:t xml:space="preserve">In the </w:t>
      </w:r>
      <w:r w:rsidR="00391DC0" w:rsidRPr="003F66DB">
        <w:rPr>
          <w:i/>
          <w:sz w:val="24"/>
          <w:szCs w:val="24"/>
        </w:rPr>
        <w:t>Second R</w:t>
      </w:r>
      <w:r w:rsidRPr="003F66DB">
        <w:rPr>
          <w:i/>
          <w:sz w:val="24"/>
          <w:szCs w:val="24"/>
        </w:rPr>
        <w:t xml:space="preserve">eport and Order </w:t>
      </w:r>
      <w:r w:rsidR="009F4570" w:rsidRPr="003F66DB">
        <w:rPr>
          <w:sz w:val="24"/>
          <w:szCs w:val="24"/>
        </w:rPr>
        <w:t xml:space="preserve">in </w:t>
      </w:r>
      <w:r w:rsidR="0048448D" w:rsidRPr="003F66DB">
        <w:rPr>
          <w:sz w:val="24"/>
          <w:szCs w:val="24"/>
        </w:rPr>
        <w:t>GN</w:t>
      </w:r>
      <w:r w:rsidR="009F4570" w:rsidRPr="003F66DB">
        <w:rPr>
          <w:sz w:val="24"/>
          <w:szCs w:val="24"/>
        </w:rPr>
        <w:t xml:space="preserve"> Docket No. 12-</w:t>
      </w:r>
      <w:r w:rsidR="00490863" w:rsidRPr="003F66DB">
        <w:rPr>
          <w:sz w:val="24"/>
          <w:szCs w:val="24"/>
        </w:rPr>
        <w:t>2</w:t>
      </w:r>
      <w:r w:rsidR="0048448D" w:rsidRPr="003F66DB">
        <w:rPr>
          <w:sz w:val="24"/>
          <w:szCs w:val="24"/>
        </w:rPr>
        <w:t>68</w:t>
      </w:r>
      <w:r w:rsidR="00027934" w:rsidRPr="003F66DB">
        <w:rPr>
          <w:sz w:val="24"/>
          <w:szCs w:val="24"/>
        </w:rPr>
        <w:t xml:space="preserve"> </w:t>
      </w:r>
      <w:r w:rsidR="00391DC0" w:rsidRPr="003F66DB">
        <w:rPr>
          <w:sz w:val="24"/>
          <w:szCs w:val="24"/>
        </w:rPr>
        <w:t xml:space="preserve">and ET Docket Nos. 13-26 and 14-14 </w:t>
      </w:r>
      <w:r w:rsidR="00027934" w:rsidRPr="003F66DB">
        <w:rPr>
          <w:sz w:val="24"/>
          <w:szCs w:val="24"/>
        </w:rPr>
        <w:t>(the “Order”)</w:t>
      </w:r>
      <w:r w:rsidR="0048448D" w:rsidRPr="003F66DB">
        <w:rPr>
          <w:sz w:val="24"/>
          <w:szCs w:val="24"/>
        </w:rPr>
        <w:t>,</w:t>
      </w:r>
      <w:r w:rsidR="00AA46D6">
        <w:rPr>
          <w:rStyle w:val="FootnoteReference"/>
          <w:szCs w:val="24"/>
        </w:rPr>
        <w:footnoteReference w:id="1"/>
      </w:r>
      <w:r w:rsidR="00AA46D6">
        <w:rPr>
          <w:rStyle w:val="CommentReference"/>
        </w:rPr>
        <w:t xml:space="preserve"> </w:t>
      </w:r>
      <w:r w:rsidR="0048448D" w:rsidRPr="003F66DB">
        <w:rPr>
          <w:sz w:val="24"/>
          <w:szCs w:val="24"/>
        </w:rPr>
        <w:t xml:space="preserve"> </w:t>
      </w:r>
      <w:r w:rsidRPr="003F66DB">
        <w:rPr>
          <w:sz w:val="24"/>
          <w:szCs w:val="24"/>
        </w:rPr>
        <w:t xml:space="preserve">the Commission </w:t>
      </w:r>
      <w:r w:rsidR="00391DC0" w:rsidRPr="003F66DB">
        <w:rPr>
          <w:sz w:val="24"/>
          <w:szCs w:val="24"/>
        </w:rPr>
        <w:t xml:space="preserve">addressed several outstanding issues related to </w:t>
      </w:r>
      <w:r w:rsidR="00922347" w:rsidRPr="003F66DB">
        <w:rPr>
          <w:sz w:val="24"/>
          <w:szCs w:val="24"/>
        </w:rPr>
        <w:t xml:space="preserve">the </w:t>
      </w:r>
      <w:r w:rsidR="0043709C">
        <w:rPr>
          <w:sz w:val="24"/>
          <w:szCs w:val="24"/>
          <w:lang w:val="en-US"/>
        </w:rPr>
        <w:t xml:space="preserve">forthcoming </w:t>
      </w:r>
      <w:r w:rsidR="00922347" w:rsidRPr="003F66DB">
        <w:rPr>
          <w:sz w:val="24"/>
          <w:szCs w:val="24"/>
        </w:rPr>
        <w:t xml:space="preserve">broadcast television spectrum incentive auction.  </w:t>
      </w:r>
      <w:r w:rsidR="001344A8">
        <w:rPr>
          <w:sz w:val="24"/>
          <w:szCs w:val="24"/>
          <w:lang w:val="en-US"/>
        </w:rPr>
        <w:t xml:space="preserve">As explained in the </w:t>
      </w:r>
      <w:r w:rsidR="001344A8">
        <w:rPr>
          <w:rFonts w:ascii="Melior" w:eastAsiaTheme="minorHAnsi" w:hAnsi="Melior" w:cs="Melior"/>
          <w:sz w:val="24"/>
          <w:szCs w:val="24"/>
        </w:rPr>
        <w:t xml:space="preserve">initial </w:t>
      </w:r>
      <w:r w:rsidR="001344A8" w:rsidRPr="00B517B2">
        <w:rPr>
          <w:rFonts w:ascii="Melior" w:eastAsiaTheme="minorHAnsi" w:hAnsi="Melior" w:cs="Melior"/>
          <w:i/>
          <w:sz w:val="24"/>
          <w:szCs w:val="24"/>
        </w:rPr>
        <w:t>Report and Order</w:t>
      </w:r>
      <w:r w:rsidR="001344A8">
        <w:rPr>
          <w:rFonts w:ascii="Melior" w:eastAsiaTheme="minorHAnsi" w:hAnsi="Melior" w:cs="Melior"/>
          <w:sz w:val="24"/>
          <w:szCs w:val="24"/>
        </w:rPr>
        <w:t xml:space="preserve"> in GN Docket No. 12-268 </w:t>
      </w:r>
      <w:r w:rsidR="001344A8">
        <w:rPr>
          <w:rFonts w:ascii="Melior-Italic" w:eastAsiaTheme="minorHAnsi" w:hAnsi="Melior-Italic" w:cs="Melior-Italic"/>
          <w:i/>
          <w:iCs/>
          <w:sz w:val="24"/>
          <w:szCs w:val="24"/>
        </w:rPr>
        <w:t>(Incentive Auction R&amp;O</w:t>
      </w:r>
      <w:r w:rsidR="001344A8">
        <w:rPr>
          <w:rFonts w:ascii="Melior" w:eastAsiaTheme="minorHAnsi" w:hAnsi="Melior" w:cs="Melior"/>
          <w:sz w:val="24"/>
          <w:szCs w:val="24"/>
        </w:rPr>
        <w:t>),</w:t>
      </w:r>
      <w:r w:rsidR="001344A8">
        <w:rPr>
          <w:rStyle w:val="FootnoteReference"/>
          <w:szCs w:val="24"/>
        </w:rPr>
        <w:footnoteReference w:id="2"/>
      </w:r>
      <w:r w:rsidR="001344A8">
        <w:rPr>
          <w:rFonts w:ascii="Melior" w:eastAsiaTheme="minorHAnsi" w:hAnsi="Melior" w:cs="Melior"/>
          <w:sz w:val="24"/>
          <w:szCs w:val="24"/>
        </w:rPr>
        <w:t xml:space="preserve"> </w:t>
      </w:r>
      <w:r w:rsidR="009E7E9D" w:rsidRPr="009E7E9D">
        <w:rPr>
          <w:sz w:val="24"/>
          <w:szCs w:val="24"/>
        </w:rPr>
        <w:t xml:space="preserve">full power and Class A television broadcasters will have </w:t>
      </w:r>
      <w:r w:rsidR="009E7E9D">
        <w:rPr>
          <w:sz w:val="24"/>
          <w:szCs w:val="24"/>
          <w:lang w:val="en-US"/>
        </w:rPr>
        <w:t>a</w:t>
      </w:r>
      <w:r w:rsidR="009E7E9D" w:rsidRPr="009E7E9D">
        <w:rPr>
          <w:sz w:val="24"/>
          <w:szCs w:val="24"/>
        </w:rPr>
        <w:t xml:space="preserve"> unique financial opportunity in the “reverse auction” phase to return some or all of their broadcast spectrum usage rights in exchange for incentive payments.  A broadcaster’s decision to participate in the reverse auction </w:t>
      </w:r>
      <w:r w:rsidR="0053387D">
        <w:rPr>
          <w:sz w:val="24"/>
          <w:szCs w:val="24"/>
          <w:lang w:val="en-US"/>
        </w:rPr>
        <w:t>will be</w:t>
      </w:r>
      <w:r w:rsidR="009E7E9D" w:rsidRPr="009E7E9D">
        <w:rPr>
          <w:sz w:val="24"/>
          <w:szCs w:val="24"/>
        </w:rPr>
        <w:t xml:space="preserve"> wholly voluntary.  By facilitating th</w:t>
      </w:r>
      <w:r w:rsidR="0053387D">
        <w:rPr>
          <w:sz w:val="24"/>
          <w:szCs w:val="24"/>
          <w:lang w:val="en-US"/>
        </w:rPr>
        <w:t>is</w:t>
      </w:r>
      <w:r w:rsidR="009E7E9D" w:rsidRPr="009E7E9D">
        <w:rPr>
          <w:sz w:val="24"/>
          <w:szCs w:val="24"/>
        </w:rPr>
        <w:t xml:space="preserve"> voluntary return of spectrum usage rights and reorganizing the broadcast television bands, the Commission can recover a portion of ultra-high frequency (“UHF”) spectrum in the 600 MHz band currently used for television broadcasting for a “forward auction” of new, flexible-use licenses suitable for providing mobile broadband services.  </w:t>
      </w:r>
    </w:p>
    <w:p w:rsidR="00E61132" w:rsidRPr="00E61132" w:rsidRDefault="00167C81" w:rsidP="009E522C">
      <w:pPr>
        <w:autoSpaceDE w:val="0"/>
        <w:autoSpaceDN w:val="0"/>
        <w:adjustRightInd w:val="0"/>
        <w:spacing w:after="240"/>
        <w:rPr>
          <w:rFonts w:eastAsiaTheme="minorHAnsi"/>
          <w:bCs/>
          <w:sz w:val="24"/>
          <w:szCs w:val="24"/>
        </w:rPr>
      </w:pPr>
      <w:r>
        <w:rPr>
          <w:sz w:val="24"/>
          <w:szCs w:val="24"/>
        </w:rPr>
        <w:tab/>
      </w:r>
      <w:r w:rsidR="00E61132" w:rsidRPr="00E61132">
        <w:rPr>
          <w:rFonts w:eastAsiaTheme="minorHAnsi"/>
          <w:bCs/>
          <w:i/>
          <w:sz w:val="24"/>
          <w:szCs w:val="24"/>
        </w:rPr>
        <w:t>Limits on New Interference in the Repacking Process</w:t>
      </w:r>
      <w:r w:rsidR="00E61132">
        <w:rPr>
          <w:rFonts w:eastAsiaTheme="minorHAnsi"/>
          <w:bCs/>
          <w:i/>
          <w:sz w:val="24"/>
          <w:szCs w:val="24"/>
        </w:rPr>
        <w:t>.</w:t>
      </w:r>
      <w:r w:rsidR="00E61132">
        <w:rPr>
          <w:rFonts w:eastAsiaTheme="minorHAnsi"/>
          <w:bCs/>
          <w:sz w:val="24"/>
          <w:szCs w:val="24"/>
        </w:rPr>
        <w:t xml:space="preserve">  </w:t>
      </w:r>
      <w:r w:rsidR="00C713E8" w:rsidRPr="00643FB4">
        <w:rPr>
          <w:sz w:val="24"/>
          <w:szCs w:val="24"/>
        </w:rPr>
        <w:t xml:space="preserve">In </w:t>
      </w:r>
      <w:r w:rsidR="00C713E8">
        <w:rPr>
          <w:sz w:val="24"/>
          <w:szCs w:val="24"/>
        </w:rPr>
        <w:t xml:space="preserve">the “repacking process,” the Commission will </w:t>
      </w:r>
      <w:r w:rsidR="00C713E8" w:rsidRPr="00643FB4">
        <w:rPr>
          <w:sz w:val="24"/>
          <w:szCs w:val="24"/>
        </w:rPr>
        <w:t>reorganiz</w:t>
      </w:r>
      <w:r w:rsidR="00C713E8">
        <w:rPr>
          <w:sz w:val="24"/>
          <w:szCs w:val="24"/>
        </w:rPr>
        <w:t xml:space="preserve">e </w:t>
      </w:r>
      <w:r w:rsidR="00C713E8" w:rsidRPr="00643FB4">
        <w:rPr>
          <w:sz w:val="24"/>
          <w:szCs w:val="24"/>
        </w:rPr>
        <w:t>the television bands by reassigning stations to new channels to make spectrum available to carry out the forward auction</w:t>
      </w:r>
      <w:r w:rsidR="00C713E8">
        <w:rPr>
          <w:sz w:val="24"/>
          <w:szCs w:val="24"/>
        </w:rPr>
        <w:t xml:space="preserve">.  </w:t>
      </w:r>
      <w:r w:rsidR="00C713E8" w:rsidRPr="00924457">
        <w:rPr>
          <w:rFonts w:ascii="Melior" w:eastAsiaTheme="minorHAnsi" w:hAnsi="Melior" w:cs="Melior"/>
          <w:sz w:val="24"/>
          <w:szCs w:val="24"/>
        </w:rPr>
        <w:t xml:space="preserve">In the </w:t>
      </w:r>
      <w:r w:rsidR="00C713E8">
        <w:rPr>
          <w:rFonts w:ascii="Melior" w:eastAsiaTheme="minorHAnsi" w:hAnsi="Melior" w:cs="Melior"/>
          <w:sz w:val="24"/>
          <w:szCs w:val="24"/>
        </w:rPr>
        <w:t xml:space="preserve">initial </w:t>
      </w:r>
      <w:r w:rsidR="001344A8">
        <w:rPr>
          <w:rFonts w:ascii="Melior-Italic" w:eastAsiaTheme="minorHAnsi" w:hAnsi="Melior-Italic" w:cs="Melior-Italic"/>
          <w:i/>
          <w:iCs/>
          <w:sz w:val="24"/>
          <w:szCs w:val="24"/>
        </w:rPr>
        <w:t>Incentive Auction R&amp;O</w:t>
      </w:r>
      <w:r w:rsidR="00C713E8">
        <w:rPr>
          <w:rFonts w:ascii="Melior" w:eastAsiaTheme="minorHAnsi" w:hAnsi="Melior" w:cs="Melior"/>
          <w:sz w:val="24"/>
          <w:szCs w:val="24"/>
        </w:rPr>
        <w:t>, t</w:t>
      </w:r>
      <w:r w:rsidR="00C713E8" w:rsidRPr="00924457">
        <w:rPr>
          <w:rFonts w:ascii="Melior" w:eastAsiaTheme="minorHAnsi" w:hAnsi="Melior" w:cs="Melior"/>
          <w:sz w:val="24"/>
          <w:szCs w:val="24"/>
        </w:rPr>
        <w:t>he</w:t>
      </w:r>
      <w:r w:rsidR="00C713E8">
        <w:rPr>
          <w:rFonts w:ascii="Melior" w:eastAsiaTheme="minorHAnsi" w:hAnsi="Melior" w:cs="Melior"/>
          <w:sz w:val="24"/>
          <w:szCs w:val="24"/>
        </w:rPr>
        <w:t xml:space="preserve"> </w:t>
      </w:r>
      <w:r w:rsidR="00C713E8" w:rsidRPr="00924457">
        <w:rPr>
          <w:rFonts w:ascii="Melior" w:eastAsiaTheme="minorHAnsi" w:hAnsi="Melior" w:cs="Melior"/>
          <w:sz w:val="24"/>
          <w:szCs w:val="24"/>
        </w:rPr>
        <w:t>Commission</w:t>
      </w:r>
      <w:r w:rsidR="00C713E8" w:rsidRPr="00C713E8">
        <w:rPr>
          <w:rFonts w:eastAsiaTheme="minorHAnsi"/>
          <w:sz w:val="24"/>
          <w:szCs w:val="24"/>
        </w:rPr>
        <w:t xml:space="preserve"> </w:t>
      </w:r>
      <w:r w:rsidR="00C713E8" w:rsidRPr="006C2174">
        <w:rPr>
          <w:rFonts w:eastAsiaTheme="minorHAnsi"/>
          <w:sz w:val="24"/>
          <w:szCs w:val="24"/>
        </w:rPr>
        <w:t>adopted</w:t>
      </w:r>
      <w:r w:rsidR="00C713E8">
        <w:rPr>
          <w:rFonts w:eastAsiaTheme="minorHAnsi"/>
          <w:sz w:val="24"/>
          <w:szCs w:val="24"/>
        </w:rPr>
        <w:t xml:space="preserve"> </w:t>
      </w:r>
      <w:r w:rsidR="00C713E8" w:rsidRPr="006C2174">
        <w:rPr>
          <w:rFonts w:eastAsiaTheme="minorHAnsi"/>
          <w:sz w:val="24"/>
          <w:szCs w:val="24"/>
        </w:rPr>
        <w:t xml:space="preserve">an approach to preserving </w:t>
      </w:r>
      <w:r w:rsidR="00C713E8">
        <w:rPr>
          <w:rFonts w:eastAsiaTheme="minorHAnsi"/>
          <w:sz w:val="24"/>
          <w:szCs w:val="24"/>
        </w:rPr>
        <w:t>p</w:t>
      </w:r>
      <w:r w:rsidR="00C713E8" w:rsidRPr="006C2174">
        <w:rPr>
          <w:rFonts w:eastAsiaTheme="minorHAnsi"/>
          <w:sz w:val="24"/>
          <w:szCs w:val="24"/>
        </w:rPr>
        <w:t>opulation</w:t>
      </w:r>
      <w:r w:rsidR="00C713E8">
        <w:rPr>
          <w:rFonts w:eastAsiaTheme="minorHAnsi"/>
          <w:sz w:val="24"/>
          <w:szCs w:val="24"/>
        </w:rPr>
        <w:t xml:space="preserve"> </w:t>
      </w:r>
      <w:r w:rsidR="00C713E8" w:rsidRPr="006C2174">
        <w:rPr>
          <w:rFonts w:eastAsiaTheme="minorHAnsi"/>
          <w:sz w:val="24"/>
          <w:szCs w:val="24"/>
        </w:rPr>
        <w:t>served under which no channel</w:t>
      </w:r>
      <w:r w:rsidR="00C713E8">
        <w:rPr>
          <w:rFonts w:eastAsiaTheme="minorHAnsi"/>
          <w:sz w:val="24"/>
          <w:szCs w:val="24"/>
        </w:rPr>
        <w:t xml:space="preserve"> </w:t>
      </w:r>
      <w:r w:rsidR="00C713E8" w:rsidRPr="006C2174">
        <w:rPr>
          <w:rFonts w:eastAsiaTheme="minorHAnsi"/>
          <w:sz w:val="24"/>
          <w:szCs w:val="24"/>
        </w:rPr>
        <w:t>assignment</w:t>
      </w:r>
      <w:r w:rsidR="00C713E8">
        <w:rPr>
          <w:rFonts w:eastAsiaTheme="minorHAnsi"/>
          <w:sz w:val="24"/>
          <w:szCs w:val="24"/>
        </w:rPr>
        <w:t>,</w:t>
      </w:r>
      <w:r w:rsidR="00C713E8" w:rsidRPr="006C2174">
        <w:rPr>
          <w:rFonts w:eastAsiaTheme="minorHAnsi"/>
          <w:sz w:val="24"/>
          <w:szCs w:val="24"/>
        </w:rPr>
        <w:t xml:space="preserve"> considered alone, may</w:t>
      </w:r>
      <w:r w:rsidR="00C713E8">
        <w:rPr>
          <w:rFonts w:eastAsiaTheme="minorHAnsi"/>
          <w:sz w:val="24"/>
          <w:szCs w:val="24"/>
        </w:rPr>
        <w:t xml:space="preserve"> </w:t>
      </w:r>
      <w:r w:rsidR="00C713E8" w:rsidRPr="006C2174">
        <w:rPr>
          <w:rFonts w:eastAsiaTheme="minorHAnsi"/>
          <w:sz w:val="24"/>
          <w:szCs w:val="24"/>
        </w:rPr>
        <w:t>reduce another station’s specific</w:t>
      </w:r>
      <w:r w:rsidR="00C713E8">
        <w:rPr>
          <w:rFonts w:eastAsiaTheme="minorHAnsi"/>
          <w:sz w:val="24"/>
          <w:szCs w:val="24"/>
        </w:rPr>
        <w:t xml:space="preserve"> </w:t>
      </w:r>
      <w:r w:rsidR="00C713E8" w:rsidRPr="006C2174">
        <w:rPr>
          <w:rFonts w:eastAsiaTheme="minorHAnsi"/>
          <w:sz w:val="24"/>
          <w:szCs w:val="24"/>
        </w:rPr>
        <w:t>population served by more than 0.5</w:t>
      </w:r>
      <w:r w:rsidR="00C713E8">
        <w:rPr>
          <w:rFonts w:eastAsiaTheme="minorHAnsi"/>
          <w:sz w:val="24"/>
          <w:szCs w:val="24"/>
        </w:rPr>
        <w:t xml:space="preserve"> </w:t>
      </w:r>
      <w:r w:rsidR="00C713E8" w:rsidRPr="006C2174">
        <w:rPr>
          <w:rFonts w:eastAsiaTheme="minorHAnsi"/>
          <w:sz w:val="24"/>
          <w:szCs w:val="24"/>
        </w:rPr>
        <w:t>percent.</w:t>
      </w:r>
      <w:r w:rsidR="00C713E8">
        <w:rPr>
          <w:rFonts w:eastAsiaTheme="minorHAnsi"/>
          <w:sz w:val="24"/>
          <w:szCs w:val="24"/>
        </w:rPr>
        <w:t xml:space="preserve">  In the Order, the Commission </w:t>
      </w:r>
      <w:r w:rsidR="00E61132" w:rsidRPr="001E3E24">
        <w:rPr>
          <w:sz w:val="24"/>
          <w:szCs w:val="24"/>
        </w:rPr>
        <w:t xml:space="preserve">addressed and rejected proposals for </w:t>
      </w:r>
      <w:r w:rsidR="00F95307">
        <w:rPr>
          <w:sz w:val="24"/>
          <w:szCs w:val="24"/>
        </w:rPr>
        <w:t xml:space="preserve">a cap on aggregate </w:t>
      </w:r>
      <w:r w:rsidR="00D9122B">
        <w:rPr>
          <w:sz w:val="24"/>
          <w:szCs w:val="24"/>
        </w:rPr>
        <w:t xml:space="preserve">new </w:t>
      </w:r>
      <w:r w:rsidR="00E61132" w:rsidRPr="001E3E24">
        <w:rPr>
          <w:sz w:val="24"/>
          <w:szCs w:val="24"/>
        </w:rPr>
        <w:t>interference between television stations as result of the repacking process.</w:t>
      </w:r>
    </w:p>
    <w:p w:rsidR="00831958" w:rsidRPr="000E600C" w:rsidRDefault="00E61132" w:rsidP="009E522C">
      <w:pPr>
        <w:autoSpaceDE w:val="0"/>
        <w:autoSpaceDN w:val="0"/>
        <w:adjustRightInd w:val="0"/>
        <w:spacing w:after="240"/>
        <w:rPr>
          <w:sz w:val="24"/>
          <w:szCs w:val="24"/>
        </w:rPr>
      </w:pPr>
      <w:r>
        <w:rPr>
          <w:rFonts w:ascii="Melior" w:eastAsiaTheme="minorHAnsi" w:hAnsi="Melior" w:cs="Melior"/>
          <w:sz w:val="24"/>
          <w:szCs w:val="24"/>
        </w:rPr>
        <w:tab/>
      </w:r>
      <w:r w:rsidRPr="00E61132">
        <w:rPr>
          <w:i/>
          <w:sz w:val="24"/>
          <w:szCs w:val="24"/>
        </w:rPr>
        <w:t>ISIX Methodology and Inputs</w:t>
      </w:r>
      <w:r w:rsidRPr="00E61132">
        <w:rPr>
          <w:sz w:val="24"/>
          <w:szCs w:val="24"/>
        </w:rPr>
        <w:t>.</w:t>
      </w:r>
      <w:r>
        <w:rPr>
          <w:b/>
          <w:sz w:val="24"/>
          <w:szCs w:val="24"/>
        </w:rPr>
        <w:t xml:space="preserve">  </w:t>
      </w:r>
      <w:r w:rsidR="00167C81" w:rsidRPr="00924457">
        <w:rPr>
          <w:rFonts w:ascii="Melior" w:eastAsiaTheme="minorHAnsi" w:hAnsi="Melior" w:cs="Melior"/>
          <w:sz w:val="24"/>
          <w:szCs w:val="24"/>
        </w:rPr>
        <w:t xml:space="preserve">In the </w:t>
      </w:r>
      <w:r w:rsidR="00167C81">
        <w:rPr>
          <w:rFonts w:ascii="Melior" w:eastAsiaTheme="minorHAnsi" w:hAnsi="Melior" w:cs="Melior"/>
          <w:sz w:val="24"/>
          <w:szCs w:val="24"/>
        </w:rPr>
        <w:t>initia</w:t>
      </w:r>
      <w:r w:rsidR="0041755B">
        <w:rPr>
          <w:rFonts w:ascii="Melior" w:eastAsiaTheme="minorHAnsi" w:hAnsi="Melior" w:cs="Melior"/>
          <w:sz w:val="24"/>
          <w:szCs w:val="24"/>
        </w:rPr>
        <w:t xml:space="preserve">l </w:t>
      </w:r>
      <w:r w:rsidR="00167C81">
        <w:rPr>
          <w:rFonts w:ascii="Melior-Italic" w:eastAsiaTheme="minorHAnsi" w:hAnsi="Melior-Italic" w:cs="Melior-Italic"/>
          <w:i/>
          <w:iCs/>
          <w:sz w:val="24"/>
          <w:szCs w:val="24"/>
        </w:rPr>
        <w:t>Incentive Auction R&amp;O</w:t>
      </w:r>
      <w:r w:rsidR="0041755B">
        <w:rPr>
          <w:rFonts w:ascii="Melior" w:eastAsiaTheme="minorHAnsi" w:hAnsi="Melior" w:cs="Melior"/>
          <w:sz w:val="24"/>
          <w:szCs w:val="24"/>
        </w:rPr>
        <w:t xml:space="preserve">, </w:t>
      </w:r>
      <w:r w:rsidR="00167C81">
        <w:rPr>
          <w:rFonts w:ascii="Melior" w:eastAsiaTheme="minorHAnsi" w:hAnsi="Melior" w:cs="Melior"/>
          <w:sz w:val="24"/>
          <w:szCs w:val="24"/>
        </w:rPr>
        <w:t>t</w:t>
      </w:r>
      <w:r w:rsidR="00167C81" w:rsidRPr="00924457">
        <w:rPr>
          <w:rFonts w:ascii="Melior" w:eastAsiaTheme="minorHAnsi" w:hAnsi="Melior" w:cs="Melior"/>
          <w:sz w:val="24"/>
          <w:szCs w:val="24"/>
        </w:rPr>
        <w:t>he</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Commission adopted a flexible band</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plan framework that accommodates</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 xml:space="preserve">market variation. </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Market variation</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occurs where broadcast stations remain</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on spectrum that is repurposed for</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wireless broadband under the 600 MHz</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 xml:space="preserve">Band Plan. </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The Commission explained</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that accommodating market variation is</w:t>
      </w:r>
      <w:r w:rsidR="00167C81">
        <w:rPr>
          <w:rFonts w:ascii="Melior" w:eastAsiaTheme="minorHAnsi" w:hAnsi="Melior" w:cs="Melior"/>
          <w:sz w:val="24"/>
          <w:szCs w:val="24"/>
        </w:rPr>
        <w:t xml:space="preserve"> necessary because the amount of s</w:t>
      </w:r>
      <w:r w:rsidR="00167C81" w:rsidRPr="00924457">
        <w:rPr>
          <w:rFonts w:ascii="Melior" w:eastAsiaTheme="minorHAnsi" w:hAnsi="Melior" w:cs="Melior"/>
          <w:sz w:val="24"/>
          <w:szCs w:val="24"/>
        </w:rPr>
        <w:t>pectrum recovered along the Canadian</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and Mexican borders and in some</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markets may vary from that recovered in</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most markets nationwide.</w:t>
      </w:r>
      <w:r w:rsidR="00167C81">
        <w:rPr>
          <w:rFonts w:ascii="Melior" w:eastAsiaTheme="minorHAnsi" w:hAnsi="Melior" w:cs="Melior"/>
          <w:sz w:val="24"/>
          <w:szCs w:val="24"/>
        </w:rPr>
        <w:t xml:space="preserve">  </w:t>
      </w:r>
      <w:r w:rsidR="00562F83">
        <w:rPr>
          <w:rFonts w:ascii="Melior" w:eastAsiaTheme="minorHAnsi" w:hAnsi="Melior" w:cs="Melior"/>
          <w:sz w:val="24"/>
          <w:szCs w:val="24"/>
        </w:rPr>
        <w:t>M</w:t>
      </w:r>
      <w:r w:rsidR="00167C81" w:rsidRPr="00924457">
        <w:rPr>
          <w:rFonts w:ascii="Melior" w:eastAsiaTheme="minorHAnsi" w:hAnsi="Melior" w:cs="Melior"/>
          <w:sz w:val="24"/>
          <w:szCs w:val="24"/>
        </w:rPr>
        <w:t xml:space="preserve">arket variation </w:t>
      </w:r>
      <w:r w:rsidR="00562F83">
        <w:rPr>
          <w:rFonts w:ascii="Melior" w:eastAsiaTheme="minorHAnsi" w:hAnsi="Melior" w:cs="Melior"/>
          <w:sz w:val="24"/>
          <w:szCs w:val="24"/>
        </w:rPr>
        <w:t xml:space="preserve">creates </w:t>
      </w:r>
      <w:r w:rsidR="00167C81" w:rsidRPr="00924457">
        <w:rPr>
          <w:rFonts w:ascii="Melior" w:eastAsiaTheme="minorHAnsi" w:hAnsi="Melior" w:cs="Melior"/>
          <w:sz w:val="24"/>
          <w:szCs w:val="24"/>
        </w:rPr>
        <w:t>the potential for inter-service</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 xml:space="preserve">interference </w:t>
      </w:r>
      <w:r w:rsidR="000D0A76">
        <w:rPr>
          <w:rFonts w:ascii="Melior" w:eastAsiaTheme="minorHAnsi" w:hAnsi="Melior" w:cs="Melior"/>
          <w:sz w:val="24"/>
          <w:szCs w:val="24"/>
        </w:rPr>
        <w:t xml:space="preserve">(ISIX) </w:t>
      </w:r>
      <w:r w:rsidR="00167C81" w:rsidRPr="00924457">
        <w:rPr>
          <w:rFonts w:ascii="Melior" w:eastAsiaTheme="minorHAnsi" w:hAnsi="Melior" w:cs="Melior"/>
          <w:sz w:val="24"/>
          <w:szCs w:val="24"/>
        </w:rPr>
        <w:t>because, in constrained markets where</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broadcast television stations are</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assigned to channels within the 600</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MHz Band, television services and</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wireless services will be operating in</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close geographic proximity on either the</w:t>
      </w:r>
      <w:r w:rsidR="00167C81">
        <w:rPr>
          <w:rFonts w:ascii="Melior" w:eastAsiaTheme="minorHAnsi" w:hAnsi="Melior" w:cs="Melior"/>
          <w:sz w:val="24"/>
          <w:szCs w:val="24"/>
        </w:rPr>
        <w:t xml:space="preserve"> </w:t>
      </w:r>
      <w:r w:rsidR="00167C81" w:rsidRPr="00924457">
        <w:rPr>
          <w:rFonts w:ascii="Melior" w:eastAsiaTheme="minorHAnsi" w:hAnsi="Melior" w:cs="Melior"/>
          <w:sz w:val="24"/>
          <w:szCs w:val="24"/>
        </w:rPr>
        <w:t>same or adjacent frequencies.</w:t>
      </w:r>
      <w:r w:rsidR="00C713E8">
        <w:rPr>
          <w:rFonts w:ascii="Melior" w:eastAsiaTheme="minorHAnsi" w:hAnsi="Melior" w:cs="Melior"/>
          <w:sz w:val="24"/>
          <w:szCs w:val="24"/>
        </w:rPr>
        <w:t xml:space="preserve">  </w:t>
      </w:r>
      <w:r w:rsidR="00E005C8">
        <w:rPr>
          <w:sz w:val="24"/>
          <w:szCs w:val="24"/>
        </w:rPr>
        <w:t xml:space="preserve">In the </w:t>
      </w:r>
      <w:r w:rsidR="00D64477" w:rsidRPr="001E3E24">
        <w:rPr>
          <w:sz w:val="24"/>
          <w:szCs w:val="24"/>
        </w:rPr>
        <w:t>Order</w:t>
      </w:r>
      <w:r w:rsidR="00E005C8">
        <w:rPr>
          <w:sz w:val="24"/>
          <w:szCs w:val="24"/>
        </w:rPr>
        <w:t>, the Commission</w:t>
      </w:r>
      <w:r w:rsidR="00D64477" w:rsidRPr="001E3E24">
        <w:rPr>
          <w:sz w:val="24"/>
          <w:szCs w:val="24"/>
        </w:rPr>
        <w:t xml:space="preserve"> established a methodology and associated input values to predict inter-service interference between television and wireless services in certain areas for use during the incentive auction (ISIX Methodology</w:t>
      </w:r>
      <w:r w:rsidR="00A87EC1" w:rsidRPr="001E3E24">
        <w:rPr>
          <w:sz w:val="24"/>
          <w:szCs w:val="24"/>
        </w:rPr>
        <w:t>)</w:t>
      </w:r>
      <w:r w:rsidR="00831958" w:rsidRPr="001E3E24">
        <w:rPr>
          <w:sz w:val="24"/>
          <w:szCs w:val="24"/>
        </w:rPr>
        <w:t xml:space="preserve">.  </w:t>
      </w:r>
    </w:p>
    <w:p w:rsidR="00241392" w:rsidRDefault="00831958" w:rsidP="009E522C">
      <w:pPr>
        <w:pStyle w:val="ParaNum"/>
        <w:widowControl w:val="0"/>
        <w:numPr>
          <w:ilvl w:val="0"/>
          <w:numId w:val="0"/>
        </w:numPr>
        <w:spacing w:after="240"/>
        <w:ind w:left="90" w:firstLine="720"/>
        <w:rPr>
          <w:sz w:val="24"/>
          <w:szCs w:val="24"/>
        </w:rPr>
      </w:pPr>
      <w:r>
        <w:rPr>
          <w:lang w:val="en-US"/>
        </w:rPr>
        <w:t xml:space="preserve"> </w:t>
      </w:r>
    </w:p>
    <w:p w:rsidR="00FE7E34" w:rsidRPr="00241392" w:rsidRDefault="00FE7E34" w:rsidP="00FE7E34">
      <w:pPr>
        <w:pStyle w:val="ParaNum"/>
        <w:widowControl w:val="0"/>
        <w:numPr>
          <w:ilvl w:val="0"/>
          <w:numId w:val="0"/>
        </w:numPr>
        <w:ind w:left="90" w:firstLine="720"/>
        <w:rPr>
          <w:sz w:val="24"/>
          <w:szCs w:val="24"/>
        </w:rPr>
      </w:pPr>
    </w:p>
    <w:p w:rsidR="00FE7E34" w:rsidRPr="000846B3" w:rsidRDefault="00FE7E34" w:rsidP="00FE7E34">
      <w:pPr>
        <w:pStyle w:val="ListParagraph"/>
        <w:keepNext/>
        <w:numPr>
          <w:ilvl w:val="0"/>
          <w:numId w:val="4"/>
        </w:numPr>
        <w:spacing w:after="120"/>
        <w:rPr>
          <w:b/>
          <w:sz w:val="24"/>
          <w:szCs w:val="24"/>
        </w:rPr>
      </w:pPr>
      <w:r w:rsidRPr="000846B3">
        <w:rPr>
          <w:b/>
          <w:sz w:val="24"/>
          <w:szCs w:val="24"/>
        </w:rPr>
        <w:t>REGULATIONS AND POLICIES THAT THE COMMISSION ADOPTED OR MODIFIED, INCLUDING RECORDKEEPING AND OTHER COMPLIANCE REQUIREMENTS</w:t>
      </w:r>
    </w:p>
    <w:p w:rsidR="00FE7E34" w:rsidRDefault="00FE7E34" w:rsidP="00FE7E34">
      <w:pPr>
        <w:pStyle w:val="ListParagraph"/>
        <w:keepNext/>
        <w:spacing w:after="120"/>
        <w:ind w:left="1080"/>
        <w:rPr>
          <w:b/>
          <w:sz w:val="24"/>
          <w:szCs w:val="24"/>
          <w:u w:val="single"/>
        </w:rPr>
      </w:pPr>
    </w:p>
    <w:p w:rsidR="00115823" w:rsidRDefault="00115823" w:rsidP="00115823">
      <w:pPr>
        <w:pStyle w:val="ListParagraph"/>
        <w:numPr>
          <w:ilvl w:val="0"/>
          <w:numId w:val="5"/>
        </w:numPr>
        <w:autoSpaceDE w:val="0"/>
        <w:autoSpaceDN w:val="0"/>
        <w:adjustRightInd w:val="0"/>
        <w:rPr>
          <w:rFonts w:eastAsiaTheme="minorHAnsi"/>
          <w:b/>
          <w:bCs/>
          <w:sz w:val="24"/>
          <w:szCs w:val="24"/>
        </w:rPr>
      </w:pPr>
      <w:r w:rsidRPr="00115823">
        <w:rPr>
          <w:rFonts w:eastAsiaTheme="minorHAnsi"/>
          <w:b/>
          <w:bCs/>
          <w:sz w:val="24"/>
          <w:szCs w:val="24"/>
        </w:rPr>
        <w:t xml:space="preserve"> </w:t>
      </w:r>
      <w:r w:rsidRPr="00C15DC2">
        <w:rPr>
          <w:rFonts w:eastAsiaTheme="minorHAnsi"/>
          <w:b/>
          <w:bCs/>
          <w:sz w:val="24"/>
          <w:szCs w:val="24"/>
        </w:rPr>
        <w:t>Requested Additional Limits on New Interference in the Repacking Process</w:t>
      </w:r>
    </w:p>
    <w:p w:rsidR="00C42658" w:rsidRPr="00B73249" w:rsidRDefault="00C42658" w:rsidP="00FE7E34">
      <w:pPr>
        <w:pStyle w:val="ParaNum"/>
        <w:numPr>
          <w:ilvl w:val="0"/>
          <w:numId w:val="0"/>
        </w:numPr>
        <w:ind w:firstLine="720"/>
        <w:rPr>
          <w:b/>
          <w:sz w:val="24"/>
          <w:szCs w:val="24"/>
          <w:u w:val="single"/>
        </w:rPr>
      </w:pPr>
    </w:p>
    <w:p w:rsidR="00FE7E34" w:rsidRDefault="00115823" w:rsidP="00FE7E34">
      <w:pPr>
        <w:autoSpaceDE w:val="0"/>
        <w:autoSpaceDN w:val="0"/>
        <w:adjustRightInd w:val="0"/>
        <w:ind w:firstLine="720"/>
        <w:rPr>
          <w:rFonts w:eastAsiaTheme="minorHAnsi"/>
          <w:sz w:val="24"/>
          <w:szCs w:val="24"/>
        </w:rPr>
      </w:pPr>
      <w:r>
        <w:rPr>
          <w:rFonts w:eastAsiaTheme="minorHAnsi"/>
          <w:sz w:val="24"/>
          <w:szCs w:val="24"/>
        </w:rPr>
        <w:t xml:space="preserve">In the </w:t>
      </w:r>
      <w:r w:rsidRPr="00421B3A">
        <w:rPr>
          <w:rFonts w:eastAsiaTheme="minorHAnsi"/>
          <w:i/>
          <w:sz w:val="24"/>
          <w:szCs w:val="24"/>
        </w:rPr>
        <w:t>Incentive Auction R&amp;O</w:t>
      </w:r>
      <w:r>
        <w:rPr>
          <w:rFonts w:eastAsiaTheme="minorHAnsi"/>
          <w:sz w:val="24"/>
          <w:szCs w:val="24"/>
        </w:rPr>
        <w:t xml:space="preserve">, </w:t>
      </w:r>
      <w:r w:rsidR="00FE7E34" w:rsidRPr="006C2174">
        <w:rPr>
          <w:rFonts w:eastAsiaTheme="minorHAnsi"/>
          <w:sz w:val="24"/>
          <w:szCs w:val="24"/>
        </w:rPr>
        <w:t>the Commission adopted</w:t>
      </w:r>
      <w:r w:rsidR="00FE7E34">
        <w:rPr>
          <w:rFonts w:eastAsiaTheme="minorHAnsi"/>
          <w:sz w:val="24"/>
          <w:szCs w:val="24"/>
        </w:rPr>
        <w:t xml:space="preserve"> </w:t>
      </w:r>
      <w:r w:rsidR="00FE7E34" w:rsidRPr="006C2174">
        <w:rPr>
          <w:rFonts w:eastAsiaTheme="minorHAnsi"/>
          <w:sz w:val="24"/>
          <w:szCs w:val="24"/>
        </w:rPr>
        <w:t xml:space="preserve">an approach to preserving </w:t>
      </w:r>
      <w:r w:rsidR="00FE7E34">
        <w:rPr>
          <w:rFonts w:eastAsiaTheme="minorHAnsi"/>
          <w:sz w:val="24"/>
          <w:szCs w:val="24"/>
        </w:rPr>
        <w:t>p</w:t>
      </w:r>
      <w:r w:rsidR="00FE7E34" w:rsidRPr="006C2174">
        <w:rPr>
          <w:rFonts w:eastAsiaTheme="minorHAnsi"/>
          <w:sz w:val="24"/>
          <w:szCs w:val="24"/>
        </w:rPr>
        <w:t>opulation</w:t>
      </w:r>
      <w:r w:rsidR="00FE7E34">
        <w:rPr>
          <w:rFonts w:eastAsiaTheme="minorHAnsi"/>
          <w:sz w:val="24"/>
          <w:szCs w:val="24"/>
        </w:rPr>
        <w:t xml:space="preserve"> </w:t>
      </w:r>
      <w:r w:rsidR="00FE7E34" w:rsidRPr="006C2174">
        <w:rPr>
          <w:rFonts w:eastAsiaTheme="minorHAnsi"/>
          <w:sz w:val="24"/>
          <w:szCs w:val="24"/>
        </w:rPr>
        <w:t>served under which no channel</w:t>
      </w:r>
      <w:r w:rsidR="00FE7E34">
        <w:rPr>
          <w:rFonts w:eastAsiaTheme="minorHAnsi"/>
          <w:sz w:val="24"/>
          <w:szCs w:val="24"/>
        </w:rPr>
        <w:t xml:space="preserve"> </w:t>
      </w:r>
      <w:r w:rsidR="00FE7E34" w:rsidRPr="006C2174">
        <w:rPr>
          <w:rFonts w:eastAsiaTheme="minorHAnsi"/>
          <w:sz w:val="24"/>
          <w:szCs w:val="24"/>
        </w:rPr>
        <w:t>assignment, considered alone, may</w:t>
      </w:r>
      <w:r w:rsidR="00FE7E34">
        <w:rPr>
          <w:rFonts w:eastAsiaTheme="minorHAnsi"/>
          <w:sz w:val="24"/>
          <w:szCs w:val="24"/>
        </w:rPr>
        <w:t xml:space="preserve"> </w:t>
      </w:r>
      <w:r w:rsidR="00FE7E34" w:rsidRPr="006C2174">
        <w:rPr>
          <w:rFonts w:eastAsiaTheme="minorHAnsi"/>
          <w:sz w:val="24"/>
          <w:szCs w:val="24"/>
        </w:rPr>
        <w:t>reduce another station’s specific</w:t>
      </w:r>
      <w:r w:rsidR="00FE7E34">
        <w:rPr>
          <w:rFonts w:eastAsiaTheme="minorHAnsi"/>
          <w:sz w:val="24"/>
          <w:szCs w:val="24"/>
        </w:rPr>
        <w:t xml:space="preserve"> </w:t>
      </w:r>
      <w:r w:rsidR="00FE7E34" w:rsidRPr="006C2174">
        <w:rPr>
          <w:rFonts w:eastAsiaTheme="minorHAnsi"/>
          <w:sz w:val="24"/>
          <w:szCs w:val="24"/>
        </w:rPr>
        <w:t>population served by more than 0.5</w:t>
      </w:r>
      <w:r w:rsidR="00FE7E34">
        <w:rPr>
          <w:rFonts w:eastAsiaTheme="minorHAnsi"/>
          <w:sz w:val="24"/>
          <w:szCs w:val="24"/>
        </w:rPr>
        <w:t xml:space="preserve"> </w:t>
      </w:r>
      <w:r w:rsidR="00FE7E34" w:rsidRPr="006C2174">
        <w:rPr>
          <w:rFonts w:eastAsiaTheme="minorHAnsi"/>
          <w:sz w:val="24"/>
          <w:szCs w:val="24"/>
        </w:rPr>
        <w:t xml:space="preserve">percent. </w:t>
      </w:r>
      <w:r w:rsidR="00FE7E34">
        <w:rPr>
          <w:rFonts w:eastAsiaTheme="minorHAnsi"/>
          <w:sz w:val="24"/>
          <w:szCs w:val="24"/>
        </w:rPr>
        <w:t xml:space="preserve"> </w:t>
      </w:r>
      <w:r w:rsidR="00FE7E34" w:rsidRPr="006C2174">
        <w:rPr>
          <w:rFonts w:eastAsiaTheme="minorHAnsi"/>
          <w:sz w:val="24"/>
          <w:szCs w:val="24"/>
        </w:rPr>
        <w:t>The Commission’s rules treat</w:t>
      </w:r>
      <w:r>
        <w:rPr>
          <w:rFonts w:eastAsiaTheme="minorHAnsi"/>
          <w:sz w:val="24"/>
          <w:szCs w:val="24"/>
        </w:rPr>
        <w:t xml:space="preserve"> </w:t>
      </w:r>
      <w:r w:rsidR="00FE7E34" w:rsidRPr="006C2174">
        <w:rPr>
          <w:rFonts w:eastAsiaTheme="minorHAnsi"/>
          <w:sz w:val="24"/>
          <w:szCs w:val="24"/>
        </w:rPr>
        <w:t xml:space="preserve">0.5 percent interference or less as </w:t>
      </w:r>
      <w:r w:rsidR="00FE7E34" w:rsidRPr="006C2174">
        <w:rPr>
          <w:rFonts w:eastAsiaTheme="minorHAnsi"/>
          <w:i/>
          <w:iCs/>
          <w:sz w:val="24"/>
          <w:szCs w:val="24"/>
        </w:rPr>
        <w:t>de</w:t>
      </w:r>
      <w:r w:rsidR="00FE7E34">
        <w:rPr>
          <w:rFonts w:eastAsiaTheme="minorHAnsi"/>
          <w:i/>
          <w:iCs/>
          <w:sz w:val="24"/>
          <w:szCs w:val="24"/>
        </w:rPr>
        <w:t xml:space="preserve"> </w:t>
      </w:r>
      <w:r w:rsidR="00FE7E34" w:rsidRPr="006C2174">
        <w:rPr>
          <w:rFonts w:eastAsiaTheme="minorHAnsi"/>
          <w:i/>
          <w:iCs/>
          <w:sz w:val="24"/>
          <w:szCs w:val="24"/>
        </w:rPr>
        <w:t xml:space="preserve">minimis </w:t>
      </w:r>
      <w:r w:rsidR="00FE7E34" w:rsidRPr="006C2174">
        <w:rPr>
          <w:rFonts w:eastAsiaTheme="minorHAnsi"/>
          <w:sz w:val="24"/>
          <w:szCs w:val="24"/>
        </w:rPr>
        <w:t>or no new interference, as this</w:t>
      </w:r>
      <w:r w:rsidR="00FE7E34">
        <w:rPr>
          <w:rFonts w:eastAsiaTheme="minorHAnsi"/>
          <w:sz w:val="24"/>
          <w:szCs w:val="24"/>
        </w:rPr>
        <w:t xml:space="preserve"> </w:t>
      </w:r>
      <w:r w:rsidR="00FE7E34" w:rsidRPr="006C2174">
        <w:rPr>
          <w:rFonts w:eastAsiaTheme="minorHAnsi"/>
          <w:sz w:val="24"/>
          <w:szCs w:val="24"/>
        </w:rPr>
        <w:t>amount rounds to zero at integer</w:t>
      </w:r>
      <w:r w:rsidR="00FE7E34">
        <w:rPr>
          <w:rFonts w:eastAsiaTheme="minorHAnsi"/>
          <w:sz w:val="24"/>
          <w:szCs w:val="24"/>
        </w:rPr>
        <w:t xml:space="preserve"> </w:t>
      </w:r>
      <w:r w:rsidR="00FE7E34" w:rsidRPr="006C2174">
        <w:rPr>
          <w:rFonts w:eastAsiaTheme="minorHAnsi"/>
          <w:sz w:val="24"/>
          <w:szCs w:val="24"/>
        </w:rPr>
        <w:t xml:space="preserve">precision. </w:t>
      </w:r>
      <w:r w:rsidR="00FE7E34">
        <w:rPr>
          <w:rFonts w:eastAsiaTheme="minorHAnsi"/>
          <w:sz w:val="24"/>
          <w:szCs w:val="24"/>
        </w:rPr>
        <w:t xml:space="preserve"> </w:t>
      </w:r>
      <w:r w:rsidR="00FE7E34" w:rsidRPr="006C2174">
        <w:rPr>
          <w:rFonts w:eastAsiaTheme="minorHAnsi"/>
          <w:sz w:val="24"/>
          <w:szCs w:val="24"/>
        </w:rPr>
        <w:t>Under this approach, the</w:t>
      </w:r>
      <w:r w:rsidR="00FE7E34">
        <w:rPr>
          <w:rFonts w:eastAsiaTheme="minorHAnsi"/>
          <w:sz w:val="24"/>
          <w:szCs w:val="24"/>
        </w:rPr>
        <w:t xml:space="preserve"> Commission </w:t>
      </w:r>
      <w:r w:rsidR="00FE7E34" w:rsidRPr="006C2174">
        <w:rPr>
          <w:rFonts w:eastAsiaTheme="minorHAnsi"/>
          <w:sz w:val="24"/>
          <w:szCs w:val="24"/>
        </w:rPr>
        <w:t>consider</w:t>
      </w:r>
      <w:r w:rsidR="008D2F66">
        <w:rPr>
          <w:rFonts w:eastAsiaTheme="minorHAnsi"/>
          <w:sz w:val="24"/>
          <w:szCs w:val="24"/>
        </w:rPr>
        <w:t>s</w:t>
      </w:r>
      <w:r w:rsidR="00FE7E34" w:rsidRPr="006C2174">
        <w:rPr>
          <w:rFonts w:eastAsiaTheme="minorHAnsi"/>
          <w:sz w:val="24"/>
          <w:szCs w:val="24"/>
        </w:rPr>
        <w:t xml:space="preserve"> </w:t>
      </w:r>
      <w:r w:rsidR="000C0EE6">
        <w:rPr>
          <w:rFonts w:eastAsiaTheme="minorHAnsi"/>
          <w:sz w:val="24"/>
          <w:szCs w:val="24"/>
        </w:rPr>
        <w:t xml:space="preserve">only </w:t>
      </w:r>
      <w:r w:rsidR="00FE7E34" w:rsidRPr="006C2174">
        <w:rPr>
          <w:rFonts w:eastAsiaTheme="minorHAnsi"/>
          <w:sz w:val="24"/>
          <w:szCs w:val="24"/>
        </w:rPr>
        <w:t>station</w:t>
      </w:r>
      <w:r w:rsidR="00FE7E34">
        <w:rPr>
          <w:rFonts w:eastAsiaTheme="minorHAnsi"/>
          <w:sz w:val="24"/>
          <w:szCs w:val="24"/>
        </w:rPr>
        <w:t>-</w:t>
      </w:r>
      <w:r w:rsidR="00FE7E34" w:rsidRPr="006C2174">
        <w:rPr>
          <w:rFonts w:eastAsiaTheme="minorHAnsi"/>
          <w:sz w:val="24"/>
          <w:szCs w:val="24"/>
        </w:rPr>
        <w:t xml:space="preserve">to-station (or </w:t>
      </w:r>
      <w:r w:rsidR="008D2F66">
        <w:rPr>
          <w:rFonts w:eastAsiaTheme="minorHAnsi"/>
          <w:sz w:val="24"/>
          <w:szCs w:val="24"/>
        </w:rPr>
        <w:t>“</w:t>
      </w:r>
      <w:r w:rsidR="00FE7E34" w:rsidRPr="006C2174">
        <w:rPr>
          <w:rFonts w:eastAsiaTheme="minorHAnsi"/>
          <w:sz w:val="24"/>
          <w:szCs w:val="24"/>
        </w:rPr>
        <w:t>pairwise</w:t>
      </w:r>
      <w:r w:rsidR="008D2F66">
        <w:rPr>
          <w:rFonts w:eastAsiaTheme="minorHAnsi"/>
          <w:sz w:val="24"/>
          <w:szCs w:val="24"/>
        </w:rPr>
        <w:t>”</w:t>
      </w:r>
      <w:r w:rsidR="00FE7E34" w:rsidRPr="006C2174">
        <w:rPr>
          <w:rFonts w:eastAsiaTheme="minorHAnsi"/>
          <w:sz w:val="24"/>
          <w:szCs w:val="24"/>
        </w:rPr>
        <w:t>) interference</w:t>
      </w:r>
      <w:r w:rsidR="00FE7E34">
        <w:rPr>
          <w:rFonts w:eastAsiaTheme="minorHAnsi"/>
          <w:sz w:val="24"/>
          <w:szCs w:val="24"/>
        </w:rPr>
        <w:t xml:space="preserve"> </w:t>
      </w:r>
      <w:r w:rsidR="00FE7E34" w:rsidRPr="006C2174">
        <w:rPr>
          <w:rFonts w:eastAsiaTheme="minorHAnsi"/>
          <w:sz w:val="24"/>
          <w:szCs w:val="24"/>
        </w:rPr>
        <w:t>when determining whether a particular</w:t>
      </w:r>
      <w:r w:rsidR="00FE7E34">
        <w:rPr>
          <w:rFonts w:eastAsiaTheme="minorHAnsi"/>
          <w:sz w:val="24"/>
          <w:szCs w:val="24"/>
        </w:rPr>
        <w:t xml:space="preserve"> </w:t>
      </w:r>
      <w:r w:rsidR="00FE7E34" w:rsidRPr="006C2174">
        <w:rPr>
          <w:rFonts w:eastAsiaTheme="minorHAnsi"/>
          <w:sz w:val="24"/>
          <w:szCs w:val="24"/>
        </w:rPr>
        <w:t>channel assignment is permissible.</w:t>
      </w:r>
      <w:r w:rsidR="00985C59">
        <w:rPr>
          <w:rFonts w:eastAsiaTheme="minorHAnsi"/>
          <w:sz w:val="24"/>
          <w:szCs w:val="24"/>
        </w:rPr>
        <w:t xml:space="preserve">  </w:t>
      </w:r>
    </w:p>
    <w:p w:rsidR="00C15DC2" w:rsidRPr="00C15DC2" w:rsidRDefault="00C15DC2" w:rsidP="00C15DC2">
      <w:pPr>
        <w:pStyle w:val="ListParagraph"/>
        <w:autoSpaceDE w:val="0"/>
        <w:autoSpaceDN w:val="0"/>
        <w:adjustRightInd w:val="0"/>
        <w:ind w:left="1080"/>
        <w:rPr>
          <w:b/>
          <w:sz w:val="24"/>
          <w:szCs w:val="24"/>
        </w:rPr>
      </w:pPr>
    </w:p>
    <w:p w:rsidR="008D2F66" w:rsidRDefault="00FE7E34" w:rsidP="00370909">
      <w:pPr>
        <w:autoSpaceDE w:val="0"/>
        <w:autoSpaceDN w:val="0"/>
        <w:adjustRightInd w:val="0"/>
        <w:ind w:firstLine="720"/>
        <w:rPr>
          <w:rFonts w:eastAsiaTheme="minorHAnsi"/>
          <w:sz w:val="24"/>
          <w:szCs w:val="24"/>
        </w:rPr>
      </w:pPr>
      <w:r>
        <w:rPr>
          <w:sz w:val="24"/>
          <w:szCs w:val="24"/>
        </w:rPr>
        <w:t xml:space="preserve">In the Order, </w:t>
      </w:r>
      <w:r w:rsidR="00F958D2" w:rsidRPr="00643FB4">
        <w:rPr>
          <w:sz w:val="24"/>
          <w:szCs w:val="24"/>
        </w:rPr>
        <w:t xml:space="preserve">the Commission </w:t>
      </w:r>
      <w:r w:rsidR="004705DF">
        <w:rPr>
          <w:sz w:val="24"/>
          <w:szCs w:val="24"/>
        </w:rPr>
        <w:t xml:space="preserve">rejected a </w:t>
      </w:r>
      <w:r w:rsidR="00E52349" w:rsidRPr="00E52349">
        <w:rPr>
          <w:sz w:val="24"/>
          <w:szCs w:val="24"/>
        </w:rPr>
        <w:t>one-percent cap on</w:t>
      </w:r>
      <w:r w:rsidR="00E52349">
        <w:rPr>
          <w:sz w:val="24"/>
          <w:szCs w:val="24"/>
        </w:rPr>
        <w:t xml:space="preserve"> </w:t>
      </w:r>
      <w:r w:rsidR="00E52349" w:rsidRPr="00E52349">
        <w:rPr>
          <w:sz w:val="24"/>
          <w:szCs w:val="24"/>
        </w:rPr>
        <w:t xml:space="preserve">aggregate </w:t>
      </w:r>
      <w:r w:rsidR="004705DF">
        <w:rPr>
          <w:sz w:val="24"/>
          <w:szCs w:val="24"/>
        </w:rPr>
        <w:t xml:space="preserve">interference, and </w:t>
      </w:r>
      <w:r w:rsidR="00E52349">
        <w:rPr>
          <w:sz w:val="24"/>
          <w:szCs w:val="24"/>
        </w:rPr>
        <w:t>adopted measures that</w:t>
      </w:r>
      <w:r w:rsidR="000519A2">
        <w:rPr>
          <w:sz w:val="24"/>
          <w:szCs w:val="24"/>
        </w:rPr>
        <w:t xml:space="preserve"> </w:t>
      </w:r>
      <w:r w:rsidR="00E52349" w:rsidRPr="00E52349">
        <w:rPr>
          <w:sz w:val="24"/>
          <w:szCs w:val="24"/>
        </w:rPr>
        <w:t>will effectively address broadcasters’</w:t>
      </w:r>
      <w:r w:rsidR="00E52349">
        <w:rPr>
          <w:sz w:val="24"/>
          <w:szCs w:val="24"/>
        </w:rPr>
        <w:t xml:space="preserve"> </w:t>
      </w:r>
      <w:r w:rsidR="00E52349" w:rsidRPr="00E52349">
        <w:rPr>
          <w:sz w:val="24"/>
          <w:szCs w:val="24"/>
        </w:rPr>
        <w:t>concerns about such interference in</w:t>
      </w:r>
      <w:r w:rsidR="00E52349">
        <w:rPr>
          <w:sz w:val="24"/>
          <w:szCs w:val="24"/>
        </w:rPr>
        <w:t xml:space="preserve"> </w:t>
      </w:r>
      <w:r w:rsidR="00E52349" w:rsidRPr="00E52349">
        <w:rPr>
          <w:sz w:val="24"/>
          <w:szCs w:val="24"/>
        </w:rPr>
        <w:t>exceptional cases where there may be</w:t>
      </w:r>
      <w:r w:rsidR="00E52349">
        <w:rPr>
          <w:sz w:val="24"/>
          <w:szCs w:val="24"/>
        </w:rPr>
        <w:t xml:space="preserve"> </w:t>
      </w:r>
      <w:r w:rsidR="00E52349" w:rsidRPr="00E52349">
        <w:rPr>
          <w:sz w:val="24"/>
          <w:szCs w:val="24"/>
        </w:rPr>
        <w:t>aggregate new interference of more than</w:t>
      </w:r>
      <w:r w:rsidR="00E52349">
        <w:rPr>
          <w:sz w:val="24"/>
          <w:szCs w:val="24"/>
        </w:rPr>
        <w:t xml:space="preserve"> </w:t>
      </w:r>
      <w:r w:rsidR="00E52349" w:rsidRPr="00E52349">
        <w:rPr>
          <w:sz w:val="24"/>
          <w:szCs w:val="24"/>
        </w:rPr>
        <w:t xml:space="preserve">one percent. </w:t>
      </w:r>
      <w:r w:rsidR="0045226F">
        <w:rPr>
          <w:sz w:val="24"/>
          <w:szCs w:val="24"/>
        </w:rPr>
        <w:t xml:space="preserve"> </w:t>
      </w:r>
      <w:r w:rsidR="006B077B">
        <w:rPr>
          <w:rFonts w:eastAsiaTheme="minorHAnsi"/>
          <w:sz w:val="24"/>
          <w:szCs w:val="24"/>
        </w:rPr>
        <w:t xml:space="preserve">The Commission found that </w:t>
      </w:r>
      <w:r w:rsidR="00985C59">
        <w:rPr>
          <w:rFonts w:eastAsiaTheme="minorHAnsi"/>
          <w:sz w:val="24"/>
          <w:szCs w:val="24"/>
        </w:rPr>
        <w:t>t</w:t>
      </w:r>
      <w:r w:rsidR="00AD376F" w:rsidRPr="00AD376F">
        <w:rPr>
          <w:rFonts w:eastAsiaTheme="minorHAnsi"/>
          <w:sz w:val="24"/>
          <w:szCs w:val="24"/>
        </w:rPr>
        <w:t>he vast majority of stations</w:t>
      </w:r>
      <w:r w:rsidR="00AD376F">
        <w:rPr>
          <w:rFonts w:eastAsiaTheme="minorHAnsi"/>
          <w:sz w:val="24"/>
          <w:szCs w:val="24"/>
        </w:rPr>
        <w:t xml:space="preserve"> </w:t>
      </w:r>
      <w:r w:rsidR="00AD376F" w:rsidRPr="00AD376F">
        <w:rPr>
          <w:rFonts w:eastAsiaTheme="minorHAnsi"/>
          <w:sz w:val="24"/>
          <w:szCs w:val="24"/>
        </w:rPr>
        <w:t>are unlikely to experience significant</w:t>
      </w:r>
      <w:r w:rsidR="00AD376F">
        <w:rPr>
          <w:rFonts w:eastAsiaTheme="minorHAnsi"/>
          <w:sz w:val="24"/>
          <w:szCs w:val="24"/>
        </w:rPr>
        <w:t xml:space="preserve"> </w:t>
      </w:r>
      <w:r w:rsidR="00AD376F" w:rsidRPr="00AD376F">
        <w:rPr>
          <w:rFonts w:eastAsiaTheme="minorHAnsi"/>
          <w:sz w:val="24"/>
          <w:szCs w:val="24"/>
        </w:rPr>
        <w:t>new interference as a result of the</w:t>
      </w:r>
      <w:r w:rsidR="00AD376F">
        <w:rPr>
          <w:rFonts w:eastAsiaTheme="minorHAnsi"/>
          <w:sz w:val="24"/>
          <w:szCs w:val="24"/>
        </w:rPr>
        <w:t xml:space="preserve"> </w:t>
      </w:r>
      <w:r w:rsidR="00AD376F" w:rsidRPr="00AD376F">
        <w:rPr>
          <w:rFonts w:eastAsiaTheme="minorHAnsi"/>
          <w:sz w:val="24"/>
          <w:szCs w:val="24"/>
        </w:rPr>
        <w:t xml:space="preserve">repacking process. </w:t>
      </w:r>
      <w:r w:rsidR="0045226F">
        <w:rPr>
          <w:rFonts w:eastAsiaTheme="minorHAnsi"/>
          <w:sz w:val="24"/>
          <w:szCs w:val="24"/>
        </w:rPr>
        <w:t xml:space="preserve"> </w:t>
      </w:r>
      <w:r w:rsidR="00AD376F" w:rsidRPr="00AD376F">
        <w:rPr>
          <w:rFonts w:eastAsiaTheme="minorHAnsi"/>
          <w:sz w:val="24"/>
          <w:szCs w:val="24"/>
        </w:rPr>
        <w:t>Staff</w:t>
      </w:r>
      <w:r w:rsidR="00AD376F">
        <w:rPr>
          <w:rFonts w:eastAsiaTheme="minorHAnsi"/>
          <w:sz w:val="24"/>
          <w:szCs w:val="24"/>
        </w:rPr>
        <w:t xml:space="preserve"> </w:t>
      </w:r>
      <w:r w:rsidR="00AD376F" w:rsidRPr="00AD376F">
        <w:rPr>
          <w:rFonts w:eastAsiaTheme="minorHAnsi"/>
          <w:sz w:val="24"/>
          <w:szCs w:val="24"/>
        </w:rPr>
        <w:t>analysis applying the repacking</w:t>
      </w:r>
      <w:r w:rsidR="00AD376F">
        <w:rPr>
          <w:rFonts w:eastAsiaTheme="minorHAnsi"/>
          <w:sz w:val="24"/>
          <w:szCs w:val="24"/>
        </w:rPr>
        <w:t xml:space="preserve"> </w:t>
      </w:r>
      <w:r w:rsidR="00AD376F" w:rsidRPr="00AD376F">
        <w:rPr>
          <w:rFonts w:eastAsiaTheme="minorHAnsi"/>
          <w:sz w:val="24"/>
          <w:szCs w:val="24"/>
        </w:rPr>
        <w:t xml:space="preserve">approach adopted in the </w:t>
      </w:r>
      <w:r w:rsidR="00AD376F" w:rsidRPr="00AD376F">
        <w:rPr>
          <w:rFonts w:eastAsiaTheme="minorHAnsi"/>
          <w:i/>
          <w:sz w:val="24"/>
          <w:szCs w:val="24"/>
        </w:rPr>
        <w:t>Incentive Auction R&amp;O</w:t>
      </w:r>
      <w:r w:rsidR="00AD376F" w:rsidRPr="00AD376F">
        <w:rPr>
          <w:rFonts w:eastAsiaTheme="minorHAnsi"/>
          <w:sz w:val="24"/>
          <w:szCs w:val="24"/>
        </w:rPr>
        <w:t xml:space="preserve"> predicts that the</w:t>
      </w:r>
      <w:r w:rsidR="00AD376F">
        <w:rPr>
          <w:rFonts w:eastAsiaTheme="minorHAnsi"/>
          <w:sz w:val="24"/>
          <w:szCs w:val="24"/>
        </w:rPr>
        <w:t xml:space="preserve"> </w:t>
      </w:r>
      <w:r w:rsidR="00AD376F" w:rsidRPr="00AD376F">
        <w:rPr>
          <w:rFonts w:eastAsiaTheme="minorHAnsi"/>
          <w:sz w:val="24"/>
          <w:szCs w:val="24"/>
        </w:rPr>
        <w:t>overwhelming majority of stations</w:t>
      </w:r>
      <w:r w:rsidR="00AD376F">
        <w:rPr>
          <w:rFonts w:eastAsiaTheme="minorHAnsi"/>
          <w:sz w:val="24"/>
          <w:szCs w:val="24"/>
        </w:rPr>
        <w:t xml:space="preserve"> </w:t>
      </w:r>
      <w:r w:rsidR="00AD376F" w:rsidRPr="00AD376F">
        <w:rPr>
          <w:rFonts w:eastAsiaTheme="minorHAnsi"/>
          <w:sz w:val="24"/>
          <w:szCs w:val="24"/>
        </w:rPr>
        <w:t>(approximately 99 percent) will not</w:t>
      </w:r>
      <w:r w:rsidR="00AD376F">
        <w:rPr>
          <w:rFonts w:eastAsiaTheme="minorHAnsi"/>
          <w:sz w:val="24"/>
          <w:szCs w:val="24"/>
        </w:rPr>
        <w:t xml:space="preserve"> </w:t>
      </w:r>
      <w:r w:rsidR="00AD376F" w:rsidRPr="00AD376F">
        <w:rPr>
          <w:rFonts w:eastAsiaTheme="minorHAnsi"/>
          <w:sz w:val="24"/>
          <w:szCs w:val="24"/>
        </w:rPr>
        <w:t>experience new interference above</w:t>
      </w:r>
      <w:r w:rsidR="00EE214E">
        <w:rPr>
          <w:rFonts w:eastAsiaTheme="minorHAnsi"/>
          <w:sz w:val="24"/>
          <w:szCs w:val="24"/>
        </w:rPr>
        <w:t xml:space="preserve"> one percent</w:t>
      </w:r>
      <w:r w:rsidR="00AD376F" w:rsidRPr="00AD376F">
        <w:rPr>
          <w:rFonts w:eastAsiaTheme="minorHAnsi"/>
          <w:sz w:val="24"/>
          <w:szCs w:val="24"/>
        </w:rPr>
        <w:t xml:space="preserve">. </w:t>
      </w:r>
      <w:r w:rsidR="0045226F">
        <w:rPr>
          <w:rFonts w:eastAsiaTheme="minorHAnsi"/>
          <w:sz w:val="24"/>
          <w:szCs w:val="24"/>
        </w:rPr>
        <w:t xml:space="preserve"> </w:t>
      </w:r>
      <w:r w:rsidR="008D2F66">
        <w:rPr>
          <w:rFonts w:eastAsiaTheme="minorHAnsi"/>
          <w:sz w:val="24"/>
          <w:szCs w:val="24"/>
        </w:rPr>
        <w:t>I</w:t>
      </w:r>
      <w:r w:rsidR="008D2F66" w:rsidRPr="00370909">
        <w:rPr>
          <w:rFonts w:eastAsiaTheme="minorHAnsi"/>
          <w:sz w:val="24"/>
          <w:szCs w:val="24"/>
        </w:rPr>
        <w:t>n addition to being unnecessary,</w:t>
      </w:r>
      <w:r w:rsidR="008D2F66">
        <w:rPr>
          <w:rFonts w:eastAsiaTheme="minorHAnsi"/>
          <w:sz w:val="24"/>
          <w:szCs w:val="24"/>
        </w:rPr>
        <w:t xml:space="preserve"> the Commission found that </w:t>
      </w:r>
      <w:r w:rsidR="008D2F66" w:rsidRPr="00370909">
        <w:rPr>
          <w:rFonts w:eastAsiaTheme="minorHAnsi"/>
          <w:sz w:val="24"/>
          <w:szCs w:val="24"/>
        </w:rPr>
        <w:t xml:space="preserve">imposition of an </w:t>
      </w:r>
      <w:r w:rsidR="008D2F66">
        <w:rPr>
          <w:rFonts w:eastAsiaTheme="minorHAnsi"/>
          <w:sz w:val="24"/>
          <w:szCs w:val="24"/>
        </w:rPr>
        <w:t>a</w:t>
      </w:r>
      <w:r w:rsidR="008D2F66" w:rsidRPr="00370909">
        <w:rPr>
          <w:rFonts w:eastAsiaTheme="minorHAnsi"/>
          <w:sz w:val="24"/>
          <w:szCs w:val="24"/>
        </w:rPr>
        <w:t>ggregate interference</w:t>
      </w:r>
      <w:r w:rsidR="008D2F66">
        <w:rPr>
          <w:rFonts w:eastAsiaTheme="minorHAnsi"/>
          <w:sz w:val="24"/>
          <w:szCs w:val="24"/>
        </w:rPr>
        <w:t xml:space="preserve"> </w:t>
      </w:r>
      <w:r w:rsidR="008D2F66" w:rsidRPr="00370909">
        <w:rPr>
          <w:rFonts w:eastAsiaTheme="minorHAnsi"/>
          <w:sz w:val="24"/>
          <w:szCs w:val="24"/>
        </w:rPr>
        <w:t>cap would compromise the central</w:t>
      </w:r>
      <w:r w:rsidR="008D2F66">
        <w:rPr>
          <w:rFonts w:eastAsiaTheme="minorHAnsi"/>
          <w:sz w:val="24"/>
          <w:szCs w:val="24"/>
        </w:rPr>
        <w:t xml:space="preserve"> </w:t>
      </w:r>
      <w:r w:rsidR="008D2F66" w:rsidRPr="00370909">
        <w:rPr>
          <w:rFonts w:eastAsiaTheme="minorHAnsi"/>
          <w:sz w:val="24"/>
          <w:szCs w:val="24"/>
        </w:rPr>
        <w:t>objective of a successful auction that</w:t>
      </w:r>
      <w:r w:rsidR="008D2F66">
        <w:rPr>
          <w:rFonts w:eastAsiaTheme="minorHAnsi"/>
          <w:sz w:val="24"/>
          <w:szCs w:val="24"/>
        </w:rPr>
        <w:t xml:space="preserve"> </w:t>
      </w:r>
      <w:r w:rsidR="008D2F66" w:rsidRPr="00370909">
        <w:rPr>
          <w:rFonts w:eastAsiaTheme="minorHAnsi"/>
          <w:sz w:val="24"/>
          <w:szCs w:val="24"/>
        </w:rPr>
        <w:t>allows market forces to determine the</w:t>
      </w:r>
      <w:r w:rsidR="008D2F66">
        <w:rPr>
          <w:rFonts w:eastAsiaTheme="minorHAnsi"/>
          <w:sz w:val="24"/>
          <w:szCs w:val="24"/>
        </w:rPr>
        <w:t xml:space="preserve"> </w:t>
      </w:r>
      <w:r w:rsidR="008D2F66" w:rsidRPr="00370909">
        <w:rPr>
          <w:rFonts w:eastAsiaTheme="minorHAnsi"/>
          <w:sz w:val="24"/>
          <w:szCs w:val="24"/>
        </w:rPr>
        <w:t>highest and best use for spectrum.</w:t>
      </w:r>
      <w:r w:rsidR="008D2F66">
        <w:rPr>
          <w:rFonts w:eastAsiaTheme="minorHAnsi"/>
          <w:sz w:val="24"/>
          <w:szCs w:val="24"/>
        </w:rPr>
        <w:t xml:space="preserve">  </w:t>
      </w:r>
      <w:r w:rsidR="008D2F66" w:rsidRPr="00370909">
        <w:rPr>
          <w:rFonts w:eastAsiaTheme="minorHAnsi"/>
          <w:sz w:val="24"/>
          <w:szCs w:val="24"/>
        </w:rPr>
        <w:t>Speed is critical to the successful</w:t>
      </w:r>
      <w:r w:rsidR="008D2F66">
        <w:rPr>
          <w:rFonts w:eastAsiaTheme="minorHAnsi"/>
          <w:sz w:val="24"/>
          <w:szCs w:val="24"/>
        </w:rPr>
        <w:t xml:space="preserve"> </w:t>
      </w:r>
      <w:r w:rsidR="008D2F66" w:rsidRPr="00370909">
        <w:rPr>
          <w:rFonts w:eastAsiaTheme="minorHAnsi"/>
          <w:sz w:val="24"/>
          <w:szCs w:val="24"/>
        </w:rPr>
        <w:t>implementation of the incentive</w:t>
      </w:r>
      <w:r w:rsidR="008D2F66">
        <w:rPr>
          <w:rFonts w:eastAsiaTheme="minorHAnsi"/>
          <w:sz w:val="24"/>
          <w:szCs w:val="24"/>
        </w:rPr>
        <w:t xml:space="preserve"> </w:t>
      </w:r>
      <w:r w:rsidR="008D2F66" w:rsidRPr="00370909">
        <w:rPr>
          <w:rFonts w:eastAsiaTheme="minorHAnsi"/>
          <w:sz w:val="24"/>
          <w:szCs w:val="24"/>
        </w:rPr>
        <w:t>auction: The repacking methodology</w:t>
      </w:r>
      <w:r w:rsidR="008D2F66">
        <w:rPr>
          <w:rFonts w:eastAsiaTheme="minorHAnsi"/>
          <w:sz w:val="24"/>
          <w:szCs w:val="24"/>
        </w:rPr>
        <w:t xml:space="preserve"> </w:t>
      </w:r>
      <w:r w:rsidR="008D2F66" w:rsidRPr="00370909">
        <w:rPr>
          <w:rFonts w:eastAsiaTheme="minorHAnsi"/>
          <w:sz w:val="24"/>
          <w:szCs w:val="24"/>
        </w:rPr>
        <w:t>must be capable of analyzing complex</w:t>
      </w:r>
      <w:r w:rsidR="008D2F66">
        <w:rPr>
          <w:rFonts w:eastAsiaTheme="minorHAnsi"/>
          <w:sz w:val="24"/>
          <w:szCs w:val="24"/>
        </w:rPr>
        <w:t xml:space="preserve"> </w:t>
      </w:r>
      <w:r w:rsidR="008D2F66" w:rsidRPr="00370909">
        <w:rPr>
          <w:rFonts w:eastAsiaTheme="minorHAnsi"/>
          <w:sz w:val="24"/>
          <w:szCs w:val="24"/>
        </w:rPr>
        <w:t>technical issues fast enough to not</w:t>
      </w:r>
      <w:r w:rsidR="008D2F66">
        <w:rPr>
          <w:rFonts w:eastAsiaTheme="minorHAnsi"/>
          <w:sz w:val="24"/>
          <w:szCs w:val="24"/>
        </w:rPr>
        <w:t xml:space="preserve"> </w:t>
      </w:r>
      <w:r w:rsidR="008D2F66" w:rsidRPr="00370909">
        <w:rPr>
          <w:rFonts w:eastAsiaTheme="minorHAnsi"/>
          <w:sz w:val="24"/>
          <w:szCs w:val="24"/>
        </w:rPr>
        <w:t>unduly slow down the bidding process.</w:t>
      </w:r>
      <w:r w:rsidR="008D2F66">
        <w:rPr>
          <w:rFonts w:eastAsiaTheme="minorHAnsi"/>
          <w:sz w:val="24"/>
          <w:szCs w:val="24"/>
        </w:rPr>
        <w:t xml:space="preserve">  The Commission observed that i</w:t>
      </w:r>
      <w:r w:rsidR="008D2F66" w:rsidRPr="00410372">
        <w:rPr>
          <w:rFonts w:eastAsiaTheme="minorHAnsi"/>
          <w:sz w:val="24"/>
          <w:szCs w:val="24"/>
        </w:rPr>
        <w:t>t would be significantly more</w:t>
      </w:r>
      <w:r w:rsidR="008D2F66">
        <w:rPr>
          <w:rFonts w:eastAsiaTheme="minorHAnsi"/>
          <w:sz w:val="24"/>
          <w:szCs w:val="24"/>
        </w:rPr>
        <w:t xml:space="preserve"> </w:t>
      </w:r>
      <w:r w:rsidR="008D2F66" w:rsidRPr="00410372">
        <w:rPr>
          <w:rFonts w:eastAsiaTheme="minorHAnsi"/>
          <w:sz w:val="24"/>
          <w:szCs w:val="24"/>
        </w:rPr>
        <w:t>complicated and, as a result, time</w:t>
      </w:r>
      <w:r w:rsidR="008D2F66">
        <w:rPr>
          <w:rFonts w:eastAsiaTheme="minorHAnsi"/>
          <w:sz w:val="24"/>
          <w:szCs w:val="24"/>
        </w:rPr>
        <w:t>-</w:t>
      </w:r>
      <w:r w:rsidR="008D2F66" w:rsidRPr="00410372">
        <w:rPr>
          <w:rFonts w:eastAsiaTheme="minorHAnsi"/>
          <w:sz w:val="24"/>
          <w:szCs w:val="24"/>
        </w:rPr>
        <w:t>consuming</w:t>
      </w:r>
      <w:r w:rsidR="008D2F66">
        <w:rPr>
          <w:rFonts w:eastAsiaTheme="minorHAnsi"/>
          <w:sz w:val="24"/>
          <w:szCs w:val="24"/>
        </w:rPr>
        <w:t xml:space="preserve">, </w:t>
      </w:r>
      <w:r w:rsidR="008D2F66" w:rsidRPr="00410372">
        <w:rPr>
          <w:rFonts w:eastAsiaTheme="minorHAnsi"/>
          <w:sz w:val="24"/>
          <w:szCs w:val="24"/>
        </w:rPr>
        <w:t>to consider the amount of</w:t>
      </w:r>
      <w:r w:rsidR="008D2F66">
        <w:rPr>
          <w:rFonts w:eastAsiaTheme="minorHAnsi"/>
          <w:sz w:val="24"/>
          <w:szCs w:val="24"/>
        </w:rPr>
        <w:t xml:space="preserve"> </w:t>
      </w:r>
      <w:r w:rsidR="008D2F66" w:rsidRPr="00410372">
        <w:rPr>
          <w:rFonts w:eastAsiaTheme="minorHAnsi"/>
          <w:sz w:val="24"/>
          <w:szCs w:val="24"/>
        </w:rPr>
        <w:t>aggregate interference from all sources</w:t>
      </w:r>
      <w:r w:rsidR="008D2F66">
        <w:rPr>
          <w:rFonts w:eastAsiaTheme="minorHAnsi"/>
          <w:sz w:val="24"/>
          <w:szCs w:val="24"/>
        </w:rPr>
        <w:t xml:space="preserve"> </w:t>
      </w:r>
      <w:r w:rsidR="008D2F66" w:rsidRPr="00410372">
        <w:rPr>
          <w:rFonts w:eastAsiaTheme="minorHAnsi"/>
          <w:sz w:val="24"/>
          <w:szCs w:val="24"/>
        </w:rPr>
        <w:t>that a station may receive on its</w:t>
      </w:r>
      <w:r w:rsidR="008D2F66">
        <w:rPr>
          <w:rFonts w:eastAsiaTheme="minorHAnsi"/>
          <w:sz w:val="24"/>
          <w:szCs w:val="24"/>
        </w:rPr>
        <w:t xml:space="preserve"> </w:t>
      </w:r>
      <w:r w:rsidR="008D2F66" w:rsidRPr="00410372">
        <w:rPr>
          <w:rFonts w:eastAsiaTheme="minorHAnsi"/>
          <w:sz w:val="24"/>
          <w:szCs w:val="24"/>
        </w:rPr>
        <w:t>provisional channel during the bidding</w:t>
      </w:r>
      <w:r w:rsidR="008D2F66">
        <w:rPr>
          <w:rFonts w:eastAsiaTheme="minorHAnsi"/>
          <w:sz w:val="24"/>
          <w:szCs w:val="24"/>
        </w:rPr>
        <w:t xml:space="preserve"> </w:t>
      </w:r>
      <w:r w:rsidR="008D2F66" w:rsidRPr="00410372">
        <w:rPr>
          <w:rFonts w:eastAsiaTheme="minorHAnsi"/>
          <w:sz w:val="24"/>
          <w:szCs w:val="24"/>
        </w:rPr>
        <w:t>process, as would be necessary to</w:t>
      </w:r>
      <w:r w:rsidR="008D2F66">
        <w:rPr>
          <w:rFonts w:eastAsiaTheme="minorHAnsi"/>
          <w:sz w:val="24"/>
          <w:szCs w:val="24"/>
        </w:rPr>
        <w:t xml:space="preserve"> </w:t>
      </w:r>
      <w:r w:rsidR="008D2F66" w:rsidRPr="00410372">
        <w:rPr>
          <w:rFonts w:eastAsiaTheme="minorHAnsi"/>
          <w:sz w:val="24"/>
          <w:szCs w:val="24"/>
        </w:rPr>
        <w:t>implement a cap on aggregate</w:t>
      </w:r>
      <w:r w:rsidR="008D2F66">
        <w:rPr>
          <w:rFonts w:eastAsiaTheme="minorHAnsi"/>
          <w:sz w:val="24"/>
          <w:szCs w:val="24"/>
        </w:rPr>
        <w:t xml:space="preserve"> </w:t>
      </w:r>
      <w:r w:rsidR="008D2F66" w:rsidRPr="00410372">
        <w:rPr>
          <w:rFonts w:eastAsiaTheme="minorHAnsi"/>
          <w:sz w:val="24"/>
          <w:szCs w:val="24"/>
        </w:rPr>
        <w:t>interference.</w:t>
      </w:r>
    </w:p>
    <w:p w:rsidR="008D2F66" w:rsidRDefault="008D2F66" w:rsidP="00370909">
      <w:pPr>
        <w:autoSpaceDE w:val="0"/>
        <w:autoSpaceDN w:val="0"/>
        <w:adjustRightInd w:val="0"/>
        <w:ind w:firstLine="720"/>
        <w:rPr>
          <w:rFonts w:eastAsiaTheme="minorHAnsi"/>
          <w:sz w:val="24"/>
          <w:szCs w:val="24"/>
        </w:rPr>
      </w:pPr>
    </w:p>
    <w:p w:rsidR="00370909" w:rsidRPr="00370909" w:rsidRDefault="00176EE2" w:rsidP="00370909">
      <w:pPr>
        <w:autoSpaceDE w:val="0"/>
        <w:autoSpaceDN w:val="0"/>
        <w:adjustRightInd w:val="0"/>
        <w:ind w:firstLine="720"/>
        <w:rPr>
          <w:rFonts w:eastAsiaTheme="minorHAnsi"/>
          <w:sz w:val="24"/>
          <w:szCs w:val="24"/>
        </w:rPr>
      </w:pPr>
      <w:r>
        <w:rPr>
          <w:rFonts w:eastAsiaTheme="minorHAnsi"/>
          <w:sz w:val="24"/>
          <w:szCs w:val="24"/>
        </w:rPr>
        <w:t>T</w:t>
      </w:r>
      <w:r w:rsidR="00370909" w:rsidRPr="00370909">
        <w:rPr>
          <w:rFonts w:eastAsiaTheme="minorHAnsi"/>
          <w:sz w:val="24"/>
          <w:szCs w:val="24"/>
        </w:rPr>
        <w:t>he Commission adopted two</w:t>
      </w:r>
      <w:r w:rsidR="00370909">
        <w:rPr>
          <w:rFonts w:eastAsiaTheme="minorHAnsi"/>
          <w:sz w:val="24"/>
          <w:szCs w:val="24"/>
        </w:rPr>
        <w:t xml:space="preserve"> </w:t>
      </w:r>
      <w:r w:rsidR="00370909" w:rsidRPr="00370909">
        <w:rPr>
          <w:rFonts w:eastAsiaTheme="minorHAnsi"/>
          <w:sz w:val="24"/>
          <w:szCs w:val="24"/>
        </w:rPr>
        <w:t>measures to address exceptional cases</w:t>
      </w:r>
      <w:r w:rsidR="00370909">
        <w:rPr>
          <w:rFonts w:eastAsiaTheme="minorHAnsi"/>
          <w:sz w:val="24"/>
          <w:szCs w:val="24"/>
        </w:rPr>
        <w:t xml:space="preserve"> </w:t>
      </w:r>
      <w:r w:rsidR="00370909" w:rsidRPr="00370909">
        <w:rPr>
          <w:rFonts w:eastAsiaTheme="minorHAnsi"/>
          <w:sz w:val="24"/>
          <w:szCs w:val="24"/>
        </w:rPr>
        <w:t xml:space="preserve">where a station is </w:t>
      </w:r>
      <w:r w:rsidR="00370909">
        <w:rPr>
          <w:rFonts w:eastAsiaTheme="minorHAnsi"/>
          <w:sz w:val="24"/>
          <w:szCs w:val="24"/>
        </w:rPr>
        <w:t>p</w:t>
      </w:r>
      <w:r w:rsidR="00370909" w:rsidRPr="00370909">
        <w:rPr>
          <w:rFonts w:eastAsiaTheme="minorHAnsi"/>
          <w:sz w:val="24"/>
          <w:szCs w:val="24"/>
        </w:rPr>
        <w:t>redicted to receive</w:t>
      </w:r>
      <w:r w:rsidR="00370909">
        <w:rPr>
          <w:rFonts w:eastAsiaTheme="minorHAnsi"/>
          <w:sz w:val="24"/>
          <w:szCs w:val="24"/>
        </w:rPr>
        <w:t xml:space="preserve"> </w:t>
      </w:r>
      <w:r w:rsidR="00370909" w:rsidRPr="00370909">
        <w:rPr>
          <w:rFonts w:eastAsiaTheme="minorHAnsi"/>
          <w:sz w:val="24"/>
          <w:szCs w:val="24"/>
        </w:rPr>
        <w:t>aggregate new interference in excess of</w:t>
      </w:r>
      <w:r w:rsidR="00370909">
        <w:rPr>
          <w:rFonts w:eastAsiaTheme="minorHAnsi"/>
          <w:sz w:val="24"/>
          <w:szCs w:val="24"/>
        </w:rPr>
        <w:t xml:space="preserve"> </w:t>
      </w:r>
      <w:r w:rsidR="00370909" w:rsidRPr="00370909">
        <w:rPr>
          <w:rFonts w:eastAsiaTheme="minorHAnsi"/>
          <w:sz w:val="24"/>
          <w:szCs w:val="24"/>
        </w:rPr>
        <w:t xml:space="preserve">one percent. </w:t>
      </w:r>
      <w:r w:rsidR="0045226F">
        <w:rPr>
          <w:rFonts w:eastAsiaTheme="minorHAnsi"/>
          <w:sz w:val="24"/>
          <w:szCs w:val="24"/>
        </w:rPr>
        <w:t xml:space="preserve"> </w:t>
      </w:r>
      <w:r w:rsidR="00370909" w:rsidRPr="00370909">
        <w:rPr>
          <w:rFonts w:eastAsiaTheme="minorHAnsi"/>
          <w:sz w:val="24"/>
          <w:szCs w:val="24"/>
        </w:rPr>
        <w:t>First, it will use</w:t>
      </w:r>
      <w:r w:rsidR="00370909">
        <w:rPr>
          <w:rFonts w:eastAsiaTheme="minorHAnsi"/>
          <w:sz w:val="24"/>
          <w:szCs w:val="24"/>
        </w:rPr>
        <w:t xml:space="preserve"> </w:t>
      </w:r>
      <w:r w:rsidR="00370909" w:rsidRPr="00370909">
        <w:rPr>
          <w:rFonts w:eastAsiaTheme="minorHAnsi"/>
          <w:sz w:val="24"/>
          <w:szCs w:val="24"/>
        </w:rPr>
        <w:t>optimization techniques that seek to</w:t>
      </w:r>
      <w:r w:rsidR="00370909">
        <w:rPr>
          <w:rFonts w:eastAsiaTheme="minorHAnsi"/>
          <w:sz w:val="24"/>
          <w:szCs w:val="24"/>
        </w:rPr>
        <w:t xml:space="preserve"> </w:t>
      </w:r>
      <w:r w:rsidR="00370909" w:rsidRPr="00370909">
        <w:rPr>
          <w:rFonts w:eastAsiaTheme="minorHAnsi"/>
          <w:sz w:val="24"/>
          <w:szCs w:val="24"/>
        </w:rPr>
        <w:t>avoid final channel assignments that</w:t>
      </w:r>
      <w:r w:rsidR="00370909">
        <w:rPr>
          <w:rFonts w:eastAsiaTheme="minorHAnsi"/>
          <w:sz w:val="24"/>
          <w:szCs w:val="24"/>
        </w:rPr>
        <w:t xml:space="preserve"> </w:t>
      </w:r>
      <w:r w:rsidR="00370909" w:rsidRPr="00370909">
        <w:rPr>
          <w:rFonts w:eastAsiaTheme="minorHAnsi"/>
          <w:sz w:val="24"/>
          <w:szCs w:val="24"/>
        </w:rPr>
        <w:t xml:space="preserve">would result in </w:t>
      </w:r>
      <w:r w:rsidR="00370909">
        <w:rPr>
          <w:rFonts w:eastAsiaTheme="minorHAnsi"/>
          <w:sz w:val="24"/>
          <w:szCs w:val="24"/>
        </w:rPr>
        <w:t>a</w:t>
      </w:r>
      <w:r w:rsidR="00370909" w:rsidRPr="00370909">
        <w:rPr>
          <w:rFonts w:eastAsiaTheme="minorHAnsi"/>
          <w:sz w:val="24"/>
          <w:szCs w:val="24"/>
        </w:rPr>
        <w:t>ggregate new</w:t>
      </w:r>
      <w:r w:rsidR="00370909">
        <w:rPr>
          <w:rFonts w:eastAsiaTheme="minorHAnsi"/>
          <w:sz w:val="24"/>
          <w:szCs w:val="24"/>
        </w:rPr>
        <w:t xml:space="preserve"> </w:t>
      </w:r>
      <w:r w:rsidR="00370909" w:rsidRPr="00370909">
        <w:rPr>
          <w:rFonts w:eastAsiaTheme="minorHAnsi"/>
          <w:sz w:val="24"/>
          <w:szCs w:val="24"/>
        </w:rPr>
        <w:t>interference of more than one percent.</w:t>
      </w:r>
      <w:r w:rsidR="00370909">
        <w:rPr>
          <w:rFonts w:eastAsiaTheme="minorHAnsi"/>
          <w:sz w:val="24"/>
          <w:szCs w:val="24"/>
        </w:rPr>
        <w:t xml:space="preserve"> </w:t>
      </w:r>
      <w:r w:rsidR="0045226F">
        <w:rPr>
          <w:rFonts w:eastAsiaTheme="minorHAnsi"/>
          <w:sz w:val="24"/>
          <w:szCs w:val="24"/>
        </w:rPr>
        <w:t xml:space="preserve"> </w:t>
      </w:r>
      <w:r w:rsidR="00606FFC">
        <w:rPr>
          <w:rFonts w:eastAsiaTheme="minorHAnsi"/>
          <w:sz w:val="24"/>
          <w:szCs w:val="24"/>
        </w:rPr>
        <w:t>A</w:t>
      </w:r>
      <w:r w:rsidR="00370909" w:rsidRPr="00370909">
        <w:rPr>
          <w:rFonts w:eastAsiaTheme="minorHAnsi"/>
          <w:sz w:val="24"/>
          <w:szCs w:val="24"/>
        </w:rPr>
        <w:t>s an additional safeguard,</w:t>
      </w:r>
      <w:r w:rsidR="00370909">
        <w:rPr>
          <w:rFonts w:eastAsiaTheme="minorHAnsi"/>
          <w:sz w:val="24"/>
          <w:szCs w:val="24"/>
        </w:rPr>
        <w:t xml:space="preserve"> </w:t>
      </w:r>
      <w:r w:rsidR="00370909" w:rsidRPr="00370909">
        <w:rPr>
          <w:rFonts w:eastAsiaTheme="minorHAnsi"/>
          <w:sz w:val="24"/>
          <w:szCs w:val="24"/>
        </w:rPr>
        <w:t>if a station is predicted to receive new</w:t>
      </w:r>
      <w:r w:rsidR="00370909">
        <w:rPr>
          <w:rFonts w:eastAsiaTheme="minorHAnsi"/>
          <w:sz w:val="24"/>
          <w:szCs w:val="24"/>
        </w:rPr>
        <w:t xml:space="preserve"> </w:t>
      </w:r>
      <w:r w:rsidR="00370909" w:rsidRPr="00370909">
        <w:rPr>
          <w:rFonts w:eastAsiaTheme="minorHAnsi"/>
          <w:sz w:val="24"/>
          <w:szCs w:val="24"/>
        </w:rPr>
        <w:t>interference above one percent on the</w:t>
      </w:r>
      <w:r w:rsidR="00370909">
        <w:rPr>
          <w:rFonts w:eastAsiaTheme="minorHAnsi"/>
          <w:sz w:val="24"/>
          <w:szCs w:val="24"/>
        </w:rPr>
        <w:t xml:space="preserve"> </w:t>
      </w:r>
      <w:r w:rsidR="00370909" w:rsidRPr="00370909">
        <w:rPr>
          <w:rFonts w:eastAsiaTheme="minorHAnsi"/>
          <w:sz w:val="24"/>
          <w:szCs w:val="24"/>
        </w:rPr>
        <w:t>final channel assigned to it following</w:t>
      </w:r>
      <w:r w:rsidR="00370909">
        <w:rPr>
          <w:rFonts w:eastAsiaTheme="minorHAnsi"/>
          <w:sz w:val="24"/>
          <w:szCs w:val="24"/>
        </w:rPr>
        <w:t xml:space="preserve"> </w:t>
      </w:r>
      <w:r w:rsidR="00370909" w:rsidRPr="00370909">
        <w:rPr>
          <w:rFonts w:eastAsiaTheme="minorHAnsi"/>
          <w:sz w:val="24"/>
          <w:szCs w:val="24"/>
        </w:rPr>
        <w:t>the repacking process, the Commission</w:t>
      </w:r>
      <w:r w:rsidR="00370909">
        <w:rPr>
          <w:rFonts w:eastAsiaTheme="minorHAnsi"/>
          <w:sz w:val="24"/>
          <w:szCs w:val="24"/>
        </w:rPr>
        <w:t xml:space="preserve"> </w:t>
      </w:r>
      <w:r w:rsidR="00370909" w:rsidRPr="00370909">
        <w:rPr>
          <w:rFonts w:eastAsiaTheme="minorHAnsi"/>
          <w:sz w:val="24"/>
          <w:szCs w:val="24"/>
        </w:rPr>
        <w:t>will provide it with the opportunity to</w:t>
      </w:r>
      <w:r w:rsidR="00370909">
        <w:rPr>
          <w:rFonts w:eastAsiaTheme="minorHAnsi"/>
          <w:sz w:val="24"/>
          <w:szCs w:val="24"/>
        </w:rPr>
        <w:t xml:space="preserve"> </w:t>
      </w:r>
      <w:r w:rsidR="00370909" w:rsidRPr="00370909">
        <w:rPr>
          <w:rFonts w:eastAsiaTheme="minorHAnsi"/>
          <w:sz w:val="24"/>
          <w:szCs w:val="24"/>
        </w:rPr>
        <w:t>file an application proposing an</w:t>
      </w:r>
      <w:r w:rsidR="00370909">
        <w:rPr>
          <w:rFonts w:eastAsiaTheme="minorHAnsi"/>
          <w:sz w:val="24"/>
          <w:szCs w:val="24"/>
        </w:rPr>
        <w:t xml:space="preserve"> </w:t>
      </w:r>
      <w:r w:rsidR="00370909" w:rsidRPr="00370909">
        <w:rPr>
          <w:rFonts w:eastAsiaTheme="minorHAnsi"/>
          <w:sz w:val="24"/>
          <w:szCs w:val="24"/>
        </w:rPr>
        <w:t>alternate channel or expanded facilities</w:t>
      </w:r>
      <w:r w:rsidR="00370909">
        <w:rPr>
          <w:rFonts w:eastAsiaTheme="minorHAnsi"/>
          <w:sz w:val="24"/>
          <w:szCs w:val="24"/>
        </w:rPr>
        <w:t xml:space="preserve"> </w:t>
      </w:r>
      <w:r w:rsidR="00370909" w:rsidRPr="00370909">
        <w:rPr>
          <w:rFonts w:eastAsiaTheme="minorHAnsi"/>
          <w:sz w:val="24"/>
          <w:szCs w:val="24"/>
        </w:rPr>
        <w:t>in a priority filing window, along with</w:t>
      </w:r>
      <w:r w:rsidR="00370909">
        <w:rPr>
          <w:rFonts w:eastAsiaTheme="minorHAnsi"/>
          <w:sz w:val="24"/>
          <w:szCs w:val="24"/>
        </w:rPr>
        <w:t xml:space="preserve"> </w:t>
      </w:r>
      <w:r w:rsidR="00370909" w:rsidRPr="00370909">
        <w:rPr>
          <w:rFonts w:eastAsiaTheme="minorHAnsi"/>
          <w:sz w:val="24"/>
          <w:szCs w:val="24"/>
        </w:rPr>
        <w:t>a limited number of other stations that</w:t>
      </w:r>
      <w:r w:rsidR="00370909">
        <w:rPr>
          <w:rFonts w:eastAsiaTheme="minorHAnsi"/>
          <w:sz w:val="24"/>
          <w:szCs w:val="24"/>
        </w:rPr>
        <w:t xml:space="preserve"> </w:t>
      </w:r>
      <w:r w:rsidR="00370909" w:rsidRPr="00370909">
        <w:rPr>
          <w:rFonts w:eastAsiaTheme="minorHAnsi"/>
          <w:sz w:val="24"/>
          <w:szCs w:val="24"/>
        </w:rPr>
        <w:t>have been assigned the same priority.</w:t>
      </w:r>
      <w:r w:rsidR="00370909">
        <w:rPr>
          <w:rFonts w:eastAsiaTheme="minorHAnsi"/>
          <w:sz w:val="24"/>
          <w:szCs w:val="24"/>
        </w:rPr>
        <w:t xml:space="preserve"> </w:t>
      </w:r>
      <w:r w:rsidR="002B3E01">
        <w:rPr>
          <w:rFonts w:eastAsiaTheme="minorHAnsi"/>
          <w:sz w:val="24"/>
          <w:szCs w:val="24"/>
        </w:rPr>
        <w:t xml:space="preserve"> </w:t>
      </w:r>
      <w:r w:rsidR="00370909" w:rsidRPr="00370909">
        <w:rPr>
          <w:rFonts w:eastAsiaTheme="minorHAnsi"/>
          <w:sz w:val="24"/>
          <w:szCs w:val="24"/>
        </w:rPr>
        <w:t>Taken together, the final channel</w:t>
      </w:r>
      <w:r w:rsidR="00370909">
        <w:rPr>
          <w:rFonts w:eastAsiaTheme="minorHAnsi"/>
          <w:sz w:val="24"/>
          <w:szCs w:val="24"/>
        </w:rPr>
        <w:t xml:space="preserve"> </w:t>
      </w:r>
      <w:r w:rsidR="00370909" w:rsidRPr="00370909">
        <w:rPr>
          <w:rFonts w:eastAsiaTheme="minorHAnsi"/>
          <w:sz w:val="24"/>
          <w:szCs w:val="24"/>
        </w:rPr>
        <w:t>assignment optimization procedure and</w:t>
      </w:r>
      <w:r w:rsidR="00370909">
        <w:rPr>
          <w:rFonts w:eastAsiaTheme="minorHAnsi"/>
          <w:sz w:val="24"/>
          <w:szCs w:val="24"/>
        </w:rPr>
        <w:t xml:space="preserve"> </w:t>
      </w:r>
      <w:r w:rsidR="00370909" w:rsidRPr="00370909">
        <w:rPr>
          <w:rFonts w:eastAsiaTheme="minorHAnsi"/>
          <w:sz w:val="24"/>
          <w:szCs w:val="24"/>
        </w:rPr>
        <w:t>post-assignment facilities modification</w:t>
      </w:r>
      <w:r w:rsidR="00370909">
        <w:rPr>
          <w:rFonts w:eastAsiaTheme="minorHAnsi"/>
          <w:sz w:val="24"/>
          <w:szCs w:val="24"/>
        </w:rPr>
        <w:t xml:space="preserve"> </w:t>
      </w:r>
      <w:r w:rsidR="00370909" w:rsidRPr="00370909">
        <w:rPr>
          <w:rFonts w:eastAsiaTheme="minorHAnsi"/>
          <w:sz w:val="24"/>
          <w:szCs w:val="24"/>
        </w:rPr>
        <w:t xml:space="preserve">processes will provide a </w:t>
      </w:r>
      <w:r w:rsidR="000E3C37">
        <w:rPr>
          <w:rFonts w:eastAsiaTheme="minorHAnsi"/>
          <w:sz w:val="24"/>
          <w:szCs w:val="24"/>
        </w:rPr>
        <w:t>“</w:t>
      </w:r>
      <w:r w:rsidR="00370909" w:rsidRPr="00370909">
        <w:rPr>
          <w:rFonts w:eastAsiaTheme="minorHAnsi"/>
          <w:sz w:val="24"/>
          <w:szCs w:val="24"/>
        </w:rPr>
        <w:t>safety valve</w:t>
      </w:r>
      <w:r w:rsidR="000E3C37">
        <w:rPr>
          <w:rFonts w:eastAsiaTheme="minorHAnsi"/>
          <w:sz w:val="24"/>
          <w:szCs w:val="24"/>
        </w:rPr>
        <w:t>”</w:t>
      </w:r>
      <w:r w:rsidR="00370909">
        <w:rPr>
          <w:rFonts w:eastAsiaTheme="minorHAnsi"/>
          <w:sz w:val="24"/>
          <w:szCs w:val="24"/>
        </w:rPr>
        <w:t xml:space="preserve"> </w:t>
      </w:r>
      <w:r w:rsidR="00370909" w:rsidRPr="00370909">
        <w:rPr>
          <w:rFonts w:eastAsiaTheme="minorHAnsi"/>
          <w:sz w:val="24"/>
          <w:szCs w:val="24"/>
        </w:rPr>
        <w:t>in the exceptional cases where new</w:t>
      </w:r>
      <w:r w:rsidR="00370909">
        <w:rPr>
          <w:rFonts w:eastAsiaTheme="minorHAnsi"/>
          <w:sz w:val="24"/>
          <w:szCs w:val="24"/>
        </w:rPr>
        <w:t xml:space="preserve"> </w:t>
      </w:r>
      <w:r w:rsidR="00370909" w:rsidRPr="00370909">
        <w:rPr>
          <w:rFonts w:eastAsiaTheme="minorHAnsi"/>
          <w:sz w:val="24"/>
          <w:szCs w:val="24"/>
        </w:rPr>
        <w:t xml:space="preserve">aggregate </w:t>
      </w:r>
      <w:r w:rsidR="00F8264C">
        <w:rPr>
          <w:rFonts w:eastAsiaTheme="minorHAnsi"/>
          <w:sz w:val="24"/>
          <w:szCs w:val="24"/>
        </w:rPr>
        <w:t>i</w:t>
      </w:r>
      <w:r w:rsidR="00370909" w:rsidRPr="00370909">
        <w:rPr>
          <w:rFonts w:eastAsiaTheme="minorHAnsi"/>
          <w:sz w:val="24"/>
          <w:szCs w:val="24"/>
        </w:rPr>
        <w:t>nterference above one percent</w:t>
      </w:r>
      <w:r w:rsidR="00370909">
        <w:rPr>
          <w:rFonts w:eastAsiaTheme="minorHAnsi"/>
          <w:sz w:val="24"/>
          <w:szCs w:val="24"/>
        </w:rPr>
        <w:t xml:space="preserve"> </w:t>
      </w:r>
      <w:r w:rsidR="00370909" w:rsidRPr="00370909">
        <w:rPr>
          <w:rFonts w:eastAsiaTheme="minorHAnsi"/>
          <w:sz w:val="24"/>
          <w:szCs w:val="24"/>
        </w:rPr>
        <w:t>has occurred or is likely to occur.</w:t>
      </w:r>
    </w:p>
    <w:p w:rsidR="00940445" w:rsidRDefault="00940445" w:rsidP="00370909">
      <w:pPr>
        <w:autoSpaceDE w:val="0"/>
        <w:autoSpaceDN w:val="0"/>
        <w:adjustRightInd w:val="0"/>
        <w:ind w:firstLine="720"/>
        <w:rPr>
          <w:rFonts w:eastAsiaTheme="minorHAnsi"/>
          <w:sz w:val="24"/>
          <w:szCs w:val="24"/>
        </w:rPr>
      </w:pPr>
    </w:p>
    <w:p w:rsidR="006F5B77" w:rsidRDefault="00410372" w:rsidP="00410372">
      <w:pPr>
        <w:autoSpaceDE w:val="0"/>
        <w:autoSpaceDN w:val="0"/>
        <w:adjustRightInd w:val="0"/>
        <w:ind w:firstLine="720"/>
        <w:rPr>
          <w:rFonts w:eastAsiaTheme="minorHAnsi"/>
          <w:sz w:val="24"/>
          <w:szCs w:val="24"/>
        </w:rPr>
      </w:pPr>
      <w:r w:rsidRPr="00410372">
        <w:rPr>
          <w:rFonts w:eastAsiaTheme="minorHAnsi"/>
          <w:sz w:val="24"/>
          <w:szCs w:val="24"/>
        </w:rPr>
        <w:t xml:space="preserve"> </w:t>
      </w:r>
      <w:r w:rsidR="002B3E01">
        <w:rPr>
          <w:rFonts w:eastAsiaTheme="minorHAnsi"/>
          <w:sz w:val="24"/>
          <w:szCs w:val="24"/>
        </w:rPr>
        <w:t xml:space="preserve"> </w:t>
      </w:r>
    </w:p>
    <w:p w:rsidR="006F5B77" w:rsidRDefault="006F5B77" w:rsidP="00C03B8E">
      <w:pPr>
        <w:autoSpaceDE w:val="0"/>
        <w:autoSpaceDN w:val="0"/>
        <w:adjustRightInd w:val="0"/>
        <w:ind w:firstLine="720"/>
        <w:rPr>
          <w:rFonts w:eastAsiaTheme="minorHAnsi"/>
          <w:sz w:val="24"/>
          <w:szCs w:val="24"/>
        </w:rPr>
      </w:pPr>
    </w:p>
    <w:p w:rsidR="006F5B77" w:rsidRDefault="008D2F66" w:rsidP="00C03B8E">
      <w:pPr>
        <w:autoSpaceDE w:val="0"/>
        <w:autoSpaceDN w:val="0"/>
        <w:adjustRightInd w:val="0"/>
        <w:ind w:firstLine="720"/>
        <w:rPr>
          <w:rFonts w:eastAsiaTheme="minorHAnsi"/>
          <w:sz w:val="24"/>
          <w:szCs w:val="24"/>
        </w:rPr>
      </w:pPr>
      <w:r>
        <w:rPr>
          <w:rFonts w:eastAsiaTheme="minorHAnsi"/>
          <w:sz w:val="24"/>
          <w:szCs w:val="24"/>
        </w:rPr>
        <w:t>In the Order</w:t>
      </w:r>
      <w:r w:rsidR="0000372F">
        <w:rPr>
          <w:rFonts w:eastAsiaTheme="minorHAnsi"/>
          <w:sz w:val="24"/>
          <w:szCs w:val="24"/>
        </w:rPr>
        <w:t>, t</w:t>
      </w:r>
      <w:r w:rsidR="006F5B77" w:rsidRPr="006F5B77">
        <w:rPr>
          <w:rFonts w:eastAsiaTheme="minorHAnsi"/>
          <w:sz w:val="24"/>
          <w:szCs w:val="24"/>
        </w:rPr>
        <w:t xml:space="preserve">he Commission </w:t>
      </w:r>
      <w:r>
        <w:rPr>
          <w:rFonts w:eastAsiaTheme="minorHAnsi"/>
          <w:sz w:val="24"/>
          <w:szCs w:val="24"/>
        </w:rPr>
        <w:t xml:space="preserve">also declined to </w:t>
      </w:r>
      <w:r w:rsidR="006F5B77" w:rsidRPr="006F5B77">
        <w:rPr>
          <w:rFonts w:eastAsiaTheme="minorHAnsi"/>
          <w:sz w:val="24"/>
          <w:szCs w:val="24"/>
        </w:rPr>
        <w:t>adopt a cap on any</w:t>
      </w:r>
      <w:r w:rsidR="00C03B8E">
        <w:rPr>
          <w:rFonts w:eastAsiaTheme="minorHAnsi"/>
          <w:sz w:val="24"/>
          <w:szCs w:val="24"/>
        </w:rPr>
        <w:t xml:space="preserve"> </w:t>
      </w:r>
      <w:r w:rsidR="006F5B77" w:rsidRPr="006F5B77">
        <w:rPr>
          <w:rFonts w:eastAsiaTheme="minorHAnsi"/>
          <w:sz w:val="24"/>
          <w:szCs w:val="24"/>
        </w:rPr>
        <w:t xml:space="preserve">new interference to </w:t>
      </w:r>
      <w:r w:rsidR="00D168B8">
        <w:rPr>
          <w:rFonts w:eastAsiaTheme="minorHAnsi"/>
          <w:sz w:val="24"/>
          <w:szCs w:val="24"/>
        </w:rPr>
        <w:t xml:space="preserve">TV broadcast </w:t>
      </w:r>
      <w:r w:rsidR="006F5B77" w:rsidRPr="006F5B77">
        <w:rPr>
          <w:rFonts w:eastAsiaTheme="minorHAnsi"/>
          <w:sz w:val="24"/>
          <w:szCs w:val="24"/>
        </w:rPr>
        <w:t>stations that are</w:t>
      </w:r>
      <w:r w:rsidR="00C03B8E">
        <w:rPr>
          <w:rFonts w:eastAsiaTheme="minorHAnsi"/>
          <w:sz w:val="24"/>
          <w:szCs w:val="24"/>
        </w:rPr>
        <w:t xml:space="preserve"> </w:t>
      </w:r>
      <w:r w:rsidR="006F5B77" w:rsidRPr="006F5B77">
        <w:rPr>
          <w:rFonts w:eastAsiaTheme="minorHAnsi"/>
          <w:sz w:val="24"/>
          <w:szCs w:val="24"/>
        </w:rPr>
        <w:t>currently experiencing ten percent or</w:t>
      </w:r>
      <w:r w:rsidR="00C03B8E">
        <w:rPr>
          <w:rFonts w:eastAsiaTheme="minorHAnsi"/>
          <w:sz w:val="24"/>
          <w:szCs w:val="24"/>
        </w:rPr>
        <w:t xml:space="preserve"> </w:t>
      </w:r>
      <w:r w:rsidR="006F5B77" w:rsidRPr="006F5B77">
        <w:rPr>
          <w:rFonts w:eastAsiaTheme="minorHAnsi"/>
          <w:sz w:val="24"/>
          <w:szCs w:val="24"/>
        </w:rPr>
        <w:t>more interference within their service</w:t>
      </w:r>
      <w:r w:rsidR="00C03B8E">
        <w:rPr>
          <w:rFonts w:eastAsiaTheme="minorHAnsi"/>
          <w:sz w:val="24"/>
          <w:szCs w:val="24"/>
        </w:rPr>
        <w:t xml:space="preserve"> </w:t>
      </w:r>
      <w:r w:rsidR="006F5B77" w:rsidRPr="006F5B77">
        <w:rPr>
          <w:rFonts w:eastAsiaTheme="minorHAnsi"/>
          <w:sz w:val="24"/>
          <w:szCs w:val="24"/>
        </w:rPr>
        <w:t xml:space="preserve">areas. </w:t>
      </w:r>
      <w:r w:rsidR="0000372F">
        <w:rPr>
          <w:rFonts w:eastAsiaTheme="minorHAnsi"/>
          <w:sz w:val="24"/>
          <w:szCs w:val="24"/>
        </w:rPr>
        <w:t xml:space="preserve"> </w:t>
      </w:r>
      <w:r w:rsidR="00227162">
        <w:rPr>
          <w:rFonts w:eastAsiaTheme="minorHAnsi"/>
          <w:sz w:val="24"/>
          <w:szCs w:val="24"/>
        </w:rPr>
        <w:t>In addition, c</w:t>
      </w:r>
      <w:r w:rsidR="00B13E79">
        <w:rPr>
          <w:rFonts w:eastAsiaTheme="minorHAnsi"/>
          <w:sz w:val="24"/>
          <w:szCs w:val="24"/>
        </w:rPr>
        <w:t>onsi</w:t>
      </w:r>
      <w:r w:rsidR="00C03B8E" w:rsidRPr="00C03B8E">
        <w:rPr>
          <w:rFonts w:eastAsiaTheme="minorHAnsi"/>
          <w:sz w:val="24"/>
          <w:szCs w:val="24"/>
        </w:rPr>
        <w:t>stent with the</w:t>
      </w:r>
      <w:r w:rsidR="00C03B8E">
        <w:rPr>
          <w:rFonts w:eastAsiaTheme="minorHAnsi"/>
          <w:sz w:val="24"/>
          <w:szCs w:val="24"/>
        </w:rPr>
        <w:t xml:space="preserve"> </w:t>
      </w:r>
      <w:r w:rsidR="004D4593">
        <w:rPr>
          <w:rFonts w:eastAsiaTheme="minorHAnsi"/>
          <w:sz w:val="24"/>
          <w:szCs w:val="24"/>
        </w:rPr>
        <w:t xml:space="preserve">Commission’s decision </w:t>
      </w:r>
      <w:r w:rsidR="00C03B8E" w:rsidRPr="00C03B8E">
        <w:rPr>
          <w:rFonts w:eastAsiaTheme="minorHAnsi"/>
          <w:sz w:val="24"/>
          <w:szCs w:val="24"/>
        </w:rPr>
        <w:t>to use</w:t>
      </w:r>
      <w:r w:rsidR="00C03B8E">
        <w:rPr>
          <w:rFonts w:eastAsiaTheme="minorHAnsi"/>
          <w:sz w:val="24"/>
          <w:szCs w:val="24"/>
        </w:rPr>
        <w:t xml:space="preserve"> </w:t>
      </w:r>
      <w:r w:rsidR="00C03B8E" w:rsidRPr="00C03B8E">
        <w:rPr>
          <w:rFonts w:eastAsiaTheme="minorHAnsi"/>
          <w:sz w:val="24"/>
          <w:szCs w:val="24"/>
        </w:rPr>
        <w:t>optimization techniques to seek to avoid</w:t>
      </w:r>
      <w:r w:rsidR="00C03B8E">
        <w:rPr>
          <w:rFonts w:eastAsiaTheme="minorHAnsi"/>
          <w:sz w:val="24"/>
          <w:szCs w:val="24"/>
        </w:rPr>
        <w:t xml:space="preserve"> </w:t>
      </w:r>
      <w:r w:rsidR="00C03B8E" w:rsidRPr="00C03B8E">
        <w:rPr>
          <w:rFonts w:eastAsiaTheme="minorHAnsi"/>
          <w:sz w:val="24"/>
          <w:szCs w:val="24"/>
        </w:rPr>
        <w:t>final channel assignments that would</w:t>
      </w:r>
      <w:r w:rsidR="00C03B8E">
        <w:rPr>
          <w:rFonts w:eastAsiaTheme="minorHAnsi"/>
          <w:sz w:val="24"/>
          <w:szCs w:val="24"/>
        </w:rPr>
        <w:t xml:space="preserve"> </w:t>
      </w:r>
      <w:r w:rsidR="00C03B8E" w:rsidRPr="00C03B8E">
        <w:rPr>
          <w:rFonts w:eastAsiaTheme="minorHAnsi"/>
          <w:sz w:val="24"/>
          <w:szCs w:val="24"/>
        </w:rPr>
        <w:t>result in aggregate new interference of</w:t>
      </w:r>
      <w:r w:rsidR="00C03B8E">
        <w:rPr>
          <w:rFonts w:eastAsiaTheme="minorHAnsi"/>
          <w:sz w:val="24"/>
          <w:szCs w:val="24"/>
        </w:rPr>
        <w:t xml:space="preserve"> </w:t>
      </w:r>
      <w:r w:rsidR="00C03B8E" w:rsidRPr="00C03B8E">
        <w:rPr>
          <w:rFonts w:eastAsiaTheme="minorHAnsi"/>
          <w:sz w:val="24"/>
          <w:szCs w:val="24"/>
        </w:rPr>
        <w:t>more than one percent, the Commission</w:t>
      </w:r>
      <w:r w:rsidR="00C03B8E">
        <w:rPr>
          <w:rFonts w:eastAsiaTheme="minorHAnsi"/>
          <w:sz w:val="24"/>
          <w:szCs w:val="24"/>
        </w:rPr>
        <w:t xml:space="preserve"> </w:t>
      </w:r>
      <w:r w:rsidR="00985C59">
        <w:rPr>
          <w:rFonts w:eastAsiaTheme="minorHAnsi"/>
          <w:sz w:val="24"/>
          <w:szCs w:val="24"/>
        </w:rPr>
        <w:t xml:space="preserve">will </w:t>
      </w:r>
      <w:r w:rsidR="00C03B8E" w:rsidRPr="00C03B8E">
        <w:rPr>
          <w:rFonts w:eastAsiaTheme="minorHAnsi"/>
          <w:sz w:val="24"/>
          <w:szCs w:val="24"/>
        </w:rPr>
        <w:t>use</w:t>
      </w:r>
      <w:r w:rsidR="00C03B8E">
        <w:rPr>
          <w:rFonts w:eastAsiaTheme="minorHAnsi"/>
          <w:sz w:val="24"/>
          <w:szCs w:val="24"/>
        </w:rPr>
        <w:t xml:space="preserve"> </w:t>
      </w:r>
      <w:r w:rsidR="00C03B8E" w:rsidRPr="00C03B8E">
        <w:rPr>
          <w:rFonts w:eastAsiaTheme="minorHAnsi"/>
          <w:sz w:val="24"/>
          <w:szCs w:val="24"/>
        </w:rPr>
        <w:t>optimization techniques to seek to avoid</w:t>
      </w:r>
      <w:r w:rsidR="00C03B8E">
        <w:rPr>
          <w:rFonts w:eastAsiaTheme="minorHAnsi"/>
          <w:sz w:val="24"/>
          <w:szCs w:val="24"/>
        </w:rPr>
        <w:t xml:space="preserve"> </w:t>
      </w:r>
      <w:r w:rsidR="00C03B8E" w:rsidRPr="00C03B8E">
        <w:rPr>
          <w:rFonts w:eastAsiaTheme="minorHAnsi"/>
          <w:sz w:val="24"/>
          <w:szCs w:val="24"/>
        </w:rPr>
        <w:t>final channel assignments that would</w:t>
      </w:r>
      <w:r w:rsidR="00C03B8E">
        <w:rPr>
          <w:rFonts w:eastAsiaTheme="minorHAnsi"/>
          <w:sz w:val="24"/>
          <w:szCs w:val="24"/>
        </w:rPr>
        <w:t xml:space="preserve"> </w:t>
      </w:r>
      <w:r w:rsidR="00C03B8E" w:rsidRPr="00C03B8E">
        <w:rPr>
          <w:rFonts w:eastAsiaTheme="minorHAnsi"/>
          <w:sz w:val="24"/>
          <w:szCs w:val="24"/>
        </w:rPr>
        <w:t>result in significant viewer losses due to</w:t>
      </w:r>
      <w:r w:rsidR="00C03B8E">
        <w:rPr>
          <w:rFonts w:eastAsiaTheme="minorHAnsi"/>
          <w:sz w:val="24"/>
          <w:szCs w:val="24"/>
        </w:rPr>
        <w:t xml:space="preserve"> </w:t>
      </w:r>
      <w:r w:rsidR="00C03B8E" w:rsidRPr="00C03B8E">
        <w:rPr>
          <w:rFonts w:eastAsiaTheme="minorHAnsi"/>
          <w:sz w:val="24"/>
          <w:szCs w:val="24"/>
        </w:rPr>
        <w:t xml:space="preserve">terrain losses. </w:t>
      </w:r>
      <w:r w:rsidR="0000372F">
        <w:rPr>
          <w:rFonts w:eastAsiaTheme="minorHAnsi"/>
          <w:sz w:val="24"/>
          <w:szCs w:val="24"/>
        </w:rPr>
        <w:t xml:space="preserve"> </w:t>
      </w:r>
    </w:p>
    <w:p w:rsidR="003914AD" w:rsidRDefault="003914AD" w:rsidP="00C03B8E">
      <w:pPr>
        <w:autoSpaceDE w:val="0"/>
        <w:autoSpaceDN w:val="0"/>
        <w:adjustRightInd w:val="0"/>
        <w:ind w:firstLine="720"/>
        <w:rPr>
          <w:rFonts w:eastAsiaTheme="minorHAnsi"/>
          <w:sz w:val="24"/>
          <w:szCs w:val="24"/>
        </w:rPr>
      </w:pPr>
    </w:p>
    <w:p w:rsidR="001C5A69" w:rsidRPr="00C91D58" w:rsidRDefault="001C5A69" w:rsidP="00DE1586">
      <w:pPr>
        <w:pStyle w:val="ListParagraph"/>
        <w:numPr>
          <w:ilvl w:val="0"/>
          <w:numId w:val="5"/>
        </w:numPr>
        <w:autoSpaceDE w:val="0"/>
        <w:autoSpaceDN w:val="0"/>
        <w:adjustRightInd w:val="0"/>
        <w:rPr>
          <w:rFonts w:eastAsiaTheme="minorHAnsi"/>
          <w:b/>
          <w:bCs/>
          <w:sz w:val="24"/>
          <w:szCs w:val="24"/>
        </w:rPr>
      </w:pPr>
      <w:r w:rsidRPr="00C91D58">
        <w:rPr>
          <w:b/>
          <w:sz w:val="24"/>
          <w:szCs w:val="24"/>
        </w:rPr>
        <w:t>ISIX Methodology and Input Values To Determine 600 MHz Band Wireless License Area Impairments During the Incentive Auction</w:t>
      </w:r>
    </w:p>
    <w:p w:rsidR="003914AD" w:rsidRDefault="003914AD" w:rsidP="00BA37B5">
      <w:pPr>
        <w:autoSpaceDE w:val="0"/>
        <w:autoSpaceDN w:val="0"/>
        <w:adjustRightInd w:val="0"/>
        <w:ind w:firstLine="720"/>
        <w:rPr>
          <w:b/>
          <w:sz w:val="24"/>
          <w:szCs w:val="24"/>
        </w:rPr>
      </w:pPr>
    </w:p>
    <w:p w:rsidR="00441F1E" w:rsidRDefault="000E3C37" w:rsidP="00F36D44">
      <w:pPr>
        <w:spacing w:after="120"/>
        <w:ind w:firstLine="720"/>
        <w:rPr>
          <w:sz w:val="24"/>
          <w:szCs w:val="24"/>
        </w:rPr>
      </w:pPr>
      <w:r>
        <w:rPr>
          <w:sz w:val="24"/>
          <w:szCs w:val="24"/>
        </w:rPr>
        <w:t>In the Order, t</w:t>
      </w:r>
      <w:r w:rsidR="00441F1E" w:rsidRPr="00441F1E">
        <w:rPr>
          <w:sz w:val="24"/>
          <w:szCs w:val="24"/>
        </w:rPr>
        <w:t xml:space="preserve">he Commission adopted the ISIX Methodology and input values proposed </w:t>
      </w:r>
      <w:r w:rsidR="00C9541E">
        <w:rPr>
          <w:sz w:val="24"/>
          <w:szCs w:val="24"/>
        </w:rPr>
        <w:t>by its</w:t>
      </w:r>
      <w:r w:rsidR="00C9541E" w:rsidRPr="00924457">
        <w:rPr>
          <w:rFonts w:ascii="Melior" w:eastAsiaTheme="minorHAnsi" w:hAnsi="Melior" w:cs="Melior"/>
          <w:sz w:val="24"/>
          <w:szCs w:val="24"/>
        </w:rPr>
        <w:t xml:space="preserve"> Office of Engineering and</w:t>
      </w:r>
      <w:r w:rsidR="00C9541E">
        <w:rPr>
          <w:rFonts w:ascii="Melior" w:eastAsiaTheme="minorHAnsi" w:hAnsi="Melior" w:cs="Melior"/>
          <w:sz w:val="24"/>
          <w:szCs w:val="24"/>
        </w:rPr>
        <w:t xml:space="preserve"> </w:t>
      </w:r>
      <w:r w:rsidR="00C73F82">
        <w:rPr>
          <w:rFonts w:ascii="Melior" w:eastAsiaTheme="minorHAnsi" w:hAnsi="Melior" w:cs="Melior"/>
          <w:sz w:val="24"/>
          <w:szCs w:val="24"/>
        </w:rPr>
        <w:t>Technology</w:t>
      </w:r>
      <w:r w:rsidR="00C9541E" w:rsidRPr="00924457">
        <w:rPr>
          <w:rFonts w:ascii="Melior" w:eastAsiaTheme="minorHAnsi" w:hAnsi="Melior" w:cs="Melior"/>
          <w:sz w:val="24"/>
          <w:szCs w:val="24"/>
        </w:rPr>
        <w:t xml:space="preserve"> </w:t>
      </w:r>
      <w:r w:rsidR="00441F1E" w:rsidRPr="00441F1E">
        <w:rPr>
          <w:sz w:val="24"/>
          <w:szCs w:val="24"/>
        </w:rPr>
        <w:t xml:space="preserve">in the </w:t>
      </w:r>
      <w:r w:rsidR="00441F1E" w:rsidRPr="00F36D44">
        <w:rPr>
          <w:i/>
          <w:sz w:val="24"/>
          <w:szCs w:val="24"/>
        </w:rPr>
        <w:t xml:space="preserve">ISIX </w:t>
      </w:r>
      <w:r w:rsidR="00F36D44" w:rsidRPr="00F36D44">
        <w:rPr>
          <w:i/>
          <w:sz w:val="24"/>
          <w:szCs w:val="24"/>
        </w:rPr>
        <w:t>Public Notice</w:t>
      </w:r>
      <w:r w:rsidR="009263E1">
        <w:rPr>
          <w:i/>
          <w:sz w:val="24"/>
          <w:szCs w:val="24"/>
        </w:rPr>
        <w:t xml:space="preserve"> </w:t>
      </w:r>
      <w:r w:rsidR="009263E1">
        <w:rPr>
          <w:sz w:val="24"/>
          <w:szCs w:val="24"/>
        </w:rPr>
        <w:t>(</w:t>
      </w:r>
      <w:r w:rsidR="009263E1" w:rsidRPr="009263E1">
        <w:rPr>
          <w:i/>
          <w:sz w:val="24"/>
          <w:szCs w:val="24"/>
        </w:rPr>
        <w:t>ISIX PN</w:t>
      </w:r>
      <w:r w:rsidR="009263E1">
        <w:rPr>
          <w:sz w:val="24"/>
          <w:szCs w:val="24"/>
        </w:rPr>
        <w:t>)</w:t>
      </w:r>
      <w:r w:rsidR="00F36D44">
        <w:rPr>
          <w:sz w:val="24"/>
          <w:szCs w:val="24"/>
        </w:rPr>
        <w:t>,</w:t>
      </w:r>
      <w:r w:rsidR="00F36D44">
        <w:rPr>
          <w:rStyle w:val="FootnoteReference"/>
          <w:szCs w:val="24"/>
        </w:rPr>
        <w:footnoteReference w:id="3"/>
      </w:r>
      <w:r w:rsidR="00441F1E" w:rsidRPr="00F36D44">
        <w:rPr>
          <w:sz w:val="24"/>
          <w:szCs w:val="24"/>
        </w:rPr>
        <w:t xml:space="preserve"> with</w:t>
      </w:r>
      <w:r w:rsidR="00F36D44">
        <w:rPr>
          <w:sz w:val="24"/>
          <w:szCs w:val="24"/>
        </w:rPr>
        <w:t xml:space="preserve"> </w:t>
      </w:r>
      <w:r w:rsidR="00441F1E" w:rsidRPr="00441F1E">
        <w:rPr>
          <w:sz w:val="24"/>
          <w:szCs w:val="24"/>
        </w:rPr>
        <w:t>certain modifications, for use during the</w:t>
      </w:r>
      <w:r w:rsidR="00F36D44">
        <w:rPr>
          <w:sz w:val="24"/>
          <w:szCs w:val="24"/>
        </w:rPr>
        <w:t xml:space="preserve"> </w:t>
      </w:r>
      <w:r w:rsidR="00441F1E" w:rsidRPr="00441F1E">
        <w:rPr>
          <w:sz w:val="24"/>
          <w:szCs w:val="24"/>
        </w:rPr>
        <w:t xml:space="preserve">incentive auction. </w:t>
      </w:r>
      <w:r w:rsidR="0000372F">
        <w:rPr>
          <w:sz w:val="24"/>
          <w:szCs w:val="24"/>
        </w:rPr>
        <w:t xml:space="preserve"> </w:t>
      </w:r>
      <w:r w:rsidR="00441F1E" w:rsidRPr="00441F1E">
        <w:rPr>
          <w:sz w:val="24"/>
          <w:szCs w:val="24"/>
        </w:rPr>
        <w:t>The ISIX</w:t>
      </w:r>
      <w:r w:rsidR="00F36D44">
        <w:rPr>
          <w:sz w:val="24"/>
          <w:szCs w:val="24"/>
        </w:rPr>
        <w:t xml:space="preserve"> </w:t>
      </w:r>
      <w:r w:rsidR="00441F1E" w:rsidRPr="00F36D44">
        <w:rPr>
          <w:sz w:val="24"/>
          <w:szCs w:val="24"/>
        </w:rPr>
        <w:t>Methodology</w:t>
      </w:r>
      <w:r w:rsidR="00F36D44">
        <w:rPr>
          <w:sz w:val="24"/>
          <w:szCs w:val="24"/>
        </w:rPr>
        <w:t xml:space="preserve"> </w:t>
      </w:r>
      <w:r w:rsidR="00441F1E" w:rsidRPr="00441F1E">
        <w:rPr>
          <w:sz w:val="24"/>
          <w:szCs w:val="24"/>
        </w:rPr>
        <w:t>and input values will be used during the</w:t>
      </w:r>
      <w:r w:rsidR="00F36D44">
        <w:rPr>
          <w:sz w:val="24"/>
          <w:szCs w:val="24"/>
        </w:rPr>
        <w:t xml:space="preserve"> </w:t>
      </w:r>
      <w:r w:rsidR="00441F1E" w:rsidRPr="00441F1E">
        <w:rPr>
          <w:sz w:val="24"/>
          <w:szCs w:val="24"/>
        </w:rPr>
        <w:t>auction to estimate the extent to which</w:t>
      </w:r>
      <w:r w:rsidR="00F36D44">
        <w:rPr>
          <w:sz w:val="24"/>
          <w:szCs w:val="24"/>
        </w:rPr>
        <w:t xml:space="preserve"> </w:t>
      </w:r>
      <w:r w:rsidR="00441F1E" w:rsidRPr="00441F1E">
        <w:rPr>
          <w:sz w:val="24"/>
          <w:szCs w:val="24"/>
        </w:rPr>
        <w:t>600 MHz Band wireless license areas</w:t>
      </w:r>
      <w:r w:rsidR="00F36D44">
        <w:rPr>
          <w:sz w:val="24"/>
          <w:szCs w:val="24"/>
        </w:rPr>
        <w:t xml:space="preserve"> </w:t>
      </w:r>
      <w:r w:rsidR="00441F1E" w:rsidRPr="00441F1E">
        <w:rPr>
          <w:sz w:val="24"/>
          <w:szCs w:val="24"/>
        </w:rPr>
        <w:t xml:space="preserve">may be </w:t>
      </w:r>
      <w:r>
        <w:rPr>
          <w:sz w:val="24"/>
          <w:szCs w:val="24"/>
        </w:rPr>
        <w:t>“</w:t>
      </w:r>
      <w:r w:rsidR="00441F1E" w:rsidRPr="00441F1E">
        <w:rPr>
          <w:sz w:val="24"/>
          <w:szCs w:val="24"/>
        </w:rPr>
        <w:t>impaired</w:t>
      </w:r>
      <w:r>
        <w:rPr>
          <w:sz w:val="24"/>
          <w:szCs w:val="24"/>
        </w:rPr>
        <w:t xml:space="preserve">” </w:t>
      </w:r>
      <w:r w:rsidR="00441F1E" w:rsidRPr="00441F1E">
        <w:rPr>
          <w:sz w:val="24"/>
          <w:szCs w:val="24"/>
        </w:rPr>
        <w:t>due to predicted</w:t>
      </w:r>
      <w:r w:rsidR="00F36D44">
        <w:rPr>
          <w:sz w:val="24"/>
          <w:szCs w:val="24"/>
        </w:rPr>
        <w:t xml:space="preserve"> </w:t>
      </w:r>
      <w:r w:rsidR="00441F1E" w:rsidRPr="00441F1E">
        <w:rPr>
          <w:sz w:val="24"/>
          <w:szCs w:val="24"/>
        </w:rPr>
        <w:t>interference to, or from, broadcast</w:t>
      </w:r>
      <w:r w:rsidR="00F36D44">
        <w:rPr>
          <w:sz w:val="24"/>
          <w:szCs w:val="24"/>
        </w:rPr>
        <w:t xml:space="preserve"> </w:t>
      </w:r>
      <w:r w:rsidR="00441F1E" w:rsidRPr="00441F1E">
        <w:rPr>
          <w:sz w:val="24"/>
          <w:szCs w:val="24"/>
        </w:rPr>
        <w:t>television stations assigned to the 600</w:t>
      </w:r>
      <w:r w:rsidR="00F36D44">
        <w:rPr>
          <w:sz w:val="24"/>
          <w:szCs w:val="24"/>
        </w:rPr>
        <w:t xml:space="preserve"> </w:t>
      </w:r>
      <w:r w:rsidR="00441F1E" w:rsidRPr="00441F1E">
        <w:rPr>
          <w:sz w:val="24"/>
          <w:szCs w:val="24"/>
        </w:rPr>
        <w:t>MHz Band as a result of market</w:t>
      </w:r>
      <w:r w:rsidR="00F36D44">
        <w:rPr>
          <w:sz w:val="24"/>
          <w:szCs w:val="24"/>
        </w:rPr>
        <w:t xml:space="preserve"> </w:t>
      </w:r>
      <w:r w:rsidR="00441F1E" w:rsidRPr="00441F1E">
        <w:rPr>
          <w:sz w:val="24"/>
          <w:szCs w:val="24"/>
        </w:rPr>
        <w:t xml:space="preserve">variation. </w:t>
      </w:r>
      <w:r w:rsidR="0000372F">
        <w:rPr>
          <w:sz w:val="24"/>
          <w:szCs w:val="24"/>
        </w:rPr>
        <w:t xml:space="preserve"> </w:t>
      </w:r>
      <w:r>
        <w:rPr>
          <w:sz w:val="24"/>
          <w:szCs w:val="24"/>
        </w:rPr>
        <w:t>“</w:t>
      </w:r>
      <w:r w:rsidR="00441F1E" w:rsidRPr="00441F1E">
        <w:rPr>
          <w:sz w:val="24"/>
          <w:szCs w:val="24"/>
        </w:rPr>
        <w:t>Impaired</w:t>
      </w:r>
      <w:r>
        <w:rPr>
          <w:sz w:val="24"/>
          <w:szCs w:val="24"/>
        </w:rPr>
        <w:t>”</w:t>
      </w:r>
      <w:r w:rsidR="00441F1E" w:rsidRPr="00441F1E">
        <w:rPr>
          <w:sz w:val="24"/>
          <w:szCs w:val="24"/>
        </w:rPr>
        <w:t xml:space="preserve"> license areas may</w:t>
      </w:r>
      <w:r w:rsidR="00F36D44">
        <w:rPr>
          <w:sz w:val="24"/>
          <w:szCs w:val="24"/>
        </w:rPr>
        <w:t xml:space="preserve"> </w:t>
      </w:r>
      <w:r w:rsidR="00441F1E" w:rsidRPr="00441F1E">
        <w:rPr>
          <w:sz w:val="24"/>
          <w:szCs w:val="24"/>
        </w:rPr>
        <w:t xml:space="preserve">include </w:t>
      </w:r>
      <w:r>
        <w:rPr>
          <w:sz w:val="24"/>
          <w:szCs w:val="24"/>
        </w:rPr>
        <w:t>“</w:t>
      </w:r>
      <w:r w:rsidR="00441F1E" w:rsidRPr="00441F1E">
        <w:rPr>
          <w:sz w:val="24"/>
          <w:szCs w:val="24"/>
        </w:rPr>
        <w:t>infringed</w:t>
      </w:r>
      <w:r>
        <w:rPr>
          <w:sz w:val="24"/>
          <w:szCs w:val="24"/>
        </w:rPr>
        <w:t>”</w:t>
      </w:r>
      <w:r w:rsidR="00441F1E" w:rsidRPr="00441F1E">
        <w:rPr>
          <w:sz w:val="24"/>
          <w:szCs w:val="24"/>
        </w:rPr>
        <w:t xml:space="preserve"> and/or </w:t>
      </w:r>
      <w:r>
        <w:rPr>
          <w:sz w:val="24"/>
          <w:szCs w:val="24"/>
        </w:rPr>
        <w:t>“</w:t>
      </w:r>
      <w:r w:rsidR="00441F1E" w:rsidRPr="00441F1E">
        <w:rPr>
          <w:sz w:val="24"/>
          <w:szCs w:val="24"/>
        </w:rPr>
        <w:t>restricted</w:t>
      </w:r>
      <w:r>
        <w:rPr>
          <w:sz w:val="24"/>
          <w:szCs w:val="24"/>
        </w:rPr>
        <w:t>”</w:t>
      </w:r>
      <w:r w:rsidR="00F36D44">
        <w:rPr>
          <w:sz w:val="24"/>
          <w:szCs w:val="24"/>
        </w:rPr>
        <w:t xml:space="preserve"> </w:t>
      </w:r>
      <w:r w:rsidR="00441F1E" w:rsidRPr="00441F1E">
        <w:rPr>
          <w:sz w:val="24"/>
          <w:szCs w:val="24"/>
        </w:rPr>
        <w:t xml:space="preserve">areas. </w:t>
      </w:r>
      <w:r w:rsidR="0000372F">
        <w:rPr>
          <w:sz w:val="24"/>
          <w:szCs w:val="24"/>
        </w:rPr>
        <w:t xml:space="preserve"> </w:t>
      </w:r>
      <w:r w:rsidR="00441F1E" w:rsidRPr="00441F1E">
        <w:rPr>
          <w:sz w:val="24"/>
          <w:szCs w:val="24"/>
        </w:rPr>
        <w:t xml:space="preserve">An </w:t>
      </w:r>
      <w:r>
        <w:rPr>
          <w:sz w:val="24"/>
          <w:szCs w:val="24"/>
        </w:rPr>
        <w:t>“</w:t>
      </w:r>
      <w:r w:rsidR="00441F1E" w:rsidRPr="00441F1E">
        <w:rPr>
          <w:sz w:val="24"/>
          <w:szCs w:val="24"/>
        </w:rPr>
        <w:t>infringed</w:t>
      </w:r>
      <w:r>
        <w:rPr>
          <w:sz w:val="24"/>
          <w:szCs w:val="24"/>
        </w:rPr>
        <w:t>”</w:t>
      </w:r>
      <w:r w:rsidR="00441F1E" w:rsidRPr="00441F1E">
        <w:rPr>
          <w:sz w:val="24"/>
          <w:szCs w:val="24"/>
        </w:rPr>
        <w:t xml:space="preserve"> area is one where</w:t>
      </w:r>
      <w:r w:rsidR="00F36D44">
        <w:rPr>
          <w:sz w:val="24"/>
          <w:szCs w:val="24"/>
        </w:rPr>
        <w:t xml:space="preserve"> </w:t>
      </w:r>
      <w:r w:rsidR="00441F1E" w:rsidRPr="00441F1E">
        <w:rPr>
          <w:sz w:val="24"/>
          <w:szCs w:val="24"/>
        </w:rPr>
        <w:t>wireless operation is predicted to</w:t>
      </w:r>
      <w:r w:rsidR="00F36D44">
        <w:rPr>
          <w:sz w:val="24"/>
          <w:szCs w:val="24"/>
        </w:rPr>
        <w:t xml:space="preserve"> </w:t>
      </w:r>
      <w:r w:rsidR="00441F1E" w:rsidRPr="00441F1E">
        <w:rPr>
          <w:sz w:val="24"/>
          <w:szCs w:val="24"/>
        </w:rPr>
        <w:t>receive harmful interference from a</w:t>
      </w:r>
      <w:r w:rsidR="00F36D44">
        <w:rPr>
          <w:sz w:val="24"/>
          <w:szCs w:val="24"/>
        </w:rPr>
        <w:t xml:space="preserve"> </w:t>
      </w:r>
      <w:r w:rsidR="00441F1E" w:rsidRPr="00441F1E">
        <w:rPr>
          <w:sz w:val="24"/>
          <w:szCs w:val="24"/>
        </w:rPr>
        <w:t>television station that is placed in the</w:t>
      </w:r>
      <w:r w:rsidR="00F36D44">
        <w:rPr>
          <w:sz w:val="24"/>
          <w:szCs w:val="24"/>
        </w:rPr>
        <w:t xml:space="preserve"> </w:t>
      </w:r>
      <w:r w:rsidR="00441F1E" w:rsidRPr="00441F1E">
        <w:rPr>
          <w:sz w:val="24"/>
          <w:szCs w:val="24"/>
        </w:rPr>
        <w:t>600 MHz Band.</w:t>
      </w:r>
      <w:r w:rsidR="00115823">
        <w:rPr>
          <w:sz w:val="24"/>
          <w:szCs w:val="24"/>
        </w:rPr>
        <w:t xml:space="preserve"> </w:t>
      </w:r>
      <w:r w:rsidR="00441F1E" w:rsidRPr="00441F1E">
        <w:rPr>
          <w:sz w:val="24"/>
          <w:szCs w:val="24"/>
        </w:rPr>
        <w:t xml:space="preserve"> Wireless licensees will</w:t>
      </w:r>
      <w:r w:rsidR="00F36D44">
        <w:rPr>
          <w:sz w:val="24"/>
          <w:szCs w:val="24"/>
        </w:rPr>
        <w:t xml:space="preserve"> </w:t>
      </w:r>
      <w:r w:rsidR="00441F1E" w:rsidRPr="00441F1E">
        <w:rPr>
          <w:sz w:val="24"/>
          <w:szCs w:val="24"/>
        </w:rPr>
        <w:t>be free to operate in infringed areas</w:t>
      </w:r>
      <w:r w:rsidR="007A7CB2">
        <w:rPr>
          <w:sz w:val="24"/>
          <w:szCs w:val="24"/>
        </w:rPr>
        <w:t>,</w:t>
      </w:r>
      <w:r w:rsidR="00441F1E" w:rsidRPr="00441F1E">
        <w:rPr>
          <w:sz w:val="24"/>
          <w:szCs w:val="24"/>
        </w:rPr>
        <w:t xml:space="preserve"> but</w:t>
      </w:r>
      <w:r w:rsidR="00F36D44">
        <w:rPr>
          <w:sz w:val="24"/>
          <w:szCs w:val="24"/>
        </w:rPr>
        <w:t xml:space="preserve"> </w:t>
      </w:r>
      <w:r w:rsidR="00441F1E" w:rsidRPr="00441F1E">
        <w:rPr>
          <w:sz w:val="24"/>
          <w:szCs w:val="24"/>
        </w:rPr>
        <w:t>will assume the risk of receiving</w:t>
      </w:r>
      <w:r w:rsidR="00F36D44">
        <w:rPr>
          <w:sz w:val="24"/>
          <w:szCs w:val="24"/>
        </w:rPr>
        <w:t xml:space="preserve"> </w:t>
      </w:r>
      <w:r w:rsidR="00441F1E" w:rsidRPr="00441F1E">
        <w:rPr>
          <w:sz w:val="24"/>
          <w:szCs w:val="24"/>
        </w:rPr>
        <w:t xml:space="preserve">interference from a television station. </w:t>
      </w:r>
      <w:r w:rsidR="0000372F">
        <w:rPr>
          <w:sz w:val="24"/>
          <w:szCs w:val="24"/>
        </w:rPr>
        <w:t xml:space="preserve"> </w:t>
      </w:r>
      <w:r w:rsidR="00441F1E" w:rsidRPr="00441F1E">
        <w:rPr>
          <w:sz w:val="24"/>
          <w:szCs w:val="24"/>
        </w:rPr>
        <w:t>A</w:t>
      </w:r>
      <w:r w:rsidR="00F36D44">
        <w:rPr>
          <w:sz w:val="24"/>
          <w:szCs w:val="24"/>
        </w:rPr>
        <w:t xml:space="preserve"> </w:t>
      </w:r>
      <w:r>
        <w:rPr>
          <w:sz w:val="24"/>
          <w:szCs w:val="24"/>
        </w:rPr>
        <w:t>“</w:t>
      </w:r>
      <w:r w:rsidR="00441F1E" w:rsidRPr="00441F1E">
        <w:rPr>
          <w:sz w:val="24"/>
          <w:szCs w:val="24"/>
        </w:rPr>
        <w:t>restricted</w:t>
      </w:r>
      <w:r>
        <w:rPr>
          <w:sz w:val="24"/>
          <w:szCs w:val="24"/>
        </w:rPr>
        <w:t>”</w:t>
      </w:r>
      <w:r w:rsidR="00441F1E" w:rsidRPr="00441F1E">
        <w:rPr>
          <w:sz w:val="24"/>
          <w:szCs w:val="24"/>
        </w:rPr>
        <w:t xml:space="preserve"> area is one where wireless</w:t>
      </w:r>
      <w:r w:rsidR="00F36D44">
        <w:rPr>
          <w:sz w:val="24"/>
          <w:szCs w:val="24"/>
        </w:rPr>
        <w:t xml:space="preserve"> </w:t>
      </w:r>
      <w:r w:rsidR="00441F1E" w:rsidRPr="00441F1E">
        <w:rPr>
          <w:sz w:val="24"/>
          <w:szCs w:val="24"/>
        </w:rPr>
        <w:t>operations would be predicted to cause</w:t>
      </w:r>
      <w:r w:rsidR="00F36D44">
        <w:rPr>
          <w:sz w:val="24"/>
          <w:szCs w:val="24"/>
        </w:rPr>
        <w:t xml:space="preserve"> </w:t>
      </w:r>
      <w:r w:rsidR="00441F1E" w:rsidRPr="00441F1E">
        <w:rPr>
          <w:sz w:val="24"/>
          <w:szCs w:val="24"/>
        </w:rPr>
        <w:t>harmful</w:t>
      </w:r>
      <w:r w:rsidR="00F36D44">
        <w:rPr>
          <w:sz w:val="24"/>
          <w:szCs w:val="24"/>
        </w:rPr>
        <w:t xml:space="preserve"> i</w:t>
      </w:r>
      <w:r w:rsidR="00441F1E" w:rsidRPr="00441F1E">
        <w:rPr>
          <w:sz w:val="24"/>
          <w:szCs w:val="24"/>
        </w:rPr>
        <w:t>nterference to a television</w:t>
      </w:r>
      <w:r w:rsidR="00F36D44">
        <w:rPr>
          <w:sz w:val="24"/>
          <w:szCs w:val="24"/>
        </w:rPr>
        <w:t xml:space="preserve"> </w:t>
      </w:r>
      <w:r w:rsidR="00441F1E" w:rsidRPr="00441F1E">
        <w:rPr>
          <w:sz w:val="24"/>
          <w:szCs w:val="24"/>
        </w:rPr>
        <w:t>station that is placed in the 600 MHz</w:t>
      </w:r>
      <w:r w:rsidR="00F36D44">
        <w:rPr>
          <w:sz w:val="24"/>
          <w:szCs w:val="24"/>
        </w:rPr>
        <w:t xml:space="preserve"> </w:t>
      </w:r>
      <w:r w:rsidR="00441F1E" w:rsidRPr="00441F1E">
        <w:rPr>
          <w:sz w:val="24"/>
          <w:szCs w:val="24"/>
        </w:rPr>
        <w:t xml:space="preserve">Band, depending on how the </w:t>
      </w:r>
      <w:r w:rsidR="00F36D44">
        <w:rPr>
          <w:sz w:val="24"/>
          <w:szCs w:val="24"/>
        </w:rPr>
        <w:t>w</w:t>
      </w:r>
      <w:r w:rsidR="00441F1E" w:rsidRPr="00441F1E">
        <w:rPr>
          <w:sz w:val="24"/>
          <w:szCs w:val="24"/>
        </w:rPr>
        <w:t>ireless</w:t>
      </w:r>
      <w:r w:rsidR="00F36D44">
        <w:rPr>
          <w:sz w:val="24"/>
          <w:szCs w:val="24"/>
        </w:rPr>
        <w:t xml:space="preserve"> </w:t>
      </w:r>
      <w:r w:rsidR="00441F1E" w:rsidRPr="00441F1E">
        <w:rPr>
          <w:sz w:val="24"/>
          <w:szCs w:val="24"/>
        </w:rPr>
        <w:t>operations are deployed.</w:t>
      </w:r>
    </w:p>
    <w:p w:rsidR="00924457" w:rsidRPr="00924457" w:rsidRDefault="004926E6" w:rsidP="006206E8">
      <w:pPr>
        <w:autoSpaceDE w:val="0"/>
        <w:autoSpaceDN w:val="0"/>
        <w:adjustRightInd w:val="0"/>
        <w:ind w:firstLine="720"/>
        <w:rPr>
          <w:rFonts w:ascii="Melior" w:eastAsiaTheme="minorHAnsi" w:hAnsi="Melior" w:cs="Melior"/>
          <w:sz w:val="24"/>
          <w:szCs w:val="24"/>
        </w:rPr>
      </w:pPr>
      <w:r>
        <w:rPr>
          <w:rFonts w:ascii="Melior" w:eastAsiaTheme="minorHAnsi" w:hAnsi="Melior" w:cs="Melior"/>
          <w:sz w:val="24"/>
          <w:szCs w:val="24"/>
        </w:rPr>
        <w:t>S</w:t>
      </w:r>
      <w:r w:rsidR="00924457" w:rsidRPr="00924457">
        <w:rPr>
          <w:rFonts w:ascii="Melior" w:eastAsiaTheme="minorHAnsi" w:hAnsi="Melior" w:cs="Melior"/>
          <w:sz w:val="24"/>
          <w:szCs w:val="24"/>
        </w:rPr>
        <w:t>pectral overlap between</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broadcast television and wireless</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services will impact to different degrees</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the potential for harmful interference</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 xml:space="preserve">between the two services. </w:t>
      </w:r>
      <w:r w:rsidR="004E3CAA">
        <w:rPr>
          <w:rFonts w:ascii="Melior" w:eastAsiaTheme="minorHAnsi" w:hAnsi="Melior" w:cs="Melior"/>
          <w:sz w:val="24"/>
          <w:szCs w:val="24"/>
        </w:rPr>
        <w:t xml:space="preserve"> </w:t>
      </w:r>
      <w:r w:rsidR="00924457" w:rsidRPr="00924457">
        <w:rPr>
          <w:rFonts w:ascii="Melior" w:eastAsiaTheme="minorHAnsi" w:hAnsi="Melior" w:cs="Melior"/>
          <w:sz w:val="24"/>
          <w:szCs w:val="24"/>
        </w:rPr>
        <w:t>Under the 600</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 xml:space="preserve">MHz Band Plan adopted in the </w:t>
      </w:r>
      <w:r w:rsidR="00924457" w:rsidRPr="00924457">
        <w:rPr>
          <w:rFonts w:ascii="Melior" w:eastAsiaTheme="minorHAnsi" w:hAnsi="Melior" w:cs="Melior"/>
          <w:i/>
          <w:sz w:val="24"/>
          <w:szCs w:val="24"/>
        </w:rPr>
        <w:t>Incentive</w:t>
      </w:r>
      <w:r w:rsidR="006206E8">
        <w:rPr>
          <w:rFonts w:ascii="Melior" w:eastAsiaTheme="minorHAnsi" w:hAnsi="Melior" w:cs="Melior"/>
          <w:i/>
          <w:sz w:val="24"/>
          <w:szCs w:val="24"/>
        </w:rPr>
        <w:t xml:space="preserve"> </w:t>
      </w:r>
      <w:r w:rsidR="00924457" w:rsidRPr="00924457">
        <w:rPr>
          <w:rFonts w:ascii="Melior" w:eastAsiaTheme="minorHAnsi" w:hAnsi="Melior" w:cs="Melior"/>
          <w:i/>
          <w:sz w:val="24"/>
          <w:szCs w:val="24"/>
        </w:rPr>
        <w:t>Auction R&amp;O</w:t>
      </w:r>
      <w:r w:rsidR="00924457" w:rsidRPr="00924457">
        <w:rPr>
          <w:rFonts w:ascii="Melior" w:eastAsiaTheme="minorHAnsi" w:hAnsi="Melior" w:cs="Melior"/>
          <w:sz w:val="24"/>
          <w:szCs w:val="24"/>
        </w:rPr>
        <w:t>, six megahertz broadcast</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television channels will be repurposed</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 xml:space="preserve">as five megahertz wireless blocks. </w:t>
      </w:r>
      <w:r w:rsidR="004E3CAA">
        <w:rPr>
          <w:rFonts w:ascii="Melior" w:eastAsiaTheme="minorHAnsi" w:hAnsi="Melior" w:cs="Melior"/>
          <w:sz w:val="24"/>
          <w:szCs w:val="24"/>
        </w:rPr>
        <w:t xml:space="preserve"> </w:t>
      </w:r>
      <w:r w:rsidR="00924457" w:rsidRPr="00924457">
        <w:rPr>
          <w:rFonts w:ascii="Melior" w:eastAsiaTheme="minorHAnsi" w:hAnsi="Melior" w:cs="Melior"/>
          <w:sz w:val="24"/>
          <w:szCs w:val="24"/>
        </w:rPr>
        <w:t>The</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difference in channel bandwidth (six vs.</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five megahertz) means that the wireless</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spectrum blocks will not perfectly align</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with the existing television channels</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and, where market variation exist,</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there will be varying degrees of spectral</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overlap between the channels.</w:t>
      </w:r>
      <w:r w:rsidR="00D645C5">
        <w:rPr>
          <w:rFonts w:ascii="Melior" w:eastAsiaTheme="minorHAnsi" w:hAnsi="Melior" w:cs="Melior"/>
          <w:sz w:val="24"/>
          <w:szCs w:val="24"/>
        </w:rPr>
        <w:t xml:space="preserve"> </w:t>
      </w:r>
      <w:r w:rsidR="00924457" w:rsidRPr="00924457">
        <w:rPr>
          <w:rFonts w:ascii="Melior" w:eastAsiaTheme="minorHAnsi" w:hAnsi="Melior" w:cs="Melior"/>
          <w:sz w:val="24"/>
          <w:szCs w:val="24"/>
        </w:rPr>
        <w:t xml:space="preserve"> As the</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wireless spectrum block moves from</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complete overlap in frequency with a</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television channel to an edge-to-edge</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separation of five megahertz, the level of</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undesired signal that the victim receiver</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can tolerate without experiencing</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 xml:space="preserve">interference increases. </w:t>
      </w:r>
      <w:r w:rsidR="00D645C5">
        <w:rPr>
          <w:rFonts w:ascii="Melior" w:eastAsiaTheme="minorHAnsi" w:hAnsi="Melior" w:cs="Melior"/>
          <w:sz w:val="24"/>
          <w:szCs w:val="24"/>
        </w:rPr>
        <w:t xml:space="preserve"> </w:t>
      </w:r>
      <w:r>
        <w:rPr>
          <w:rFonts w:ascii="Melior" w:eastAsiaTheme="minorHAnsi" w:hAnsi="Melior" w:cs="Melior"/>
          <w:sz w:val="24"/>
          <w:szCs w:val="24"/>
        </w:rPr>
        <w:t xml:space="preserve">The Order </w:t>
      </w:r>
      <w:r w:rsidR="00924457" w:rsidRPr="00924457">
        <w:rPr>
          <w:rFonts w:ascii="Melior" w:eastAsiaTheme="minorHAnsi" w:hAnsi="Melior" w:cs="Melior"/>
          <w:sz w:val="24"/>
          <w:szCs w:val="24"/>
        </w:rPr>
        <w:t>define</w:t>
      </w:r>
      <w:r>
        <w:rPr>
          <w:rFonts w:ascii="Melior" w:eastAsiaTheme="minorHAnsi" w:hAnsi="Melior" w:cs="Melior"/>
          <w:sz w:val="24"/>
          <w:szCs w:val="24"/>
        </w:rPr>
        <w:t>s</w:t>
      </w:r>
      <w:r w:rsidR="00924457" w:rsidRPr="00924457">
        <w:rPr>
          <w:rFonts w:ascii="Melior" w:eastAsiaTheme="minorHAnsi" w:hAnsi="Melior" w:cs="Melior"/>
          <w:sz w:val="24"/>
          <w:szCs w:val="24"/>
        </w:rPr>
        <w:t xml:space="preserve"> </w:t>
      </w:r>
      <w:r>
        <w:rPr>
          <w:rFonts w:ascii="Melior" w:eastAsiaTheme="minorHAnsi" w:hAnsi="Melior" w:cs="Melior"/>
          <w:sz w:val="24"/>
          <w:szCs w:val="24"/>
        </w:rPr>
        <w:t>“</w:t>
      </w:r>
      <w:r w:rsidR="00924457" w:rsidRPr="00924457">
        <w:rPr>
          <w:rFonts w:ascii="Melior" w:eastAsiaTheme="minorHAnsi" w:hAnsi="Melior" w:cs="Melior"/>
          <w:sz w:val="24"/>
          <w:szCs w:val="24"/>
        </w:rPr>
        <w:t>co-channel</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operations</w:t>
      </w:r>
      <w:r>
        <w:rPr>
          <w:rFonts w:ascii="Melior" w:eastAsiaTheme="minorHAnsi" w:hAnsi="Melior" w:cs="Melior"/>
          <w:sz w:val="24"/>
          <w:szCs w:val="24"/>
        </w:rPr>
        <w:t>”</w:t>
      </w:r>
      <w:r w:rsidR="00924457" w:rsidRPr="00924457">
        <w:rPr>
          <w:rFonts w:ascii="Melior" w:eastAsiaTheme="minorHAnsi" w:hAnsi="Melior" w:cs="Melior"/>
          <w:sz w:val="24"/>
          <w:szCs w:val="24"/>
        </w:rPr>
        <w:t xml:space="preserve"> as any spectral overlap</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between a wireless spectrum block and</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a television channel in one megahertz</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increments ranging from +5 (complete</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overlap) to +1 megahertz, an</w:t>
      </w:r>
      <w:r w:rsidR="009E522C">
        <w:rPr>
          <w:rFonts w:ascii="Melior" w:eastAsiaTheme="minorHAnsi" w:hAnsi="Melior" w:cs="Melior"/>
          <w:sz w:val="24"/>
          <w:szCs w:val="24"/>
        </w:rPr>
        <w:t>d</w:t>
      </w:r>
      <w:r w:rsidR="00924457" w:rsidRPr="00924457">
        <w:rPr>
          <w:rFonts w:ascii="Melior" w:eastAsiaTheme="minorHAnsi" w:hAnsi="Melior" w:cs="Melior"/>
          <w:sz w:val="24"/>
          <w:szCs w:val="24"/>
        </w:rPr>
        <w:t xml:space="preserve"> </w:t>
      </w:r>
      <w:r>
        <w:rPr>
          <w:rFonts w:ascii="Melior" w:eastAsiaTheme="minorHAnsi" w:hAnsi="Melior" w:cs="Melior"/>
          <w:sz w:val="24"/>
          <w:szCs w:val="24"/>
        </w:rPr>
        <w:t>“</w:t>
      </w:r>
      <w:r w:rsidR="00924457" w:rsidRPr="00924457">
        <w:rPr>
          <w:rFonts w:ascii="Melior" w:eastAsiaTheme="minorHAnsi" w:hAnsi="Melior" w:cs="Melior"/>
          <w:sz w:val="24"/>
          <w:szCs w:val="24"/>
        </w:rPr>
        <w:t>adjacent</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channel operations</w:t>
      </w:r>
      <w:r>
        <w:rPr>
          <w:rFonts w:ascii="Melior" w:eastAsiaTheme="minorHAnsi" w:hAnsi="Melior" w:cs="Melior"/>
          <w:sz w:val="24"/>
          <w:szCs w:val="24"/>
        </w:rPr>
        <w:t>”</w:t>
      </w:r>
      <w:r w:rsidR="00924457" w:rsidRPr="00924457">
        <w:rPr>
          <w:rFonts w:ascii="Melior" w:eastAsiaTheme="minorHAnsi" w:hAnsi="Melior" w:cs="Melior"/>
          <w:sz w:val="24"/>
          <w:szCs w:val="24"/>
        </w:rPr>
        <w:t xml:space="preserve"> as a wireless</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spectrum block and television</w:t>
      </w:r>
      <w:r w:rsidR="00924457">
        <w:rPr>
          <w:rFonts w:ascii="Melior" w:eastAsiaTheme="minorHAnsi" w:hAnsi="Melior" w:cs="Melior"/>
          <w:sz w:val="24"/>
          <w:szCs w:val="24"/>
        </w:rPr>
        <w:t xml:space="preserve"> c</w:t>
      </w:r>
      <w:r w:rsidR="00924457" w:rsidRPr="00924457">
        <w:rPr>
          <w:rFonts w:ascii="Melior" w:eastAsiaTheme="minorHAnsi" w:hAnsi="Melior" w:cs="Melior"/>
          <w:sz w:val="24"/>
          <w:szCs w:val="24"/>
        </w:rPr>
        <w:t>hannel</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that do not overlap but are separated by</w:t>
      </w:r>
      <w:r w:rsidR="00924457">
        <w:rPr>
          <w:rFonts w:ascii="Melior" w:eastAsiaTheme="minorHAnsi" w:hAnsi="Melior" w:cs="Melior"/>
          <w:sz w:val="24"/>
          <w:szCs w:val="24"/>
        </w:rPr>
        <w:t xml:space="preserve"> </w:t>
      </w:r>
      <w:r w:rsidR="00924457" w:rsidRPr="00924457">
        <w:rPr>
          <w:rFonts w:ascii="Melior" w:eastAsiaTheme="minorHAnsi" w:hAnsi="Melior" w:cs="Melior"/>
          <w:sz w:val="24"/>
          <w:szCs w:val="24"/>
        </w:rPr>
        <w:t>less than five megahertz (edge to edge</w:t>
      </w:r>
      <w:r w:rsidR="006206E8">
        <w:rPr>
          <w:rFonts w:ascii="Melior" w:eastAsiaTheme="minorHAnsi" w:hAnsi="Melior" w:cs="Melior"/>
          <w:sz w:val="24"/>
          <w:szCs w:val="24"/>
        </w:rPr>
        <w:t xml:space="preserve"> </w:t>
      </w:r>
      <w:r w:rsidR="00924457" w:rsidRPr="00924457">
        <w:rPr>
          <w:rFonts w:ascii="Melior" w:eastAsiaTheme="minorHAnsi" w:hAnsi="Melior" w:cs="Melior"/>
          <w:sz w:val="24"/>
          <w:szCs w:val="24"/>
        </w:rPr>
        <w:t>separation of five megahertz or less).</w:t>
      </w:r>
    </w:p>
    <w:p w:rsidR="00924457" w:rsidRDefault="00924457" w:rsidP="00924457">
      <w:pPr>
        <w:autoSpaceDE w:val="0"/>
        <w:autoSpaceDN w:val="0"/>
        <w:adjustRightInd w:val="0"/>
        <w:rPr>
          <w:rFonts w:ascii="Melior" w:eastAsiaTheme="minorHAnsi" w:hAnsi="Melior" w:cs="Melior"/>
          <w:sz w:val="24"/>
          <w:szCs w:val="24"/>
        </w:rPr>
      </w:pPr>
    </w:p>
    <w:p w:rsidR="00924457" w:rsidRDefault="00924457" w:rsidP="004926E6">
      <w:pPr>
        <w:autoSpaceDE w:val="0"/>
        <w:autoSpaceDN w:val="0"/>
        <w:adjustRightInd w:val="0"/>
        <w:ind w:firstLine="720"/>
        <w:rPr>
          <w:rFonts w:ascii="Melior" w:eastAsiaTheme="minorHAnsi" w:hAnsi="Melior" w:cs="Melior"/>
          <w:sz w:val="24"/>
          <w:szCs w:val="24"/>
        </w:rPr>
      </w:pPr>
      <w:r w:rsidRPr="00924457">
        <w:rPr>
          <w:rFonts w:ascii="Melior" w:eastAsiaTheme="minorHAnsi" w:hAnsi="Melior" w:cs="Melior"/>
          <w:sz w:val="24"/>
          <w:szCs w:val="24"/>
        </w:rPr>
        <w:t xml:space="preserve">The </w:t>
      </w:r>
      <w:r w:rsidR="004926E6">
        <w:rPr>
          <w:rFonts w:ascii="Melior" w:eastAsiaTheme="minorHAnsi" w:hAnsi="Melior" w:cs="Melior"/>
          <w:sz w:val="24"/>
          <w:szCs w:val="24"/>
        </w:rPr>
        <w:t xml:space="preserve">Order </w:t>
      </w:r>
      <w:r w:rsidRPr="00924457">
        <w:rPr>
          <w:rFonts w:ascii="Melior" w:eastAsiaTheme="minorHAnsi" w:hAnsi="Melior" w:cs="Melior"/>
          <w:sz w:val="24"/>
          <w:szCs w:val="24"/>
        </w:rPr>
        <w:t>outline</w:t>
      </w:r>
      <w:r w:rsidR="004926E6">
        <w:rPr>
          <w:rFonts w:ascii="Melior" w:eastAsiaTheme="minorHAnsi" w:hAnsi="Melior" w:cs="Melior"/>
          <w:sz w:val="24"/>
          <w:szCs w:val="24"/>
        </w:rPr>
        <w:t>s</w:t>
      </w:r>
      <w:r w:rsidRPr="00924457">
        <w:rPr>
          <w:rFonts w:ascii="Melior" w:eastAsiaTheme="minorHAnsi" w:hAnsi="Melior" w:cs="Melior"/>
          <w:sz w:val="24"/>
          <w:szCs w:val="24"/>
        </w:rPr>
        <w:t xml:space="preserve"> four</w:t>
      </w:r>
      <w:r>
        <w:rPr>
          <w:rFonts w:ascii="Melior" w:eastAsiaTheme="minorHAnsi" w:hAnsi="Melior" w:cs="Melior"/>
          <w:sz w:val="24"/>
          <w:szCs w:val="24"/>
        </w:rPr>
        <w:t xml:space="preserve"> </w:t>
      </w:r>
      <w:r w:rsidRPr="00924457">
        <w:rPr>
          <w:rFonts w:ascii="Melior" w:eastAsiaTheme="minorHAnsi" w:hAnsi="Melior" w:cs="Melior"/>
          <w:sz w:val="24"/>
          <w:szCs w:val="24"/>
        </w:rPr>
        <w:t>scenarios of potential interference when</w:t>
      </w:r>
      <w:r>
        <w:rPr>
          <w:rFonts w:ascii="Melior" w:eastAsiaTheme="minorHAnsi" w:hAnsi="Melior" w:cs="Melior"/>
          <w:sz w:val="24"/>
          <w:szCs w:val="24"/>
        </w:rPr>
        <w:t xml:space="preserve"> </w:t>
      </w:r>
      <w:r w:rsidRPr="00924457">
        <w:rPr>
          <w:rFonts w:ascii="Melior" w:eastAsiaTheme="minorHAnsi" w:hAnsi="Melior" w:cs="Melior"/>
          <w:sz w:val="24"/>
          <w:szCs w:val="24"/>
        </w:rPr>
        <w:t>broadcast television and wireless</w:t>
      </w:r>
      <w:r>
        <w:rPr>
          <w:rFonts w:ascii="Melior" w:eastAsiaTheme="minorHAnsi" w:hAnsi="Melior" w:cs="Melior"/>
          <w:sz w:val="24"/>
          <w:szCs w:val="24"/>
        </w:rPr>
        <w:t xml:space="preserve"> </w:t>
      </w:r>
      <w:r w:rsidRPr="00924457">
        <w:rPr>
          <w:rFonts w:ascii="Melior" w:eastAsiaTheme="minorHAnsi" w:hAnsi="Melior" w:cs="Melior"/>
          <w:sz w:val="24"/>
          <w:szCs w:val="24"/>
        </w:rPr>
        <w:t>operations are co-channel or adjacent</w:t>
      </w:r>
      <w:r>
        <w:rPr>
          <w:rFonts w:ascii="Melior" w:eastAsiaTheme="minorHAnsi" w:hAnsi="Melior" w:cs="Melior"/>
          <w:sz w:val="24"/>
          <w:szCs w:val="24"/>
        </w:rPr>
        <w:t xml:space="preserve"> </w:t>
      </w:r>
      <w:r w:rsidRPr="00924457">
        <w:rPr>
          <w:rFonts w:ascii="Melior" w:eastAsiaTheme="minorHAnsi" w:hAnsi="Melior" w:cs="Melior"/>
          <w:sz w:val="24"/>
          <w:szCs w:val="24"/>
        </w:rPr>
        <w:t>channel in nearby markets: (1) Digital</w:t>
      </w:r>
      <w:r w:rsidR="004926E6">
        <w:rPr>
          <w:rFonts w:ascii="Melior" w:eastAsiaTheme="minorHAnsi" w:hAnsi="Melior" w:cs="Melior"/>
          <w:sz w:val="24"/>
          <w:szCs w:val="24"/>
        </w:rPr>
        <w:t xml:space="preserve"> </w:t>
      </w:r>
      <w:r w:rsidRPr="00924457">
        <w:rPr>
          <w:rFonts w:ascii="Melior" w:eastAsiaTheme="minorHAnsi" w:hAnsi="Melior" w:cs="Melior"/>
          <w:sz w:val="24"/>
          <w:szCs w:val="24"/>
        </w:rPr>
        <w:t>television (DTV) transmitter to wireless</w:t>
      </w:r>
      <w:r>
        <w:rPr>
          <w:rFonts w:ascii="Melior" w:eastAsiaTheme="minorHAnsi" w:hAnsi="Melior" w:cs="Melior"/>
          <w:sz w:val="24"/>
          <w:szCs w:val="24"/>
        </w:rPr>
        <w:t xml:space="preserve"> </w:t>
      </w:r>
      <w:r w:rsidRPr="00924457">
        <w:rPr>
          <w:rFonts w:ascii="Melior" w:eastAsiaTheme="minorHAnsi" w:hAnsi="Melior" w:cs="Melior"/>
          <w:sz w:val="24"/>
          <w:szCs w:val="24"/>
        </w:rPr>
        <w:t>base station (Case 1); (2) DTV</w:t>
      </w:r>
      <w:r>
        <w:rPr>
          <w:rFonts w:ascii="Melior" w:eastAsiaTheme="minorHAnsi" w:hAnsi="Melior" w:cs="Melior"/>
          <w:sz w:val="24"/>
          <w:szCs w:val="24"/>
        </w:rPr>
        <w:t xml:space="preserve"> </w:t>
      </w:r>
      <w:r w:rsidRPr="00924457">
        <w:rPr>
          <w:rFonts w:ascii="Melior" w:eastAsiaTheme="minorHAnsi" w:hAnsi="Melior" w:cs="Melior"/>
          <w:sz w:val="24"/>
          <w:szCs w:val="24"/>
        </w:rPr>
        <w:t>transmitter to wireless user equipment</w:t>
      </w:r>
      <w:r>
        <w:rPr>
          <w:rFonts w:ascii="Melior" w:eastAsiaTheme="minorHAnsi" w:hAnsi="Melior" w:cs="Melior"/>
          <w:sz w:val="24"/>
          <w:szCs w:val="24"/>
        </w:rPr>
        <w:t xml:space="preserve"> </w:t>
      </w:r>
      <w:r w:rsidRPr="00924457">
        <w:rPr>
          <w:rFonts w:ascii="Melior" w:eastAsiaTheme="minorHAnsi" w:hAnsi="Melior" w:cs="Melior"/>
          <w:sz w:val="24"/>
          <w:szCs w:val="24"/>
        </w:rPr>
        <w:t>(Case 2); (3) wireless base station to DTV</w:t>
      </w:r>
      <w:r>
        <w:rPr>
          <w:rFonts w:ascii="Melior" w:eastAsiaTheme="minorHAnsi" w:hAnsi="Melior" w:cs="Melior"/>
          <w:sz w:val="24"/>
          <w:szCs w:val="24"/>
        </w:rPr>
        <w:t xml:space="preserve"> </w:t>
      </w:r>
      <w:r w:rsidRPr="00924457">
        <w:rPr>
          <w:rFonts w:ascii="Melior" w:eastAsiaTheme="minorHAnsi" w:hAnsi="Melior" w:cs="Melior"/>
          <w:sz w:val="24"/>
          <w:szCs w:val="24"/>
        </w:rPr>
        <w:t>receiver (Case 3); and (4) wireless user</w:t>
      </w:r>
      <w:r>
        <w:rPr>
          <w:rFonts w:ascii="Melior" w:eastAsiaTheme="minorHAnsi" w:hAnsi="Melior" w:cs="Melior"/>
          <w:sz w:val="24"/>
          <w:szCs w:val="24"/>
        </w:rPr>
        <w:t xml:space="preserve"> </w:t>
      </w:r>
      <w:r w:rsidRPr="00924457">
        <w:rPr>
          <w:rFonts w:ascii="Melior" w:eastAsiaTheme="minorHAnsi" w:hAnsi="Melior" w:cs="Melior"/>
          <w:sz w:val="24"/>
          <w:szCs w:val="24"/>
        </w:rPr>
        <w:t>equipment to DTV receiver (Case 4).</w:t>
      </w:r>
    </w:p>
    <w:p w:rsidR="00B31BEB" w:rsidRDefault="00B31BEB" w:rsidP="00924457">
      <w:pPr>
        <w:autoSpaceDE w:val="0"/>
        <w:autoSpaceDN w:val="0"/>
        <w:adjustRightInd w:val="0"/>
        <w:rPr>
          <w:rFonts w:ascii="Melior" w:eastAsiaTheme="minorHAnsi" w:hAnsi="Melior" w:cs="Melior"/>
          <w:sz w:val="24"/>
          <w:szCs w:val="24"/>
        </w:rPr>
      </w:pPr>
    </w:p>
    <w:p w:rsidR="00B31BEB" w:rsidRPr="00B31BEB" w:rsidRDefault="00B31BEB" w:rsidP="00DE1586">
      <w:pPr>
        <w:pStyle w:val="ListParagraph"/>
        <w:numPr>
          <w:ilvl w:val="0"/>
          <w:numId w:val="8"/>
        </w:numPr>
        <w:autoSpaceDE w:val="0"/>
        <w:autoSpaceDN w:val="0"/>
        <w:adjustRightInd w:val="0"/>
        <w:rPr>
          <w:rFonts w:eastAsiaTheme="minorHAnsi"/>
          <w:b/>
          <w:sz w:val="24"/>
          <w:szCs w:val="24"/>
        </w:rPr>
      </w:pPr>
      <w:r w:rsidRPr="00B31BEB">
        <w:rPr>
          <w:rFonts w:ascii="Melior" w:eastAsiaTheme="minorHAnsi" w:hAnsi="Melior" w:cs="Melior"/>
          <w:b/>
          <w:sz w:val="24"/>
          <w:szCs w:val="24"/>
        </w:rPr>
        <w:t>Digital Television to Wireless Interference (Cases 1 and 2)</w:t>
      </w:r>
    </w:p>
    <w:p w:rsidR="00924457" w:rsidRPr="00924457" w:rsidRDefault="00924457" w:rsidP="00924457">
      <w:pPr>
        <w:autoSpaceDE w:val="0"/>
        <w:autoSpaceDN w:val="0"/>
        <w:adjustRightInd w:val="0"/>
        <w:rPr>
          <w:rFonts w:ascii="Melior" w:eastAsiaTheme="minorHAnsi" w:hAnsi="Melior" w:cs="Melior"/>
          <w:sz w:val="24"/>
          <w:szCs w:val="24"/>
        </w:rPr>
      </w:pPr>
    </w:p>
    <w:p w:rsidR="00924457" w:rsidRPr="00924457" w:rsidRDefault="00924457" w:rsidP="00924457">
      <w:pPr>
        <w:autoSpaceDE w:val="0"/>
        <w:autoSpaceDN w:val="0"/>
        <w:adjustRightInd w:val="0"/>
        <w:ind w:firstLine="720"/>
        <w:rPr>
          <w:rFonts w:ascii="Melior" w:eastAsiaTheme="minorHAnsi" w:hAnsi="Melior" w:cs="Melior"/>
          <w:sz w:val="24"/>
          <w:szCs w:val="24"/>
        </w:rPr>
      </w:pPr>
      <w:r w:rsidRPr="00924457">
        <w:rPr>
          <w:rFonts w:ascii="Melior" w:eastAsiaTheme="minorHAnsi" w:hAnsi="Melior" w:cs="Melior"/>
          <w:sz w:val="24"/>
          <w:szCs w:val="24"/>
        </w:rPr>
        <w:t>The Commission adopted the ISIX</w:t>
      </w:r>
      <w:r>
        <w:rPr>
          <w:rFonts w:ascii="Melior" w:eastAsiaTheme="minorHAnsi" w:hAnsi="Melior" w:cs="Melior"/>
          <w:sz w:val="24"/>
          <w:szCs w:val="24"/>
        </w:rPr>
        <w:t xml:space="preserve"> </w:t>
      </w:r>
      <w:r w:rsidRPr="00924457">
        <w:rPr>
          <w:rFonts w:ascii="Melior" w:eastAsiaTheme="minorHAnsi" w:hAnsi="Melior" w:cs="Melior"/>
          <w:sz w:val="24"/>
          <w:szCs w:val="24"/>
        </w:rPr>
        <w:t>Methodology and input values as</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proposed in the </w:t>
      </w:r>
      <w:r w:rsidR="00F103B2" w:rsidRPr="00F103B2">
        <w:rPr>
          <w:rFonts w:ascii="Melior" w:eastAsiaTheme="minorHAnsi" w:hAnsi="Melior" w:cs="Melior"/>
          <w:i/>
          <w:sz w:val="24"/>
          <w:szCs w:val="24"/>
        </w:rPr>
        <w:t>ISIX PN</w:t>
      </w:r>
      <w:r w:rsidRPr="00924457">
        <w:rPr>
          <w:rFonts w:ascii="Melior" w:eastAsiaTheme="minorHAnsi" w:hAnsi="Melior" w:cs="Melior"/>
          <w:sz w:val="24"/>
          <w:szCs w:val="24"/>
        </w:rPr>
        <w:t xml:space="preserve"> for use during</w:t>
      </w:r>
      <w:r>
        <w:rPr>
          <w:rFonts w:ascii="Melior" w:eastAsiaTheme="minorHAnsi" w:hAnsi="Melior" w:cs="Melior"/>
          <w:sz w:val="24"/>
          <w:szCs w:val="24"/>
        </w:rPr>
        <w:t xml:space="preserve"> </w:t>
      </w:r>
      <w:r w:rsidRPr="00924457">
        <w:rPr>
          <w:rFonts w:ascii="Melior" w:eastAsiaTheme="minorHAnsi" w:hAnsi="Melior" w:cs="Melior"/>
          <w:sz w:val="24"/>
          <w:szCs w:val="24"/>
        </w:rPr>
        <w:t>the incentive auction to predict</w:t>
      </w:r>
      <w:r>
        <w:rPr>
          <w:rFonts w:ascii="Melior" w:eastAsiaTheme="minorHAnsi" w:hAnsi="Melior" w:cs="Melior"/>
          <w:sz w:val="24"/>
          <w:szCs w:val="24"/>
        </w:rPr>
        <w:t xml:space="preserve"> </w:t>
      </w:r>
      <w:r w:rsidRPr="00924457">
        <w:rPr>
          <w:rFonts w:ascii="Melior" w:eastAsiaTheme="minorHAnsi" w:hAnsi="Melior" w:cs="Melior"/>
          <w:sz w:val="24"/>
          <w:szCs w:val="24"/>
        </w:rPr>
        <w:t>interference from DTV transmitters to</w:t>
      </w:r>
    </w:p>
    <w:p w:rsidR="00924457" w:rsidRPr="00924457" w:rsidRDefault="00924457" w:rsidP="00924457">
      <w:pPr>
        <w:autoSpaceDE w:val="0"/>
        <w:autoSpaceDN w:val="0"/>
        <w:adjustRightInd w:val="0"/>
        <w:rPr>
          <w:rFonts w:ascii="Melior" w:eastAsiaTheme="minorHAnsi" w:hAnsi="Melior" w:cs="Melior"/>
          <w:sz w:val="24"/>
          <w:szCs w:val="24"/>
        </w:rPr>
      </w:pPr>
      <w:r w:rsidRPr="00924457">
        <w:rPr>
          <w:rFonts w:ascii="Melior" w:eastAsiaTheme="minorHAnsi" w:hAnsi="Melior" w:cs="Melior"/>
          <w:sz w:val="24"/>
          <w:szCs w:val="24"/>
        </w:rPr>
        <w:t>wireless base stations (Case 1) and</w:t>
      </w:r>
      <w:r>
        <w:rPr>
          <w:rFonts w:ascii="Melior" w:eastAsiaTheme="minorHAnsi" w:hAnsi="Melior" w:cs="Melior"/>
          <w:sz w:val="24"/>
          <w:szCs w:val="24"/>
        </w:rPr>
        <w:t xml:space="preserve"> </w:t>
      </w:r>
      <w:r w:rsidR="00CA05EF">
        <w:rPr>
          <w:rFonts w:ascii="Melior" w:eastAsiaTheme="minorHAnsi" w:hAnsi="Melior" w:cs="Melior"/>
          <w:sz w:val="24"/>
          <w:szCs w:val="24"/>
        </w:rPr>
        <w:t xml:space="preserve">to </w:t>
      </w:r>
      <w:r w:rsidRPr="00924457">
        <w:rPr>
          <w:rFonts w:ascii="Melior" w:eastAsiaTheme="minorHAnsi" w:hAnsi="Melior" w:cs="Melior"/>
          <w:sz w:val="24"/>
          <w:szCs w:val="24"/>
        </w:rPr>
        <w:t>wireless user equipment (Case 2), except</w:t>
      </w:r>
      <w:r>
        <w:rPr>
          <w:rFonts w:ascii="Melior" w:eastAsiaTheme="minorHAnsi" w:hAnsi="Melior" w:cs="Melior"/>
          <w:sz w:val="24"/>
          <w:szCs w:val="24"/>
        </w:rPr>
        <w:t xml:space="preserve"> </w:t>
      </w:r>
      <w:r w:rsidRPr="00924457">
        <w:rPr>
          <w:rFonts w:ascii="Melior" w:eastAsiaTheme="minorHAnsi" w:hAnsi="Melior" w:cs="Melior"/>
          <w:sz w:val="24"/>
          <w:szCs w:val="24"/>
        </w:rPr>
        <w:t>that it will not consider clutter loss for</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Case 2. </w:t>
      </w:r>
      <w:r w:rsidR="004E3CAA">
        <w:rPr>
          <w:rFonts w:ascii="Melior" w:eastAsiaTheme="minorHAnsi" w:hAnsi="Melior" w:cs="Melior"/>
          <w:sz w:val="24"/>
          <w:szCs w:val="24"/>
        </w:rPr>
        <w:t xml:space="preserve"> </w:t>
      </w:r>
      <w:r w:rsidR="00C42658">
        <w:rPr>
          <w:rFonts w:ascii="Melior" w:eastAsiaTheme="minorHAnsi" w:hAnsi="Melior" w:cs="Melior"/>
          <w:sz w:val="24"/>
          <w:szCs w:val="24"/>
        </w:rPr>
        <w:t>T</w:t>
      </w:r>
      <w:r w:rsidRPr="00924457">
        <w:rPr>
          <w:rFonts w:ascii="Melior" w:eastAsiaTheme="minorHAnsi" w:hAnsi="Melior" w:cs="Melior"/>
          <w:sz w:val="24"/>
          <w:szCs w:val="24"/>
        </w:rPr>
        <w:t>he Commission</w:t>
      </w:r>
      <w:r>
        <w:rPr>
          <w:rFonts w:ascii="Melior" w:eastAsiaTheme="minorHAnsi" w:hAnsi="Melior" w:cs="Melior"/>
          <w:sz w:val="24"/>
          <w:szCs w:val="24"/>
        </w:rPr>
        <w:t xml:space="preserve"> </w:t>
      </w:r>
      <w:r w:rsidRPr="00924457">
        <w:rPr>
          <w:rFonts w:ascii="Melior" w:eastAsiaTheme="minorHAnsi" w:hAnsi="Melior" w:cs="Melior"/>
          <w:sz w:val="24"/>
          <w:szCs w:val="24"/>
        </w:rPr>
        <w:t>determined that considering clutter loss</w:t>
      </w:r>
      <w:r>
        <w:rPr>
          <w:rFonts w:ascii="Melior" w:eastAsiaTheme="minorHAnsi" w:hAnsi="Melior" w:cs="Melior"/>
          <w:sz w:val="24"/>
          <w:szCs w:val="24"/>
        </w:rPr>
        <w:t xml:space="preserve"> </w:t>
      </w:r>
      <w:r w:rsidR="00C42658">
        <w:rPr>
          <w:rFonts w:ascii="Melior" w:eastAsiaTheme="minorHAnsi" w:hAnsi="Melior" w:cs="Melior"/>
          <w:sz w:val="24"/>
          <w:szCs w:val="24"/>
        </w:rPr>
        <w:t xml:space="preserve">in Case 2 </w:t>
      </w:r>
      <w:r w:rsidRPr="00924457">
        <w:rPr>
          <w:rFonts w:ascii="Melior" w:eastAsiaTheme="minorHAnsi" w:hAnsi="Melior" w:cs="Melior"/>
          <w:sz w:val="24"/>
          <w:szCs w:val="24"/>
        </w:rPr>
        <w:t>would not improve the accuracy of the</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ISIX Methodology. </w:t>
      </w:r>
      <w:r w:rsidR="004E3CAA">
        <w:rPr>
          <w:rFonts w:ascii="Melior" w:eastAsiaTheme="minorHAnsi" w:hAnsi="Melior" w:cs="Melior"/>
          <w:sz w:val="24"/>
          <w:szCs w:val="24"/>
        </w:rPr>
        <w:t xml:space="preserve"> </w:t>
      </w:r>
    </w:p>
    <w:p w:rsidR="00924457" w:rsidRDefault="00924457" w:rsidP="00924457">
      <w:pPr>
        <w:autoSpaceDE w:val="0"/>
        <w:autoSpaceDN w:val="0"/>
        <w:adjustRightInd w:val="0"/>
        <w:rPr>
          <w:rFonts w:ascii="Melior" w:eastAsiaTheme="minorHAnsi" w:hAnsi="Melior" w:cs="Melior"/>
          <w:sz w:val="24"/>
          <w:szCs w:val="24"/>
        </w:rPr>
      </w:pPr>
    </w:p>
    <w:p w:rsidR="00924457" w:rsidRPr="00924457" w:rsidRDefault="00924457" w:rsidP="00924457">
      <w:pPr>
        <w:autoSpaceDE w:val="0"/>
        <w:autoSpaceDN w:val="0"/>
        <w:adjustRightInd w:val="0"/>
        <w:ind w:firstLine="720"/>
        <w:rPr>
          <w:rFonts w:ascii="Melior" w:eastAsiaTheme="minorHAnsi" w:hAnsi="Melior" w:cs="Melior"/>
          <w:sz w:val="24"/>
          <w:szCs w:val="24"/>
        </w:rPr>
      </w:pPr>
      <w:r w:rsidRPr="00924457">
        <w:rPr>
          <w:rFonts w:ascii="Melior" w:eastAsiaTheme="minorHAnsi" w:hAnsi="Melior" w:cs="Melior"/>
          <w:sz w:val="24"/>
          <w:szCs w:val="24"/>
        </w:rPr>
        <w:t xml:space="preserve">The Commission </w:t>
      </w:r>
      <w:r w:rsidR="00CA05EF">
        <w:rPr>
          <w:rFonts w:ascii="Melior" w:eastAsiaTheme="minorHAnsi" w:hAnsi="Melior" w:cs="Melior"/>
          <w:sz w:val="24"/>
          <w:szCs w:val="24"/>
        </w:rPr>
        <w:t xml:space="preserve">also adopted </w:t>
      </w:r>
      <w:r w:rsidRPr="00924457">
        <w:rPr>
          <w:rFonts w:ascii="Melior" w:eastAsiaTheme="minorHAnsi" w:hAnsi="Melior" w:cs="Melior"/>
          <w:sz w:val="24"/>
          <w:szCs w:val="24"/>
        </w:rPr>
        <w:t>the</w:t>
      </w:r>
      <w:r>
        <w:rPr>
          <w:rFonts w:ascii="Melior" w:eastAsiaTheme="minorHAnsi" w:hAnsi="Melior" w:cs="Melior"/>
          <w:sz w:val="24"/>
          <w:szCs w:val="24"/>
        </w:rPr>
        <w:t xml:space="preserve"> </w:t>
      </w:r>
      <w:r w:rsidRPr="00924457">
        <w:rPr>
          <w:rFonts w:ascii="Melior" w:eastAsiaTheme="minorHAnsi" w:hAnsi="Melior" w:cs="Melior"/>
          <w:sz w:val="24"/>
          <w:szCs w:val="24"/>
        </w:rPr>
        <w:t>proposed F(50,50) statistical measure to</w:t>
      </w:r>
      <w:r>
        <w:rPr>
          <w:rFonts w:ascii="Melior" w:eastAsiaTheme="minorHAnsi" w:hAnsi="Melior" w:cs="Melior"/>
          <w:sz w:val="24"/>
          <w:szCs w:val="24"/>
        </w:rPr>
        <w:t xml:space="preserve"> </w:t>
      </w:r>
      <w:r w:rsidRPr="00924457">
        <w:rPr>
          <w:rFonts w:ascii="Melior" w:eastAsiaTheme="minorHAnsi" w:hAnsi="Melior" w:cs="Melior"/>
          <w:sz w:val="24"/>
          <w:szCs w:val="24"/>
        </w:rPr>
        <w:t>predict the strength of an interfering</w:t>
      </w:r>
      <w:r>
        <w:rPr>
          <w:rFonts w:ascii="Melior" w:eastAsiaTheme="minorHAnsi" w:hAnsi="Melior" w:cs="Melior"/>
          <w:sz w:val="24"/>
          <w:szCs w:val="24"/>
        </w:rPr>
        <w:t xml:space="preserve"> </w:t>
      </w:r>
      <w:r w:rsidRPr="00924457">
        <w:rPr>
          <w:rFonts w:ascii="Melior" w:eastAsiaTheme="minorHAnsi" w:hAnsi="Melior" w:cs="Melior"/>
          <w:sz w:val="24"/>
          <w:szCs w:val="24"/>
        </w:rPr>
        <w:t>television signal within the wireless</w:t>
      </w:r>
      <w:r>
        <w:rPr>
          <w:rFonts w:ascii="Melior" w:eastAsiaTheme="minorHAnsi" w:hAnsi="Melior" w:cs="Melior"/>
          <w:sz w:val="24"/>
          <w:szCs w:val="24"/>
        </w:rPr>
        <w:t xml:space="preserve"> </w:t>
      </w:r>
      <w:r w:rsidRPr="00924457">
        <w:rPr>
          <w:rFonts w:ascii="Melior" w:eastAsiaTheme="minorHAnsi" w:hAnsi="Melior" w:cs="Melior"/>
          <w:sz w:val="24"/>
          <w:szCs w:val="24"/>
        </w:rPr>
        <w:t>license area for Cases 1 and 2</w:t>
      </w:r>
      <w:r w:rsidR="00CA05EF">
        <w:rPr>
          <w:rFonts w:ascii="Melior" w:eastAsiaTheme="minorHAnsi" w:hAnsi="Melior" w:cs="Melior"/>
          <w:sz w:val="24"/>
          <w:szCs w:val="24"/>
        </w:rPr>
        <w:t>,</w:t>
      </w:r>
      <w:r w:rsidRPr="00924457">
        <w:rPr>
          <w:rFonts w:ascii="Melior" w:eastAsiaTheme="minorHAnsi" w:hAnsi="Melior" w:cs="Melior"/>
          <w:sz w:val="24"/>
          <w:szCs w:val="24"/>
        </w:rPr>
        <w:t xml:space="preserve"> rather</w:t>
      </w:r>
      <w:r>
        <w:rPr>
          <w:rFonts w:ascii="Melior" w:eastAsiaTheme="minorHAnsi" w:hAnsi="Melior" w:cs="Melior"/>
          <w:sz w:val="24"/>
          <w:szCs w:val="24"/>
        </w:rPr>
        <w:t xml:space="preserve"> </w:t>
      </w:r>
      <w:r w:rsidRPr="00924457">
        <w:rPr>
          <w:rFonts w:ascii="Melior" w:eastAsiaTheme="minorHAnsi" w:hAnsi="Melior" w:cs="Melior"/>
          <w:sz w:val="24"/>
          <w:szCs w:val="24"/>
        </w:rPr>
        <w:t>than the F(50,10) measure advocated by</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broadcasters. </w:t>
      </w:r>
      <w:r w:rsidR="004E3CAA">
        <w:rPr>
          <w:rFonts w:ascii="Melior" w:eastAsiaTheme="minorHAnsi" w:hAnsi="Melior" w:cs="Melior"/>
          <w:sz w:val="24"/>
          <w:szCs w:val="24"/>
        </w:rPr>
        <w:t xml:space="preserve"> </w:t>
      </w:r>
      <w:r w:rsidRPr="00924457">
        <w:rPr>
          <w:rFonts w:ascii="Melior" w:eastAsiaTheme="minorHAnsi" w:hAnsi="Melior" w:cs="Melior"/>
          <w:sz w:val="24"/>
          <w:szCs w:val="24"/>
        </w:rPr>
        <w:t>The F(50,50) measure</w:t>
      </w:r>
      <w:r>
        <w:rPr>
          <w:rFonts w:ascii="Melior" w:eastAsiaTheme="minorHAnsi" w:hAnsi="Melior" w:cs="Melior"/>
          <w:sz w:val="24"/>
          <w:szCs w:val="24"/>
        </w:rPr>
        <w:t xml:space="preserve"> </w:t>
      </w:r>
      <w:r w:rsidRPr="00924457">
        <w:rPr>
          <w:rFonts w:ascii="Melior" w:eastAsiaTheme="minorHAnsi" w:hAnsi="Melior" w:cs="Melior"/>
          <w:sz w:val="24"/>
          <w:szCs w:val="24"/>
        </w:rPr>
        <w:t>assumes that the DTV signal will be</w:t>
      </w:r>
      <w:r>
        <w:rPr>
          <w:rFonts w:ascii="Melior" w:eastAsiaTheme="minorHAnsi" w:hAnsi="Melior" w:cs="Melior"/>
          <w:sz w:val="24"/>
          <w:szCs w:val="24"/>
        </w:rPr>
        <w:t xml:space="preserve"> </w:t>
      </w:r>
      <w:r w:rsidRPr="00924457">
        <w:rPr>
          <w:rFonts w:ascii="Melior" w:eastAsiaTheme="minorHAnsi" w:hAnsi="Melior" w:cs="Melior"/>
          <w:sz w:val="24"/>
          <w:szCs w:val="24"/>
        </w:rPr>
        <w:t>strong enough to interfere with the</w:t>
      </w:r>
      <w:r>
        <w:rPr>
          <w:rFonts w:ascii="Melior" w:eastAsiaTheme="minorHAnsi" w:hAnsi="Melior" w:cs="Melior"/>
          <w:sz w:val="24"/>
          <w:szCs w:val="24"/>
        </w:rPr>
        <w:t xml:space="preserve"> </w:t>
      </w:r>
      <w:r w:rsidRPr="00924457">
        <w:rPr>
          <w:rFonts w:ascii="Melior" w:eastAsiaTheme="minorHAnsi" w:hAnsi="Melior" w:cs="Melior"/>
          <w:sz w:val="24"/>
          <w:szCs w:val="24"/>
        </w:rPr>
        <w:t>wireless base station or wireless user</w:t>
      </w:r>
    </w:p>
    <w:p w:rsidR="00E45BC1" w:rsidRPr="00E45BC1" w:rsidRDefault="00924457">
      <w:pPr>
        <w:autoSpaceDE w:val="0"/>
        <w:autoSpaceDN w:val="0"/>
        <w:adjustRightInd w:val="0"/>
        <w:rPr>
          <w:rFonts w:ascii="Melior" w:eastAsiaTheme="minorHAnsi" w:hAnsi="Melior" w:cs="Melior"/>
          <w:sz w:val="24"/>
          <w:szCs w:val="24"/>
        </w:rPr>
      </w:pPr>
      <w:r w:rsidRPr="00924457">
        <w:rPr>
          <w:rFonts w:ascii="Melior" w:eastAsiaTheme="minorHAnsi" w:hAnsi="Melior" w:cs="Melior"/>
          <w:sz w:val="24"/>
          <w:szCs w:val="24"/>
        </w:rPr>
        <w:t>equipment in 50 percent of the locations</w:t>
      </w:r>
      <w:r>
        <w:rPr>
          <w:rFonts w:ascii="Melior" w:eastAsiaTheme="minorHAnsi" w:hAnsi="Melior" w:cs="Melior"/>
          <w:sz w:val="24"/>
          <w:szCs w:val="24"/>
        </w:rPr>
        <w:t xml:space="preserve"> </w:t>
      </w:r>
      <w:r w:rsidRPr="00924457">
        <w:rPr>
          <w:rFonts w:ascii="Melior" w:eastAsiaTheme="minorHAnsi" w:hAnsi="Melior" w:cs="Melior"/>
          <w:sz w:val="24"/>
          <w:szCs w:val="24"/>
        </w:rPr>
        <w:t>within the wireless license area 50</w:t>
      </w:r>
      <w:r>
        <w:rPr>
          <w:rFonts w:ascii="Melior" w:eastAsiaTheme="minorHAnsi" w:hAnsi="Melior" w:cs="Melior"/>
          <w:sz w:val="24"/>
          <w:szCs w:val="24"/>
        </w:rPr>
        <w:t xml:space="preserve"> </w:t>
      </w:r>
      <w:r w:rsidRPr="00924457">
        <w:rPr>
          <w:rFonts w:ascii="Melior" w:eastAsiaTheme="minorHAnsi" w:hAnsi="Melior" w:cs="Melior"/>
          <w:sz w:val="24"/>
          <w:szCs w:val="24"/>
        </w:rPr>
        <w:t>percent of the time; the F(50,10)</w:t>
      </w:r>
      <w:r>
        <w:rPr>
          <w:rFonts w:ascii="Melior" w:eastAsiaTheme="minorHAnsi" w:hAnsi="Melior" w:cs="Melior"/>
          <w:sz w:val="24"/>
          <w:szCs w:val="24"/>
        </w:rPr>
        <w:t xml:space="preserve"> </w:t>
      </w:r>
      <w:r w:rsidRPr="00924457">
        <w:rPr>
          <w:rFonts w:ascii="Melior" w:eastAsiaTheme="minorHAnsi" w:hAnsi="Melior" w:cs="Melior"/>
          <w:sz w:val="24"/>
          <w:szCs w:val="24"/>
        </w:rPr>
        <w:t>measure would assume that the</w:t>
      </w:r>
      <w:r>
        <w:rPr>
          <w:rFonts w:ascii="Melior" w:eastAsiaTheme="minorHAnsi" w:hAnsi="Melior" w:cs="Melior"/>
          <w:sz w:val="24"/>
          <w:szCs w:val="24"/>
        </w:rPr>
        <w:t xml:space="preserve"> </w:t>
      </w:r>
      <w:r w:rsidRPr="00924457">
        <w:rPr>
          <w:rFonts w:ascii="Melior" w:eastAsiaTheme="minorHAnsi" w:hAnsi="Melior" w:cs="Melior"/>
          <w:sz w:val="24"/>
          <w:szCs w:val="24"/>
        </w:rPr>
        <w:t>interfering signal will be strong enough</w:t>
      </w:r>
      <w:r>
        <w:rPr>
          <w:rFonts w:ascii="Melior" w:eastAsiaTheme="minorHAnsi" w:hAnsi="Melior" w:cs="Melior"/>
          <w:sz w:val="24"/>
          <w:szCs w:val="24"/>
        </w:rPr>
        <w:t xml:space="preserve"> </w:t>
      </w:r>
      <w:r w:rsidRPr="00924457">
        <w:rPr>
          <w:rFonts w:ascii="Melior" w:eastAsiaTheme="minorHAnsi" w:hAnsi="Melior" w:cs="Melior"/>
          <w:sz w:val="24"/>
          <w:szCs w:val="24"/>
        </w:rPr>
        <w:t>to interfere in 50 percent of the</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locations </w:t>
      </w:r>
      <w:r w:rsidR="00CA05EF">
        <w:rPr>
          <w:rFonts w:ascii="Melior" w:eastAsiaTheme="minorHAnsi" w:hAnsi="Melior" w:cs="Melior"/>
          <w:sz w:val="24"/>
          <w:szCs w:val="24"/>
        </w:rPr>
        <w:t xml:space="preserve">just </w:t>
      </w:r>
      <w:r w:rsidRPr="00924457">
        <w:rPr>
          <w:rFonts w:ascii="Melior" w:eastAsiaTheme="minorHAnsi" w:hAnsi="Melior" w:cs="Melior"/>
          <w:sz w:val="24"/>
          <w:szCs w:val="24"/>
        </w:rPr>
        <w:t xml:space="preserve">10 percent of the time. </w:t>
      </w:r>
      <w:r w:rsidR="004E3CAA">
        <w:rPr>
          <w:rFonts w:ascii="Melior" w:eastAsiaTheme="minorHAnsi" w:hAnsi="Melior" w:cs="Melior"/>
          <w:sz w:val="24"/>
          <w:szCs w:val="24"/>
        </w:rPr>
        <w:t xml:space="preserve"> </w:t>
      </w:r>
      <w:r w:rsidR="000C2925">
        <w:rPr>
          <w:rFonts w:ascii="Melior" w:eastAsiaTheme="minorHAnsi" w:hAnsi="Melior" w:cs="Melior"/>
          <w:sz w:val="24"/>
          <w:szCs w:val="24"/>
        </w:rPr>
        <w:t>T</w:t>
      </w:r>
      <w:r w:rsidRPr="00924457">
        <w:rPr>
          <w:rFonts w:ascii="Melior" w:eastAsiaTheme="minorHAnsi" w:hAnsi="Melior" w:cs="Melior"/>
          <w:sz w:val="24"/>
          <w:szCs w:val="24"/>
        </w:rPr>
        <w:t>he Commission conclude</w:t>
      </w:r>
      <w:r w:rsidR="00CA05EF">
        <w:rPr>
          <w:rFonts w:ascii="Melior" w:eastAsiaTheme="minorHAnsi" w:hAnsi="Melior" w:cs="Melior"/>
          <w:sz w:val="24"/>
          <w:szCs w:val="24"/>
        </w:rPr>
        <w:t>d</w:t>
      </w:r>
      <w:r>
        <w:rPr>
          <w:rFonts w:ascii="Melior" w:eastAsiaTheme="minorHAnsi" w:hAnsi="Melior" w:cs="Melior"/>
          <w:sz w:val="24"/>
          <w:szCs w:val="24"/>
        </w:rPr>
        <w:t xml:space="preserve"> </w:t>
      </w:r>
      <w:r w:rsidRPr="00924457">
        <w:rPr>
          <w:rFonts w:ascii="Melior" w:eastAsiaTheme="minorHAnsi" w:hAnsi="Melior" w:cs="Melior"/>
          <w:sz w:val="24"/>
          <w:szCs w:val="24"/>
        </w:rPr>
        <w:t>that the F(50,50) measure is more</w:t>
      </w:r>
      <w:r>
        <w:rPr>
          <w:rFonts w:ascii="Melior" w:eastAsiaTheme="minorHAnsi" w:hAnsi="Melior" w:cs="Melior"/>
          <w:sz w:val="24"/>
          <w:szCs w:val="24"/>
        </w:rPr>
        <w:t xml:space="preserve"> </w:t>
      </w:r>
      <w:r w:rsidRPr="00924457">
        <w:rPr>
          <w:rFonts w:ascii="Melior" w:eastAsiaTheme="minorHAnsi" w:hAnsi="Melior" w:cs="Melior"/>
          <w:sz w:val="24"/>
          <w:szCs w:val="24"/>
        </w:rPr>
        <w:t>appropriate for use in predicting</w:t>
      </w:r>
      <w:r w:rsidR="00CA05EF">
        <w:rPr>
          <w:rFonts w:ascii="Melior" w:eastAsiaTheme="minorHAnsi" w:hAnsi="Melior" w:cs="Melior"/>
          <w:sz w:val="24"/>
          <w:szCs w:val="24"/>
        </w:rPr>
        <w:t xml:space="preserve"> </w:t>
      </w:r>
      <w:r w:rsidRPr="00924457">
        <w:rPr>
          <w:rFonts w:ascii="Melior" w:eastAsiaTheme="minorHAnsi" w:hAnsi="Melior" w:cs="Melior"/>
          <w:sz w:val="24"/>
          <w:szCs w:val="24"/>
        </w:rPr>
        <w:t>interference from DTV signals to</w:t>
      </w:r>
      <w:r>
        <w:rPr>
          <w:rFonts w:ascii="Melior" w:eastAsiaTheme="minorHAnsi" w:hAnsi="Melior" w:cs="Melior"/>
          <w:sz w:val="24"/>
          <w:szCs w:val="24"/>
        </w:rPr>
        <w:t xml:space="preserve"> </w:t>
      </w:r>
      <w:r w:rsidRPr="00924457">
        <w:rPr>
          <w:rFonts w:ascii="Melior" w:eastAsiaTheme="minorHAnsi" w:hAnsi="Melior" w:cs="Melior"/>
          <w:sz w:val="24"/>
          <w:szCs w:val="24"/>
        </w:rPr>
        <w:t>wireless operations during the auction.</w:t>
      </w:r>
      <w:r w:rsidR="004E3CAA">
        <w:rPr>
          <w:rFonts w:ascii="Melior" w:eastAsiaTheme="minorHAnsi" w:hAnsi="Melior" w:cs="Melior"/>
          <w:sz w:val="24"/>
          <w:szCs w:val="24"/>
        </w:rPr>
        <w:t xml:space="preserve"> </w:t>
      </w:r>
      <w:r>
        <w:rPr>
          <w:rFonts w:ascii="Melior" w:eastAsiaTheme="minorHAnsi" w:hAnsi="Melior" w:cs="Melior"/>
          <w:sz w:val="24"/>
          <w:szCs w:val="24"/>
        </w:rPr>
        <w:t xml:space="preserve"> </w:t>
      </w:r>
      <w:r w:rsidRPr="00924457">
        <w:rPr>
          <w:rFonts w:ascii="Melior" w:eastAsiaTheme="minorHAnsi" w:hAnsi="Melior" w:cs="Melior"/>
          <w:sz w:val="24"/>
          <w:szCs w:val="24"/>
        </w:rPr>
        <w:t>First, the F(50,50) measure will not risk</w:t>
      </w:r>
      <w:r>
        <w:rPr>
          <w:rFonts w:ascii="Melior" w:eastAsiaTheme="minorHAnsi" w:hAnsi="Melior" w:cs="Melior"/>
          <w:sz w:val="24"/>
          <w:szCs w:val="24"/>
        </w:rPr>
        <w:t xml:space="preserve"> </w:t>
      </w:r>
      <w:r w:rsidRPr="00924457">
        <w:rPr>
          <w:rFonts w:ascii="Melior" w:eastAsiaTheme="minorHAnsi" w:hAnsi="Melior" w:cs="Melior"/>
          <w:sz w:val="24"/>
          <w:szCs w:val="24"/>
        </w:rPr>
        <w:t>harming broadcasters because it will be</w:t>
      </w:r>
      <w:r>
        <w:rPr>
          <w:rFonts w:ascii="Melior" w:eastAsiaTheme="minorHAnsi" w:hAnsi="Melior" w:cs="Melior"/>
          <w:sz w:val="24"/>
          <w:szCs w:val="24"/>
        </w:rPr>
        <w:t xml:space="preserve"> </w:t>
      </w:r>
      <w:r w:rsidRPr="00924457">
        <w:rPr>
          <w:rFonts w:ascii="Melior" w:eastAsiaTheme="minorHAnsi" w:hAnsi="Melior" w:cs="Melior"/>
          <w:sz w:val="24"/>
          <w:szCs w:val="24"/>
        </w:rPr>
        <w:t>applied only during the incentive</w:t>
      </w:r>
      <w:r w:rsidR="00CA05EF">
        <w:rPr>
          <w:rFonts w:ascii="Melior" w:eastAsiaTheme="minorHAnsi" w:hAnsi="Melior" w:cs="Melior"/>
          <w:sz w:val="24"/>
          <w:szCs w:val="24"/>
        </w:rPr>
        <w:t xml:space="preserve"> </w:t>
      </w:r>
      <w:r w:rsidRPr="00924457">
        <w:rPr>
          <w:rFonts w:ascii="Melior" w:eastAsiaTheme="minorHAnsi" w:hAnsi="Melior" w:cs="Melior"/>
          <w:sz w:val="24"/>
          <w:szCs w:val="24"/>
        </w:rPr>
        <w:t>auction and only to predict interference</w:t>
      </w:r>
      <w:r>
        <w:rPr>
          <w:rFonts w:ascii="Melior" w:eastAsiaTheme="minorHAnsi" w:hAnsi="Melior" w:cs="Melior"/>
          <w:sz w:val="24"/>
          <w:szCs w:val="24"/>
        </w:rPr>
        <w:t xml:space="preserve"> </w:t>
      </w:r>
      <w:r w:rsidRPr="00924457">
        <w:rPr>
          <w:rFonts w:ascii="Melior" w:eastAsiaTheme="minorHAnsi" w:hAnsi="Melior" w:cs="Melior"/>
          <w:sz w:val="24"/>
          <w:szCs w:val="24"/>
        </w:rPr>
        <w:t>to wireless operations from television</w:t>
      </w:r>
      <w:r>
        <w:rPr>
          <w:rFonts w:ascii="Melior" w:eastAsiaTheme="minorHAnsi" w:hAnsi="Melior" w:cs="Melior"/>
          <w:sz w:val="24"/>
          <w:szCs w:val="24"/>
        </w:rPr>
        <w:t xml:space="preserve"> </w:t>
      </w:r>
      <w:r w:rsidRPr="00924457">
        <w:rPr>
          <w:rFonts w:ascii="Melior" w:eastAsiaTheme="minorHAnsi" w:hAnsi="Melior" w:cs="Melior"/>
          <w:sz w:val="24"/>
          <w:szCs w:val="24"/>
        </w:rPr>
        <w:t>stations for auction-related purposes,</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not to protect television signals. </w:t>
      </w:r>
      <w:r w:rsidR="004E3CAA">
        <w:rPr>
          <w:rFonts w:ascii="Melior" w:eastAsiaTheme="minorHAnsi" w:hAnsi="Melior" w:cs="Melior"/>
          <w:sz w:val="24"/>
          <w:szCs w:val="24"/>
        </w:rPr>
        <w:t xml:space="preserve"> </w:t>
      </w:r>
      <w:r w:rsidRPr="00924457">
        <w:rPr>
          <w:rFonts w:ascii="Melior" w:eastAsiaTheme="minorHAnsi" w:hAnsi="Melior" w:cs="Melior"/>
          <w:sz w:val="24"/>
          <w:szCs w:val="24"/>
        </w:rPr>
        <w:t>Second,</w:t>
      </w:r>
      <w:r>
        <w:rPr>
          <w:rFonts w:ascii="Melior" w:eastAsiaTheme="minorHAnsi" w:hAnsi="Melior" w:cs="Melior"/>
          <w:sz w:val="24"/>
          <w:szCs w:val="24"/>
        </w:rPr>
        <w:t xml:space="preserve"> </w:t>
      </w:r>
      <w:r w:rsidRPr="00924457">
        <w:rPr>
          <w:rFonts w:ascii="Melior" w:eastAsiaTheme="minorHAnsi" w:hAnsi="Melior" w:cs="Melior"/>
          <w:sz w:val="24"/>
          <w:szCs w:val="24"/>
        </w:rPr>
        <w:t>the majority of wireless providers, who</w:t>
      </w:r>
      <w:r>
        <w:rPr>
          <w:rFonts w:ascii="Melior" w:eastAsiaTheme="minorHAnsi" w:hAnsi="Melior" w:cs="Melior"/>
          <w:sz w:val="24"/>
          <w:szCs w:val="24"/>
        </w:rPr>
        <w:t xml:space="preserve"> </w:t>
      </w:r>
      <w:r w:rsidRPr="00924457">
        <w:rPr>
          <w:rFonts w:ascii="Melior" w:eastAsiaTheme="minorHAnsi" w:hAnsi="Melior" w:cs="Melior"/>
          <w:sz w:val="24"/>
          <w:szCs w:val="24"/>
        </w:rPr>
        <w:t>have the greatest stake in the accuracy</w:t>
      </w:r>
      <w:r>
        <w:rPr>
          <w:rFonts w:ascii="Melior" w:eastAsiaTheme="minorHAnsi" w:hAnsi="Melior" w:cs="Melior"/>
          <w:sz w:val="24"/>
          <w:szCs w:val="24"/>
        </w:rPr>
        <w:t xml:space="preserve"> </w:t>
      </w:r>
      <w:r w:rsidRPr="00924457">
        <w:rPr>
          <w:rFonts w:ascii="Melior" w:eastAsiaTheme="minorHAnsi" w:hAnsi="Melior" w:cs="Melior"/>
          <w:sz w:val="24"/>
          <w:szCs w:val="24"/>
        </w:rPr>
        <w:t>of predicted inter-service interference to</w:t>
      </w:r>
      <w:r w:rsidR="00DF2F20">
        <w:rPr>
          <w:rFonts w:ascii="Melior" w:eastAsiaTheme="minorHAnsi" w:hAnsi="Melior" w:cs="Melior"/>
          <w:sz w:val="24"/>
          <w:szCs w:val="24"/>
        </w:rPr>
        <w:t xml:space="preserve"> </w:t>
      </w:r>
      <w:r w:rsidRPr="00924457">
        <w:rPr>
          <w:rFonts w:ascii="Melior" w:eastAsiaTheme="minorHAnsi" w:hAnsi="Melior" w:cs="Melior"/>
          <w:sz w:val="24"/>
          <w:szCs w:val="24"/>
        </w:rPr>
        <w:t>wireless operations, support use of the</w:t>
      </w:r>
      <w:r>
        <w:rPr>
          <w:rFonts w:ascii="Melior" w:eastAsiaTheme="minorHAnsi" w:hAnsi="Melior" w:cs="Melior"/>
          <w:sz w:val="24"/>
          <w:szCs w:val="24"/>
        </w:rPr>
        <w:t xml:space="preserve"> </w:t>
      </w:r>
      <w:r w:rsidRPr="00924457">
        <w:rPr>
          <w:rFonts w:ascii="Melior" w:eastAsiaTheme="minorHAnsi" w:hAnsi="Melior" w:cs="Melior"/>
          <w:sz w:val="24"/>
          <w:szCs w:val="24"/>
        </w:rPr>
        <w:t>F(50,50) measure, supporting the</w:t>
      </w:r>
      <w:r>
        <w:rPr>
          <w:rFonts w:ascii="Melior" w:eastAsiaTheme="minorHAnsi" w:hAnsi="Melior" w:cs="Melior"/>
          <w:sz w:val="24"/>
          <w:szCs w:val="24"/>
        </w:rPr>
        <w:t xml:space="preserve"> </w:t>
      </w:r>
      <w:r w:rsidRPr="00924457">
        <w:rPr>
          <w:rFonts w:ascii="Melior" w:eastAsiaTheme="minorHAnsi" w:hAnsi="Melior" w:cs="Melior"/>
          <w:sz w:val="24"/>
          <w:szCs w:val="24"/>
        </w:rPr>
        <w:t>conclusion that it will provide a</w:t>
      </w:r>
      <w:r>
        <w:rPr>
          <w:rFonts w:ascii="Melior" w:eastAsiaTheme="minorHAnsi" w:hAnsi="Melior" w:cs="Melior"/>
          <w:sz w:val="24"/>
          <w:szCs w:val="24"/>
        </w:rPr>
        <w:t xml:space="preserve"> </w:t>
      </w:r>
      <w:r w:rsidRPr="00924457">
        <w:rPr>
          <w:rFonts w:ascii="Melior" w:eastAsiaTheme="minorHAnsi" w:hAnsi="Melior" w:cs="Melior"/>
          <w:sz w:val="24"/>
          <w:szCs w:val="24"/>
        </w:rPr>
        <w:t>reasonably accurate assessment of such</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interference. </w:t>
      </w:r>
      <w:r w:rsidR="00D645C5">
        <w:rPr>
          <w:rFonts w:ascii="Melior" w:eastAsiaTheme="minorHAnsi" w:hAnsi="Melior" w:cs="Melior"/>
          <w:sz w:val="24"/>
          <w:szCs w:val="24"/>
        </w:rPr>
        <w:t xml:space="preserve"> </w:t>
      </w:r>
      <w:r w:rsidRPr="00924457">
        <w:rPr>
          <w:rFonts w:ascii="Melior" w:eastAsiaTheme="minorHAnsi" w:hAnsi="Melior" w:cs="Melior"/>
          <w:sz w:val="24"/>
          <w:szCs w:val="24"/>
        </w:rPr>
        <w:t>Third, use of the F(50,50)</w:t>
      </w:r>
      <w:r>
        <w:rPr>
          <w:rFonts w:ascii="Melior" w:eastAsiaTheme="minorHAnsi" w:hAnsi="Melior" w:cs="Melior"/>
          <w:sz w:val="24"/>
          <w:szCs w:val="24"/>
        </w:rPr>
        <w:t xml:space="preserve"> </w:t>
      </w:r>
      <w:r w:rsidRPr="00924457">
        <w:rPr>
          <w:rFonts w:ascii="Melior" w:eastAsiaTheme="minorHAnsi" w:hAnsi="Melior" w:cs="Melior"/>
          <w:sz w:val="24"/>
          <w:szCs w:val="24"/>
        </w:rPr>
        <w:t>measure is appropriate in this context</w:t>
      </w:r>
      <w:r>
        <w:rPr>
          <w:rFonts w:ascii="Melior" w:eastAsiaTheme="minorHAnsi" w:hAnsi="Melior" w:cs="Melior"/>
          <w:sz w:val="24"/>
          <w:szCs w:val="24"/>
        </w:rPr>
        <w:t xml:space="preserve"> </w:t>
      </w:r>
      <w:r w:rsidRPr="00924457">
        <w:rPr>
          <w:rFonts w:ascii="Melior" w:eastAsiaTheme="minorHAnsi" w:hAnsi="Melior" w:cs="Melior"/>
          <w:sz w:val="24"/>
          <w:szCs w:val="24"/>
        </w:rPr>
        <w:t>because various techniques are available</w:t>
      </w:r>
      <w:r>
        <w:rPr>
          <w:rFonts w:ascii="Melior" w:eastAsiaTheme="minorHAnsi" w:hAnsi="Melior" w:cs="Melior"/>
          <w:sz w:val="24"/>
          <w:szCs w:val="24"/>
        </w:rPr>
        <w:t xml:space="preserve"> </w:t>
      </w:r>
      <w:r w:rsidRPr="00924457">
        <w:rPr>
          <w:rFonts w:ascii="Melior" w:eastAsiaTheme="minorHAnsi" w:hAnsi="Melior" w:cs="Melior"/>
          <w:sz w:val="24"/>
          <w:szCs w:val="24"/>
        </w:rPr>
        <w:t>to wireless operators to avoid harmful</w:t>
      </w:r>
      <w:r>
        <w:rPr>
          <w:rFonts w:ascii="Melior" w:eastAsiaTheme="minorHAnsi" w:hAnsi="Melior" w:cs="Melior"/>
          <w:sz w:val="24"/>
          <w:szCs w:val="24"/>
        </w:rPr>
        <w:t xml:space="preserve"> </w:t>
      </w:r>
      <w:r w:rsidRPr="00924457">
        <w:rPr>
          <w:rFonts w:ascii="Melior" w:eastAsiaTheme="minorHAnsi" w:hAnsi="Melior" w:cs="Melior"/>
          <w:sz w:val="24"/>
          <w:szCs w:val="24"/>
        </w:rPr>
        <w:t>interference to wireless base stations</w:t>
      </w:r>
      <w:r>
        <w:rPr>
          <w:rFonts w:ascii="Melior" w:eastAsiaTheme="minorHAnsi" w:hAnsi="Melior" w:cs="Melior"/>
          <w:sz w:val="24"/>
          <w:szCs w:val="24"/>
        </w:rPr>
        <w:t xml:space="preserve"> </w:t>
      </w:r>
      <w:r w:rsidRPr="00924457">
        <w:rPr>
          <w:rFonts w:ascii="Melior" w:eastAsiaTheme="minorHAnsi" w:hAnsi="Melior" w:cs="Melior"/>
          <w:sz w:val="24"/>
          <w:szCs w:val="24"/>
        </w:rPr>
        <w:t>that are not available to television</w:t>
      </w:r>
      <w:r>
        <w:rPr>
          <w:rFonts w:ascii="Melior" w:eastAsiaTheme="minorHAnsi" w:hAnsi="Melior" w:cs="Melior"/>
          <w:sz w:val="24"/>
          <w:szCs w:val="24"/>
        </w:rPr>
        <w:t xml:space="preserve"> </w:t>
      </w:r>
      <w:r w:rsidRPr="00924457">
        <w:rPr>
          <w:rFonts w:ascii="Melior" w:eastAsiaTheme="minorHAnsi" w:hAnsi="Melior" w:cs="Melior"/>
          <w:sz w:val="24"/>
          <w:szCs w:val="24"/>
        </w:rPr>
        <w:t xml:space="preserve">stations or viewers. </w:t>
      </w:r>
      <w:r w:rsidR="004E3CAA">
        <w:rPr>
          <w:rFonts w:ascii="Melior" w:eastAsiaTheme="minorHAnsi" w:hAnsi="Melior" w:cs="Melior"/>
          <w:sz w:val="24"/>
          <w:szCs w:val="24"/>
        </w:rPr>
        <w:t xml:space="preserve"> </w:t>
      </w:r>
    </w:p>
    <w:p w:rsidR="00D95010" w:rsidRDefault="00D95010" w:rsidP="00221AD3">
      <w:pPr>
        <w:autoSpaceDE w:val="0"/>
        <w:autoSpaceDN w:val="0"/>
        <w:adjustRightInd w:val="0"/>
        <w:rPr>
          <w:rFonts w:ascii="Melior" w:eastAsiaTheme="minorHAnsi" w:hAnsi="Melior" w:cs="Melior"/>
          <w:sz w:val="24"/>
          <w:szCs w:val="24"/>
        </w:rPr>
      </w:pPr>
    </w:p>
    <w:p w:rsidR="00B31BEB" w:rsidRPr="00B31BEB" w:rsidRDefault="00B31BEB" w:rsidP="00DE1586">
      <w:pPr>
        <w:pStyle w:val="ListParagraph"/>
        <w:numPr>
          <w:ilvl w:val="0"/>
          <w:numId w:val="8"/>
        </w:numPr>
        <w:autoSpaceDE w:val="0"/>
        <w:autoSpaceDN w:val="0"/>
        <w:adjustRightInd w:val="0"/>
        <w:rPr>
          <w:rFonts w:eastAsiaTheme="minorHAnsi"/>
          <w:b/>
          <w:sz w:val="24"/>
          <w:szCs w:val="24"/>
        </w:rPr>
      </w:pPr>
      <w:r>
        <w:rPr>
          <w:rFonts w:eastAsiaTheme="minorHAnsi"/>
          <w:b/>
          <w:sz w:val="24"/>
          <w:szCs w:val="24"/>
        </w:rPr>
        <w:t xml:space="preserve">Wireless Base Station to Digital Television </w:t>
      </w:r>
      <w:r w:rsidRPr="00B31BEB">
        <w:rPr>
          <w:rFonts w:eastAsiaTheme="minorHAnsi"/>
          <w:b/>
          <w:sz w:val="24"/>
          <w:szCs w:val="24"/>
        </w:rPr>
        <w:t>R</w:t>
      </w:r>
      <w:r>
        <w:rPr>
          <w:rFonts w:eastAsiaTheme="minorHAnsi"/>
          <w:b/>
          <w:sz w:val="24"/>
          <w:szCs w:val="24"/>
        </w:rPr>
        <w:t>eceiver (Case 3)</w:t>
      </w:r>
    </w:p>
    <w:p w:rsidR="00B31BEB" w:rsidRDefault="00B31BEB" w:rsidP="00221AD3">
      <w:pPr>
        <w:autoSpaceDE w:val="0"/>
        <w:autoSpaceDN w:val="0"/>
        <w:adjustRightInd w:val="0"/>
        <w:rPr>
          <w:rFonts w:ascii="Melior" w:eastAsiaTheme="minorHAnsi" w:hAnsi="Melior" w:cs="Melior"/>
          <w:sz w:val="24"/>
          <w:szCs w:val="24"/>
        </w:rPr>
      </w:pPr>
    </w:p>
    <w:p w:rsidR="00221AD3" w:rsidRPr="00221AD3" w:rsidRDefault="00221AD3" w:rsidP="00D95010">
      <w:pPr>
        <w:autoSpaceDE w:val="0"/>
        <w:autoSpaceDN w:val="0"/>
        <w:adjustRightInd w:val="0"/>
        <w:ind w:firstLine="720"/>
        <w:rPr>
          <w:rFonts w:ascii="Melior" w:eastAsiaTheme="minorHAnsi" w:hAnsi="Melior" w:cs="Melior"/>
          <w:sz w:val="24"/>
          <w:szCs w:val="24"/>
        </w:rPr>
      </w:pPr>
      <w:r w:rsidRPr="00221AD3">
        <w:rPr>
          <w:rFonts w:ascii="Melior" w:eastAsiaTheme="minorHAnsi" w:hAnsi="Melior" w:cs="Melior"/>
          <w:sz w:val="24"/>
          <w:szCs w:val="24"/>
        </w:rPr>
        <w:t>The Commission adopted the ISIX</w:t>
      </w:r>
      <w:r w:rsidR="00D95010">
        <w:rPr>
          <w:rFonts w:ascii="Melior" w:eastAsiaTheme="minorHAnsi" w:hAnsi="Melior" w:cs="Melior"/>
          <w:sz w:val="24"/>
          <w:szCs w:val="24"/>
        </w:rPr>
        <w:t xml:space="preserve"> </w:t>
      </w:r>
      <w:r w:rsidRPr="00221AD3">
        <w:rPr>
          <w:rFonts w:ascii="Melior" w:eastAsiaTheme="minorHAnsi" w:hAnsi="Melior" w:cs="Melior"/>
          <w:sz w:val="24"/>
          <w:szCs w:val="24"/>
        </w:rPr>
        <w:t>Methodology and input values as</w:t>
      </w:r>
      <w:r w:rsidR="00D95010">
        <w:rPr>
          <w:rFonts w:ascii="Melior" w:eastAsiaTheme="minorHAnsi" w:hAnsi="Melior" w:cs="Melior"/>
          <w:sz w:val="24"/>
          <w:szCs w:val="24"/>
        </w:rPr>
        <w:t xml:space="preserve"> </w:t>
      </w:r>
      <w:r w:rsidRPr="00221AD3">
        <w:rPr>
          <w:rFonts w:ascii="Melior" w:eastAsiaTheme="minorHAnsi" w:hAnsi="Melior" w:cs="Melior"/>
          <w:sz w:val="24"/>
          <w:szCs w:val="24"/>
        </w:rPr>
        <w:t xml:space="preserve">proposed in the </w:t>
      </w:r>
      <w:r w:rsidR="00F103B2" w:rsidRPr="00F103B2">
        <w:rPr>
          <w:rFonts w:ascii="Melior" w:eastAsiaTheme="minorHAnsi" w:hAnsi="Melior" w:cs="Melior"/>
          <w:i/>
          <w:sz w:val="24"/>
          <w:szCs w:val="24"/>
        </w:rPr>
        <w:t>ISIX PN</w:t>
      </w:r>
      <w:r w:rsidRPr="00221AD3">
        <w:rPr>
          <w:rFonts w:ascii="Melior" w:eastAsiaTheme="minorHAnsi" w:hAnsi="Melior" w:cs="Melior"/>
          <w:sz w:val="24"/>
          <w:szCs w:val="24"/>
        </w:rPr>
        <w:t xml:space="preserve"> for use during</w:t>
      </w:r>
      <w:r w:rsidR="00D95010">
        <w:rPr>
          <w:rFonts w:ascii="Melior" w:eastAsiaTheme="minorHAnsi" w:hAnsi="Melior" w:cs="Melior"/>
          <w:sz w:val="24"/>
          <w:szCs w:val="24"/>
        </w:rPr>
        <w:t xml:space="preserve"> </w:t>
      </w:r>
      <w:r w:rsidRPr="00221AD3">
        <w:rPr>
          <w:rFonts w:ascii="Melior" w:eastAsiaTheme="minorHAnsi" w:hAnsi="Melior" w:cs="Melior"/>
          <w:sz w:val="24"/>
          <w:szCs w:val="24"/>
        </w:rPr>
        <w:t>the incentive auction to predict</w:t>
      </w:r>
      <w:r w:rsidR="00D95010">
        <w:rPr>
          <w:rFonts w:ascii="Melior" w:eastAsiaTheme="minorHAnsi" w:hAnsi="Melior" w:cs="Melior"/>
          <w:sz w:val="24"/>
          <w:szCs w:val="24"/>
        </w:rPr>
        <w:t xml:space="preserve"> </w:t>
      </w:r>
      <w:r w:rsidRPr="00221AD3">
        <w:rPr>
          <w:rFonts w:ascii="Melior" w:eastAsiaTheme="minorHAnsi" w:hAnsi="Melior" w:cs="Melior"/>
          <w:sz w:val="24"/>
          <w:szCs w:val="24"/>
        </w:rPr>
        <w:t>interference from wireless base stations</w:t>
      </w:r>
    </w:p>
    <w:p w:rsidR="00D95010" w:rsidRDefault="00221AD3" w:rsidP="00221AD3">
      <w:pPr>
        <w:autoSpaceDE w:val="0"/>
        <w:autoSpaceDN w:val="0"/>
        <w:adjustRightInd w:val="0"/>
        <w:rPr>
          <w:rFonts w:ascii="Melior" w:eastAsiaTheme="minorHAnsi" w:hAnsi="Melior" w:cs="Melior"/>
          <w:sz w:val="24"/>
          <w:szCs w:val="24"/>
        </w:rPr>
      </w:pPr>
      <w:r w:rsidRPr="00221AD3">
        <w:rPr>
          <w:rFonts w:ascii="Melior" w:eastAsiaTheme="minorHAnsi" w:hAnsi="Melior" w:cs="Melior"/>
          <w:sz w:val="24"/>
          <w:szCs w:val="24"/>
        </w:rPr>
        <w:t>to DTV receivers (Case 3), except that</w:t>
      </w:r>
      <w:r w:rsidR="00FB70F9">
        <w:rPr>
          <w:rFonts w:ascii="Melior" w:eastAsiaTheme="minorHAnsi" w:hAnsi="Melior" w:cs="Melior"/>
          <w:sz w:val="24"/>
          <w:szCs w:val="24"/>
        </w:rPr>
        <w:t>:</w:t>
      </w:r>
      <w:r w:rsidRPr="00221AD3">
        <w:rPr>
          <w:rFonts w:ascii="Melior" w:eastAsiaTheme="minorHAnsi" w:hAnsi="Melior" w:cs="Melior"/>
          <w:sz w:val="24"/>
          <w:szCs w:val="24"/>
        </w:rPr>
        <w:t xml:space="preserve"> (1)</w:t>
      </w:r>
      <w:r w:rsidR="00D95010">
        <w:rPr>
          <w:rFonts w:ascii="Melior" w:eastAsiaTheme="minorHAnsi" w:hAnsi="Melior" w:cs="Melior"/>
          <w:sz w:val="24"/>
          <w:szCs w:val="24"/>
        </w:rPr>
        <w:t xml:space="preserve"> </w:t>
      </w:r>
      <w:r w:rsidRPr="00221AD3">
        <w:rPr>
          <w:rFonts w:ascii="Melior" w:eastAsiaTheme="minorHAnsi" w:hAnsi="Melior" w:cs="Melior"/>
          <w:sz w:val="24"/>
          <w:szCs w:val="24"/>
        </w:rPr>
        <w:t>the Commission adopted slightly higher</w:t>
      </w:r>
      <w:r w:rsidR="00D95010">
        <w:rPr>
          <w:rFonts w:ascii="Melior" w:eastAsiaTheme="minorHAnsi" w:hAnsi="Melior" w:cs="Melior"/>
          <w:sz w:val="24"/>
          <w:szCs w:val="24"/>
        </w:rPr>
        <w:t xml:space="preserve"> </w:t>
      </w:r>
      <w:r w:rsidR="00FB70F9">
        <w:rPr>
          <w:rFonts w:ascii="Melior" w:eastAsiaTheme="minorHAnsi" w:hAnsi="Melior" w:cs="Melior"/>
          <w:sz w:val="24"/>
          <w:szCs w:val="24"/>
        </w:rPr>
        <w:t>desired to undesired (</w:t>
      </w:r>
      <w:r w:rsidRPr="00221AD3">
        <w:rPr>
          <w:rFonts w:ascii="Melior" w:eastAsiaTheme="minorHAnsi" w:hAnsi="Melior" w:cs="Melior"/>
          <w:sz w:val="24"/>
          <w:szCs w:val="24"/>
        </w:rPr>
        <w:t>D/U</w:t>
      </w:r>
      <w:r w:rsidR="00FB70F9">
        <w:rPr>
          <w:rFonts w:ascii="Melior" w:eastAsiaTheme="minorHAnsi" w:hAnsi="Melior" w:cs="Melior"/>
          <w:sz w:val="24"/>
          <w:szCs w:val="24"/>
        </w:rPr>
        <w:t>) signal</w:t>
      </w:r>
      <w:r w:rsidRPr="00221AD3">
        <w:rPr>
          <w:rFonts w:ascii="Melior" w:eastAsiaTheme="minorHAnsi" w:hAnsi="Melior" w:cs="Melior"/>
          <w:sz w:val="24"/>
          <w:szCs w:val="24"/>
        </w:rPr>
        <w:t xml:space="preserve"> ratios (by 1 dB) for co-channel</w:t>
      </w:r>
      <w:r w:rsidR="00D95010">
        <w:rPr>
          <w:rFonts w:ascii="Melior" w:eastAsiaTheme="minorHAnsi" w:hAnsi="Melior" w:cs="Melior"/>
          <w:sz w:val="24"/>
          <w:szCs w:val="24"/>
        </w:rPr>
        <w:t xml:space="preserve"> </w:t>
      </w:r>
      <w:r w:rsidRPr="00221AD3">
        <w:rPr>
          <w:rFonts w:ascii="Melior" w:eastAsiaTheme="minorHAnsi" w:hAnsi="Melior" w:cs="Melior"/>
          <w:sz w:val="24"/>
          <w:szCs w:val="24"/>
        </w:rPr>
        <w:t>operations</w:t>
      </w:r>
      <w:r w:rsidR="00FB70F9">
        <w:rPr>
          <w:rFonts w:ascii="Melior" w:eastAsiaTheme="minorHAnsi" w:hAnsi="Melior" w:cs="Melior"/>
          <w:sz w:val="24"/>
          <w:szCs w:val="24"/>
        </w:rPr>
        <w:t>,</w:t>
      </w:r>
      <w:r w:rsidRPr="00221AD3">
        <w:rPr>
          <w:rFonts w:ascii="Melior" w:eastAsiaTheme="minorHAnsi" w:hAnsi="Melior" w:cs="Melior"/>
          <w:sz w:val="24"/>
          <w:szCs w:val="24"/>
        </w:rPr>
        <w:t xml:space="preserve"> based on the measurements</w:t>
      </w:r>
      <w:r w:rsidR="00D95010">
        <w:rPr>
          <w:rFonts w:ascii="Melior" w:eastAsiaTheme="minorHAnsi" w:hAnsi="Melior" w:cs="Melior"/>
          <w:sz w:val="24"/>
          <w:szCs w:val="24"/>
        </w:rPr>
        <w:t xml:space="preserve"> </w:t>
      </w:r>
      <w:r w:rsidRPr="00221AD3">
        <w:rPr>
          <w:rFonts w:ascii="Melior" w:eastAsiaTheme="minorHAnsi" w:hAnsi="Melior" w:cs="Melior"/>
          <w:sz w:val="24"/>
          <w:szCs w:val="24"/>
        </w:rPr>
        <w:t xml:space="preserve">conducted by the staff and </w:t>
      </w:r>
      <w:r w:rsidR="00396A50">
        <w:rPr>
          <w:rFonts w:ascii="Melior" w:eastAsiaTheme="minorHAnsi" w:hAnsi="Melior" w:cs="Melior"/>
          <w:sz w:val="24"/>
          <w:szCs w:val="24"/>
        </w:rPr>
        <w:t>the Consumer Electronics Association (</w:t>
      </w:r>
      <w:r w:rsidRPr="00221AD3">
        <w:rPr>
          <w:rFonts w:ascii="Melior" w:eastAsiaTheme="minorHAnsi" w:hAnsi="Melior" w:cs="Melior"/>
          <w:sz w:val="24"/>
          <w:szCs w:val="24"/>
        </w:rPr>
        <w:t>CEA</w:t>
      </w:r>
      <w:r w:rsidR="00396A50">
        <w:rPr>
          <w:rFonts w:ascii="Melior" w:eastAsiaTheme="minorHAnsi" w:hAnsi="Melior" w:cs="Melior"/>
          <w:sz w:val="24"/>
          <w:szCs w:val="24"/>
        </w:rPr>
        <w:t>)</w:t>
      </w:r>
      <w:r w:rsidR="00FB70F9">
        <w:rPr>
          <w:rFonts w:ascii="Melior" w:eastAsiaTheme="minorHAnsi" w:hAnsi="Melior" w:cs="Melior"/>
          <w:sz w:val="24"/>
          <w:szCs w:val="24"/>
        </w:rPr>
        <w:t>;</w:t>
      </w:r>
      <w:r w:rsidRPr="00221AD3">
        <w:rPr>
          <w:rFonts w:ascii="Melior" w:eastAsiaTheme="minorHAnsi" w:hAnsi="Melior" w:cs="Melior"/>
          <w:sz w:val="24"/>
          <w:szCs w:val="24"/>
        </w:rPr>
        <w:t xml:space="preserve"> and</w:t>
      </w:r>
      <w:r w:rsidR="00FB70F9">
        <w:rPr>
          <w:rFonts w:ascii="Melior" w:eastAsiaTheme="minorHAnsi" w:hAnsi="Melior" w:cs="Melior"/>
          <w:sz w:val="24"/>
          <w:szCs w:val="24"/>
        </w:rPr>
        <w:t>,</w:t>
      </w:r>
      <w:r w:rsidRPr="00221AD3">
        <w:rPr>
          <w:rFonts w:ascii="Melior" w:eastAsiaTheme="minorHAnsi" w:hAnsi="Melior" w:cs="Melior"/>
          <w:sz w:val="24"/>
          <w:szCs w:val="24"/>
        </w:rPr>
        <w:t xml:space="preserve"> (2)</w:t>
      </w:r>
      <w:r w:rsidR="00D95010">
        <w:rPr>
          <w:rFonts w:ascii="Melior" w:eastAsiaTheme="minorHAnsi" w:hAnsi="Melior" w:cs="Melior"/>
          <w:sz w:val="24"/>
          <w:szCs w:val="24"/>
        </w:rPr>
        <w:t xml:space="preserve"> </w:t>
      </w:r>
      <w:r w:rsidRPr="00221AD3">
        <w:rPr>
          <w:rFonts w:ascii="Melior" w:eastAsiaTheme="minorHAnsi" w:hAnsi="Melior" w:cs="Melior"/>
          <w:sz w:val="24"/>
          <w:szCs w:val="24"/>
        </w:rPr>
        <w:t>the Commission will not consider</w:t>
      </w:r>
      <w:r w:rsidR="00D95010">
        <w:rPr>
          <w:rFonts w:ascii="Melior" w:eastAsiaTheme="minorHAnsi" w:hAnsi="Melior" w:cs="Melior"/>
          <w:sz w:val="24"/>
          <w:szCs w:val="24"/>
        </w:rPr>
        <w:t xml:space="preserve"> clutter loss.</w:t>
      </w:r>
    </w:p>
    <w:p w:rsidR="00E2533D" w:rsidRDefault="00E2533D" w:rsidP="00221AD3">
      <w:pPr>
        <w:autoSpaceDE w:val="0"/>
        <w:autoSpaceDN w:val="0"/>
        <w:adjustRightInd w:val="0"/>
        <w:rPr>
          <w:rFonts w:ascii="Melior" w:eastAsiaTheme="minorHAnsi" w:hAnsi="Melior" w:cs="Melior"/>
          <w:sz w:val="24"/>
          <w:szCs w:val="24"/>
        </w:rPr>
      </w:pPr>
    </w:p>
    <w:p w:rsidR="00F52835" w:rsidRDefault="00221AD3" w:rsidP="00DF2F20">
      <w:pPr>
        <w:autoSpaceDE w:val="0"/>
        <w:autoSpaceDN w:val="0"/>
        <w:adjustRightInd w:val="0"/>
        <w:ind w:firstLine="720"/>
        <w:rPr>
          <w:rFonts w:ascii="Melior" w:eastAsiaTheme="minorHAnsi" w:hAnsi="Melior" w:cs="Melior"/>
          <w:sz w:val="24"/>
          <w:szCs w:val="24"/>
        </w:rPr>
      </w:pPr>
      <w:r w:rsidRPr="00221AD3">
        <w:rPr>
          <w:rFonts w:ascii="Melior" w:eastAsiaTheme="minorHAnsi" w:hAnsi="Melior" w:cs="Melior"/>
          <w:sz w:val="24"/>
          <w:szCs w:val="24"/>
        </w:rPr>
        <w:t>The Commission concluded</w:t>
      </w:r>
      <w:r w:rsidR="00D95010">
        <w:rPr>
          <w:rFonts w:ascii="Melior" w:eastAsiaTheme="minorHAnsi" w:hAnsi="Melior" w:cs="Melior"/>
          <w:sz w:val="24"/>
          <w:szCs w:val="24"/>
        </w:rPr>
        <w:t xml:space="preserve"> </w:t>
      </w:r>
      <w:r w:rsidRPr="00221AD3">
        <w:rPr>
          <w:rFonts w:ascii="Melior" w:eastAsiaTheme="minorHAnsi" w:hAnsi="Melior" w:cs="Melior"/>
          <w:sz w:val="24"/>
          <w:szCs w:val="24"/>
        </w:rPr>
        <w:t>that the record supports the D/U ratios</w:t>
      </w:r>
      <w:r w:rsidR="00D95010">
        <w:rPr>
          <w:rFonts w:ascii="Melior" w:eastAsiaTheme="minorHAnsi" w:hAnsi="Melior" w:cs="Melior"/>
          <w:sz w:val="24"/>
          <w:szCs w:val="24"/>
        </w:rPr>
        <w:t xml:space="preserve"> </w:t>
      </w:r>
      <w:r w:rsidRPr="00221AD3">
        <w:rPr>
          <w:rFonts w:ascii="Melior" w:eastAsiaTheme="minorHAnsi" w:hAnsi="Melior" w:cs="Melior"/>
          <w:sz w:val="24"/>
          <w:szCs w:val="24"/>
        </w:rPr>
        <w:t xml:space="preserve">proposed in the </w:t>
      </w:r>
      <w:r w:rsidR="00F103B2" w:rsidRPr="00F103B2">
        <w:rPr>
          <w:rFonts w:ascii="Melior" w:eastAsiaTheme="minorHAnsi" w:hAnsi="Melior" w:cs="Melior"/>
          <w:i/>
          <w:sz w:val="24"/>
          <w:szCs w:val="24"/>
        </w:rPr>
        <w:t>ISIX PN</w:t>
      </w:r>
      <w:r w:rsidRPr="00221AD3">
        <w:rPr>
          <w:rFonts w:ascii="Melior" w:eastAsiaTheme="minorHAnsi" w:hAnsi="Melior" w:cs="Melior"/>
          <w:sz w:val="24"/>
          <w:szCs w:val="24"/>
        </w:rPr>
        <w:t xml:space="preserve"> for adjacent</w:t>
      </w:r>
      <w:r w:rsidR="00D95010">
        <w:rPr>
          <w:rFonts w:ascii="Melior" w:eastAsiaTheme="minorHAnsi" w:hAnsi="Melior" w:cs="Melior"/>
          <w:sz w:val="24"/>
          <w:szCs w:val="24"/>
        </w:rPr>
        <w:t xml:space="preserve"> </w:t>
      </w:r>
      <w:r w:rsidRPr="00221AD3">
        <w:rPr>
          <w:rFonts w:ascii="Melior" w:eastAsiaTheme="minorHAnsi" w:hAnsi="Melior" w:cs="Melior"/>
          <w:sz w:val="24"/>
          <w:szCs w:val="24"/>
        </w:rPr>
        <w:t>channel interference based on the</w:t>
      </w:r>
      <w:r w:rsidR="00FB70F9">
        <w:rPr>
          <w:rFonts w:ascii="Melior" w:eastAsiaTheme="minorHAnsi" w:hAnsi="Melior" w:cs="Melior"/>
          <w:sz w:val="24"/>
          <w:szCs w:val="24"/>
        </w:rPr>
        <w:t xml:space="preserve"> </w:t>
      </w:r>
      <w:r w:rsidRPr="00221AD3">
        <w:rPr>
          <w:rFonts w:ascii="Melior" w:eastAsiaTheme="minorHAnsi" w:hAnsi="Melior" w:cs="Melior"/>
          <w:sz w:val="24"/>
          <w:szCs w:val="24"/>
        </w:rPr>
        <w:t>measurements conducted by staff and</w:t>
      </w:r>
      <w:r w:rsidR="00D95010">
        <w:rPr>
          <w:rFonts w:ascii="Melior" w:eastAsiaTheme="minorHAnsi" w:hAnsi="Melior" w:cs="Melior"/>
          <w:sz w:val="24"/>
          <w:szCs w:val="24"/>
        </w:rPr>
        <w:t xml:space="preserve"> </w:t>
      </w:r>
      <w:r w:rsidRPr="00221AD3">
        <w:rPr>
          <w:rFonts w:ascii="Melior" w:eastAsiaTheme="minorHAnsi" w:hAnsi="Melior" w:cs="Melior"/>
          <w:sz w:val="24"/>
          <w:szCs w:val="24"/>
        </w:rPr>
        <w:t xml:space="preserve">CEA. </w:t>
      </w:r>
      <w:r w:rsidR="004E3CAA">
        <w:rPr>
          <w:rFonts w:ascii="Melior" w:eastAsiaTheme="minorHAnsi" w:hAnsi="Melior" w:cs="Melior"/>
          <w:sz w:val="24"/>
          <w:szCs w:val="24"/>
        </w:rPr>
        <w:t xml:space="preserve"> </w:t>
      </w:r>
      <w:r w:rsidRPr="00221AD3">
        <w:rPr>
          <w:rFonts w:ascii="Melior" w:eastAsiaTheme="minorHAnsi" w:hAnsi="Melior" w:cs="Melior"/>
          <w:sz w:val="24"/>
          <w:szCs w:val="24"/>
        </w:rPr>
        <w:t>However, based on the</w:t>
      </w:r>
      <w:r w:rsidR="00D95010">
        <w:rPr>
          <w:rFonts w:ascii="Melior" w:eastAsiaTheme="minorHAnsi" w:hAnsi="Melior" w:cs="Melior"/>
          <w:sz w:val="24"/>
          <w:szCs w:val="24"/>
        </w:rPr>
        <w:t xml:space="preserve"> </w:t>
      </w:r>
      <w:r w:rsidRPr="00221AD3">
        <w:rPr>
          <w:rFonts w:ascii="Melior" w:eastAsiaTheme="minorHAnsi" w:hAnsi="Melior" w:cs="Melior"/>
          <w:sz w:val="24"/>
          <w:szCs w:val="24"/>
        </w:rPr>
        <w:t>measurement data, LTE signals create</w:t>
      </w:r>
      <w:r w:rsidR="00D95010">
        <w:rPr>
          <w:rFonts w:ascii="Melior" w:eastAsiaTheme="minorHAnsi" w:hAnsi="Melior" w:cs="Melior"/>
          <w:sz w:val="24"/>
          <w:szCs w:val="24"/>
        </w:rPr>
        <w:t xml:space="preserve"> </w:t>
      </w:r>
      <w:r w:rsidRPr="00221AD3">
        <w:rPr>
          <w:rFonts w:ascii="Melior" w:eastAsiaTheme="minorHAnsi" w:hAnsi="Melior" w:cs="Melior"/>
          <w:sz w:val="24"/>
          <w:szCs w:val="24"/>
        </w:rPr>
        <w:t>slightly more co-channel interference to</w:t>
      </w:r>
      <w:r w:rsidR="00D95010">
        <w:rPr>
          <w:rFonts w:ascii="Melior" w:eastAsiaTheme="minorHAnsi" w:hAnsi="Melior" w:cs="Melior"/>
          <w:sz w:val="24"/>
          <w:szCs w:val="24"/>
        </w:rPr>
        <w:t xml:space="preserve"> </w:t>
      </w:r>
      <w:r w:rsidRPr="00221AD3">
        <w:rPr>
          <w:rFonts w:ascii="Melior" w:eastAsiaTheme="minorHAnsi" w:hAnsi="Melior" w:cs="Melior"/>
          <w:sz w:val="24"/>
          <w:szCs w:val="24"/>
        </w:rPr>
        <w:t>DTV reception than other DTV signals.</w:t>
      </w:r>
      <w:r w:rsidR="00FB70F9">
        <w:rPr>
          <w:rFonts w:ascii="Melior" w:eastAsiaTheme="minorHAnsi" w:hAnsi="Melior" w:cs="Melior"/>
          <w:sz w:val="24"/>
          <w:szCs w:val="24"/>
        </w:rPr>
        <w:t xml:space="preserve">  </w:t>
      </w:r>
      <w:r w:rsidRPr="00221AD3">
        <w:rPr>
          <w:rFonts w:ascii="Melior" w:eastAsiaTheme="minorHAnsi" w:hAnsi="Melior" w:cs="Melior"/>
          <w:sz w:val="24"/>
          <w:szCs w:val="24"/>
        </w:rPr>
        <w:t>The Commission conclude</w:t>
      </w:r>
      <w:r w:rsidR="004E3CAA">
        <w:rPr>
          <w:rFonts w:ascii="Melior" w:eastAsiaTheme="minorHAnsi" w:hAnsi="Melior" w:cs="Melior"/>
          <w:sz w:val="24"/>
          <w:szCs w:val="24"/>
        </w:rPr>
        <w:t>d</w:t>
      </w:r>
      <w:r w:rsidRPr="00221AD3">
        <w:rPr>
          <w:rFonts w:ascii="Melior" w:eastAsiaTheme="minorHAnsi" w:hAnsi="Melior" w:cs="Melior"/>
          <w:sz w:val="24"/>
          <w:szCs w:val="24"/>
        </w:rPr>
        <w:t xml:space="preserve"> that the D/U ratios proposed in the </w:t>
      </w:r>
      <w:r w:rsidR="00F103B2" w:rsidRPr="00F103B2">
        <w:rPr>
          <w:rFonts w:ascii="Melior" w:eastAsiaTheme="minorHAnsi" w:hAnsi="Melior" w:cs="Melior"/>
          <w:i/>
          <w:sz w:val="24"/>
          <w:szCs w:val="24"/>
        </w:rPr>
        <w:t>ISIX PN</w:t>
      </w:r>
      <w:r w:rsidRPr="00221AD3">
        <w:rPr>
          <w:rFonts w:ascii="Melior" w:eastAsiaTheme="minorHAnsi" w:hAnsi="Melior" w:cs="Melior"/>
          <w:sz w:val="24"/>
          <w:szCs w:val="24"/>
        </w:rPr>
        <w:t xml:space="preserve"> for co</w:t>
      </w:r>
      <w:r w:rsidR="00D95010">
        <w:rPr>
          <w:rFonts w:ascii="Melior" w:eastAsiaTheme="minorHAnsi" w:hAnsi="Melior" w:cs="Melior"/>
          <w:sz w:val="24"/>
          <w:szCs w:val="24"/>
        </w:rPr>
        <w:t>-</w:t>
      </w:r>
      <w:r w:rsidRPr="00221AD3">
        <w:rPr>
          <w:rFonts w:ascii="Melior" w:eastAsiaTheme="minorHAnsi" w:hAnsi="Melior" w:cs="Melior"/>
          <w:sz w:val="24"/>
          <w:szCs w:val="24"/>
        </w:rPr>
        <w:t>channel</w:t>
      </w:r>
      <w:r w:rsidR="00D95010">
        <w:rPr>
          <w:rFonts w:ascii="Melior" w:eastAsiaTheme="minorHAnsi" w:hAnsi="Melior" w:cs="Melior"/>
          <w:sz w:val="24"/>
          <w:szCs w:val="24"/>
        </w:rPr>
        <w:t xml:space="preserve"> </w:t>
      </w:r>
      <w:r w:rsidRPr="00221AD3">
        <w:rPr>
          <w:rFonts w:ascii="Melior" w:eastAsiaTheme="minorHAnsi" w:hAnsi="Melior" w:cs="Melior"/>
          <w:sz w:val="24"/>
          <w:szCs w:val="24"/>
        </w:rPr>
        <w:t>interference should be</w:t>
      </w:r>
      <w:r w:rsidR="00D95010">
        <w:rPr>
          <w:rFonts w:ascii="Melior" w:eastAsiaTheme="minorHAnsi" w:hAnsi="Melior" w:cs="Melior"/>
          <w:sz w:val="24"/>
          <w:szCs w:val="24"/>
        </w:rPr>
        <w:t xml:space="preserve"> </w:t>
      </w:r>
      <w:r w:rsidRPr="00221AD3">
        <w:rPr>
          <w:rFonts w:ascii="Melior" w:eastAsiaTheme="minorHAnsi" w:hAnsi="Melior" w:cs="Melior"/>
          <w:sz w:val="24"/>
          <w:szCs w:val="24"/>
        </w:rPr>
        <w:t>increased by 1dB from 15 dB to 16 dB</w:t>
      </w:r>
      <w:r w:rsidR="00D95010">
        <w:rPr>
          <w:rFonts w:ascii="Melior" w:eastAsiaTheme="minorHAnsi" w:hAnsi="Melior" w:cs="Melior"/>
          <w:sz w:val="24"/>
          <w:szCs w:val="24"/>
        </w:rPr>
        <w:t xml:space="preserve"> </w:t>
      </w:r>
      <w:r w:rsidRPr="00221AD3">
        <w:rPr>
          <w:rFonts w:ascii="Melior" w:eastAsiaTheme="minorHAnsi" w:hAnsi="Melior" w:cs="Melior"/>
          <w:sz w:val="24"/>
          <w:szCs w:val="24"/>
        </w:rPr>
        <w:t>in light of th</w:t>
      </w:r>
      <w:r w:rsidR="00D645C5">
        <w:rPr>
          <w:rFonts w:ascii="Melior" w:eastAsiaTheme="minorHAnsi" w:hAnsi="Melior" w:cs="Melior"/>
          <w:sz w:val="24"/>
          <w:szCs w:val="24"/>
        </w:rPr>
        <w:t>ese</w:t>
      </w:r>
      <w:r w:rsidRPr="00221AD3">
        <w:rPr>
          <w:rFonts w:ascii="Melior" w:eastAsiaTheme="minorHAnsi" w:hAnsi="Melior" w:cs="Melior"/>
          <w:sz w:val="24"/>
          <w:szCs w:val="24"/>
        </w:rPr>
        <w:t xml:space="preserve"> data.</w:t>
      </w:r>
      <w:r w:rsidR="00D51427">
        <w:rPr>
          <w:rFonts w:ascii="Melior" w:eastAsiaTheme="minorHAnsi" w:hAnsi="Melior" w:cs="Melior"/>
          <w:sz w:val="24"/>
          <w:szCs w:val="24"/>
        </w:rPr>
        <w:t xml:space="preserve"> </w:t>
      </w:r>
      <w:r w:rsidRPr="00221AD3">
        <w:rPr>
          <w:rFonts w:ascii="Melior" w:eastAsiaTheme="minorHAnsi" w:hAnsi="Melior" w:cs="Melior"/>
          <w:sz w:val="24"/>
          <w:szCs w:val="24"/>
        </w:rPr>
        <w:t xml:space="preserve"> </w:t>
      </w:r>
      <w:r w:rsidR="00D153A2" w:rsidRPr="00D153A2">
        <w:rPr>
          <w:rFonts w:ascii="Melior" w:eastAsiaTheme="minorHAnsi" w:hAnsi="Melior" w:cs="Melior"/>
          <w:sz w:val="24"/>
          <w:szCs w:val="24"/>
        </w:rPr>
        <w:t>The Commission</w:t>
      </w:r>
      <w:r w:rsidR="00D153A2">
        <w:rPr>
          <w:rFonts w:ascii="Melior" w:eastAsiaTheme="minorHAnsi" w:hAnsi="Melior" w:cs="Melior"/>
          <w:sz w:val="24"/>
          <w:szCs w:val="24"/>
        </w:rPr>
        <w:t xml:space="preserve"> </w:t>
      </w:r>
      <w:r w:rsidR="000C2925">
        <w:rPr>
          <w:rFonts w:ascii="Melior" w:eastAsiaTheme="minorHAnsi" w:hAnsi="Melior" w:cs="Melior"/>
          <w:sz w:val="24"/>
          <w:szCs w:val="24"/>
        </w:rPr>
        <w:t xml:space="preserve">did not </w:t>
      </w:r>
      <w:r w:rsidR="00D153A2" w:rsidRPr="00D153A2">
        <w:rPr>
          <w:rFonts w:ascii="Melior" w:eastAsiaTheme="minorHAnsi" w:hAnsi="Melior" w:cs="Melior"/>
          <w:sz w:val="24"/>
          <w:szCs w:val="24"/>
        </w:rPr>
        <w:t>adopt the proposed use of</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clutter loss for Case 3 for reasons similar</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to those set forth above with regard to</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 xml:space="preserve">Case 2. </w:t>
      </w:r>
      <w:r w:rsidR="00604E50">
        <w:rPr>
          <w:rFonts w:ascii="Melior" w:eastAsiaTheme="minorHAnsi" w:hAnsi="Melior" w:cs="Melior"/>
          <w:sz w:val="24"/>
          <w:szCs w:val="24"/>
        </w:rPr>
        <w:t xml:space="preserve"> </w:t>
      </w:r>
      <w:r w:rsidR="00D153A2" w:rsidRPr="00D153A2">
        <w:rPr>
          <w:rFonts w:ascii="Melior" w:eastAsiaTheme="minorHAnsi" w:hAnsi="Melior" w:cs="Melior"/>
          <w:sz w:val="24"/>
          <w:szCs w:val="24"/>
        </w:rPr>
        <w:t>Clutter loss has not been used</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in the context of interference between</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television stations, and the Commission</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concluded that application of a single</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clutter value in a four-square kilometer</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area would not improve the accuracy of</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the ISIX Methodology.</w:t>
      </w:r>
      <w:r w:rsidR="00695794">
        <w:rPr>
          <w:rFonts w:ascii="Melior" w:eastAsiaTheme="minorHAnsi" w:hAnsi="Melior" w:cs="Melior"/>
          <w:sz w:val="24"/>
          <w:szCs w:val="24"/>
        </w:rPr>
        <w:t xml:space="preserve"> </w:t>
      </w:r>
      <w:r w:rsidR="00D153A2" w:rsidRPr="00D153A2">
        <w:rPr>
          <w:rFonts w:ascii="Melior" w:eastAsiaTheme="minorHAnsi" w:hAnsi="Melior" w:cs="Melior"/>
          <w:sz w:val="24"/>
          <w:szCs w:val="24"/>
        </w:rPr>
        <w:t>The</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 xml:space="preserve">Commission </w:t>
      </w:r>
      <w:r w:rsidR="00D645C5">
        <w:rPr>
          <w:rFonts w:ascii="Melior" w:eastAsiaTheme="minorHAnsi" w:hAnsi="Melior" w:cs="Melior"/>
          <w:sz w:val="24"/>
          <w:szCs w:val="24"/>
        </w:rPr>
        <w:t>will use the Longley-</w:t>
      </w:r>
      <w:r w:rsidR="000C2925">
        <w:rPr>
          <w:rFonts w:ascii="Melior" w:eastAsiaTheme="minorHAnsi" w:hAnsi="Melior" w:cs="Melior"/>
          <w:sz w:val="24"/>
          <w:szCs w:val="24"/>
        </w:rPr>
        <w:t xml:space="preserve">Rice propagation model for Case 3. </w:t>
      </w:r>
      <w:r w:rsidR="007F0CA1">
        <w:rPr>
          <w:rFonts w:ascii="Melior" w:eastAsiaTheme="minorHAnsi" w:hAnsi="Melior" w:cs="Melior"/>
          <w:sz w:val="24"/>
          <w:szCs w:val="24"/>
        </w:rPr>
        <w:t xml:space="preserve"> </w:t>
      </w:r>
      <w:r w:rsidR="00D153A2" w:rsidRPr="00D153A2">
        <w:rPr>
          <w:rFonts w:ascii="Melior" w:eastAsiaTheme="minorHAnsi" w:hAnsi="Melior" w:cs="Melior"/>
          <w:sz w:val="24"/>
          <w:szCs w:val="24"/>
        </w:rPr>
        <w:t>The</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Commission has relied on the Longley-Rice model to predict television</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coverage and interference for more than</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fifteen years, and that model is widely</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accepted for use at the frequencies in</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the 600 MHz Band.</w:t>
      </w:r>
      <w:r w:rsidR="00695794">
        <w:rPr>
          <w:rFonts w:ascii="Melior" w:eastAsiaTheme="minorHAnsi" w:hAnsi="Melior" w:cs="Melior"/>
          <w:sz w:val="24"/>
          <w:szCs w:val="24"/>
        </w:rPr>
        <w:t xml:space="preserve">  </w:t>
      </w:r>
      <w:r w:rsidR="00D153A2" w:rsidRPr="00D153A2">
        <w:rPr>
          <w:rFonts w:ascii="Melior" w:eastAsiaTheme="minorHAnsi" w:hAnsi="Melior" w:cs="Melior"/>
          <w:sz w:val="24"/>
          <w:szCs w:val="24"/>
        </w:rPr>
        <w:t>For purposes of the auction, the</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ISIX Methodology assumes an Effective</w:t>
      </w:r>
      <w:r w:rsidR="00D153A2">
        <w:rPr>
          <w:rFonts w:ascii="Melior" w:eastAsiaTheme="minorHAnsi" w:hAnsi="Melior" w:cs="Melior"/>
          <w:sz w:val="24"/>
          <w:szCs w:val="24"/>
        </w:rPr>
        <w:t xml:space="preserve"> </w:t>
      </w:r>
      <w:r w:rsidR="00C73F82">
        <w:rPr>
          <w:rFonts w:ascii="Melior" w:eastAsiaTheme="minorHAnsi" w:hAnsi="Melior" w:cs="Melior"/>
          <w:sz w:val="24"/>
          <w:szCs w:val="24"/>
        </w:rPr>
        <w:t xml:space="preserve">Radiated Power </w:t>
      </w:r>
      <w:r w:rsidR="00D153A2" w:rsidRPr="00D153A2">
        <w:rPr>
          <w:rFonts w:ascii="Melior" w:eastAsiaTheme="minorHAnsi" w:hAnsi="Melior" w:cs="Melior"/>
          <w:sz w:val="24"/>
          <w:szCs w:val="24"/>
        </w:rPr>
        <w:t xml:space="preserve">level of 120 W/MHz for a wireless base station. </w:t>
      </w:r>
      <w:r w:rsidR="00604E50">
        <w:rPr>
          <w:rFonts w:ascii="Melior" w:eastAsiaTheme="minorHAnsi" w:hAnsi="Melior" w:cs="Melior"/>
          <w:sz w:val="24"/>
          <w:szCs w:val="24"/>
        </w:rPr>
        <w:t xml:space="preserve"> </w:t>
      </w:r>
      <w:r w:rsidR="00D153A2" w:rsidRPr="00D153A2">
        <w:rPr>
          <w:rFonts w:ascii="Melior" w:eastAsiaTheme="minorHAnsi" w:hAnsi="Melior" w:cs="Melior"/>
          <w:sz w:val="24"/>
          <w:szCs w:val="24"/>
        </w:rPr>
        <w:t>The antenna Height Above</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Average Terrain value of 30</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meters adopted for use in the ISIX</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Methodology is consistent with real</w:t>
      </w:r>
      <w:r w:rsidR="00D153A2">
        <w:rPr>
          <w:rFonts w:ascii="Melior" w:eastAsiaTheme="minorHAnsi" w:hAnsi="Melior" w:cs="Melior"/>
          <w:sz w:val="24"/>
          <w:szCs w:val="24"/>
        </w:rPr>
        <w:t>-wo</w:t>
      </w:r>
      <w:r w:rsidR="00D153A2" w:rsidRPr="00D153A2">
        <w:rPr>
          <w:rFonts w:ascii="Melior" w:eastAsiaTheme="minorHAnsi" w:hAnsi="Melior" w:cs="Melior"/>
          <w:sz w:val="24"/>
          <w:szCs w:val="24"/>
        </w:rPr>
        <w:t>rld</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network information incorporated</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in the Commerce Spectrum</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Management Advisory Committee</w:t>
      </w:r>
      <w:r w:rsidR="00D153A2">
        <w:rPr>
          <w:rFonts w:ascii="Melior" w:eastAsiaTheme="minorHAnsi" w:hAnsi="Melior" w:cs="Melior"/>
          <w:sz w:val="24"/>
          <w:szCs w:val="24"/>
        </w:rPr>
        <w:t xml:space="preserve"> </w:t>
      </w:r>
      <w:r w:rsidR="00D153A2" w:rsidRPr="00D153A2">
        <w:rPr>
          <w:rFonts w:ascii="Melior" w:eastAsiaTheme="minorHAnsi" w:hAnsi="Melior" w:cs="Melior"/>
          <w:sz w:val="24"/>
          <w:szCs w:val="24"/>
        </w:rPr>
        <w:t xml:space="preserve">Final Report. </w:t>
      </w:r>
      <w:r w:rsidR="00604E50">
        <w:rPr>
          <w:rFonts w:ascii="Melior" w:eastAsiaTheme="minorHAnsi" w:hAnsi="Melior" w:cs="Melior"/>
          <w:sz w:val="24"/>
          <w:szCs w:val="24"/>
        </w:rPr>
        <w:t xml:space="preserve"> </w:t>
      </w:r>
    </w:p>
    <w:p w:rsidR="001E2D84" w:rsidRDefault="001E2D84" w:rsidP="00887475">
      <w:pPr>
        <w:autoSpaceDE w:val="0"/>
        <w:autoSpaceDN w:val="0"/>
        <w:adjustRightInd w:val="0"/>
        <w:rPr>
          <w:rFonts w:ascii="Melior" w:eastAsiaTheme="minorHAnsi" w:hAnsi="Melior" w:cs="Melior"/>
          <w:sz w:val="24"/>
          <w:szCs w:val="24"/>
        </w:rPr>
      </w:pPr>
    </w:p>
    <w:p w:rsidR="001E2D84" w:rsidRPr="001E2D84" w:rsidRDefault="001E2D84" w:rsidP="00DE1586">
      <w:pPr>
        <w:pStyle w:val="ListParagraph"/>
        <w:numPr>
          <w:ilvl w:val="0"/>
          <w:numId w:val="8"/>
        </w:numPr>
        <w:autoSpaceDE w:val="0"/>
        <w:autoSpaceDN w:val="0"/>
        <w:adjustRightInd w:val="0"/>
        <w:rPr>
          <w:rFonts w:eastAsiaTheme="minorHAnsi"/>
          <w:b/>
          <w:sz w:val="24"/>
          <w:szCs w:val="24"/>
        </w:rPr>
      </w:pPr>
      <w:r>
        <w:rPr>
          <w:rFonts w:eastAsiaTheme="minorHAnsi"/>
          <w:b/>
          <w:sz w:val="24"/>
          <w:szCs w:val="24"/>
        </w:rPr>
        <w:t>Wireless User Equipment to Digital Television Receiver (Case 4)</w:t>
      </w:r>
    </w:p>
    <w:p w:rsidR="001E2D84" w:rsidRDefault="001E2D84" w:rsidP="00887475">
      <w:pPr>
        <w:autoSpaceDE w:val="0"/>
        <w:autoSpaceDN w:val="0"/>
        <w:adjustRightInd w:val="0"/>
        <w:rPr>
          <w:rFonts w:ascii="Melior" w:eastAsiaTheme="minorHAnsi" w:hAnsi="Melior" w:cs="Melior"/>
          <w:sz w:val="24"/>
          <w:szCs w:val="24"/>
        </w:rPr>
      </w:pPr>
    </w:p>
    <w:p w:rsidR="00887475" w:rsidRDefault="00887475" w:rsidP="000E600C">
      <w:pPr>
        <w:autoSpaceDE w:val="0"/>
        <w:autoSpaceDN w:val="0"/>
        <w:adjustRightInd w:val="0"/>
        <w:ind w:firstLine="720"/>
        <w:rPr>
          <w:rFonts w:ascii="Melior" w:eastAsiaTheme="minorHAnsi" w:hAnsi="Melior" w:cs="Melior"/>
          <w:sz w:val="24"/>
          <w:szCs w:val="24"/>
        </w:rPr>
      </w:pPr>
      <w:r w:rsidRPr="00887475">
        <w:rPr>
          <w:rFonts w:ascii="Melior" w:eastAsiaTheme="minorHAnsi" w:hAnsi="Melior" w:cs="Melior"/>
          <w:sz w:val="24"/>
          <w:szCs w:val="24"/>
        </w:rPr>
        <w:t>The Commission adopted fixed</w:t>
      </w:r>
      <w:r>
        <w:rPr>
          <w:rFonts w:ascii="Melior" w:eastAsiaTheme="minorHAnsi" w:hAnsi="Melior" w:cs="Melior"/>
          <w:sz w:val="24"/>
          <w:szCs w:val="24"/>
        </w:rPr>
        <w:t xml:space="preserve"> </w:t>
      </w:r>
      <w:r w:rsidRPr="00887475">
        <w:rPr>
          <w:rFonts w:ascii="Melior" w:eastAsiaTheme="minorHAnsi" w:hAnsi="Melior" w:cs="Melior"/>
          <w:sz w:val="24"/>
          <w:szCs w:val="24"/>
        </w:rPr>
        <w:t>geographic separation distances for Case</w:t>
      </w:r>
      <w:r>
        <w:rPr>
          <w:rFonts w:ascii="Melior" w:eastAsiaTheme="minorHAnsi" w:hAnsi="Melior" w:cs="Melior"/>
          <w:sz w:val="24"/>
          <w:szCs w:val="24"/>
        </w:rPr>
        <w:t xml:space="preserve"> </w:t>
      </w:r>
      <w:r w:rsidRPr="00887475">
        <w:rPr>
          <w:rFonts w:ascii="Melior" w:eastAsiaTheme="minorHAnsi" w:hAnsi="Melior" w:cs="Melior"/>
          <w:sz w:val="24"/>
          <w:szCs w:val="24"/>
        </w:rPr>
        <w:t>4</w:t>
      </w:r>
      <w:r w:rsidR="00C42658">
        <w:rPr>
          <w:rFonts w:ascii="Melior" w:eastAsiaTheme="minorHAnsi" w:hAnsi="Melior" w:cs="Melior"/>
          <w:sz w:val="24"/>
          <w:szCs w:val="24"/>
        </w:rPr>
        <w:t xml:space="preserve">, </w:t>
      </w:r>
      <w:r w:rsidR="00C42658" w:rsidRPr="00887475">
        <w:rPr>
          <w:rFonts w:ascii="Melior" w:eastAsiaTheme="minorHAnsi" w:hAnsi="Melior" w:cs="Melior"/>
          <w:sz w:val="24"/>
          <w:szCs w:val="24"/>
        </w:rPr>
        <w:t>because it involves</w:t>
      </w:r>
      <w:r w:rsidR="00C42658">
        <w:rPr>
          <w:rFonts w:ascii="Melior" w:eastAsiaTheme="minorHAnsi" w:hAnsi="Melior" w:cs="Melior"/>
          <w:sz w:val="24"/>
          <w:szCs w:val="24"/>
        </w:rPr>
        <w:t xml:space="preserve"> </w:t>
      </w:r>
      <w:r w:rsidR="00C42658" w:rsidRPr="00887475">
        <w:rPr>
          <w:rFonts w:ascii="Melior" w:eastAsiaTheme="minorHAnsi" w:hAnsi="Melior" w:cs="Melior"/>
          <w:sz w:val="24"/>
          <w:szCs w:val="24"/>
        </w:rPr>
        <w:t>short distances only</w:t>
      </w:r>
      <w:r w:rsidRPr="00887475">
        <w:rPr>
          <w:rFonts w:ascii="Melior" w:eastAsiaTheme="minorHAnsi" w:hAnsi="Melior" w:cs="Melior"/>
          <w:sz w:val="24"/>
          <w:szCs w:val="24"/>
        </w:rPr>
        <w:t xml:space="preserve">. </w:t>
      </w:r>
      <w:r w:rsidR="000D07D6">
        <w:rPr>
          <w:rFonts w:ascii="Melior" w:eastAsiaTheme="minorHAnsi" w:hAnsi="Melior" w:cs="Melior"/>
          <w:sz w:val="24"/>
          <w:szCs w:val="24"/>
        </w:rPr>
        <w:t xml:space="preserve"> </w:t>
      </w:r>
      <w:r w:rsidRPr="00887475">
        <w:rPr>
          <w:rFonts w:ascii="Melior" w:eastAsiaTheme="minorHAnsi" w:hAnsi="Melior" w:cs="Melior"/>
          <w:sz w:val="24"/>
          <w:szCs w:val="24"/>
        </w:rPr>
        <w:t>Specifically, wireless user equipment</w:t>
      </w:r>
      <w:r>
        <w:rPr>
          <w:rFonts w:ascii="Melior" w:eastAsiaTheme="minorHAnsi" w:hAnsi="Melior" w:cs="Melior"/>
          <w:sz w:val="24"/>
          <w:szCs w:val="24"/>
        </w:rPr>
        <w:t xml:space="preserve"> </w:t>
      </w:r>
      <w:r w:rsidRPr="00887475">
        <w:rPr>
          <w:rFonts w:ascii="Melior" w:eastAsiaTheme="minorHAnsi" w:hAnsi="Melior" w:cs="Melior"/>
          <w:sz w:val="24"/>
          <w:szCs w:val="24"/>
        </w:rPr>
        <w:t>(</w:t>
      </w:r>
      <w:r w:rsidRPr="006A2CCA">
        <w:rPr>
          <w:rFonts w:ascii="Melior" w:eastAsiaTheme="minorHAnsi" w:hAnsi="Melior" w:cs="Melior"/>
          <w:i/>
          <w:sz w:val="24"/>
          <w:szCs w:val="24"/>
        </w:rPr>
        <w:t>i.e.</w:t>
      </w:r>
      <w:r w:rsidR="006A2CCA">
        <w:rPr>
          <w:rFonts w:ascii="Melior" w:eastAsiaTheme="minorHAnsi" w:hAnsi="Melior" w:cs="Melior"/>
          <w:sz w:val="24"/>
          <w:szCs w:val="24"/>
        </w:rPr>
        <w:t xml:space="preserve">, </w:t>
      </w:r>
      <w:r w:rsidRPr="00887475">
        <w:rPr>
          <w:rFonts w:ascii="Melior" w:eastAsiaTheme="minorHAnsi" w:hAnsi="Melior" w:cs="Melior"/>
          <w:sz w:val="24"/>
          <w:szCs w:val="24"/>
        </w:rPr>
        <w:t>mobile and portable devices) will</w:t>
      </w:r>
      <w:r>
        <w:rPr>
          <w:rFonts w:ascii="Melior" w:eastAsiaTheme="minorHAnsi" w:hAnsi="Melior" w:cs="Melior"/>
          <w:sz w:val="24"/>
          <w:szCs w:val="24"/>
        </w:rPr>
        <w:t xml:space="preserve"> </w:t>
      </w:r>
      <w:r w:rsidRPr="00887475">
        <w:rPr>
          <w:rFonts w:ascii="Melior" w:eastAsiaTheme="minorHAnsi" w:hAnsi="Melior" w:cs="Melior"/>
          <w:sz w:val="24"/>
          <w:szCs w:val="24"/>
        </w:rPr>
        <w:t>be prohibited from co-channel or</w:t>
      </w:r>
      <w:r w:rsidR="00C42658">
        <w:rPr>
          <w:rFonts w:ascii="Melior" w:eastAsiaTheme="minorHAnsi" w:hAnsi="Melior" w:cs="Melior"/>
          <w:sz w:val="24"/>
          <w:szCs w:val="24"/>
        </w:rPr>
        <w:t xml:space="preserve"> </w:t>
      </w:r>
      <w:r w:rsidRPr="00887475">
        <w:rPr>
          <w:rFonts w:ascii="Melior" w:eastAsiaTheme="minorHAnsi" w:hAnsi="Melior" w:cs="Melior"/>
          <w:sz w:val="24"/>
          <w:szCs w:val="24"/>
        </w:rPr>
        <w:t>adjacent-channel operations within a</w:t>
      </w:r>
      <w:r>
        <w:rPr>
          <w:rFonts w:ascii="Melior" w:eastAsiaTheme="minorHAnsi" w:hAnsi="Melior" w:cs="Melior"/>
          <w:sz w:val="24"/>
          <w:szCs w:val="24"/>
        </w:rPr>
        <w:t xml:space="preserve"> </w:t>
      </w:r>
      <w:r w:rsidRPr="00887475">
        <w:rPr>
          <w:rFonts w:ascii="Melior" w:eastAsiaTheme="minorHAnsi" w:hAnsi="Melior" w:cs="Melior"/>
          <w:sz w:val="24"/>
          <w:szCs w:val="24"/>
        </w:rPr>
        <w:t>television station’s contour and within a</w:t>
      </w:r>
      <w:r>
        <w:rPr>
          <w:rFonts w:ascii="Melior" w:eastAsiaTheme="minorHAnsi" w:hAnsi="Melior" w:cs="Melior"/>
          <w:sz w:val="24"/>
          <w:szCs w:val="24"/>
        </w:rPr>
        <w:t xml:space="preserve"> </w:t>
      </w:r>
      <w:r w:rsidRPr="00887475">
        <w:rPr>
          <w:rFonts w:ascii="Melior" w:eastAsiaTheme="minorHAnsi" w:hAnsi="Melior" w:cs="Melior"/>
          <w:sz w:val="24"/>
          <w:szCs w:val="24"/>
        </w:rPr>
        <w:t>set distance from the station’s contour.</w:t>
      </w:r>
      <w:r>
        <w:rPr>
          <w:rFonts w:ascii="Melior" w:eastAsiaTheme="minorHAnsi" w:hAnsi="Melior" w:cs="Melior"/>
          <w:sz w:val="24"/>
          <w:szCs w:val="24"/>
        </w:rPr>
        <w:t xml:space="preserve"> </w:t>
      </w:r>
      <w:r w:rsidR="000D07D6">
        <w:rPr>
          <w:rFonts w:ascii="Melior" w:eastAsiaTheme="minorHAnsi" w:hAnsi="Melior" w:cs="Melior"/>
          <w:sz w:val="24"/>
          <w:szCs w:val="24"/>
        </w:rPr>
        <w:t xml:space="preserve"> </w:t>
      </w:r>
      <w:r w:rsidRPr="00887475">
        <w:rPr>
          <w:rFonts w:ascii="Melior" w:eastAsiaTheme="minorHAnsi" w:hAnsi="Melior" w:cs="Melior"/>
          <w:sz w:val="24"/>
          <w:szCs w:val="24"/>
        </w:rPr>
        <w:t>The Commission determined that the</w:t>
      </w:r>
      <w:r>
        <w:rPr>
          <w:rFonts w:ascii="Melior" w:eastAsiaTheme="minorHAnsi" w:hAnsi="Melior" w:cs="Melior"/>
          <w:sz w:val="24"/>
          <w:szCs w:val="24"/>
        </w:rPr>
        <w:t xml:space="preserve"> </w:t>
      </w:r>
      <w:r w:rsidRPr="00887475">
        <w:rPr>
          <w:rFonts w:ascii="Melior" w:eastAsiaTheme="minorHAnsi" w:hAnsi="Melior" w:cs="Melior"/>
          <w:sz w:val="24"/>
          <w:szCs w:val="24"/>
        </w:rPr>
        <w:t xml:space="preserve">appropriate distance is five </w:t>
      </w:r>
      <w:r>
        <w:rPr>
          <w:rFonts w:ascii="Melior" w:eastAsiaTheme="minorHAnsi" w:hAnsi="Melior" w:cs="Melior"/>
          <w:sz w:val="24"/>
          <w:szCs w:val="24"/>
        </w:rPr>
        <w:t>k</w:t>
      </w:r>
      <w:r w:rsidRPr="00887475">
        <w:rPr>
          <w:rFonts w:ascii="Melior" w:eastAsiaTheme="minorHAnsi" w:hAnsi="Melior" w:cs="Melior"/>
          <w:sz w:val="24"/>
          <w:szCs w:val="24"/>
        </w:rPr>
        <w:t>ilometers</w:t>
      </w:r>
      <w:r>
        <w:rPr>
          <w:rFonts w:ascii="Melior" w:eastAsiaTheme="minorHAnsi" w:hAnsi="Melior" w:cs="Melior"/>
          <w:sz w:val="24"/>
          <w:szCs w:val="24"/>
        </w:rPr>
        <w:t xml:space="preserve"> </w:t>
      </w:r>
      <w:r w:rsidRPr="00887475">
        <w:rPr>
          <w:rFonts w:ascii="Melior" w:eastAsiaTheme="minorHAnsi" w:hAnsi="Melior" w:cs="Melior"/>
          <w:sz w:val="24"/>
          <w:szCs w:val="24"/>
        </w:rPr>
        <w:t>for co-channel operations, and one-half</w:t>
      </w:r>
      <w:r>
        <w:rPr>
          <w:rFonts w:ascii="Melior" w:eastAsiaTheme="minorHAnsi" w:hAnsi="Melior" w:cs="Melior"/>
          <w:sz w:val="24"/>
          <w:szCs w:val="24"/>
        </w:rPr>
        <w:t xml:space="preserve"> </w:t>
      </w:r>
      <w:r w:rsidRPr="00887475">
        <w:rPr>
          <w:rFonts w:ascii="Melior" w:eastAsiaTheme="minorHAnsi" w:hAnsi="Melior" w:cs="Melior"/>
          <w:sz w:val="24"/>
          <w:szCs w:val="24"/>
        </w:rPr>
        <w:t>kilometer for adjacent-channel</w:t>
      </w:r>
      <w:r>
        <w:rPr>
          <w:rFonts w:ascii="Melior" w:eastAsiaTheme="minorHAnsi" w:hAnsi="Melior" w:cs="Melior"/>
          <w:sz w:val="24"/>
          <w:szCs w:val="24"/>
        </w:rPr>
        <w:t xml:space="preserve"> </w:t>
      </w:r>
      <w:r w:rsidRPr="00887475">
        <w:rPr>
          <w:rFonts w:ascii="Melior" w:eastAsiaTheme="minorHAnsi" w:hAnsi="Melior" w:cs="Melior"/>
          <w:sz w:val="24"/>
          <w:szCs w:val="24"/>
        </w:rPr>
        <w:t>operations.</w:t>
      </w:r>
    </w:p>
    <w:p w:rsidR="00DA41A7" w:rsidRDefault="00DA41A7" w:rsidP="00725A7B">
      <w:pPr>
        <w:rPr>
          <w:b/>
          <w:sz w:val="24"/>
          <w:szCs w:val="24"/>
        </w:rPr>
      </w:pPr>
    </w:p>
    <w:p w:rsidR="000E3C37" w:rsidRDefault="000E3C37" w:rsidP="00725A7B">
      <w:pPr>
        <w:rPr>
          <w:b/>
          <w:sz w:val="24"/>
          <w:szCs w:val="24"/>
        </w:rPr>
      </w:pPr>
      <w:r>
        <w:rPr>
          <w:b/>
          <w:sz w:val="24"/>
          <w:szCs w:val="24"/>
        </w:rPr>
        <w:t>III.</w:t>
      </w:r>
      <w:r>
        <w:rPr>
          <w:b/>
          <w:sz w:val="24"/>
          <w:szCs w:val="24"/>
        </w:rPr>
        <w:tab/>
      </w:r>
      <w:r w:rsidR="00E005C8">
        <w:rPr>
          <w:b/>
          <w:sz w:val="24"/>
          <w:szCs w:val="24"/>
        </w:rPr>
        <w:t>RECORDKEEPING AND OTHER COMPLIANCE REQUIREMENTS</w:t>
      </w:r>
    </w:p>
    <w:p w:rsidR="00E005C8" w:rsidRDefault="00E005C8" w:rsidP="00725A7B">
      <w:pPr>
        <w:rPr>
          <w:b/>
          <w:sz w:val="24"/>
          <w:szCs w:val="24"/>
        </w:rPr>
      </w:pPr>
    </w:p>
    <w:p w:rsidR="00E005C8" w:rsidRPr="00D54493" w:rsidRDefault="007F0CA1" w:rsidP="00D54493">
      <w:pPr>
        <w:autoSpaceDE w:val="0"/>
        <w:autoSpaceDN w:val="0"/>
        <w:adjustRightInd w:val="0"/>
        <w:ind w:firstLine="720"/>
        <w:rPr>
          <w:rFonts w:eastAsiaTheme="minorHAnsi"/>
          <w:sz w:val="24"/>
          <w:szCs w:val="24"/>
        </w:rPr>
      </w:pPr>
      <w:r w:rsidRPr="00D54493">
        <w:rPr>
          <w:sz w:val="24"/>
          <w:szCs w:val="24"/>
        </w:rPr>
        <w:t xml:space="preserve">While </w:t>
      </w:r>
      <w:r>
        <w:rPr>
          <w:sz w:val="24"/>
          <w:szCs w:val="24"/>
        </w:rPr>
        <w:t xml:space="preserve">the </w:t>
      </w:r>
      <w:r w:rsidRPr="00370909">
        <w:rPr>
          <w:rFonts w:eastAsiaTheme="minorHAnsi"/>
          <w:sz w:val="24"/>
          <w:szCs w:val="24"/>
        </w:rPr>
        <w:t xml:space="preserve">Commission </w:t>
      </w:r>
      <w:r>
        <w:rPr>
          <w:rFonts w:eastAsiaTheme="minorHAnsi"/>
          <w:sz w:val="24"/>
          <w:szCs w:val="24"/>
        </w:rPr>
        <w:t xml:space="preserve">in the Order declined to adopt </w:t>
      </w:r>
      <w:r w:rsidR="007501F8">
        <w:rPr>
          <w:rFonts w:eastAsiaTheme="minorHAnsi"/>
          <w:sz w:val="24"/>
          <w:szCs w:val="24"/>
        </w:rPr>
        <w:t xml:space="preserve">an aggregate cap </w:t>
      </w:r>
      <w:r w:rsidRPr="001E3E24">
        <w:rPr>
          <w:sz w:val="24"/>
          <w:szCs w:val="24"/>
        </w:rPr>
        <w:t>on new interference between television stations as result of the repacking process</w:t>
      </w:r>
      <w:r>
        <w:rPr>
          <w:sz w:val="24"/>
          <w:szCs w:val="24"/>
        </w:rPr>
        <w:t xml:space="preserve">, it adopted </w:t>
      </w:r>
      <w:r w:rsidRPr="00370909">
        <w:rPr>
          <w:rFonts w:eastAsiaTheme="minorHAnsi"/>
          <w:sz w:val="24"/>
          <w:szCs w:val="24"/>
        </w:rPr>
        <w:t>measures to address exceptional cases</w:t>
      </w:r>
      <w:r>
        <w:rPr>
          <w:rFonts w:eastAsiaTheme="minorHAnsi"/>
          <w:sz w:val="24"/>
          <w:szCs w:val="24"/>
        </w:rPr>
        <w:t xml:space="preserve"> </w:t>
      </w:r>
      <w:r w:rsidRPr="00370909">
        <w:rPr>
          <w:rFonts w:eastAsiaTheme="minorHAnsi"/>
          <w:sz w:val="24"/>
          <w:szCs w:val="24"/>
        </w:rPr>
        <w:t xml:space="preserve">where a station is </w:t>
      </w:r>
      <w:r>
        <w:rPr>
          <w:rFonts w:eastAsiaTheme="minorHAnsi"/>
          <w:sz w:val="24"/>
          <w:szCs w:val="24"/>
        </w:rPr>
        <w:t>p</w:t>
      </w:r>
      <w:r w:rsidRPr="00370909">
        <w:rPr>
          <w:rFonts w:eastAsiaTheme="minorHAnsi"/>
          <w:sz w:val="24"/>
          <w:szCs w:val="24"/>
        </w:rPr>
        <w:t>redicted to receive</w:t>
      </w:r>
      <w:r>
        <w:rPr>
          <w:rFonts w:eastAsiaTheme="minorHAnsi"/>
          <w:sz w:val="24"/>
          <w:szCs w:val="24"/>
        </w:rPr>
        <w:t xml:space="preserve"> </w:t>
      </w:r>
      <w:r w:rsidRPr="00370909">
        <w:rPr>
          <w:rFonts w:eastAsiaTheme="minorHAnsi"/>
          <w:sz w:val="24"/>
          <w:szCs w:val="24"/>
        </w:rPr>
        <w:t>aggregate new interference in excess of</w:t>
      </w:r>
      <w:r>
        <w:rPr>
          <w:rFonts w:eastAsiaTheme="minorHAnsi"/>
          <w:sz w:val="24"/>
          <w:szCs w:val="24"/>
        </w:rPr>
        <w:t xml:space="preserve"> one percent.  One of these measures allows </w:t>
      </w:r>
      <w:r w:rsidRPr="00370909">
        <w:rPr>
          <w:rFonts w:eastAsiaTheme="minorHAnsi"/>
          <w:sz w:val="24"/>
          <w:szCs w:val="24"/>
        </w:rPr>
        <w:t>a station predicted to receive new</w:t>
      </w:r>
      <w:r>
        <w:rPr>
          <w:rFonts w:eastAsiaTheme="minorHAnsi"/>
          <w:sz w:val="24"/>
          <w:szCs w:val="24"/>
        </w:rPr>
        <w:t xml:space="preserve"> </w:t>
      </w:r>
      <w:r w:rsidRPr="00370909">
        <w:rPr>
          <w:rFonts w:eastAsiaTheme="minorHAnsi"/>
          <w:sz w:val="24"/>
          <w:szCs w:val="24"/>
        </w:rPr>
        <w:t xml:space="preserve">interference above one percent on </w:t>
      </w:r>
      <w:r>
        <w:rPr>
          <w:rFonts w:eastAsiaTheme="minorHAnsi"/>
          <w:sz w:val="24"/>
          <w:szCs w:val="24"/>
        </w:rPr>
        <w:t xml:space="preserve">its </w:t>
      </w:r>
      <w:r w:rsidRPr="00370909">
        <w:rPr>
          <w:rFonts w:eastAsiaTheme="minorHAnsi"/>
          <w:sz w:val="24"/>
          <w:szCs w:val="24"/>
        </w:rPr>
        <w:t>final channel assign</w:t>
      </w:r>
      <w:r>
        <w:rPr>
          <w:rFonts w:eastAsiaTheme="minorHAnsi"/>
          <w:sz w:val="24"/>
          <w:szCs w:val="24"/>
        </w:rPr>
        <w:t xml:space="preserve">ment </w:t>
      </w:r>
      <w:r w:rsidRPr="00370909">
        <w:rPr>
          <w:rFonts w:eastAsiaTheme="minorHAnsi"/>
          <w:sz w:val="24"/>
          <w:szCs w:val="24"/>
        </w:rPr>
        <w:t>to</w:t>
      </w:r>
      <w:r>
        <w:rPr>
          <w:rFonts w:eastAsiaTheme="minorHAnsi"/>
          <w:sz w:val="24"/>
          <w:szCs w:val="24"/>
        </w:rPr>
        <w:t xml:space="preserve"> </w:t>
      </w:r>
      <w:r w:rsidRPr="00370909">
        <w:rPr>
          <w:rFonts w:eastAsiaTheme="minorHAnsi"/>
          <w:sz w:val="24"/>
          <w:szCs w:val="24"/>
        </w:rPr>
        <w:t>file an application proposing an</w:t>
      </w:r>
      <w:r>
        <w:rPr>
          <w:rFonts w:eastAsiaTheme="minorHAnsi"/>
          <w:sz w:val="24"/>
          <w:szCs w:val="24"/>
        </w:rPr>
        <w:t xml:space="preserve"> </w:t>
      </w:r>
      <w:r w:rsidRPr="00370909">
        <w:rPr>
          <w:rFonts w:eastAsiaTheme="minorHAnsi"/>
          <w:sz w:val="24"/>
          <w:szCs w:val="24"/>
        </w:rPr>
        <w:t>alternate channel or expanded facilities</w:t>
      </w:r>
      <w:r>
        <w:rPr>
          <w:rFonts w:eastAsiaTheme="minorHAnsi"/>
          <w:sz w:val="24"/>
          <w:szCs w:val="24"/>
        </w:rPr>
        <w:t xml:space="preserve"> </w:t>
      </w:r>
      <w:r w:rsidRPr="00370909">
        <w:rPr>
          <w:rFonts w:eastAsiaTheme="minorHAnsi"/>
          <w:sz w:val="24"/>
          <w:szCs w:val="24"/>
        </w:rPr>
        <w:t>in a priority filing window.</w:t>
      </w:r>
      <w:r w:rsidRPr="007F0CA1">
        <w:rPr>
          <w:rFonts w:eastAsiaTheme="minorHAnsi"/>
          <w:sz w:val="24"/>
          <w:szCs w:val="24"/>
        </w:rPr>
        <w:t xml:space="preserve"> </w:t>
      </w:r>
      <w:r>
        <w:rPr>
          <w:rFonts w:eastAsiaTheme="minorHAnsi"/>
          <w:sz w:val="24"/>
          <w:szCs w:val="24"/>
        </w:rPr>
        <w:t xml:space="preserve"> </w:t>
      </w:r>
      <w:r w:rsidRPr="00370909">
        <w:rPr>
          <w:rFonts w:eastAsiaTheme="minorHAnsi"/>
          <w:sz w:val="24"/>
          <w:szCs w:val="24"/>
        </w:rPr>
        <w:t>This opportunity will be available to</w:t>
      </w:r>
      <w:r>
        <w:rPr>
          <w:rFonts w:eastAsiaTheme="minorHAnsi"/>
          <w:sz w:val="24"/>
          <w:szCs w:val="24"/>
        </w:rPr>
        <w:t xml:space="preserve"> </w:t>
      </w:r>
      <w:r w:rsidRPr="00370909">
        <w:rPr>
          <w:rFonts w:eastAsiaTheme="minorHAnsi"/>
          <w:sz w:val="24"/>
          <w:szCs w:val="24"/>
        </w:rPr>
        <w:t>any station entitled to protection in the</w:t>
      </w:r>
      <w:r>
        <w:rPr>
          <w:rFonts w:eastAsiaTheme="minorHAnsi"/>
          <w:sz w:val="24"/>
          <w:szCs w:val="24"/>
        </w:rPr>
        <w:t xml:space="preserve"> </w:t>
      </w:r>
      <w:r w:rsidRPr="00370909">
        <w:rPr>
          <w:rFonts w:eastAsiaTheme="minorHAnsi"/>
          <w:sz w:val="24"/>
          <w:szCs w:val="24"/>
        </w:rPr>
        <w:t>repacking process that is predicted to</w:t>
      </w:r>
      <w:r>
        <w:rPr>
          <w:rFonts w:eastAsiaTheme="minorHAnsi"/>
          <w:sz w:val="24"/>
          <w:szCs w:val="24"/>
        </w:rPr>
        <w:t xml:space="preserve"> </w:t>
      </w:r>
      <w:r w:rsidRPr="00370909">
        <w:rPr>
          <w:rFonts w:eastAsiaTheme="minorHAnsi"/>
          <w:sz w:val="24"/>
          <w:szCs w:val="24"/>
        </w:rPr>
        <w:t xml:space="preserve">experience </w:t>
      </w:r>
      <w:r>
        <w:rPr>
          <w:rFonts w:eastAsiaTheme="minorHAnsi"/>
          <w:sz w:val="24"/>
          <w:szCs w:val="24"/>
        </w:rPr>
        <w:t>a</w:t>
      </w:r>
      <w:r w:rsidRPr="00370909">
        <w:rPr>
          <w:rFonts w:eastAsiaTheme="minorHAnsi"/>
          <w:sz w:val="24"/>
          <w:szCs w:val="24"/>
        </w:rPr>
        <w:t>ggregate new interference</w:t>
      </w:r>
      <w:r>
        <w:rPr>
          <w:rFonts w:eastAsiaTheme="minorHAnsi"/>
          <w:sz w:val="24"/>
          <w:szCs w:val="24"/>
        </w:rPr>
        <w:t xml:space="preserve"> </w:t>
      </w:r>
      <w:r w:rsidRPr="00370909">
        <w:rPr>
          <w:rFonts w:eastAsiaTheme="minorHAnsi"/>
          <w:sz w:val="24"/>
          <w:szCs w:val="24"/>
        </w:rPr>
        <w:t>in excess of one percent, regardless of</w:t>
      </w:r>
      <w:r>
        <w:rPr>
          <w:rFonts w:eastAsiaTheme="minorHAnsi"/>
          <w:sz w:val="24"/>
          <w:szCs w:val="24"/>
        </w:rPr>
        <w:t xml:space="preserve"> </w:t>
      </w:r>
      <w:r w:rsidRPr="00370909">
        <w:rPr>
          <w:rFonts w:eastAsiaTheme="minorHAnsi"/>
          <w:sz w:val="24"/>
          <w:szCs w:val="24"/>
        </w:rPr>
        <w:t>whether that station was reassigned to a</w:t>
      </w:r>
      <w:r>
        <w:rPr>
          <w:rFonts w:eastAsiaTheme="minorHAnsi"/>
          <w:sz w:val="24"/>
          <w:szCs w:val="24"/>
        </w:rPr>
        <w:t xml:space="preserve"> </w:t>
      </w:r>
      <w:r w:rsidRPr="00370909">
        <w:rPr>
          <w:rFonts w:eastAsiaTheme="minorHAnsi"/>
          <w:sz w:val="24"/>
          <w:szCs w:val="24"/>
        </w:rPr>
        <w:t>new channel in the repacking process.</w:t>
      </w:r>
      <w:r>
        <w:rPr>
          <w:rFonts w:eastAsiaTheme="minorHAnsi"/>
          <w:sz w:val="24"/>
          <w:szCs w:val="24"/>
        </w:rPr>
        <w:t xml:space="preserve">  </w:t>
      </w:r>
    </w:p>
    <w:p w:rsidR="000E3C37" w:rsidRDefault="000E3C37" w:rsidP="00725A7B">
      <w:pPr>
        <w:rPr>
          <w:b/>
          <w:sz w:val="24"/>
          <w:szCs w:val="24"/>
        </w:rPr>
      </w:pPr>
    </w:p>
    <w:p w:rsidR="00302015" w:rsidRPr="00AC29B5" w:rsidRDefault="006B3792" w:rsidP="00725A7B">
      <w:pPr>
        <w:rPr>
          <w:b/>
          <w:sz w:val="24"/>
          <w:szCs w:val="24"/>
        </w:rPr>
      </w:pPr>
      <w:r w:rsidRPr="00AC29B5">
        <w:rPr>
          <w:b/>
          <w:sz w:val="24"/>
          <w:szCs w:val="24"/>
        </w:rPr>
        <w:t>I</w:t>
      </w:r>
      <w:r w:rsidR="000E3C37">
        <w:rPr>
          <w:b/>
          <w:sz w:val="24"/>
          <w:szCs w:val="24"/>
        </w:rPr>
        <w:t>V</w:t>
      </w:r>
      <w:r w:rsidRPr="00AC29B5">
        <w:rPr>
          <w:b/>
          <w:sz w:val="24"/>
          <w:szCs w:val="24"/>
        </w:rPr>
        <w:t>.</w:t>
      </w:r>
      <w:r w:rsidRPr="00AC29B5">
        <w:rPr>
          <w:b/>
          <w:sz w:val="24"/>
          <w:szCs w:val="24"/>
        </w:rPr>
        <w:tab/>
      </w:r>
      <w:r w:rsidR="00302015" w:rsidRPr="00AC29B5">
        <w:rPr>
          <w:b/>
          <w:sz w:val="24"/>
          <w:szCs w:val="24"/>
        </w:rPr>
        <w:t>INTERNET LINKS</w:t>
      </w:r>
    </w:p>
    <w:p w:rsidR="00302015" w:rsidRPr="00643FB4" w:rsidRDefault="00302015" w:rsidP="005D0346">
      <w:pPr>
        <w:rPr>
          <w:b/>
          <w:sz w:val="24"/>
          <w:szCs w:val="24"/>
          <w:u w:val="single"/>
        </w:rPr>
      </w:pPr>
    </w:p>
    <w:p w:rsidR="00302015" w:rsidRPr="00F439A2" w:rsidRDefault="007660C8" w:rsidP="00F439A2">
      <w:pPr>
        <w:rPr>
          <w:sz w:val="24"/>
          <w:szCs w:val="24"/>
          <w:u w:val="single"/>
        </w:rPr>
      </w:pPr>
      <w:r>
        <w:rPr>
          <w:sz w:val="24"/>
          <w:szCs w:val="24"/>
          <w:u w:val="single"/>
        </w:rPr>
        <w:t xml:space="preserve">Second </w:t>
      </w:r>
      <w:r w:rsidR="00302015" w:rsidRPr="00F439A2">
        <w:rPr>
          <w:sz w:val="24"/>
          <w:szCs w:val="24"/>
          <w:u w:val="single"/>
        </w:rPr>
        <w:t>Report and Order</w:t>
      </w:r>
      <w:r>
        <w:rPr>
          <w:sz w:val="24"/>
          <w:szCs w:val="24"/>
          <w:u w:val="single"/>
        </w:rPr>
        <w:t xml:space="preserve"> and Further Notice of Proposed Rulemaking</w:t>
      </w:r>
    </w:p>
    <w:p w:rsidR="00302015" w:rsidRPr="00643FB4" w:rsidRDefault="00302015" w:rsidP="005D0346">
      <w:pPr>
        <w:rPr>
          <w:sz w:val="24"/>
          <w:szCs w:val="24"/>
          <w:highlight w:val="yellow"/>
        </w:rPr>
      </w:pPr>
    </w:p>
    <w:p w:rsidR="00302015" w:rsidRPr="009E389A" w:rsidRDefault="005946E1" w:rsidP="00DE1586">
      <w:pPr>
        <w:pStyle w:val="ListParagraph"/>
        <w:numPr>
          <w:ilvl w:val="0"/>
          <w:numId w:val="3"/>
        </w:numPr>
        <w:rPr>
          <w:rStyle w:val="Hyperlink"/>
          <w:sz w:val="24"/>
          <w:szCs w:val="24"/>
        </w:rPr>
      </w:pPr>
      <w:hyperlink r:id="rId8" w:history="1">
        <w:r w:rsidR="00C51082" w:rsidRPr="00562A37">
          <w:rPr>
            <w:rStyle w:val="Hyperlink"/>
            <w:sz w:val="24"/>
            <w:szCs w:val="24"/>
          </w:rPr>
          <w:t>https://apps.fcc.gov/edocs_public/attachmatch/FCC-14-157A1.docx</w:t>
        </w:r>
      </w:hyperlink>
    </w:p>
    <w:p w:rsidR="00D27000" w:rsidRPr="009E389A" w:rsidRDefault="005946E1" w:rsidP="00DE1586">
      <w:pPr>
        <w:pStyle w:val="ListParagraph"/>
        <w:numPr>
          <w:ilvl w:val="0"/>
          <w:numId w:val="3"/>
        </w:numPr>
        <w:rPr>
          <w:rStyle w:val="Hyperlink"/>
          <w:sz w:val="24"/>
          <w:szCs w:val="24"/>
        </w:rPr>
      </w:pPr>
      <w:hyperlink r:id="rId9" w:history="1">
        <w:r w:rsidR="00C51082" w:rsidRPr="00562A37">
          <w:rPr>
            <w:rStyle w:val="Hyperlink"/>
            <w:sz w:val="24"/>
            <w:szCs w:val="24"/>
          </w:rPr>
          <w:t>https://apps.fcc.gov/edocs_public/attachmatch/FCC-14-157A1.pdf</w:t>
        </w:r>
      </w:hyperlink>
    </w:p>
    <w:p w:rsidR="00302015" w:rsidRPr="00AB0DC8" w:rsidRDefault="00D27000" w:rsidP="00DE1586">
      <w:pPr>
        <w:pStyle w:val="ListParagraph"/>
        <w:numPr>
          <w:ilvl w:val="0"/>
          <w:numId w:val="3"/>
        </w:numPr>
        <w:rPr>
          <w:color w:val="0000FF"/>
          <w:sz w:val="24"/>
          <w:szCs w:val="24"/>
          <w:u w:val="single"/>
        </w:rPr>
      </w:pPr>
      <w:r w:rsidRPr="008A084A">
        <w:rPr>
          <w:rStyle w:val="Hyperlink"/>
          <w:sz w:val="24"/>
          <w:szCs w:val="24"/>
        </w:rPr>
        <w:t>https://apps.fcc.gov/edocs_public/attachmatch/FCC-14-</w:t>
      </w:r>
      <w:r w:rsidR="00C51082">
        <w:rPr>
          <w:rStyle w:val="Hyperlink"/>
          <w:sz w:val="24"/>
          <w:szCs w:val="24"/>
        </w:rPr>
        <w:t>1</w:t>
      </w:r>
      <w:r w:rsidRPr="008A084A">
        <w:rPr>
          <w:rStyle w:val="Hyperlink"/>
          <w:sz w:val="24"/>
          <w:szCs w:val="24"/>
        </w:rPr>
        <w:t>5</w:t>
      </w:r>
      <w:r w:rsidR="00C51082">
        <w:rPr>
          <w:rStyle w:val="Hyperlink"/>
          <w:sz w:val="24"/>
          <w:szCs w:val="24"/>
        </w:rPr>
        <w:t>7</w:t>
      </w:r>
      <w:r w:rsidRPr="008A084A">
        <w:rPr>
          <w:rStyle w:val="Hyperlink"/>
          <w:sz w:val="24"/>
          <w:szCs w:val="24"/>
        </w:rPr>
        <w:t>A1.txt</w:t>
      </w:r>
    </w:p>
    <w:sectPr w:rsidR="00302015" w:rsidRPr="00AB0DC8" w:rsidSect="00EC7C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56" w:rsidRDefault="00F97C56" w:rsidP="002E73C1">
      <w:r>
        <w:separator/>
      </w:r>
    </w:p>
  </w:endnote>
  <w:endnote w:type="continuationSeparator" w:id="0">
    <w:p w:rsidR="00F97C56" w:rsidRDefault="00F97C56" w:rsidP="002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CE" w:rsidRDefault="00883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90889"/>
      <w:docPartObj>
        <w:docPartGallery w:val="Page Numbers (Bottom of Page)"/>
        <w:docPartUnique/>
      </w:docPartObj>
    </w:sdtPr>
    <w:sdtEndPr>
      <w:rPr>
        <w:noProof/>
      </w:rPr>
    </w:sdtEndPr>
    <w:sdtContent>
      <w:p w:rsidR="006B077B" w:rsidRDefault="00DD40DB">
        <w:pPr>
          <w:pStyle w:val="Footer"/>
          <w:jc w:val="center"/>
        </w:pPr>
        <w:r>
          <w:fldChar w:fldCharType="begin"/>
        </w:r>
        <w:r w:rsidR="006B077B">
          <w:instrText xml:space="preserve"> PAGE   \* MERGEFORMAT </w:instrText>
        </w:r>
        <w:r>
          <w:fldChar w:fldCharType="separate"/>
        </w:r>
        <w:r w:rsidR="005946E1">
          <w:rPr>
            <w:noProof/>
          </w:rPr>
          <w:t>1</w:t>
        </w:r>
        <w:r>
          <w:rPr>
            <w:noProof/>
          </w:rPr>
          <w:fldChar w:fldCharType="end"/>
        </w:r>
      </w:p>
    </w:sdtContent>
  </w:sdt>
  <w:p w:rsidR="006B077B" w:rsidRDefault="006B0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CE" w:rsidRDefault="00883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56" w:rsidRDefault="00F97C56" w:rsidP="002E73C1">
      <w:r>
        <w:separator/>
      </w:r>
    </w:p>
  </w:footnote>
  <w:footnote w:type="continuationSeparator" w:id="0">
    <w:p w:rsidR="00F97C56" w:rsidRDefault="00F97C56" w:rsidP="002E73C1">
      <w:r>
        <w:continuationSeparator/>
      </w:r>
    </w:p>
  </w:footnote>
  <w:footnote w:id="1">
    <w:p w:rsidR="006B077B" w:rsidRDefault="006B077B" w:rsidP="003A4502">
      <w:pPr>
        <w:pStyle w:val="FootnoteText"/>
        <w:spacing w:after="120"/>
      </w:pPr>
      <w:r>
        <w:rPr>
          <w:rStyle w:val="FootnoteReference"/>
        </w:rPr>
        <w:footnoteRef/>
      </w:r>
      <w:r>
        <w:t xml:space="preserve"> </w:t>
      </w:r>
      <w:r>
        <w:rPr>
          <w:i/>
        </w:rPr>
        <w:t>Expanding the Economic and Innovation Opportunities of Spectrum Through Incentive Auctions</w:t>
      </w:r>
      <w:r>
        <w:t>,</w:t>
      </w:r>
      <w:r>
        <w:rPr>
          <w:i/>
        </w:rPr>
        <w:t xml:space="preserve"> </w:t>
      </w:r>
      <w:r>
        <w:t xml:space="preserve">GN Docket No. 12-268, ET Docket Nos. 13-26 and 14-14; Second </w:t>
      </w:r>
      <w:r w:rsidRPr="00306263">
        <w:t>Report and Order</w:t>
      </w:r>
      <w:r>
        <w:t xml:space="preserve"> and Further Notice of Proposed Rulemaking</w:t>
      </w:r>
      <w:r w:rsidRPr="00306263">
        <w:t>,</w:t>
      </w:r>
      <w:r>
        <w:t xml:space="preserve"> 29 FCC Rcd 13071 (2014).</w:t>
      </w:r>
      <w:hyperlink w:history="1"/>
    </w:p>
  </w:footnote>
  <w:footnote w:id="2">
    <w:p w:rsidR="001344A8" w:rsidRDefault="001344A8" w:rsidP="001344A8">
      <w:pPr>
        <w:pStyle w:val="FootnoteText"/>
        <w:spacing w:after="120"/>
      </w:pPr>
      <w:r>
        <w:rPr>
          <w:rStyle w:val="FootnoteReference"/>
        </w:rPr>
        <w:footnoteRef/>
      </w:r>
      <w:r>
        <w:t xml:space="preserve"> </w:t>
      </w:r>
      <w:r>
        <w:rPr>
          <w:i/>
        </w:rPr>
        <w:t>Expanding the Economic and Innovation Opportunities of Spectrum Through Incentive Auctions</w:t>
      </w:r>
      <w:r>
        <w:t>,</w:t>
      </w:r>
      <w:r>
        <w:rPr>
          <w:i/>
        </w:rPr>
        <w:t xml:space="preserve"> </w:t>
      </w:r>
      <w:r>
        <w:t xml:space="preserve">GN Docket No. 12-268, </w:t>
      </w:r>
      <w:r w:rsidRPr="00306263">
        <w:t>Report and Order,</w:t>
      </w:r>
      <w:r>
        <w:t xml:space="preserve"> 29 FCC Rcd 6567 (2014</w:t>
      </w:r>
      <w:r w:rsidRPr="004926E6">
        <w:t xml:space="preserve">).  A Small Entity Compliance Guide for the </w:t>
      </w:r>
      <w:r w:rsidRPr="00CE68B2">
        <w:rPr>
          <w:rFonts w:eastAsiaTheme="minorHAnsi"/>
          <w:i/>
          <w:iCs/>
        </w:rPr>
        <w:t>Incentive Auction R&amp;O</w:t>
      </w:r>
      <w:r w:rsidRPr="004926E6">
        <w:t xml:space="preserve"> </w:t>
      </w:r>
      <w:r>
        <w:t xml:space="preserve">is available at </w:t>
      </w:r>
      <w:hyperlink r:id="rId1" w:history="1">
        <w:r w:rsidRPr="0074702E">
          <w:rPr>
            <w:rStyle w:val="Hyperlink"/>
          </w:rPr>
          <w:t>http://www.fcc.gov/document/incentive-auctions</w:t>
        </w:r>
      </w:hyperlink>
      <w:r>
        <w:t>.</w:t>
      </w:r>
      <w:hyperlink w:history="1"/>
    </w:p>
  </w:footnote>
  <w:footnote w:id="3">
    <w:p w:rsidR="006B077B" w:rsidRDefault="006B077B" w:rsidP="00F36D44">
      <w:pPr>
        <w:spacing w:after="120"/>
      </w:pPr>
      <w:r w:rsidRPr="00F36D44">
        <w:rPr>
          <w:rStyle w:val="FootnoteReference"/>
        </w:rPr>
        <w:footnoteRef/>
      </w:r>
      <w:r w:rsidRPr="00F36D44">
        <w:t xml:space="preserve"> </w:t>
      </w:r>
      <w:r w:rsidRPr="00F36D44">
        <w:rPr>
          <w:i/>
        </w:rPr>
        <w:t>Office of Engineering and Technology Seeks to Supplement the Incentive Auction Proceeding Record Regarding Potential Interference Between Broadcast Television and Wireless Services</w:t>
      </w:r>
      <w:r>
        <w:t>,</w:t>
      </w:r>
      <w:r>
        <w:rPr>
          <w:i/>
        </w:rPr>
        <w:t xml:space="preserve"> </w:t>
      </w:r>
      <w:r>
        <w:t>GN Docket No. 12-268, ET Docket No. 14-14, Public Notice</w:t>
      </w:r>
      <w:r w:rsidRPr="00306263">
        <w:t>,</w:t>
      </w:r>
      <w:r>
        <w:t xml:space="preserve"> 29 FCC Rcd 712 (2014)</w:t>
      </w:r>
      <w:r w:rsidR="004926E6">
        <w:t xml:space="preserve"> (“</w:t>
      </w:r>
      <w:r w:rsidR="004926E6" w:rsidRPr="004926E6">
        <w:rPr>
          <w:i/>
        </w:rPr>
        <w:t>ISIX PN</w:t>
      </w:r>
      <w:r w:rsidR="004926E6">
        <w:t>”)</w:t>
      </w:r>
      <w:r>
        <w:t>.</w:t>
      </w: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CE" w:rsidRDefault="00883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CE" w:rsidRDefault="00883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7B" w:rsidRDefault="005946E1" w:rsidP="002E73C1">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492943616" r:id="rId2"/>
      </w:pict>
    </w:r>
    <w:r w:rsidR="006B077B">
      <w:rPr>
        <w:rFonts w:ascii="CG Times (W1)" w:hAnsi="CG Times (W1)"/>
        <w:sz w:val="28"/>
      </w:rPr>
      <w:t>Federal Communications Commission</w:t>
    </w:r>
  </w:p>
  <w:p w:rsidR="006B077B" w:rsidRDefault="006B077B" w:rsidP="002E73C1">
    <w:pPr>
      <w:jc w:val="center"/>
    </w:pPr>
    <w:r>
      <w:rPr>
        <w:rFonts w:ascii="CG Times (W1)" w:hAnsi="CG Times (W1)"/>
        <w:sz w:val="28"/>
      </w:rPr>
      <w:t>Washington, D.C. 20554</w:t>
    </w:r>
  </w:p>
  <w:p w:rsidR="006B077B" w:rsidRPr="00E144FD" w:rsidRDefault="006B077B" w:rsidP="002E73C1">
    <w:pPr>
      <w:pStyle w:val="Header"/>
      <w:jc w:val="center"/>
      <w:rPr>
        <w:color w:val="FFFFFF" w:themeColor="background1"/>
        <w:sz w:val="22"/>
      </w:rPr>
    </w:pPr>
  </w:p>
  <w:p w:rsidR="006B077B" w:rsidRPr="00E144FD" w:rsidRDefault="00B96983" w:rsidP="002E73C1">
    <w:pPr>
      <w:pStyle w:val="Header"/>
      <w:jc w:val="center"/>
      <w:rPr>
        <w:sz w:val="24"/>
        <w:szCs w:val="24"/>
      </w:rPr>
    </w:pPr>
    <w:r>
      <w:rPr>
        <w:sz w:val="24"/>
        <w:szCs w:val="24"/>
      </w:rPr>
      <w:t>May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E07"/>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E06CBB"/>
    <w:multiLevelType w:val="multilevel"/>
    <w:tmpl w:val="2DA804B6"/>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F60C82"/>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715AD9"/>
    <w:multiLevelType w:val="hybridMultilevel"/>
    <w:tmpl w:val="07269860"/>
    <w:lvl w:ilvl="0" w:tplc="C2524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607DC"/>
    <w:multiLevelType w:val="hybridMultilevel"/>
    <w:tmpl w:val="751E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1309A9"/>
    <w:multiLevelType w:val="hybridMultilevel"/>
    <w:tmpl w:val="EF3C7316"/>
    <w:lvl w:ilvl="0" w:tplc="871482C2">
      <w:start w:val="1"/>
      <w:numFmt w:val="upp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
    <w:nsid w:val="61182925"/>
    <w:multiLevelType w:val="singleLevel"/>
    <w:tmpl w:val="0C0A4480"/>
    <w:lvl w:ilvl="0">
      <w:start w:val="1"/>
      <w:numFmt w:val="decimal"/>
      <w:pStyle w:val="ParaNum"/>
      <w:lvlText w:val="%1."/>
      <w:lvlJc w:val="left"/>
      <w:pPr>
        <w:tabs>
          <w:tab w:val="num" w:pos="1170"/>
        </w:tabs>
        <w:ind w:left="90" w:firstLine="720"/>
      </w:pPr>
      <w:rPr>
        <w:rFonts w:hint="default"/>
        <w:b w:val="0"/>
      </w:rPr>
    </w:lvl>
  </w:abstractNum>
  <w:abstractNum w:abstractNumId="7">
    <w:nsid w:val="7ACF33F0"/>
    <w:multiLevelType w:val="hybridMultilevel"/>
    <w:tmpl w:val="71A2D66A"/>
    <w:lvl w:ilvl="0" w:tplc="D276BA58">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C1"/>
    <w:rsid w:val="0000372F"/>
    <w:rsid w:val="000076B1"/>
    <w:rsid w:val="0001006A"/>
    <w:rsid w:val="00021C37"/>
    <w:rsid w:val="00024A6C"/>
    <w:rsid w:val="00027934"/>
    <w:rsid w:val="00027B93"/>
    <w:rsid w:val="000300E4"/>
    <w:rsid w:val="00033F3B"/>
    <w:rsid w:val="00040B79"/>
    <w:rsid w:val="000519A2"/>
    <w:rsid w:val="00053C0B"/>
    <w:rsid w:val="0005501B"/>
    <w:rsid w:val="00060757"/>
    <w:rsid w:val="00062317"/>
    <w:rsid w:val="000725E7"/>
    <w:rsid w:val="00073EE7"/>
    <w:rsid w:val="000846B3"/>
    <w:rsid w:val="00093DC4"/>
    <w:rsid w:val="000A056E"/>
    <w:rsid w:val="000A2AF5"/>
    <w:rsid w:val="000A3D69"/>
    <w:rsid w:val="000A42BE"/>
    <w:rsid w:val="000A4DE5"/>
    <w:rsid w:val="000A574D"/>
    <w:rsid w:val="000A6269"/>
    <w:rsid w:val="000A62E3"/>
    <w:rsid w:val="000B092A"/>
    <w:rsid w:val="000B765E"/>
    <w:rsid w:val="000C0EE6"/>
    <w:rsid w:val="000C2925"/>
    <w:rsid w:val="000C54A0"/>
    <w:rsid w:val="000D07D6"/>
    <w:rsid w:val="000D0A76"/>
    <w:rsid w:val="000D2195"/>
    <w:rsid w:val="000D386C"/>
    <w:rsid w:val="000D5DC9"/>
    <w:rsid w:val="000D72EA"/>
    <w:rsid w:val="000E3C37"/>
    <w:rsid w:val="000E4B0E"/>
    <w:rsid w:val="000E600C"/>
    <w:rsid w:val="000F5DF1"/>
    <w:rsid w:val="00100648"/>
    <w:rsid w:val="0010165C"/>
    <w:rsid w:val="00105439"/>
    <w:rsid w:val="001064F5"/>
    <w:rsid w:val="00107626"/>
    <w:rsid w:val="0011223C"/>
    <w:rsid w:val="001148E6"/>
    <w:rsid w:val="00115823"/>
    <w:rsid w:val="00120A6A"/>
    <w:rsid w:val="001252E6"/>
    <w:rsid w:val="00125BF0"/>
    <w:rsid w:val="00130628"/>
    <w:rsid w:val="00132EB0"/>
    <w:rsid w:val="001344A8"/>
    <w:rsid w:val="00137337"/>
    <w:rsid w:val="001413E7"/>
    <w:rsid w:val="00145642"/>
    <w:rsid w:val="00145E0A"/>
    <w:rsid w:val="001504FD"/>
    <w:rsid w:val="00150573"/>
    <w:rsid w:val="00152E50"/>
    <w:rsid w:val="00160481"/>
    <w:rsid w:val="00165AC6"/>
    <w:rsid w:val="00167C81"/>
    <w:rsid w:val="001734E4"/>
    <w:rsid w:val="0017694F"/>
    <w:rsid w:val="00176EE2"/>
    <w:rsid w:val="00181693"/>
    <w:rsid w:val="001821AB"/>
    <w:rsid w:val="0018267A"/>
    <w:rsid w:val="00184D1D"/>
    <w:rsid w:val="00186ADF"/>
    <w:rsid w:val="00190068"/>
    <w:rsid w:val="00192658"/>
    <w:rsid w:val="00193B90"/>
    <w:rsid w:val="001A762C"/>
    <w:rsid w:val="001B13B8"/>
    <w:rsid w:val="001B7B6C"/>
    <w:rsid w:val="001C2FB4"/>
    <w:rsid w:val="001C5A69"/>
    <w:rsid w:val="001D0E15"/>
    <w:rsid w:val="001D4285"/>
    <w:rsid w:val="001D7DF3"/>
    <w:rsid w:val="001E2D84"/>
    <w:rsid w:val="001E3344"/>
    <w:rsid w:val="001E3E24"/>
    <w:rsid w:val="001E5BB9"/>
    <w:rsid w:val="001E6566"/>
    <w:rsid w:val="001F206E"/>
    <w:rsid w:val="001F4EE8"/>
    <w:rsid w:val="001F6605"/>
    <w:rsid w:val="001F7FD1"/>
    <w:rsid w:val="00200E4D"/>
    <w:rsid w:val="002023EA"/>
    <w:rsid w:val="00205D49"/>
    <w:rsid w:val="002107DF"/>
    <w:rsid w:val="00210C60"/>
    <w:rsid w:val="0021196A"/>
    <w:rsid w:val="00221AD3"/>
    <w:rsid w:val="00226909"/>
    <w:rsid w:val="00227162"/>
    <w:rsid w:val="00236C13"/>
    <w:rsid w:val="00240F07"/>
    <w:rsid w:val="00241392"/>
    <w:rsid w:val="002432EB"/>
    <w:rsid w:val="00246876"/>
    <w:rsid w:val="00251106"/>
    <w:rsid w:val="002572C1"/>
    <w:rsid w:val="00262523"/>
    <w:rsid w:val="00266B93"/>
    <w:rsid w:val="002679EE"/>
    <w:rsid w:val="00270611"/>
    <w:rsid w:val="0027106B"/>
    <w:rsid w:val="00273362"/>
    <w:rsid w:val="002757F4"/>
    <w:rsid w:val="0027679B"/>
    <w:rsid w:val="002833D0"/>
    <w:rsid w:val="00285C9C"/>
    <w:rsid w:val="00286E2B"/>
    <w:rsid w:val="00287A64"/>
    <w:rsid w:val="0029037D"/>
    <w:rsid w:val="00292F17"/>
    <w:rsid w:val="002939FC"/>
    <w:rsid w:val="00293E81"/>
    <w:rsid w:val="00295A36"/>
    <w:rsid w:val="00295DFC"/>
    <w:rsid w:val="002A4777"/>
    <w:rsid w:val="002A544F"/>
    <w:rsid w:val="002B1063"/>
    <w:rsid w:val="002B3E01"/>
    <w:rsid w:val="002B5342"/>
    <w:rsid w:val="002B7923"/>
    <w:rsid w:val="002C0FAD"/>
    <w:rsid w:val="002C2D61"/>
    <w:rsid w:val="002C3278"/>
    <w:rsid w:val="002C519D"/>
    <w:rsid w:val="002D22AD"/>
    <w:rsid w:val="002D23E6"/>
    <w:rsid w:val="002D2595"/>
    <w:rsid w:val="002E64E4"/>
    <w:rsid w:val="002E666A"/>
    <w:rsid w:val="002E6794"/>
    <w:rsid w:val="002E73C1"/>
    <w:rsid w:val="002F3985"/>
    <w:rsid w:val="002F5814"/>
    <w:rsid w:val="002F5CD1"/>
    <w:rsid w:val="002F609C"/>
    <w:rsid w:val="002F6B73"/>
    <w:rsid w:val="002F79EC"/>
    <w:rsid w:val="00302015"/>
    <w:rsid w:val="00302FA8"/>
    <w:rsid w:val="00303A53"/>
    <w:rsid w:val="00305346"/>
    <w:rsid w:val="0030789C"/>
    <w:rsid w:val="00311DF7"/>
    <w:rsid w:val="0031231C"/>
    <w:rsid w:val="00316EFA"/>
    <w:rsid w:val="00317898"/>
    <w:rsid w:val="00317CE8"/>
    <w:rsid w:val="0032210F"/>
    <w:rsid w:val="003368E3"/>
    <w:rsid w:val="0035090D"/>
    <w:rsid w:val="00352B70"/>
    <w:rsid w:val="00352CEE"/>
    <w:rsid w:val="003550B1"/>
    <w:rsid w:val="00362305"/>
    <w:rsid w:val="0037079C"/>
    <w:rsid w:val="00370909"/>
    <w:rsid w:val="00381719"/>
    <w:rsid w:val="00381B9A"/>
    <w:rsid w:val="00384ACA"/>
    <w:rsid w:val="003878CD"/>
    <w:rsid w:val="00387A12"/>
    <w:rsid w:val="003914AD"/>
    <w:rsid w:val="00391DC0"/>
    <w:rsid w:val="00394BE0"/>
    <w:rsid w:val="003958CD"/>
    <w:rsid w:val="00396A50"/>
    <w:rsid w:val="003A4502"/>
    <w:rsid w:val="003A76FC"/>
    <w:rsid w:val="003B495B"/>
    <w:rsid w:val="003B52E3"/>
    <w:rsid w:val="003B55DB"/>
    <w:rsid w:val="003B7F95"/>
    <w:rsid w:val="003D20B4"/>
    <w:rsid w:val="003D5569"/>
    <w:rsid w:val="003E57A8"/>
    <w:rsid w:val="003E5EB6"/>
    <w:rsid w:val="003E63F5"/>
    <w:rsid w:val="003F0C44"/>
    <w:rsid w:val="003F0F42"/>
    <w:rsid w:val="003F1E24"/>
    <w:rsid w:val="003F4D23"/>
    <w:rsid w:val="003F66DB"/>
    <w:rsid w:val="003F6847"/>
    <w:rsid w:val="004061E6"/>
    <w:rsid w:val="00410372"/>
    <w:rsid w:val="004103DB"/>
    <w:rsid w:val="004107ED"/>
    <w:rsid w:val="00413522"/>
    <w:rsid w:val="0041755B"/>
    <w:rsid w:val="004178DA"/>
    <w:rsid w:val="00421B3A"/>
    <w:rsid w:val="004237AF"/>
    <w:rsid w:val="00425BAF"/>
    <w:rsid w:val="00432527"/>
    <w:rsid w:val="00433E61"/>
    <w:rsid w:val="00433FD4"/>
    <w:rsid w:val="0043709C"/>
    <w:rsid w:val="00437E6D"/>
    <w:rsid w:val="004413BA"/>
    <w:rsid w:val="00441F1E"/>
    <w:rsid w:val="00443089"/>
    <w:rsid w:val="004454AB"/>
    <w:rsid w:val="00450291"/>
    <w:rsid w:val="00450607"/>
    <w:rsid w:val="0045137D"/>
    <w:rsid w:val="0045226F"/>
    <w:rsid w:val="00453026"/>
    <w:rsid w:val="004543E0"/>
    <w:rsid w:val="00461149"/>
    <w:rsid w:val="004650BF"/>
    <w:rsid w:val="004666D2"/>
    <w:rsid w:val="004705DF"/>
    <w:rsid w:val="00470E96"/>
    <w:rsid w:val="0047278D"/>
    <w:rsid w:val="004818EE"/>
    <w:rsid w:val="00483BBE"/>
    <w:rsid w:val="0048448D"/>
    <w:rsid w:val="00485341"/>
    <w:rsid w:val="00486B8C"/>
    <w:rsid w:val="004877F2"/>
    <w:rsid w:val="00490863"/>
    <w:rsid w:val="004926E6"/>
    <w:rsid w:val="004928C3"/>
    <w:rsid w:val="004A0F6A"/>
    <w:rsid w:val="004A17CD"/>
    <w:rsid w:val="004B1914"/>
    <w:rsid w:val="004B2828"/>
    <w:rsid w:val="004B39A4"/>
    <w:rsid w:val="004B4193"/>
    <w:rsid w:val="004B5345"/>
    <w:rsid w:val="004C7551"/>
    <w:rsid w:val="004D09CA"/>
    <w:rsid w:val="004D4593"/>
    <w:rsid w:val="004D56F1"/>
    <w:rsid w:val="004D5BA7"/>
    <w:rsid w:val="004D5E63"/>
    <w:rsid w:val="004D70C6"/>
    <w:rsid w:val="004D7E99"/>
    <w:rsid w:val="004E1AD9"/>
    <w:rsid w:val="004E1C21"/>
    <w:rsid w:val="004E2127"/>
    <w:rsid w:val="004E3CAA"/>
    <w:rsid w:val="004E6EEF"/>
    <w:rsid w:val="004F19C2"/>
    <w:rsid w:val="004F2F0E"/>
    <w:rsid w:val="004F70BA"/>
    <w:rsid w:val="004F7B32"/>
    <w:rsid w:val="004F7DBA"/>
    <w:rsid w:val="0050097D"/>
    <w:rsid w:val="00500C10"/>
    <w:rsid w:val="0050266B"/>
    <w:rsid w:val="005066C5"/>
    <w:rsid w:val="0051116C"/>
    <w:rsid w:val="005120A8"/>
    <w:rsid w:val="0052026E"/>
    <w:rsid w:val="005204BB"/>
    <w:rsid w:val="005211FB"/>
    <w:rsid w:val="005225B6"/>
    <w:rsid w:val="00522988"/>
    <w:rsid w:val="00524E78"/>
    <w:rsid w:val="0053387D"/>
    <w:rsid w:val="00535163"/>
    <w:rsid w:val="00542C54"/>
    <w:rsid w:val="00552562"/>
    <w:rsid w:val="00552C83"/>
    <w:rsid w:val="005547DB"/>
    <w:rsid w:val="00555980"/>
    <w:rsid w:val="005559B0"/>
    <w:rsid w:val="005568C2"/>
    <w:rsid w:val="0055739D"/>
    <w:rsid w:val="00561126"/>
    <w:rsid w:val="00562DB1"/>
    <w:rsid w:val="00562F83"/>
    <w:rsid w:val="00566BA3"/>
    <w:rsid w:val="005707D3"/>
    <w:rsid w:val="0057542B"/>
    <w:rsid w:val="00577D6D"/>
    <w:rsid w:val="00583ECD"/>
    <w:rsid w:val="00584496"/>
    <w:rsid w:val="005863B1"/>
    <w:rsid w:val="00591475"/>
    <w:rsid w:val="00594090"/>
    <w:rsid w:val="0059414B"/>
    <w:rsid w:val="005946E1"/>
    <w:rsid w:val="0059561B"/>
    <w:rsid w:val="005A19CB"/>
    <w:rsid w:val="005A4649"/>
    <w:rsid w:val="005A4F67"/>
    <w:rsid w:val="005A5C8B"/>
    <w:rsid w:val="005B022B"/>
    <w:rsid w:val="005B73F4"/>
    <w:rsid w:val="005B7E66"/>
    <w:rsid w:val="005C05F9"/>
    <w:rsid w:val="005C180D"/>
    <w:rsid w:val="005C72E1"/>
    <w:rsid w:val="005D0341"/>
    <w:rsid w:val="005D0346"/>
    <w:rsid w:val="005D0E1B"/>
    <w:rsid w:val="005D220E"/>
    <w:rsid w:val="005D2631"/>
    <w:rsid w:val="005D442E"/>
    <w:rsid w:val="005D4AFA"/>
    <w:rsid w:val="005D52EE"/>
    <w:rsid w:val="005E062D"/>
    <w:rsid w:val="005E2D90"/>
    <w:rsid w:val="005E4E50"/>
    <w:rsid w:val="005E5C23"/>
    <w:rsid w:val="00604E50"/>
    <w:rsid w:val="006056C1"/>
    <w:rsid w:val="00606041"/>
    <w:rsid w:val="00606FFC"/>
    <w:rsid w:val="006125D5"/>
    <w:rsid w:val="00616140"/>
    <w:rsid w:val="006206E8"/>
    <w:rsid w:val="0062385B"/>
    <w:rsid w:val="00630693"/>
    <w:rsid w:val="00633A8C"/>
    <w:rsid w:val="00634B2C"/>
    <w:rsid w:val="00640AC5"/>
    <w:rsid w:val="00643D88"/>
    <w:rsid w:val="00643FB4"/>
    <w:rsid w:val="00646A1A"/>
    <w:rsid w:val="00647310"/>
    <w:rsid w:val="0065668F"/>
    <w:rsid w:val="00656C91"/>
    <w:rsid w:val="00657581"/>
    <w:rsid w:val="00663599"/>
    <w:rsid w:val="00663E6C"/>
    <w:rsid w:val="00664E82"/>
    <w:rsid w:val="00667535"/>
    <w:rsid w:val="00675997"/>
    <w:rsid w:val="00676F69"/>
    <w:rsid w:val="00677A9B"/>
    <w:rsid w:val="006870B8"/>
    <w:rsid w:val="00687D83"/>
    <w:rsid w:val="00692538"/>
    <w:rsid w:val="00692B4C"/>
    <w:rsid w:val="0069424C"/>
    <w:rsid w:val="00695794"/>
    <w:rsid w:val="00695A5A"/>
    <w:rsid w:val="00696C81"/>
    <w:rsid w:val="006A0518"/>
    <w:rsid w:val="006A0A34"/>
    <w:rsid w:val="006A2CCA"/>
    <w:rsid w:val="006A3571"/>
    <w:rsid w:val="006A4344"/>
    <w:rsid w:val="006A63E7"/>
    <w:rsid w:val="006B02EB"/>
    <w:rsid w:val="006B077B"/>
    <w:rsid w:val="006B137E"/>
    <w:rsid w:val="006B2235"/>
    <w:rsid w:val="006B3325"/>
    <w:rsid w:val="006B3792"/>
    <w:rsid w:val="006B576A"/>
    <w:rsid w:val="006C1339"/>
    <w:rsid w:val="006C2174"/>
    <w:rsid w:val="006C23E3"/>
    <w:rsid w:val="006C3403"/>
    <w:rsid w:val="006C5A3C"/>
    <w:rsid w:val="006D0DA3"/>
    <w:rsid w:val="006D273D"/>
    <w:rsid w:val="006E6921"/>
    <w:rsid w:val="006E7607"/>
    <w:rsid w:val="006F09FB"/>
    <w:rsid w:val="006F1972"/>
    <w:rsid w:val="006F2179"/>
    <w:rsid w:val="006F3667"/>
    <w:rsid w:val="006F5B77"/>
    <w:rsid w:val="006F66F6"/>
    <w:rsid w:val="006F7127"/>
    <w:rsid w:val="00704178"/>
    <w:rsid w:val="007065AE"/>
    <w:rsid w:val="007075C7"/>
    <w:rsid w:val="0071302E"/>
    <w:rsid w:val="007217E9"/>
    <w:rsid w:val="00722E28"/>
    <w:rsid w:val="007248A9"/>
    <w:rsid w:val="00725A7B"/>
    <w:rsid w:val="0073104B"/>
    <w:rsid w:val="00732BD3"/>
    <w:rsid w:val="00732E13"/>
    <w:rsid w:val="00740720"/>
    <w:rsid w:val="007421FC"/>
    <w:rsid w:val="0074353E"/>
    <w:rsid w:val="00744391"/>
    <w:rsid w:val="007501F8"/>
    <w:rsid w:val="007519C8"/>
    <w:rsid w:val="007524EA"/>
    <w:rsid w:val="00752F15"/>
    <w:rsid w:val="007535AD"/>
    <w:rsid w:val="00760509"/>
    <w:rsid w:val="00762DB5"/>
    <w:rsid w:val="00765B57"/>
    <w:rsid w:val="007660C8"/>
    <w:rsid w:val="00775230"/>
    <w:rsid w:val="00775342"/>
    <w:rsid w:val="00775CB2"/>
    <w:rsid w:val="00783497"/>
    <w:rsid w:val="0079074E"/>
    <w:rsid w:val="0079645E"/>
    <w:rsid w:val="007966F4"/>
    <w:rsid w:val="007A134D"/>
    <w:rsid w:val="007A2DCB"/>
    <w:rsid w:val="007A3EEF"/>
    <w:rsid w:val="007A3FA0"/>
    <w:rsid w:val="007A4983"/>
    <w:rsid w:val="007A6847"/>
    <w:rsid w:val="007A7210"/>
    <w:rsid w:val="007A7A65"/>
    <w:rsid w:val="007A7CB2"/>
    <w:rsid w:val="007B032F"/>
    <w:rsid w:val="007B03AB"/>
    <w:rsid w:val="007B27E1"/>
    <w:rsid w:val="007B3344"/>
    <w:rsid w:val="007B67A0"/>
    <w:rsid w:val="007C519B"/>
    <w:rsid w:val="007D3C9A"/>
    <w:rsid w:val="007D3ED5"/>
    <w:rsid w:val="007D43BB"/>
    <w:rsid w:val="007D4C00"/>
    <w:rsid w:val="007D590F"/>
    <w:rsid w:val="007E11B6"/>
    <w:rsid w:val="007F0CA1"/>
    <w:rsid w:val="007F39F4"/>
    <w:rsid w:val="007F49A1"/>
    <w:rsid w:val="007F66D0"/>
    <w:rsid w:val="007F73FC"/>
    <w:rsid w:val="00802524"/>
    <w:rsid w:val="00805294"/>
    <w:rsid w:val="00810A23"/>
    <w:rsid w:val="00811068"/>
    <w:rsid w:val="008113FF"/>
    <w:rsid w:val="00815ED0"/>
    <w:rsid w:val="008202D3"/>
    <w:rsid w:val="0082280C"/>
    <w:rsid w:val="00822AE8"/>
    <w:rsid w:val="00831958"/>
    <w:rsid w:val="00834F87"/>
    <w:rsid w:val="00835BB8"/>
    <w:rsid w:val="008440BC"/>
    <w:rsid w:val="00860645"/>
    <w:rsid w:val="008630C6"/>
    <w:rsid w:val="00867182"/>
    <w:rsid w:val="008674B4"/>
    <w:rsid w:val="00872018"/>
    <w:rsid w:val="00872619"/>
    <w:rsid w:val="00880A58"/>
    <w:rsid w:val="008832CE"/>
    <w:rsid w:val="008842F3"/>
    <w:rsid w:val="00887475"/>
    <w:rsid w:val="00887F1F"/>
    <w:rsid w:val="00891E41"/>
    <w:rsid w:val="00897358"/>
    <w:rsid w:val="0089754C"/>
    <w:rsid w:val="008A084A"/>
    <w:rsid w:val="008A291A"/>
    <w:rsid w:val="008A298D"/>
    <w:rsid w:val="008A747C"/>
    <w:rsid w:val="008B23E8"/>
    <w:rsid w:val="008C1B40"/>
    <w:rsid w:val="008C3C55"/>
    <w:rsid w:val="008C4C0B"/>
    <w:rsid w:val="008C6247"/>
    <w:rsid w:val="008C6A43"/>
    <w:rsid w:val="008D2F66"/>
    <w:rsid w:val="008D4B3B"/>
    <w:rsid w:val="008D6410"/>
    <w:rsid w:val="008E271E"/>
    <w:rsid w:val="008E6415"/>
    <w:rsid w:val="008F154C"/>
    <w:rsid w:val="008F4C3C"/>
    <w:rsid w:val="008F4EA3"/>
    <w:rsid w:val="00901A60"/>
    <w:rsid w:val="009044AC"/>
    <w:rsid w:val="00905A3D"/>
    <w:rsid w:val="00907520"/>
    <w:rsid w:val="009079F8"/>
    <w:rsid w:val="00914A70"/>
    <w:rsid w:val="00915859"/>
    <w:rsid w:val="00917F81"/>
    <w:rsid w:val="009213E1"/>
    <w:rsid w:val="00922347"/>
    <w:rsid w:val="00924457"/>
    <w:rsid w:val="009246A5"/>
    <w:rsid w:val="00925A0F"/>
    <w:rsid w:val="009263E1"/>
    <w:rsid w:val="00927823"/>
    <w:rsid w:val="00932C63"/>
    <w:rsid w:val="00936875"/>
    <w:rsid w:val="00940005"/>
    <w:rsid w:val="00940445"/>
    <w:rsid w:val="00943E4B"/>
    <w:rsid w:val="00944C1D"/>
    <w:rsid w:val="009451FB"/>
    <w:rsid w:val="009452CF"/>
    <w:rsid w:val="00947F3B"/>
    <w:rsid w:val="00952833"/>
    <w:rsid w:val="0095381A"/>
    <w:rsid w:val="00957137"/>
    <w:rsid w:val="009601A0"/>
    <w:rsid w:val="0097627C"/>
    <w:rsid w:val="009767B9"/>
    <w:rsid w:val="00982162"/>
    <w:rsid w:val="00982A75"/>
    <w:rsid w:val="009846D9"/>
    <w:rsid w:val="00985C59"/>
    <w:rsid w:val="00993AAC"/>
    <w:rsid w:val="00993B76"/>
    <w:rsid w:val="00994808"/>
    <w:rsid w:val="00994971"/>
    <w:rsid w:val="009A1114"/>
    <w:rsid w:val="009A1AC2"/>
    <w:rsid w:val="009A321A"/>
    <w:rsid w:val="009A4F8A"/>
    <w:rsid w:val="009B30C8"/>
    <w:rsid w:val="009B7E3C"/>
    <w:rsid w:val="009C0429"/>
    <w:rsid w:val="009C2807"/>
    <w:rsid w:val="009C2CC8"/>
    <w:rsid w:val="009C6988"/>
    <w:rsid w:val="009D1A0B"/>
    <w:rsid w:val="009D2134"/>
    <w:rsid w:val="009D48BF"/>
    <w:rsid w:val="009E389A"/>
    <w:rsid w:val="009E522C"/>
    <w:rsid w:val="009E67AC"/>
    <w:rsid w:val="009E6C98"/>
    <w:rsid w:val="009E729D"/>
    <w:rsid w:val="009E7CE5"/>
    <w:rsid w:val="009E7E9D"/>
    <w:rsid w:val="009F4570"/>
    <w:rsid w:val="009F6085"/>
    <w:rsid w:val="00A0197A"/>
    <w:rsid w:val="00A035E6"/>
    <w:rsid w:val="00A03635"/>
    <w:rsid w:val="00A106C5"/>
    <w:rsid w:val="00A1166E"/>
    <w:rsid w:val="00A169A6"/>
    <w:rsid w:val="00A17920"/>
    <w:rsid w:val="00A24A11"/>
    <w:rsid w:val="00A254BE"/>
    <w:rsid w:val="00A30D64"/>
    <w:rsid w:val="00A331AB"/>
    <w:rsid w:val="00A362A5"/>
    <w:rsid w:val="00A362C9"/>
    <w:rsid w:val="00A459E3"/>
    <w:rsid w:val="00A477F2"/>
    <w:rsid w:val="00A52F48"/>
    <w:rsid w:val="00A6168F"/>
    <w:rsid w:val="00A61B09"/>
    <w:rsid w:val="00A66144"/>
    <w:rsid w:val="00A66CD7"/>
    <w:rsid w:val="00A734D0"/>
    <w:rsid w:val="00A84EBC"/>
    <w:rsid w:val="00A85471"/>
    <w:rsid w:val="00A859FE"/>
    <w:rsid w:val="00A86929"/>
    <w:rsid w:val="00A87215"/>
    <w:rsid w:val="00A87EC1"/>
    <w:rsid w:val="00A90B75"/>
    <w:rsid w:val="00A91A87"/>
    <w:rsid w:val="00A93685"/>
    <w:rsid w:val="00A97ABA"/>
    <w:rsid w:val="00AA40F8"/>
    <w:rsid w:val="00AA46D6"/>
    <w:rsid w:val="00AA6754"/>
    <w:rsid w:val="00AA7B85"/>
    <w:rsid w:val="00AB0BAF"/>
    <w:rsid w:val="00AB0DC8"/>
    <w:rsid w:val="00AB21FF"/>
    <w:rsid w:val="00AB349B"/>
    <w:rsid w:val="00AB78DA"/>
    <w:rsid w:val="00AC29B5"/>
    <w:rsid w:val="00AC31AD"/>
    <w:rsid w:val="00AC488C"/>
    <w:rsid w:val="00AC4A55"/>
    <w:rsid w:val="00AC57FC"/>
    <w:rsid w:val="00AC73FE"/>
    <w:rsid w:val="00AC7840"/>
    <w:rsid w:val="00AD2636"/>
    <w:rsid w:val="00AD376F"/>
    <w:rsid w:val="00AD5329"/>
    <w:rsid w:val="00AE4731"/>
    <w:rsid w:val="00AF0612"/>
    <w:rsid w:val="00AF2C31"/>
    <w:rsid w:val="00AF3BBF"/>
    <w:rsid w:val="00AF5024"/>
    <w:rsid w:val="00AF6CCA"/>
    <w:rsid w:val="00B0084C"/>
    <w:rsid w:val="00B01053"/>
    <w:rsid w:val="00B02119"/>
    <w:rsid w:val="00B11590"/>
    <w:rsid w:val="00B11AD6"/>
    <w:rsid w:val="00B13E79"/>
    <w:rsid w:val="00B15B01"/>
    <w:rsid w:val="00B16BFC"/>
    <w:rsid w:val="00B20250"/>
    <w:rsid w:val="00B22E2C"/>
    <w:rsid w:val="00B23F59"/>
    <w:rsid w:val="00B24641"/>
    <w:rsid w:val="00B31BEB"/>
    <w:rsid w:val="00B3324A"/>
    <w:rsid w:val="00B3639A"/>
    <w:rsid w:val="00B36BF6"/>
    <w:rsid w:val="00B40414"/>
    <w:rsid w:val="00B41E6E"/>
    <w:rsid w:val="00B457F5"/>
    <w:rsid w:val="00B45E6E"/>
    <w:rsid w:val="00B517B2"/>
    <w:rsid w:val="00B523D2"/>
    <w:rsid w:val="00B53C03"/>
    <w:rsid w:val="00B55A98"/>
    <w:rsid w:val="00B656B6"/>
    <w:rsid w:val="00B6661A"/>
    <w:rsid w:val="00B66E49"/>
    <w:rsid w:val="00B67D0F"/>
    <w:rsid w:val="00B719FF"/>
    <w:rsid w:val="00B71D87"/>
    <w:rsid w:val="00B73249"/>
    <w:rsid w:val="00B82556"/>
    <w:rsid w:val="00B8390D"/>
    <w:rsid w:val="00B84295"/>
    <w:rsid w:val="00B866F1"/>
    <w:rsid w:val="00B868AE"/>
    <w:rsid w:val="00B96983"/>
    <w:rsid w:val="00BA19B8"/>
    <w:rsid w:val="00BA37B5"/>
    <w:rsid w:val="00BA7CEC"/>
    <w:rsid w:val="00BB7754"/>
    <w:rsid w:val="00BC042C"/>
    <w:rsid w:val="00BC18B4"/>
    <w:rsid w:val="00BC1FB4"/>
    <w:rsid w:val="00BC7A6E"/>
    <w:rsid w:val="00BC7B3A"/>
    <w:rsid w:val="00BD108D"/>
    <w:rsid w:val="00BD129C"/>
    <w:rsid w:val="00BD1E6E"/>
    <w:rsid w:val="00BD5760"/>
    <w:rsid w:val="00BD5E36"/>
    <w:rsid w:val="00BD6042"/>
    <w:rsid w:val="00BD60FF"/>
    <w:rsid w:val="00BE3715"/>
    <w:rsid w:val="00BE4485"/>
    <w:rsid w:val="00BE6599"/>
    <w:rsid w:val="00BE7CF6"/>
    <w:rsid w:val="00BE7F10"/>
    <w:rsid w:val="00BF509D"/>
    <w:rsid w:val="00BF7222"/>
    <w:rsid w:val="00C03B8E"/>
    <w:rsid w:val="00C06CE8"/>
    <w:rsid w:val="00C11130"/>
    <w:rsid w:val="00C12DB0"/>
    <w:rsid w:val="00C15DC2"/>
    <w:rsid w:val="00C20803"/>
    <w:rsid w:val="00C21FBB"/>
    <w:rsid w:val="00C2457C"/>
    <w:rsid w:val="00C26CBE"/>
    <w:rsid w:val="00C3149E"/>
    <w:rsid w:val="00C322E0"/>
    <w:rsid w:val="00C32BEB"/>
    <w:rsid w:val="00C35D03"/>
    <w:rsid w:val="00C40AEF"/>
    <w:rsid w:val="00C42658"/>
    <w:rsid w:val="00C43925"/>
    <w:rsid w:val="00C45450"/>
    <w:rsid w:val="00C467C8"/>
    <w:rsid w:val="00C47B09"/>
    <w:rsid w:val="00C51082"/>
    <w:rsid w:val="00C5613B"/>
    <w:rsid w:val="00C56950"/>
    <w:rsid w:val="00C56AEF"/>
    <w:rsid w:val="00C56D60"/>
    <w:rsid w:val="00C62840"/>
    <w:rsid w:val="00C67AB2"/>
    <w:rsid w:val="00C713E8"/>
    <w:rsid w:val="00C73F82"/>
    <w:rsid w:val="00C74B8B"/>
    <w:rsid w:val="00C75160"/>
    <w:rsid w:val="00C7631E"/>
    <w:rsid w:val="00C83017"/>
    <w:rsid w:val="00C8324B"/>
    <w:rsid w:val="00C83926"/>
    <w:rsid w:val="00C847AF"/>
    <w:rsid w:val="00C8700F"/>
    <w:rsid w:val="00C91027"/>
    <w:rsid w:val="00C91D58"/>
    <w:rsid w:val="00C91EDC"/>
    <w:rsid w:val="00C9541E"/>
    <w:rsid w:val="00CA05EF"/>
    <w:rsid w:val="00CA325E"/>
    <w:rsid w:val="00CA3538"/>
    <w:rsid w:val="00CA592B"/>
    <w:rsid w:val="00CB492E"/>
    <w:rsid w:val="00CB61C0"/>
    <w:rsid w:val="00CB712D"/>
    <w:rsid w:val="00CB7144"/>
    <w:rsid w:val="00CC5B53"/>
    <w:rsid w:val="00CC64BB"/>
    <w:rsid w:val="00CD17E3"/>
    <w:rsid w:val="00CE30BB"/>
    <w:rsid w:val="00CE31FB"/>
    <w:rsid w:val="00CE6500"/>
    <w:rsid w:val="00CF3A00"/>
    <w:rsid w:val="00CF53E9"/>
    <w:rsid w:val="00CF5ED4"/>
    <w:rsid w:val="00D04EDE"/>
    <w:rsid w:val="00D07809"/>
    <w:rsid w:val="00D153A2"/>
    <w:rsid w:val="00D15C82"/>
    <w:rsid w:val="00D168B8"/>
    <w:rsid w:val="00D22F2A"/>
    <w:rsid w:val="00D2379D"/>
    <w:rsid w:val="00D239B8"/>
    <w:rsid w:val="00D240C2"/>
    <w:rsid w:val="00D27000"/>
    <w:rsid w:val="00D32A51"/>
    <w:rsid w:val="00D4148A"/>
    <w:rsid w:val="00D44C83"/>
    <w:rsid w:val="00D5016C"/>
    <w:rsid w:val="00D50723"/>
    <w:rsid w:val="00D51427"/>
    <w:rsid w:val="00D523DB"/>
    <w:rsid w:val="00D54493"/>
    <w:rsid w:val="00D54950"/>
    <w:rsid w:val="00D619A8"/>
    <w:rsid w:val="00D6284E"/>
    <w:rsid w:val="00D64477"/>
    <w:rsid w:val="00D645C5"/>
    <w:rsid w:val="00D67824"/>
    <w:rsid w:val="00D73E9F"/>
    <w:rsid w:val="00D74BBA"/>
    <w:rsid w:val="00D74F46"/>
    <w:rsid w:val="00D776F7"/>
    <w:rsid w:val="00D779D8"/>
    <w:rsid w:val="00D81352"/>
    <w:rsid w:val="00D83EFE"/>
    <w:rsid w:val="00D85E2F"/>
    <w:rsid w:val="00D877DE"/>
    <w:rsid w:val="00D9122B"/>
    <w:rsid w:val="00D917F8"/>
    <w:rsid w:val="00D933D6"/>
    <w:rsid w:val="00D94AE0"/>
    <w:rsid w:val="00D95010"/>
    <w:rsid w:val="00D9560B"/>
    <w:rsid w:val="00D9635E"/>
    <w:rsid w:val="00D9653B"/>
    <w:rsid w:val="00D96EDF"/>
    <w:rsid w:val="00D9792C"/>
    <w:rsid w:val="00DA3C99"/>
    <w:rsid w:val="00DA41A7"/>
    <w:rsid w:val="00DA4713"/>
    <w:rsid w:val="00DA59E2"/>
    <w:rsid w:val="00DA5AC1"/>
    <w:rsid w:val="00DA6ED9"/>
    <w:rsid w:val="00DA705B"/>
    <w:rsid w:val="00DC3EAF"/>
    <w:rsid w:val="00DD0F15"/>
    <w:rsid w:val="00DD16DC"/>
    <w:rsid w:val="00DD40DB"/>
    <w:rsid w:val="00DD70D6"/>
    <w:rsid w:val="00DE1586"/>
    <w:rsid w:val="00DF17C6"/>
    <w:rsid w:val="00DF227A"/>
    <w:rsid w:val="00DF2F20"/>
    <w:rsid w:val="00DF3B59"/>
    <w:rsid w:val="00DF4DB3"/>
    <w:rsid w:val="00DF55DE"/>
    <w:rsid w:val="00DF657F"/>
    <w:rsid w:val="00E005C8"/>
    <w:rsid w:val="00E02257"/>
    <w:rsid w:val="00E05186"/>
    <w:rsid w:val="00E079E2"/>
    <w:rsid w:val="00E1302C"/>
    <w:rsid w:val="00E144FD"/>
    <w:rsid w:val="00E25325"/>
    <w:rsid w:val="00E2533D"/>
    <w:rsid w:val="00E35030"/>
    <w:rsid w:val="00E3620B"/>
    <w:rsid w:val="00E3646D"/>
    <w:rsid w:val="00E41817"/>
    <w:rsid w:val="00E43485"/>
    <w:rsid w:val="00E45BC1"/>
    <w:rsid w:val="00E51007"/>
    <w:rsid w:val="00E51A3C"/>
    <w:rsid w:val="00E51E22"/>
    <w:rsid w:val="00E52349"/>
    <w:rsid w:val="00E56739"/>
    <w:rsid w:val="00E57282"/>
    <w:rsid w:val="00E61132"/>
    <w:rsid w:val="00E719F3"/>
    <w:rsid w:val="00E9062B"/>
    <w:rsid w:val="00E93745"/>
    <w:rsid w:val="00E96373"/>
    <w:rsid w:val="00E97780"/>
    <w:rsid w:val="00EA0598"/>
    <w:rsid w:val="00EA22F2"/>
    <w:rsid w:val="00EA3CCF"/>
    <w:rsid w:val="00EA7342"/>
    <w:rsid w:val="00EB2D83"/>
    <w:rsid w:val="00EB31EF"/>
    <w:rsid w:val="00EB5337"/>
    <w:rsid w:val="00EB7E3F"/>
    <w:rsid w:val="00EC2F6D"/>
    <w:rsid w:val="00EC6606"/>
    <w:rsid w:val="00EC7C92"/>
    <w:rsid w:val="00ED0569"/>
    <w:rsid w:val="00ED2028"/>
    <w:rsid w:val="00ED4029"/>
    <w:rsid w:val="00EE0A0B"/>
    <w:rsid w:val="00EE214E"/>
    <w:rsid w:val="00EE2BDC"/>
    <w:rsid w:val="00EE3E2E"/>
    <w:rsid w:val="00EE5FC7"/>
    <w:rsid w:val="00EE64CB"/>
    <w:rsid w:val="00EF5E10"/>
    <w:rsid w:val="00EF60E5"/>
    <w:rsid w:val="00EF7AA0"/>
    <w:rsid w:val="00F01835"/>
    <w:rsid w:val="00F0292C"/>
    <w:rsid w:val="00F103B2"/>
    <w:rsid w:val="00F106E7"/>
    <w:rsid w:val="00F12613"/>
    <w:rsid w:val="00F13111"/>
    <w:rsid w:val="00F24FDF"/>
    <w:rsid w:val="00F31F74"/>
    <w:rsid w:val="00F32205"/>
    <w:rsid w:val="00F32936"/>
    <w:rsid w:val="00F3308A"/>
    <w:rsid w:val="00F33C3A"/>
    <w:rsid w:val="00F35CF4"/>
    <w:rsid w:val="00F362D4"/>
    <w:rsid w:val="00F36D44"/>
    <w:rsid w:val="00F41238"/>
    <w:rsid w:val="00F439A2"/>
    <w:rsid w:val="00F4540B"/>
    <w:rsid w:val="00F45EB4"/>
    <w:rsid w:val="00F4691C"/>
    <w:rsid w:val="00F52835"/>
    <w:rsid w:val="00F5653A"/>
    <w:rsid w:val="00F6259E"/>
    <w:rsid w:val="00F713B9"/>
    <w:rsid w:val="00F735D5"/>
    <w:rsid w:val="00F7422B"/>
    <w:rsid w:val="00F777A2"/>
    <w:rsid w:val="00F77F1A"/>
    <w:rsid w:val="00F80DF2"/>
    <w:rsid w:val="00F81236"/>
    <w:rsid w:val="00F8264C"/>
    <w:rsid w:val="00F83E97"/>
    <w:rsid w:val="00F8493B"/>
    <w:rsid w:val="00F907AF"/>
    <w:rsid w:val="00F95307"/>
    <w:rsid w:val="00F958D2"/>
    <w:rsid w:val="00F97C56"/>
    <w:rsid w:val="00FA1D42"/>
    <w:rsid w:val="00FA5C8D"/>
    <w:rsid w:val="00FB3398"/>
    <w:rsid w:val="00FB70F9"/>
    <w:rsid w:val="00FC765B"/>
    <w:rsid w:val="00FD71D5"/>
    <w:rsid w:val="00FE08F6"/>
    <w:rsid w:val="00FE2898"/>
    <w:rsid w:val="00FE3A32"/>
    <w:rsid w:val="00FE577A"/>
    <w:rsid w:val="00FE5857"/>
    <w:rsid w:val="00FE607E"/>
    <w:rsid w:val="00FE7E34"/>
    <w:rsid w:val="00FF11FB"/>
    <w:rsid w:val="00FF31FE"/>
    <w:rsid w:val="00FF3B66"/>
    <w:rsid w:val="00FF4C85"/>
    <w:rsid w:val="00FF4E84"/>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2"/>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958D2"/>
    <w:pPr>
      <w:keepNext/>
      <w:numPr>
        <w:ilvl w:val="2"/>
        <w:numId w:val="2"/>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958D2"/>
    <w:pPr>
      <w:keepNext/>
      <w:numPr>
        <w:ilvl w:val="3"/>
        <w:numId w:val="2"/>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2"/>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2"/>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2"/>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2"/>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2"/>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2"/>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958D2"/>
    <w:pPr>
      <w:keepNext/>
      <w:numPr>
        <w:ilvl w:val="2"/>
        <w:numId w:val="2"/>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958D2"/>
    <w:pPr>
      <w:keepNext/>
      <w:numPr>
        <w:ilvl w:val="3"/>
        <w:numId w:val="2"/>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2"/>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2"/>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2"/>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2"/>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2"/>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9040">
      <w:bodyDiv w:val="1"/>
      <w:marLeft w:val="0"/>
      <w:marRight w:val="0"/>
      <w:marTop w:val="0"/>
      <w:marBottom w:val="0"/>
      <w:divBdr>
        <w:top w:val="none" w:sz="0" w:space="0" w:color="auto"/>
        <w:left w:val="none" w:sz="0" w:space="0" w:color="auto"/>
        <w:bottom w:val="none" w:sz="0" w:space="0" w:color="auto"/>
        <w:right w:val="none" w:sz="0" w:space="0" w:color="auto"/>
      </w:divBdr>
    </w:div>
    <w:div w:id="1049232124">
      <w:bodyDiv w:val="1"/>
      <w:marLeft w:val="0"/>
      <w:marRight w:val="0"/>
      <w:marTop w:val="0"/>
      <w:marBottom w:val="0"/>
      <w:divBdr>
        <w:top w:val="none" w:sz="0" w:space="0" w:color="auto"/>
        <w:left w:val="none" w:sz="0" w:space="0" w:color="auto"/>
        <w:bottom w:val="none" w:sz="0" w:space="0" w:color="auto"/>
        <w:right w:val="none" w:sz="0" w:space="0" w:color="auto"/>
      </w:divBdr>
    </w:div>
    <w:div w:id="1337078390">
      <w:bodyDiv w:val="1"/>
      <w:marLeft w:val="0"/>
      <w:marRight w:val="0"/>
      <w:marTop w:val="0"/>
      <w:marBottom w:val="0"/>
      <w:divBdr>
        <w:top w:val="none" w:sz="0" w:space="0" w:color="auto"/>
        <w:left w:val="none" w:sz="0" w:space="0" w:color="auto"/>
        <w:bottom w:val="none" w:sz="0" w:space="0" w:color="auto"/>
        <w:right w:val="none" w:sz="0" w:space="0" w:color="auto"/>
      </w:divBdr>
      <w:divsChild>
        <w:div w:id="1834178224">
          <w:marLeft w:val="0"/>
          <w:marRight w:val="0"/>
          <w:marTop w:val="0"/>
          <w:marBottom w:val="0"/>
          <w:divBdr>
            <w:top w:val="none" w:sz="0" w:space="0" w:color="auto"/>
            <w:left w:val="single" w:sz="6" w:space="0" w:color="BBBBBB"/>
            <w:bottom w:val="single" w:sz="6" w:space="0" w:color="BBBBBB"/>
            <w:right w:val="single" w:sz="6" w:space="0" w:color="BBBBBB"/>
          </w:divBdr>
          <w:divsChild>
            <w:div w:id="2029599147">
              <w:marLeft w:val="0"/>
              <w:marRight w:val="0"/>
              <w:marTop w:val="0"/>
              <w:marBottom w:val="0"/>
              <w:divBdr>
                <w:top w:val="none" w:sz="0" w:space="0" w:color="auto"/>
                <w:left w:val="none" w:sz="0" w:space="0" w:color="auto"/>
                <w:bottom w:val="none" w:sz="0" w:space="0" w:color="auto"/>
                <w:right w:val="none" w:sz="0" w:space="0" w:color="auto"/>
              </w:divBdr>
              <w:divsChild>
                <w:div w:id="543257237">
                  <w:marLeft w:val="0"/>
                  <w:marRight w:val="0"/>
                  <w:marTop w:val="0"/>
                  <w:marBottom w:val="0"/>
                  <w:divBdr>
                    <w:top w:val="none" w:sz="0" w:space="0" w:color="auto"/>
                    <w:left w:val="none" w:sz="0" w:space="0" w:color="auto"/>
                    <w:bottom w:val="none" w:sz="0" w:space="0" w:color="auto"/>
                    <w:right w:val="none" w:sz="0" w:space="0" w:color="auto"/>
                  </w:divBdr>
                  <w:divsChild>
                    <w:div w:id="999232337">
                      <w:marLeft w:val="0"/>
                      <w:marRight w:val="0"/>
                      <w:marTop w:val="0"/>
                      <w:marBottom w:val="0"/>
                      <w:divBdr>
                        <w:top w:val="none" w:sz="0" w:space="0" w:color="auto"/>
                        <w:left w:val="none" w:sz="0" w:space="0" w:color="auto"/>
                        <w:bottom w:val="none" w:sz="0" w:space="0" w:color="auto"/>
                        <w:right w:val="none" w:sz="0" w:space="0" w:color="auto"/>
                      </w:divBdr>
                      <w:divsChild>
                        <w:div w:id="300503037">
                          <w:marLeft w:val="0"/>
                          <w:marRight w:val="0"/>
                          <w:marTop w:val="0"/>
                          <w:marBottom w:val="0"/>
                          <w:divBdr>
                            <w:top w:val="none" w:sz="0" w:space="0" w:color="auto"/>
                            <w:left w:val="none" w:sz="0" w:space="0" w:color="auto"/>
                            <w:bottom w:val="none" w:sz="0" w:space="0" w:color="auto"/>
                            <w:right w:val="none" w:sz="0" w:space="0" w:color="auto"/>
                          </w:divBdr>
                          <w:divsChild>
                            <w:div w:id="163017319">
                              <w:marLeft w:val="0"/>
                              <w:marRight w:val="0"/>
                              <w:marTop w:val="0"/>
                              <w:marBottom w:val="0"/>
                              <w:divBdr>
                                <w:top w:val="none" w:sz="0" w:space="0" w:color="auto"/>
                                <w:left w:val="none" w:sz="0" w:space="0" w:color="auto"/>
                                <w:bottom w:val="none" w:sz="0" w:space="0" w:color="auto"/>
                                <w:right w:val="none" w:sz="0" w:space="0" w:color="auto"/>
                              </w:divBdr>
                              <w:divsChild>
                                <w:div w:id="1536120865">
                                  <w:marLeft w:val="0"/>
                                  <w:marRight w:val="0"/>
                                  <w:marTop w:val="0"/>
                                  <w:marBottom w:val="0"/>
                                  <w:divBdr>
                                    <w:top w:val="none" w:sz="0" w:space="0" w:color="auto"/>
                                    <w:left w:val="none" w:sz="0" w:space="0" w:color="auto"/>
                                    <w:bottom w:val="none" w:sz="0" w:space="0" w:color="auto"/>
                                    <w:right w:val="none" w:sz="0" w:space="0" w:color="auto"/>
                                  </w:divBdr>
                                  <w:divsChild>
                                    <w:div w:id="57823123">
                                      <w:marLeft w:val="0"/>
                                      <w:marRight w:val="0"/>
                                      <w:marTop w:val="0"/>
                                      <w:marBottom w:val="0"/>
                                      <w:divBdr>
                                        <w:top w:val="none" w:sz="0" w:space="0" w:color="auto"/>
                                        <w:left w:val="none" w:sz="0" w:space="0" w:color="auto"/>
                                        <w:bottom w:val="none" w:sz="0" w:space="0" w:color="auto"/>
                                        <w:right w:val="none" w:sz="0" w:space="0" w:color="auto"/>
                                      </w:divBdr>
                                      <w:divsChild>
                                        <w:div w:id="836846430">
                                          <w:marLeft w:val="1200"/>
                                          <w:marRight w:val="1200"/>
                                          <w:marTop w:val="0"/>
                                          <w:marBottom w:val="0"/>
                                          <w:divBdr>
                                            <w:top w:val="none" w:sz="0" w:space="0" w:color="auto"/>
                                            <w:left w:val="none" w:sz="0" w:space="0" w:color="auto"/>
                                            <w:bottom w:val="none" w:sz="0" w:space="0" w:color="auto"/>
                                            <w:right w:val="none" w:sz="0" w:space="0" w:color="auto"/>
                                          </w:divBdr>
                                          <w:divsChild>
                                            <w:div w:id="409087948">
                                              <w:marLeft w:val="0"/>
                                              <w:marRight w:val="0"/>
                                              <w:marTop w:val="0"/>
                                              <w:marBottom w:val="0"/>
                                              <w:divBdr>
                                                <w:top w:val="none" w:sz="0" w:space="0" w:color="auto"/>
                                                <w:left w:val="none" w:sz="0" w:space="0" w:color="auto"/>
                                                <w:bottom w:val="none" w:sz="0" w:space="0" w:color="auto"/>
                                                <w:right w:val="none" w:sz="0" w:space="0" w:color="auto"/>
                                              </w:divBdr>
                                              <w:divsChild>
                                                <w:div w:id="144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57685">
      <w:bodyDiv w:val="1"/>
      <w:marLeft w:val="0"/>
      <w:marRight w:val="0"/>
      <w:marTop w:val="0"/>
      <w:marBottom w:val="0"/>
      <w:divBdr>
        <w:top w:val="none" w:sz="0" w:space="0" w:color="auto"/>
        <w:left w:val="none" w:sz="0" w:space="0" w:color="auto"/>
        <w:bottom w:val="none" w:sz="0" w:space="0" w:color="auto"/>
        <w:right w:val="none" w:sz="0" w:space="0" w:color="auto"/>
      </w:divBdr>
      <w:divsChild>
        <w:div w:id="2008703957">
          <w:marLeft w:val="0"/>
          <w:marRight w:val="0"/>
          <w:marTop w:val="0"/>
          <w:marBottom w:val="0"/>
          <w:divBdr>
            <w:top w:val="none" w:sz="0" w:space="0" w:color="auto"/>
            <w:left w:val="single" w:sz="6" w:space="0" w:color="BBBBBB"/>
            <w:bottom w:val="single" w:sz="6" w:space="0" w:color="BBBBBB"/>
            <w:right w:val="single" w:sz="6" w:space="0" w:color="BBBBBB"/>
          </w:divBdr>
          <w:divsChild>
            <w:div w:id="1741824579">
              <w:marLeft w:val="0"/>
              <w:marRight w:val="0"/>
              <w:marTop w:val="0"/>
              <w:marBottom w:val="0"/>
              <w:divBdr>
                <w:top w:val="none" w:sz="0" w:space="0" w:color="auto"/>
                <w:left w:val="none" w:sz="0" w:space="0" w:color="auto"/>
                <w:bottom w:val="none" w:sz="0" w:space="0" w:color="auto"/>
                <w:right w:val="none" w:sz="0" w:space="0" w:color="auto"/>
              </w:divBdr>
              <w:divsChild>
                <w:div w:id="369650625">
                  <w:marLeft w:val="0"/>
                  <w:marRight w:val="0"/>
                  <w:marTop w:val="0"/>
                  <w:marBottom w:val="0"/>
                  <w:divBdr>
                    <w:top w:val="none" w:sz="0" w:space="0" w:color="auto"/>
                    <w:left w:val="none" w:sz="0" w:space="0" w:color="auto"/>
                    <w:bottom w:val="none" w:sz="0" w:space="0" w:color="auto"/>
                    <w:right w:val="none" w:sz="0" w:space="0" w:color="auto"/>
                  </w:divBdr>
                  <w:divsChild>
                    <w:div w:id="1729258797">
                      <w:marLeft w:val="0"/>
                      <w:marRight w:val="0"/>
                      <w:marTop w:val="0"/>
                      <w:marBottom w:val="0"/>
                      <w:divBdr>
                        <w:top w:val="none" w:sz="0" w:space="0" w:color="auto"/>
                        <w:left w:val="none" w:sz="0" w:space="0" w:color="auto"/>
                        <w:bottom w:val="none" w:sz="0" w:space="0" w:color="auto"/>
                        <w:right w:val="none" w:sz="0" w:space="0" w:color="auto"/>
                      </w:divBdr>
                      <w:divsChild>
                        <w:div w:id="1610700939">
                          <w:marLeft w:val="0"/>
                          <w:marRight w:val="0"/>
                          <w:marTop w:val="0"/>
                          <w:marBottom w:val="0"/>
                          <w:divBdr>
                            <w:top w:val="none" w:sz="0" w:space="0" w:color="auto"/>
                            <w:left w:val="none" w:sz="0" w:space="0" w:color="auto"/>
                            <w:bottom w:val="none" w:sz="0" w:space="0" w:color="auto"/>
                            <w:right w:val="none" w:sz="0" w:space="0" w:color="auto"/>
                          </w:divBdr>
                          <w:divsChild>
                            <w:div w:id="1762138186">
                              <w:marLeft w:val="0"/>
                              <w:marRight w:val="0"/>
                              <w:marTop w:val="0"/>
                              <w:marBottom w:val="0"/>
                              <w:divBdr>
                                <w:top w:val="none" w:sz="0" w:space="0" w:color="auto"/>
                                <w:left w:val="none" w:sz="0" w:space="0" w:color="auto"/>
                                <w:bottom w:val="none" w:sz="0" w:space="0" w:color="auto"/>
                                <w:right w:val="none" w:sz="0" w:space="0" w:color="auto"/>
                              </w:divBdr>
                              <w:divsChild>
                                <w:div w:id="290325160">
                                  <w:marLeft w:val="0"/>
                                  <w:marRight w:val="0"/>
                                  <w:marTop w:val="0"/>
                                  <w:marBottom w:val="0"/>
                                  <w:divBdr>
                                    <w:top w:val="none" w:sz="0" w:space="0" w:color="auto"/>
                                    <w:left w:val="none" w:sz="0" w:space="0" w:color="auto"/>
                                    <w:bottom w:val="none" w:sz="0" w:space="0" w:color="auto"/>
                                    <w:right w:val="none" w:sz="0" w:space="0" w:color="auto"/>
                                  </w:divBdr>
                                  <w:divsChild>
                                    <w:div w:id="2106071379">
                                      <w:marLeft w:val="0"/>
                                      <w:marRight w:val="0"/>
                                      <w:marTop w:val="0"/>
                                      <w:marBottom w:val="0"/>
                                      <w:divBdr>
                                        <w:top w:val="none" w:sz="0" w:space="0" w:color="auto"/>
                                        <w:left w:val="none" w:sz="0" w:space="0" w:color="auto"/>
                                        <w:bottom w:val="none" w:sz="0" w:space="0" w:color="auto"/>
                                        <w:right w:val="none" w:sz="0" w:space="0" w:color="auto"/>
                                      </w:divBdr>
                                      <w:divsChild>
                                        <w:div w:id="882249042">
                                          <w:marLeft w:val="1200"/>
                                          <w:marRight w:val="1200"/>
                                          <w:marTop w:val="0"/>
                                          <w:marBottom w:val="0"/>
                                          <w:divBdr>
                                            <w:top w:val="none" w:sz="0" w:space="0" w:color="auto"/>
                                            <w:left w:val="none" w:sz="0" w:space="0" w:color="auto"/>
                                            <w:bottom w:val="none" w:sz="0" w:space="0" w:color="auto"/>
                                            <w:right w:val="none" w:sz="0" w:space="0" w:color="auto"/>
                                          </w:divBdr>
                                          <w:divsChild>
                                            <w:div w:id="1939174906">
                                              <w:marLeft w:val="0"/>
                                              <w:marRight w:val="0"/>
                                              <w:marTop w:val="0"/>
                                              <w:marBottom w:val="0"/>
                                              <w:divBdr>
                                                <w:top w:val="none" w:sz="0" w:space="0" w:color="auto"/>
                                                <w:left w:val="none" w:sz="0" w:space="0" w:color="auto"/>
                                                <w:bottom w:val="none" w:sz="0" w:space="0" w:color="auto"/>
                                                <w:right w:val="none" w:sz="0" w:space="0" w:color="auto"/>
                                              </w:divBdr>
                                              <w:divsChild>
                                                <w:div w:id="363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4-157A1.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edocs_public/attachmatch/FCC-14-157A1.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document/incentive-auction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15147</Characters>
  <Application>Microsoft Office Word</Application>
  <DocSecurity>0</DocSecurity>
  <Lines>264</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2014-05-15T15:18:00Z</cp:lastPrinted>
  <dcterms:created xsi:type="dcterms:W3CDTF">2015-05-12T17:47:00Z</dcterms:created>
  <dcterms:modified xsi:type="dcterms:W3CDTF">2015-05-12T17:47:00Z</dcterms:modified>
  <cp:category> </cp:category>
  <cp:contentStatus> </cp:contentStatus>
</cp:coreProperties>
</file>