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AA" w:rsidRPr="004542AA" w:rsidRDefault="004542AA" w:rsidP="004542AA">
      <w:pPr>
        <w:autoSpaceDE w:val="0"/>
        <w:autoSpaceDN w:val="0"/>
        <w:adjustRightInd w:val="0"/>
        <w:jc w:val="right"/>
        <w:rPr>
          <w:rFonts w:eastAsia="TimesNewRoman"/>
          <w:b/>
          <w:bCs/>
          <w:color w:val="000000"/>
        </w:rPr>
      </w:pPr>
      <w:bookmarkStart w:id="0" w:name="_GoBack"/>
      <w:bookmarkEnd w:id="0"/>
      <w:r w:rsidRPr="004542AA">
        <w:rPr>
          <w:rFonts w:eastAsia="TimesNewRoman"/>
          <w:b/>
          <w:bCs/>
          <w:color w:val="000000"/>
        </w:rPr>
        <w:t>DA 15-</w:t>
      </w:r>
      <w:r>
        <w:rPr>
          <w:rFonts w:eastAsia="TimesNewRoman"/>
          <w:b/>
          <w:bCs/>
          <w:color w:val="000000"/>
        </w:rPr>
        <w:t>577</w:t>
      </w:r>
    </w:p>
    <w:p w:rsidR="004542AA" w:rsidRDefault="004542AA" w:rsidP="00CC2449">
      <w:pPr>
        <w:autoSpaceDE w:val="0"/>
        <w:autoSpaceDN w:val="0"/>
        <w:adjustRightInd w:val="0"/>
        <w:jc w:val="center"/>
        <w:rPr>
          <w:rFonts w:eastAsia="TimesNewRoman"/>
          <w:b/>
          <w:bCs/>
          <w:color w:val="000000"/>
          <w:sz w:val="36"/>
          <w:szCs w:val="36"/>
        </w:rPr>
      </w:pPr>
    </w:p>
    <w:p w:rsidR="00CC2449" w:rsidRPr="00FA5E6E" w:rsidRDefault="00CC2449" w:rsidP="00CC2449">
      <w:pPr>
        <w:autoSpaceDE w:val="0"/>
        <w:autoSpaceDN w:val="0"/>
        <w:adjustRightInd w:val="0"/>
        <w:jc w:val="center"/>
        <w:rPr>
          <w:rFonts w:eastAsia="TimesNewRoman"/>
          <w:b/>
          <w:bCs/>
          <w:color w:val="000000"/>
          <w:sz w:val="36"/>
          <w:szCs w:val="36"/>
        </w:rPr>
      </w:pPr>
      <w:r w:rsidRPr="00FA5E6E">
        <w:rPr>
          <w:rFonts w:eastAsia="TimesNewRoman"/>
          <w:b/>
          <w:bCs/>
          <w:color w:val="000000"/>
          <w:sz w:val="36"/>
          <w:szCs w:val="36"/>
        </w:rPr>
        <w:t>Small Entity Compliance Guide</w:t>
      </w:r>
    </w:p>
    <w:p w:rsidR="00FA5E6E" w:rsidRPr="00FA5E6E" w:rsidRDefault="00FA5E6E" w:rsidP="00CC2449">
      <w:pPr>
        <w:autoSpaceDE w:val="0"/>
        <w:autoSpaceDN w:val="0"/>
        <w:adjustRightInd w:val="0"/>
        <w:jc w:val="center"/>
        <w:rPr>
          <w:rFonts w:eastAsia="TimesNewRoman"/>
          <w:b/>
          <w:bCs/>
          <w:color w:val="000000"/>
          <w:sz w:val="28"/>
          <w:szCs w:val="28"/>
        </w:rPr>
      </w:pPr>
    </w:p>
    <w:p w:rsidR="00FA5E6E" w:rsidRDefault="00FA5E6E" w:rsidP="00FA5E6E">
      <w:pPr>
        <w:autoSpaceDE w:val="0"/>
        <w:autoSpaceDN w:val="0"/>
        <w:adjustRightInd w:val="0"/>
        <w:jc w:val="center"/>
        <w:rPr>
          <w:rFonts w:eastAsia="TimesNewRoman"/>
          <w:b/>
          <w:bCs/>
          <w:color w:val="000000"/>
          <w:sz w:val="28"/>
          <w:szCs w:val="28"/>
        </w:rPr>
      </w:pPr>
      <w:r>
        <w:rPr>
          <w:rFonts w:eastAsia="TimesNewRoman"/>
          <w:b/>
          <w:bCs/>
          <w:color w:val="000000"/>
          <w:sz w:val="28"/>
          <w:szCs w:val="28"/>
        </w:rPr>
        <w:t xml:space="preserve">Eligible </w:t>
      </w:r>
      <w:r w:rsidRPr="00FA5E6E">
        <w:rPr>
          <w:rFonts w:eastAsia="TimesNewRoman"/>
          <w:b/>
          <w:bCs/>
          <w:color w:val="000000"/>
          <w:sz w:val="28"/>
          <w:szCs w:val="28"/>
        </w:rPr>
        <w:t xml:space="preserve">Telecommunications Carrier </w:t>
      </w:r>
      <w:r w:rsidR="000A326A" w:rsidRPr="00FA5E6E">
        <w:rPr>
          <w:rFonts w:eastAsia="TimesNewRoman"/>
          <w:b/>
          <w:bCs/>
          <w:color w:val="000000"/>
          <w:sz w:val="28"/>
          <w:szCs w:val="28"/>
        </w:rPr>
        <w:t xml:space="preserve">Annual Reporting Requirements for </w:t>
      </w:r>
      <w:r>
        <w:rPr>
          <w:rFonts w:eastAsia="TimesNewRoman"/>
          <w:b/>
          <w:bCs/>
          <w:color w:val="000000"/>
          <w:sz w:val="28"/>
          <w:szCs w:val="28"/>
        </w:rPr>
        <w:t>Recipients</w:t>
      </w:r>
      <w:r w:rsidRPr="00FA5E6E">
        <w:rPr>
          <w:rFonts w:eastAsia="TimesNewRoman"/>
          <w:b/>
          <w:bCs/>
          <w:color w:val="000000"/>
          <w:sz w:val="28"/>
          <w:szCs w:val="28"/>
        </w:rPr>
        <w:t xml:space="preserve"> </w:t>
      </w:r>
      <w:r>
        <w:rPr>
          <w:rFonts w:eastAsia="TimesNewRoman"/>
          <w:b/>
          <w:bCs/>
          <w:color w:val="000000"/>
          <w:sz w:val="28"/>
          <w:szCs w:val="28"/>
        </w:rPr>
        <w:t xml:space="preserve">of </w:t>
      </w:r>
      <w:r w:rsidR="000A326A" w:rsidRPr="00FA5E6E">
        <w:rPr>
          <w:rFonts w:eastAsia="TimesNewRoman"/>
          <w:b/>
          <w:bCs/>
          <w:color w:val="000000"/>
          <w:sz w:val="28"/>
          <w:szCs w:val="28"/>
        </w:rPr>
        <w:t xml:space="preserve">High-Cost </w:t>
      </w:r>
      <w:r w:rsidR="00EF2B0F" w:rsidRPr="00FA5E6E">
        <w:rPr>
          <w:rFonts w:eastAsia="TimesNewRoman"/>
          <w:b/>
          <w:bCs/>
          <w:color w:val="000000"/>
          <w:sz w:val="28"/>
          <w:szCs w:val="28"/>
        </w:rPr>
        <w:t>and</w:t>
      </w:r>
      <w:r>
        <w:rPr>
          <w:rFonts w:eastAsia="TimesNewRoman"/>
          <w:b/>
          <w:bCs/>
          <w:color w:val="000000"/>
          <w:sz w:val="28"/>
          <w:szCs w:val="28"/>
        </w:rPr>
        <w:t xml:space="preserve">/or </w:t>
      </w:r>
      <w:r w:rsidR="00EF2B0F" w:rsidRPr="00FA5E6E">
        <w:rPr>
          <w:rFonts w:eastAsia="TimesNewRoman"/>
          <w:b/>
          <w:bCs/>
          <w:color w:val="000000"/>
          <w:sz w:val="28"/>
          <w:szCs w:val="28"/>
        </w:rPr>
        <w:t xml:space="preserve">Low Income </w:t>
      </w:r>
    </w:p>
    <w:p w:rsidR="00CC2449" w:rsidRPr="00FA5E6E" w:rsidRDefault="00FA5E6E" w:rsidP="00FA5E6E">
      <w:pPr>
        <w:autoSpaceDE w:val="0"/>
        <w:autoSpaceDN w:val="0"/>
        <w:adjustRightInd w:val="0"/>
        <w:jc w:val="center"/>
        <w:rPr>
          <w:rFonts w:eastAsia="TimesNewRoman"/>
          <w:b/>
          <w:bCs/>
          <w:color w:val="000000"/>
          <w:sz w:val="28"/>
          <w:szCs w:val="28"/>
        </w:rPr>
      </w:pPr>
      <w:r>
        <w:rPr>
          <w:rFonts w:eastAsia="TimesNewRoman"/>
          <w:b/>
          <w:bCs/>
          <w:color w:val="000000"/>
          <w:sz w:val="28"/>
          <w:szCs w:val="28"/>
        </w:rPr>
        <w:t>Universal Service Support</w:t>
      </w:r>
    </w:p>
    <w:p w:rsidR="000A326A" w:rsidRPr="00FA5E6E" w:rsidRDefault="000A326A" w:rsidP="00CC2449">
      <w:pPr>
        <w:autoSpaceDE w:val="0"/>
        <w:autoSpaceDN w:val="0"/>
        <w:adjustRightInd w:val="0"/>
        <w:jc w:val="center"/>
        <w:rPr>
          <w:rFonts w:eastAsia="TimesNewRoman"/>
          <w:b/>
          <w:bCs/>
          <w:color w:val="000000"/>
          <w:sz w:val="28"/>
          <w:szCs w:val="28"/>
        </w:rPr>
      </w:pPr>
    </w:p>
    <w:p w:rsidR="00E9333D" w:rsidRPr="00FA5E6E" w:rsidRDefault="009239D1" w:rsidP="005D5568">
      <w:pPr>
        <w:autoSpaceDE w:val="0"/>
        <w:autoSpaceDN w:val="0"/>
        <w:adjustRightInd w:val="0"/>
        <w:jc w:val="center"/>
        <w:rPr>
          <w:rFonts w:eastAsia="TimesNewRoman"/>
          <w:color w:val="000000"/>
        </w:rPr>
      </w:pPr>
      <w:r w:rsidRPr="00FA5E6E">
        <w:rPr>
          <w:rFonts w:eastAsia="TimesNewRoman"/>
          <w:color w:val="000000"/>
        </w:rPr>
        <w:t>FCC 11-161</w:t>
      </w:r>
    </w:p>
    <w:p w:rsidR="005D5568" w:rsidRDefault="005D5568" w:rsidP="005D5568">
      <w:pPr>
        <w:autoSpaceDE w:val="0"/>
        <w:autoSpaceDN w:val="0"/>
        <w:adjustRightInd w:val="0"/>
        <w:jc w:val="center"/>
        <w:rPr>
          <w:rFonts w:eastAsia="TimesNewRoman"/>
          <w:color w:val="000000"/>
        </w:rPr>
      </w:pPr>
      <w:r w:rsidRPr="00FA5E6E">
        <w:rPr>
          <w:rFonts w:eastAsia="TimesNewRoman"/>
          <w:color w:val="000000"/>
        </w:rPr>
        <w:t>WC Docket No</w:t>
      </w:r>
      <w:r w:rsidR="0038095B" w:rsidRPr="00FA5E6E">
        <w:rPr>
          <w:rFonts w:eastAsia="TimesNewRoman"/>
          <w:color w:val="000000"/>
        </w:rPr>
        <w:t>s</w:t>
      </w:r>
      <w:r w:rsidRPr="00FA5E6E">
        <w:rPr>
          <w:rFonts w:eastAsia="TimesNewRoman"/>
          <w:color w:val="000000"/>
        </w:rPr>
        <w:t>. 10-90, 05-337</w:t>
      </w:r>
      <w:r w:rsidR="00FC4A18" w:rsidRPr="00FA5E6E">
        <w:rPr>
          <w:rFonts w:eastAsia="TimesNewRoman"/>
          <w:color w:val="000000"/>
        </w:rPr>
        <w:t xml:space="preserve">, </w:t>
      </w:r>
      <w:r w:rsidR="00BE279E" w:rsidRPr="00FA5E6E">
        <w:rPr>
          <w:rFonts w:eastAsia="TimesNewRoman"/>
          <w:color w:val="000000"/>
        </w:rPr>
        <w:t xml:space="preserve">07-135, </w:t>
      </w:r>
      <w:r w:rsidR="00696843" w:rsidRPr="00FA5E6E">
        <w:rPr>
          <w:rFonts w:eastAsia="TimesNewRoman"/>
          <w:color w:val="000000"/>
        </w:rPr>
        <w:t xml:space="preserve">03-109, </w:t>
      </w:r>
      <w:r w:rsidR="00EC1445" w:rsidRPr="00FA5E6E">
        <w:rPr>
          <w:rFonts w:eastAsia="TimesNewRoman"/>
          <w:color w:val="000000"/>
        </w:rPr>
        <w:t xml:space="preserve">GN Docket No. </w:t>
      </w:r>
      <w:r w:rsidR="00FC4A18" w:rsidRPr="00FA5E6E">
        <w:rPr>
          <w:rFonts w:eastAsia="TimesNewRoman"/>
          <w:color w:val="000000"/>
        </w:rPr>
        <w:t>09-51</w:t>
      </w:r>
      <w:r w:rsidR="0009623F" w:rsidRPr="00FA5E6E">
        <w:rPr>
          <w:rFonts w:eastAsia="TimesNewRoman"/>
          <w:color w:val="000000"/>
        </w:rPr>
        <w:t>,</w:t>
      </w:r>
      <w:r w:rsidR="000B1CAA" w:rsidRPr="00FA5E6E">
        <w:rPr>
          <w:rFonts w:eastAsia="TimesNewRoman"/>
          <w:color w:val="000000"/>
        </w:rPr>
        <w:br/>
      </w:r>
      <w:r w:rsidR="00606DDE" w:rsidRPr="00FA5E6E">
        <w:rPr>
          <w:rFonts w:eastAsia="TimesNewRoman"/>
          <w:color w:val="000000"/>
        </w:rPr>
        <w:t>CC Docket No</w:t>
      </w:r>
      <w:r w:rsidR="002F1BE5" w:rsidRPr="00FA5E6E">
        <w:rPr>
          <w:rFonts w:eastAsia="TimesNewRoman"/>
          <w:color w:val="000000"/>
        </w:rPr>
        <w:t>s</w:t>
      </w:r>
      <w:r w:rsidR="00606DDE" w:rsidRPr="00FA5E6E">
        <w:rPr>
          <w:rFonts w:eastAsia="TimesNewRoman"/>
          <w:color w:val="000000"/>
        </w:rPr>
        <w:t xml:space="preserve">. </w:t>
      </w:r>
      <w:r w:rsidR="004C1455" w:rsidRPr="00FA5E6E">
        <w:rPr>
          <w:rFonts w:eastAsia="TimesNewRoman"/>
          <w:color w:val="000000"/>
        </w:rPr>
        <w:t>01-92</w:t>
      </w:r>
      <w:r w:rsidR="00111A40" w:rsidRPr="00FA5E6E">
        <w:rPr>
          <w:rFonts w:eastAsia="TimesNewRoman"/>
          <w:color w:val="000000"/>
        </w:rPr>
        <w:t xml:space="preserve">, </w:t>
      </w:r>
      <w:r w:rsidR="00144F5F" w:rsidRPr="00FA5E6E">
        <w:rPr>
          <w:rFonts w:eastAsia="TimesNewRoman"/>
          <w:color w:val="000000"/>
        </w:rPr>
        <w:t xml:space="preserve">96-45, </w:t>
      </w:r>
      <w:r w:rsidR="00321CF7" w:rsidRPr="00FA5E6E">
        <w:rPr>
          <w:rFonts w:eastAsia="TimesNewRoman"/>
          <w:color w:val="000000"/>
        </w:rPr>
        <w:t xml:space="preserve">WT Docket No. </w:t>
      </w:r>
      <w:r w:rsidR="0085457E" w:rsidRPr="00FA5E6E">
        <w:rPr>
          <w:rFonts w:eastAsia="TimesNewRoman"/>
          <w:color w:val="000000"/>
        </w:rPr>
        <w:t>10-208</w:t>
      </w:r>
    </w:p>
    <w:p w:rsidR="00E73CD0" w:rsidRPr="00FA5E6E" w:rsidRDefault="00FA5E6E" w:rsidP="005D5568">
      <w:pPr>
        <w:autoSpaceDE w:val="0"/>
        <w:autoSpaceDN w:val="0"/>
        <w:adjustRightInd w:val="0"/>
        <w:jc w:val="center"/>
        <w:rPr>
          <w:rFonts w:eastAsia="TimesNewRoman"/>
          <w:color w:val="000000"/>
        </w:rPr>
      </w:pPr>
      <w:r>
        <w:rPr>
          <w:rFonts w:eastAsia="TimesNewRoman"/>
          <w:color w:val="000000"/>
        </w:rPr>
        <w:t>Released: November 18, 2011</w:t>
      </w:r>
    </w:p>
    <w:p w:rsidR="00FA5E6E" w:rsidRDefault="00FA5E6E" w:rsidP="00CC2449">
      <w:pPr>
        <w:autoSpaceDE w:val="0"/>
        <w:autoSpaceDN w:val="0"/>
        <w:adjustRightInd w:val="0"/>
        <w:jc w:val="center"/>
        <w:rPr>
          <w:rFonts w:eastAsia="TimesNewRoman"/>
          <w:color w:val="000000"/>
        </w:rPr>
      </w:pPr>
    </w:p>
    <w:p w:rsidR="00FA5E6E" w:rsidRDefault="00FA5E6E" w:rsidP="00CC2449">
      <w:pPr>
        <w:autoSpaceDE w:val="0"/>
        <w:autoSpaceDN w:val="0"/>
        <w:adjustRightInd w:val="0"/>
        <w:jc w:val="center"/>
        <w:rPr>
          <w:rFonts w:eastAsia="TimesNewRoman"/>
          <w:color w:val="000000"/>
        </w:rPr>
      </w:pPr>
      <w:r>
        <w:rPr>
          <w:rFonts w:eastAsia="TimesNewRoman"/>
          <w:color w:val="000000"/>
        </w:rPr>
        <w:t>FCC 12-11</w:t>
      </w:r>
    </w:p>
    <w:p w:rsidR="00FA5E6E" w:rsidRDefault="00FA5E6E" w:rsidP="00CC2449">
      <w:pPr>
        <w:autoSpaceDE w:val="0"/>
        <w:autoSpaceDN w:val="0"/>
        <w:adjustRightInd w:val="0"/>
        <w:jc w:val="center"/>
        <w:rPr>
          <w:rFonts w:eastAsia="TimesNewRoman"/>
          <w:color w:val="000000"/>
        </w:rPr>
      </w:pPr>
      <w:r>
        <w:rPr>
          <w:rFonts w:eastAsia="TimesNewRoman"/>
          <w:color w:val="000000"/>
        </w:rPr>
        <w:t>WC Docket Nos. 11-42, 03-109, 12-23, CC Docket No. 96-45</w:t>
      </w:r>
    </w:p>
    <w:p w:rsidR="00FA5E6E" w:rsidRDefault="00FA5E6E" w:rsidP="00CC2449">
      <w:pPr>
        <w:autoSpaceDE w:val="0"/>
        <w:autoSpaceDN w:val="0"/>
        <w:adjustRightInd w:val="0"/>
        <w:jc w:val="center"/>
        <w:rPr>
          <w:rFonts w:eastAsia="TimesNewRoman"/>
          <w:color w:val="000000"/>
        </w:rPr>
      </w:pPr>
      <w:r>
        <w:rPr>
          <w:rFonts w:eastAsia="TimesNewRoman"/>
          <w:color w:val="000000"/>
        </w:rPr>
        <w:t>Released: February 6, 2012</w:t>
      </w:r>
    </w:p>
    <w:p w:rsidR="00A26754" w:rsidRDefault="00A26754" w:rsidP="00CC2449">
      <w:pPr>
        <w:autoSpaceDE w:val="0"/>
        <w:autoSpaceDN w:val="0"/>
        <w:adjustRightInd w:val="0"/>
        <w:jc w:val="center"/>
        <w:rPr>
          <w:rFonts w:eastAsia="TimesNewRoman"/>
          <w:color w:val="000000"/>
        </w:rPr>
      </w:pPr>
    </w:p>
    <w:p w:rsidR="00A26754" w:rsidRDefault="00A26754" w:rsidP="00CC2449">
      <w:pPr>
        <w:autoSpaceDE w:val="0"/>
        <w:autoSpaceDN w:val="0"/>
        <w:adjustRightInd w:val="0"/>
        <w:jc w:val="center"/>
        <w:rPr>
          <w:rFonts w:eastAsia="TimesNewRoman"/>
          <w:color w:val="000000"/>
        </w:rPr>
      </w:pPr>
      <w:r>
        <w:rPr>
          <w:rFonts w:eastAsia="TimesNewRoman"/>
          <w:color w:val="000000"/>
        </w:rPr>
        <w:t>FCC 12-52</w:t>
      </w:r>
    </w:p>
    <w:p w:rsidR="00A26754" w:rsidRDefault="00A26754" w:rsidP="00A26754">
      <w:pPr>
        <w:autoSpaceDE w:val="0"/>
        <w:autoSpaceDN w:val="0"/>
        <w:adjustRightInd w:val="0"/>
        <w:jc w:val="center"/>
        <w:rPr>
          <w:rFonts w:eastAsia="TimesNewRoman"/>
          <w:color w:val="000000"/>
        </w:rPr>
      </w:pPr>
      <w:r w:rsidRPr="00FA5E6E">
        <w:rPr>
          <w:rFonts w:eastAsia="TimesNewRoman"/>
          <w:color w:val="000000"/>
        </w:rPr>
        <w:t>WC Docket Nos. 10-90, 05-337, 07-135, 03-109, GN Docket No. 09-51,</w:t>
      </w:r>
      <w:r w:rsidRPr="00FA5E6E">
        <w:rPr>
          <w:rFonts w:eastAsia="TimesNewRoman"/>
          <w:color w:val="000000"/>
        </w:rPr>
        <w:br/>
        <w:t>CC Docket Nos. 01-92, 96-45, WT Docket No. 10-208</w:t>
      </w:r>
    </w:p>
    <w:p w:rsidR="00360DA0" w:rsidRDefault="00A26754" w:rsidP="00CC2449">
      <w:pPr>
        <w:autoSpaceDE w:val="0"/>
        <w:autoSpaceDN w:val="0"/>
        <w:adjustRightInd w:val="0"/>
        <w:jc w:val="center"/>
        <w:rPr>
          <w:rFonts w:eastAsia="TimesNewRoman"/>
          <w:color w:val="000000"/>
        </w:rPr>
      </w:pPr>
      <w:r>
        <w:rPr>
          <w:rFonts w:eastAsia="TimesNewRoman"/>
          <w:color w:val="000000"/>
        </w:rPr>
        <w:t>Released: May 14, 2012</w:t>
      </w:r>
    </w:p>
    <w:p w:rsidR="005E6D6E" w:rsidRDefault="005E6D6E" w:rsidP="00CC2449">
      <w:pPr>
        <w:autoSpaceDE w:val="0"/>
        <w:autoSpaceDN w:val="0"/>
        <w:adjustRightInd w:val="0"/>
        <w:jc w:val="center"/>
        <w:rPr>
          <w:rFonts w:eastAsia="TimesNewRoman"/>
          <w:color w:val="000000"/>
        </w:rPr>
      </w:pPr>
    </w:p>
    <w:p w:rsidR="005E6D6E" w:rsidRDefault="005E6D6E" w:rsidP="00CC2449">
      <w:pPr>
        <w:autoSpaceDE w:val="0"/>
        <w:autoSpaceDN w:val="0"/>
        <w:adjustRightInd w:val="0"/>
        <w:jc w:val="center"/>
        <w:rPr>
          <w:rFonts w:eastAsia="TimesNewRoman"/>
          <w:color w:val="000000"/>
        </w:rPr>
      </w:pPr>
      <w:r>
        <w:rPr>
          <w:rFonts w:eastAsia="TimesNewRoman"/>
          <w:color w:val="000000"/>
        </w:rPr>
        <w:t>FCC 12-137</w:t>
      </w:r>
    </w:p>
    <w:p w:rsidR="005E6D6E" w:rsidRDefault="005E6D6E" w:rsidP="005E6D6E">
      <w:pPr>
        <w:autoSpaceDE w:val="0"/>
        <w:autoSpaceDN w:val="0"/>
        <w:adjustRightInd w:val="0"/>
        <w:jc w:val="center"/>
        <w:rPr>
          <w:rFonts w:eastAsia="TimesNewRoman"/>
          <w:color w:val="000000"/>
        </w:rPr>
      </w:pPr>
      <w:r w:rsidRPr="00FA5E6E">
        <w:rPr>
          <w:rFonts w:eastAsia="TimesNewRoman"/>
          <w:color w:val="000000"/>
        </w:rPr>
        <w:t>WC Docket Nos. 10-90, 05-337, 07-135, 03-109, GN Docket No. 09-51,</w:t>
      </w:r>
      <w:r w:rsidRPr="00FA5E6E">
        <w:rPr>
          <w:rFonts w:eastAsia="TimesNewRoman"/>
          <w:color w:val="000000"/>
        </w:rPr>
        <w:br/>
        <w:t>CC Docket Nos. 01-92, 96-45, WT Docket No. 10-208</w:t>
      </w:r>
    </w:p>
    <w:p w:rsidR="005E6D6E" w:rsidRDefault="005E6D6E" w:rsidP="00CC2449">
      <w:pPr>
        <w:autoSpaceDE w:val="0"/>
        <w:autoSpaceDN w:val="0"/>
        <w:adjustRightInd w:val="0"/>
        <w:jc w:val="center"/>
        <w:rPr>
          <w:rFonts w:eastAsia="TimesNewRoman"/>
          <w:color w:val="000000"/>
        </w:rPr>
      </w:pPr>
      <w:r>
        <w:rPr>
          <w:rFonts w:eastAsia="TimesNewRoman"/>
          <w:color w:val="000000"/>
        </w:rPr>
        <w:t>Released: November 16, 2012</w:t>
      </w:r>
    </w:p>
    <w:p w:rsidR="00A26754" w:rsidRDefault="00A26754" w:rsidP="00CC2449">
      <w:pPr>
        <w:autoSpaceDE w:val="0"/>
        <w:autoSpaceDN w:val="0"/>
        <w:adjustRightInd w:val="0"/>
        <w:jc w:val="center"/>
        <w:rPr>
          <w:rFonts w:eastAsia="TimesNewRoman"/>
          <w:color w:val="000000"/>
        </w:rPr>
      </w:pPr>
    </w:p>
    <w:p w:rsidR="00360DA0" w:rsidRDefault="00360DA0" w:rsidP="00CC2449">
      <w:pPr>
        <w:autoSpaceDE w:val="0"/>
        <w:autoSpaceDN w:val="0"/>
        <w:adjustRightInd w:val="0"/>
        <w:jc w:val="center"/>
        <w:rPr>
          <w:rFonts w:eastAsia="TimesNewRoman"/>
          <w:color w:val="000000"/>
        </w:rPr>
      </w:pPr>
      <w:r>
        <w:rPr>
          <w:rFonts w:eastAsia="TimesNewRoman"/>
          <w:color w:val="000000"/>
        </w:rPr>
        <w:t>FCC 14-54</w:t>
      </w:r>
    </w:p>
    <w:p w:rsidR="00360DA0" w:rsidRDefault="00360DA0" w:rsidP="00CC2449">
      <w:pPr>
        <w:autoSpaceDE w:val="0"/>
        <w:autoSpaceDN w:val="0"/>
        <w:adjustRightInd w:val="0"/>
        <w:jc w:val="center"/>
        <w:rPr>
          <w:rFonts w:eastAsia="TimesNewRoman"/>
          <w:color w:val="000000"/>
        </w:rPr>
      </w:pPr>
      <w:r>
        <w:rPr>
          <w:rFonts w:eastAsia="TimesNewRoman"/>
          <w:color w:val="000000"/>
        </w:rPr>
        <w:t>WC Docket Nos. 10-90, 10-208, 14-58, 07-135, 01-92</w:t>
      </w:r>
    </w:p>
    <w:p w:rsidR="00360DA0" w:rsidRDefault="00360DA0" w:rsidP="00CC2449">
      <w:pPr>
        <w:autoSpaceDE w:val="0"/>
        <w:autoSpaceDN w:val="0"/>
        <w:adjustRightInd w:val="0"/>
        <w:jc w:val="center"/>
        <w:rPr>
          <w:rFonts w:eastAsia="TimesNewRoman"/>
          <w:color w:val="000000"/>
        </w:rPr>
      </w:pPr>
      <w:r>
        <w:rPr>
          <w:rFonts w:eastAsia="TimesNewRoman"/>
          <w:color w:val="000000"/>
        </w:rPr>
        <w:t>Released: June 10, 2014</w:t>
      </w:r>
    </w:p>
    <w:p w:rsidR="00E73CD0" w:rsidRDefault="00E73CD0" w:rsidP="00CC2449">
      <w:pPr>
        <w:autoSpaceDE w:val="0"/>
        <w:autoSpaceDN w:val="0"/>
        <w:adjustRightInd w:val="0"/>
        <w:jc w:val="center"/>
        <w:rPr>
          <w:rFonts w:eastAsia="TimesNewRoman"/>
          <w:color w:val="000000"/>
        </w:rPr>
      </w:pPr>
    </w:p>
    <w:p w:rsidR="00E73CD0" w:rsidRDefault="00E73CD0" w:rsidP="00E73CD0">
      <w:pPr>
        <w:autoSpaceDE w:val="0"/>
        <w:autoSpaceDN w:val="0"/>
        <w:adjustRightInd w:val="0"/>
        <w:jc w:val="center"/>
        <w:rPr>
          <w:rFonts w:eastAsia="TimesNewRoman"/>
          <w:color w:val="000000"/>
        </w:rPr>
      </w:pPr>
      <w:r>
        <w:rPr>
          <w:rFonts w:eastAsia="TimesNewRoman"/>
          <w:color w:val="000000"/>
        </w:rPr>
        <w:t>FCC 14-190</w:t>
      </w:r>
    </w:p>
    <w:p w:rsidR="00E73CD0" w:rsidRDefault="00E73CD0" w:rsidP="00E73CD0">
      <w:pPr>
        <w:autoSpaceDE w:val="0"/>
        <w:autoSpaceDN w:val="0"/>
        <w:adjustRightInd w:val="0"/>
        <w:jc w:val="center"/>
        <w:rPr>
          <w:rFonts w:eastAsia="TimesNewRoman"/>
          <w:color w:val="000000"/>
        </w:rPr>
      </w:pPr>
      <w:r>
        <w:rPr>
          <w:rFonts w:eastAsia="TimesNewRoman"/>
          <w:color w:val="000000"/>
        </w:rPr>
        <w:t>WC Docket Nos. 10-90, 14-58, 14-192</w:t>
      </w:r>
    </w:p>
    <w:p w:rsidR="00E73CD0" w:rsidRDefault="00E73CD0" w:rsidP="00CC2449">
      <w:pPr>
        <w:autoSpaceDE w:val="0"/>
        <w:autoSpaceDN w:val="0"/>
        <w:adjustRightInd w:val="0"/>
        <w:jc w:val="center"/>
        <w:rPr>
          <w:rFonts w:eastAsia="TimesNewRoman"/>
          <w:color w:val="000000"/>
        </w:rPr>
      </w:pPr>
      <w:r>
        <w:rPr>
          <w:rFonts w:eastAsia="TimesNewRoman"/>
          <w:color w:val="000000"/>
        </w:rPr>
        <w:t>Released: December 18, 2014</w:t>
      </w:r>
    </w:p>
    <w:p w:rsidR="00FA5E6E" w:rsidRDefault="00FA5E6E" w:rsidP="00CC2449">
      <w:pPr>
        <w:autoSpaceDE w:val="0"/>
        <w:autoSpaceDN w:val="0"/>
        <w:adjustRightInd w:val="0"/>
        <w:jc w:val="center"/>
        <w:rPr>
          <w:rFonts w:eastAsia="TimesNewRoman"/>
          <w:color w:val="000000"/>
        </w:rPr>
      </w:pPr>
    </w:p>
    <w:p w:rsidR="00CC2449" w:rsidRPr="00FA5E6E" w:rsidRDefault="00342953" w:rsidP="00CC2449">
      <w:pPr>
        <w:autoSpaceDE w:val="0"/>
        <w:autoSpaceDN w:val="0"/>
        <w:adjustRightInd w:val="0"/>
        <w:jc w:val="center"/>
        <w:rPr>
          <w:rFonts w:eastAsia="TimesNewRoman"/>
          <w:color w:val="000000"/>
        </w:rPr>
      </w:pPr>
      <w:r w:rsidRPr="00FA5E6E">
        <w:rPr>
          <w:rFonts w:eastAsia="TimesNewRoman"/>
          <w:color w:val="000000"/>
        </w:rPr>
        <w:t xml:space="preserve">47 </w:t>
      </w:r>
      <w:r w:rsidR="003F3E8A" w:rsidRPr="00FA5E6E">
        <w:rPr>
          <w:rFonts w:eastAsia="TimesNewRoman"/>
          <w:color w:val="000000"/>
        </w:rPr>
        <w:t>C.F.R.</w:t>
      </w:r>
      <w:r w:rsidRPr="00FA5E6E">
        <w:rPr>
          <w:rFonts w:eastAsia="TimesNewRoman"/>
          <w:color w:val="000000"/>
        </w:rPr>
        <w:t xml:space="preserve"> </w:t>
      </w:r>
      <w:r w:rsidR="004D5543" w:rsidRPr="00FA5E6E">
        <w:rPr>
          <w:rFonts w:eastAsia="TimesNewRoman"/>
          <w:color w:val="000000"/>
        </w:rPr>
        <w:t>§</w:t>
      </w:r>
      <w:r w:rsidRPr="00FA5E6E">
        <w:rPr>
          <w:rFonts w:eastAsia="TimesNewRoman"/>
          <w:color w:val="000000"/>
        </w:rPr>
        <w:t>§</w:t>
      </w:r>
      <w:r w:rsidR="004D5543" w:rsidRPr="00FA5E6E">
        <w:rPr>
          <w:rFonts w:eastAsia="TimesNewRoman"/>
          <w:color w:val="000000"/>
        </w:rPr>
        <w:t xml:space="preserve"> </w:t>
      </w:r>
      <w:r w:rsidRPr="00FA5E6E">
        <w:rPr>
          <w:rFonts w:eastAsia="TimesNewRoman"/>
          <w:color w:val="000000"/>
        </w:rPr>
        <w:t>54.313</w:t>
      </w:r>
      <w:r w:rsidR="004D5543" w:rsidRPr="00FA5E6E">
        <w:rPr>
          <w:rFonts w:eastAsia="TimesNewRoman"/>
          <w:color w:val="000000"/>
        </w:rPr>
        <w:t>,</w:t>
      </w:r>
      <w:r w:rsidR="00E73CD0">
        <w:rPr>
          <w:rFonts w:eastAsia="TimesNewRoman"/>
          <w:color w:val="000000"/>
        </w:rPr>
        <w:t xml:space="preserve"> 54.314,</w:t>
      </w:r>
      <w:r w:rsidR="004D5543" w:rsidRPr="00FA5E6E">
        <w:rPr>
          <w:rFonts w:eastAsia="TimesNewRoman"/>
          <w:color w:val="000000"/>
        </w:rPr>
        <w:t xml:space="preserve"> </w:t>
      </w:r>
      <w:r w:rsidR="003F41B7">
        <w:rPr>
          <w:rFonts w:eastAsia="TimesNewRoman"/>
          <w:color w:val="000000"/>
        </w:rPr>
        <w:t xml:space="preserve">54.320, </w:t>
      </w:r>
      <w:r w:rsidR="004D5543" w:rsidRPr="00FA5E6E">
        <w:rPr>
          <w:rFonts w:eastAsia="TimesNewRoman"/>
          <w:color w:val="000000"/>
        </w:rPr>
        <w:t>54.422</w:t>
      </w:r>
    </w:p>
    <w:p w:rsidR="00CC2449" w:rsidRPr="00FA5E6E" w:rsidRDefault="00CC2449" w:rsidP="00CC2449">
      <w:pPr>
        <w:autoSpaceDE w:val="0"/>
        <w:autoSpaceDN w:val="0"/>
        <w:adjustRightInd w:val="0"/>
        <w:rPr>
          <w:rFonts w:eastAsia="TimesNewRoman"/>
          <w:b/>
          <w:bCs/>
          <w:color w:val="000000"/>
          <w:sz w:val="22"/>
          <w:szCs w:val="22"/>
        </w:rPr>
      </w:pPr>
    </w:p>
    <w:p w:rsidR="00CC2449" w:rsidRPr="00520FA7" w:rsidRDefault="00CC2449" w:rsidP="004542AA">
      <w:pPr>
        <w:autoSpaceDE w:val="0"/>
        <w:autoSpaceDN w:val="0"/>
        <w:adjustRightInd w:val="0"/>
        <w:jc w:val="both"/>
        <w:rPr>
          <w:rFonts w:eastAsia="TimesNewRoman"/>
          <w:b/>
          <w:bCs/>
          <w:color w:val="000000"/>
          <w:sz w:val="22"/>
          <w:szCs w:val="22"/>
        </w:rPr>
      </w:pPr>
      <w:r w:rsidRPr="00520FA7">
        <w:rPr>
          <w:rFonts w:eastAsia="TimesNewRoman"/>
          <w:b/>
          <w:bCs/>
          <w:color w:val="000000"/>
          <w:sz w:val="22"/>
          <w:szCs w:val="22"/>
        </w:rPr>
        <w:t xml:space="preserve">This Guide is prepared in accordance with the requirements of Section 212 of the Small Business Regulatory Enforcement Fairness Act of 1996. It is </w:t>
      </w:r>
      <w:r w:rsidR="00520FA7">
        <w:rPr>
          <w:rFonts w:eastAsia="TimesNewRoman"/>
          <w:b/>
          <w:bCs/>
          <w:color w:val="000000"/>
          <w:sz w:val="22"/>
          <w:szCs w:val="22"/>
        </w:rPr>
        <w:t>intended to help small entities</w:t>
      </w:r>
      <w:r w:rsidR="004542AA">
        <w:rPr>
          <w:b/>
          <w:sz w:val="22"/>
          <w:szCs w:val="22"/>
        </w:rPr>
        <w:t>—</w:t>
      </w:r>
      <w:r w:rsidRPr="00520FA7">
        <w:rPr>
          <w:rFonts w:eastAsia="TimesNewRoman"/>
          <w:b/>
          <w:bCs/>
          <w:color w:val="000000"/>
          <w:sz w:val="22"/>
          <w:szCs w:val="22"/>
        </w:rPr>
        <w:t>small businesses, small organizations (non-profits), and small governmental jurisdictions</w:t>
      </w:r>
      <w:r w:rsidR="004542AA">
        <w:rPr>
          <w:b/>
          <w:sz w:val="22"/>
          <w:szCs w:val="22"/>
        </w:rPr>
        <w:t>—</w:t>
      </w:r>
      <w:r w:rsidRPr="00520FA7">
        <w:rPr>
          <w:rFonts w:eastAsia="TimesNewRoman"/>
          <w:b/>
          <w:bCs/>
          <w:color w:val="000000"/>
          <w:sz w:val="22"/>
          <w:szCs w:val="22"/>
        </w:rPr>
        <w:t xml:space="preserve">comply with the </w:t>
      </w:r>
      <w:r w:rsidRPr="004542AA">
        <w:rPr>
          <w:rFonts w:eastAsia="TimesNewRoman"/>
          <w:b/>
          <w:bCs/>
          <w:color w:val="000000"/>
          <w:sz w:val="22"/>
          <w:szCs w:val="22"/>
        </w:rPr>
        <w:t>revised</w:t>
      </w:r>
      <w:r w:rsidRPr="00520FA7">
        <w:rPr>
          <w:rFonts w:eastAsia="TimesNewRoman"/>
          <w:b/>
          <w:bCs/>
          <w:color w:val="000000"/>
          <w:sz w:val="22"/>
          <w:szCs w:val="22"/>
        </w:rPr>
        <w:t xml:space="preserve"> rules adopted in the above referenced FCC </w:t>
      </w:r>
      <w:r w:rsidRPr="00520FA7">
        <w:rPr>
          <w:rFonts w:eastAsia="TimesNewRoman"/>
          <w:b/>
          <w:bCs/>
          <w:color w:val="000000"/>
          <w:sz w:val="22"/>
          <w:szCs w:val="22"/>
        </w:rPr>
        <w:lastRenderedPageBreak/>
        <w:t>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w:t>
      </w:r>
    </w:p>
    <w:p w:rsidR="00CC2449" w:rsidRPr="00520FA7" w:rsidRDefault="00CC2449" w:rsidP="004542AA">
      <w:pPr>
        <w:autoSpaceDE w:val="0"/>
        <w:autoSpaceDN w:val="0"/>
        <w:adjustRightInd w:val="0"/>
        <w:jc w:val="both"/>
        <w:rPr>
          <w:rFonts w:eastAsia="TimesNewRoman"/>
          <w:b/>
          <w:bCs/>
          <w:color w:val="000000"/>
          <w:sz w:val="22"/>
          <w:szCs w:val="22"/>
        </w:rPr>
      </w:pPr>
    </w:p>
    <w:p w:rsidR="00CC2449" w:rsidRPr="00FA5E6E" w:rsidRDefault="00CC2449" w:rsidP="004542AA">
      <w:pPr>
        <w:autoSpaceDE w:val="0"/>
        <w:autoSpaceDN w:val="0"/>
        <w:adjustRightInd w:val="0"/>
        <w:jc w:val="both"/>
        <w:rPr>
          <w:rFonts w:eastAsia="TimesNewRoman"/>
          <w:b/>
          <w:bCs/>
          <w:color w:val="000000"/>
          <w:sz w:val="22"/>
          <w:szCs w:val="22"/>
        </w:rPr>
      </w:pPr>
      <w:r w:rsidRPr="00520FA7">
        <w:rPr>
          <w:rFonts w:eastAsia="TimesNewRoman"/>
          <w:b/>
          <w:bCs/>
          <w:color w:val="000000"/>
          <w:sz w:val="22"/>
          <w:szCs w:val="22"/>
        </w:rPr>
        <w:t>In any civil or administrative action against a small entity for a violation of rules,</w:t>
      </w:r>
      <w:r w:rsidR="001A7743" w:rsidRPr="00520FA7">
        <w:rPr>
          <w:rFonts w:eastAsia="TimesNewRoman"/>
          <w:b/>
          <w:bCs/>
          <w:color w:val="000000"/>
          <w:sz w:val="22"/>
          <w:szCs w:val="22"/>
        </w:rPr>
        <w:t xml:space="preserve"> </w:t>
      </w:r>
      <w:r w:rsidRPr="00520FA7">
        <w:rPr>
          <w:rFonts w:eastAsia="TimesNewRoman"/>
          <w:b/>
          <w:bCs/>
          <w:color w:val="000000"/>
          <w:sz w:val="22"/>
          <w:szCs w:val="22"/>
        </w:rPr>
        <w:t>the content of the Small Entity Compliance Guide may be considered as evidence of</w:t>
      </w:r>
      <w:r w:rsidR="001A7743" w:rsidRPr="00520FA7">
        <w:rPr>
          <w:rFonts w:eastAsia="TimesNewRoman"/>
          <w:b/>
          <w:bCs/>
          <w:color w:val="000000"/>
          <w:sz w:val="22"/>
          <w:szCs w:val="22"/>
        </w:rPr>
        <w:t xml:space="preserve"> </w:t>
      </w:r>
      <w:r w:rsidRPr="00520FA7">
        <w:rPr>
          <w:rFonts w:eastAsia="TimesNewRoman"/>
          <w:b/>
          <w:bCs/>
          <w:color w:val="000000"/>
          <w:sz w:val="22"/>
          <w:szCs w:val="22"/>
        </w:rPr>
        <w:t>the reasonableness or appropriatene</w:t>
      </w:r>
      <w:r w:rsidR="00051E99" w:rsidRPr="00520FA7">
        <w:rPr>
          <w:rFonts w:eastAsia="TimesNewRoman"/>
          <w:b/>
          <w:bCs/>
          <w:color w:val="000000"/>
          <w:sz w:val="22"/>
          <w:szCs w:val="22"/>
        </w:rPr>
        <w:t>ss of proposed fines, penalties</w:t>
      </w:r>
      <w:r w:rsidRPr="00520FA7">
        <w:rPr>
          <w:rFonts w:eastAsia="TimesNewRoman"/>
          <w:b/>
          <w:bCs/>
          <w:color w:val="000000"/>
          <w:sz w:val="22"/>
          <w:szCs w:val="22"/>
        </w:rPr>
        <w:t>, or damages.</w:t>
      </w:r>
      <w:r w:rsidR="001A7743" w:rsidRPr="00520FA7">
        <w:rPr>
          <w:rFonts w:eastAsia="TimesNewRoman"/>
          <w:b/>
          <w:bCs/>
          <w:color w:val="000000"/>
          <w:sz w:val="22"/>
          <w:szCs w:val="22"/>
        </w:rPr>
        <w:t xml:space="preserve"> </w:t>
      </w:r>
      <w:r w:rsidRPr="00520FA7">
        <w:rPr>
          <w:rFonts w:eastAsia="TimesNewRoman"/>
          <w:b/>
          <w:bCs/>
          <w:color w:val="000000"/>
          <w:sz w:val="22"/>
          <w:szCs w:val="22"/>
        </w:rPr>
        <w:t>Interested parties are free to file comments regarding this Guide and the</w:t>
      </w:r>
      <w:r w:rsidR="001A7743" w:rsidRPr="00520FA7">
        <w:rPr>
          <w:rFonts w:eastAsia="TimesNewRoman"/>
          <w:b/>
          <w:bCs/>
          <w:color w:val="000000"/>
          <w:sz w:val="22"/>
          <w:szCs w:val="22"/>
        </w:rPr>
        <w:t xml:space="preserve"> </w:t>
      </w:r>
      <w:r w:rsidRPr="00520FA7">
        <w:rPr>
          <w:rFonts w:eastAsia="TimesNewRoman"/>
          <w:b/>
          <w:bCs/>
          <w:color w:val="000000"/>
          <w:sz w:val="22"/>
          <w:szCs w:val="22"/>
        </w:rPr>
        <w:t>appropriateness of its application to a particular situation; the FCC will consider</w:t>
      </w:r>
      <w:r w:rsidR="001A7743" w:rsidRPr="00520FA7">
        <w:rPr>
          <w:rFonts w:eastAsia="TimesNewRoman"/>
          <w:b/>
          <w:bCs/>
          <w:color w:val="000000"/>
          <w:sz w:val="22"/>
          <w:szCs w:val="22"/>
        </w:rPr>
        <w:t xml:space="preserve"> </w:t>
      </w:r>
      <w:r w:rsidRPr="00520FA7">
        <w:rPr>
          <w:rFonts w:eastAsia="TimesNewRoman"/>
          <w:b/>
          <w:bCs/>
          <w:color w:val="000000"/>
          <w:sz w:val="22"/>
          <w:szCs w:val="22"/>
        </w:rPr>
        <w:t>whether</w:t>
      </w:r>
      <w:r w:rsidRPr="00FA5E6E">
        <w:rPr>
          <w:rFonts w:eastAsia="TimesNewRoman"/>
          <w:b/>
          <w:bCs/>
          <w:color w:val="000000"/>
          <w:sz w:val="22"/>
          <w:szCs w:val="22"/>
        </w:rPr>
        <w:t xml:space="preserve"> the recommendations or interpretations in the Guide are appropriate in</w:t>
      </w:r>
      <w:r w:rsidR="001A7743" w:rsidRPr="00FA5E6E">
        <w:rPr>
          <w:rFonts w:eastAsia="TimesNewRoman"/>
          <w:b/>
          <w:bCs/>
          <w:color w:val="000000"/>
          <w:sz w:val="22"/>
          <w:szCs w:val="22"/>
        </w:rPr>
        <w:t xml:space="preserve"> </w:t>
      </w:r>
      <w:r w:rsidRPr="00FA5E6E">
        <w:rPr>
          <w:rFonts w:eastAsia="TimesNewRoman"/>
          <w:b/>
          <w:bCs/>
          <w:color w:val="000000"/>
          <w:sz w:val="22"/>
          <w:szCs w:val="22"/>
        </w:rPr>
        <w:t>that situation. The FCC may decide to revise</w:t>
      </w:r>
      <w:r w:rsidR="001A7743" w:rsidRPr="00FA5E6E">
        <w:rPr>
          <w:rFonts w:eastAsia="TimesNewRoman"/>
          <w:b/>
          <w:bCs/>
          <w:color w:val="000000"/>
          <w:sz w:val="22"/>
          <w:szCs w:val="22"/>
        </w:rPr>
        <w:t xml:space="preserve"> this Guide without public noti</w:t>
      </w:r>
      <w:r w:rsidRPr="00FA5E6E">
        <w:rPr>
          <w:rFonts w:eastAsia="TimesNewRoman"/>
          <w:b/>
          <w:bCs/>
          <w:color w:val="000000"/>
          <w:sz w:val="22"/>
          <w:szCs w:val="22"/>
        </w:rPr>
        <w:t>ce to</w:t>
      </w:r>
      <w:r w:rsidR="001A7743" w:rsidRPr="00FA5E6E">
        <w:rPr>
          <w:rFonts w:eastAsia="TimesNewRoman"/>
          <w:b/>
          <w:bCs/>
          <w:color w:val="000000"/>
          <w:sz w:val="22"/>
          <w:szCs w:val="22"/>
        </w:rPr>
        <w:t xml:space="preserve"> </w:t>
      </w:r>
      <w:r w:rsidRPr="00FA5E6E">
        <w:rPr>
          <w:rFonts w:eastAsia="TimesNewRoman"/>
          <w:b/>
          <w:bCs/>
          <w:color w:val="000000"/>
          <w:sz w:val="22"/>
          <w:szCs w:val="22"/>
        </w:rPr>
        <w:t>reflect changes in the FCC’s approach to implementing a rule, or to clarify or</w:t>
      </w:r>
      <w:r w:rsidR="001A7743" w:rsidRPr="00FA5E6E">
        <w:rPr>
          <w:rFonts w:eastAsia="TimesNewRoman"/>
          <w:b/>
          <w:bCs/>
          <w:color w:val="000000"/>
          <w:sz w:val="22"/>
          <w:szCs w:val="22"/>
        </w:rPr>
        <w:t xml:space="preserve"> </w:t>
      </w:r>
      <w:r w:rsidRPr="00FA5E6E">
        <w:rPr>
          <w:rFonts w:eastAsia="TimesNewRoman"/>
          <w:b/>
          <w:bCs/>
          <w:color w:val="000000"/>
          <w:sz w:val="22"/>
          <w:szCs w:val="22"/>
        </w:rPr>
        <w:t>update the text of the Guide. Direct your comments and recommendations, or calls</w:t>
      </w:r>
      <w:r w:rsidR="001A7743" w:rsidRPr="00FA5E6E">
        <w:rPr>
          <w:rFonts w:eastAsia="TimesNewRoman"/>
          <w:b/>
          <w:bCs/>
          <w:color w:val="000000"/>
          <w:sz w:val="22"/>
          <w:szCs w:val="22"/>
        </w:rPr>
        <w:t xml:space="preserve"> </w:t>
      </w:r>
      <w:r w:rsidRPr="00FA5E6E">
        <w:rPr>
          <w:rFonts w:eastAsia="TimesNewRoman"/>
          <w:b/>
          <w:bCs/>
          <w:color w:val="000000"/>
          <w:sz w:val="22"/>
          <w:szCs w:val="22"/>
        </w:rPr>
        <w:t>for further assistance, to the FCC’s Consumer Center:</w:t>
      </w:r>
    </w:p>
    <w:p w:rsidR="001A7743" w:rsidRPr="00FA5E6E" w:rsidRDefault="001A7743" w:rsidP="00CC2449">
      <w:pPr>
        <w:autoSpaceDE w:val="0"/>
        <w:autoSpaceDN w:val="0"/>
        <w:adjustRightInd w:val="0"/>
        <w:rPr>
          <w:rFonts w:eastAsia="TimesNewRoman"/>
          <w:b/>
          <w:bCs/>
          <w:color w:val="000000"/>
          <w:sz w:val="22"/>
          <w:szCs w:val="22"/>
        </w:rPr>
      </w:pPr>
    </w:p>
    <w:p w:rsidR="00CC2449" w:rsidRPr="00FA5E6E" w:rsidRDefault="00CC2449" w:rsidP="00342953">
      <w:pPr>
        <w:autoSpaceDE w:val="0"/>
        <w:autoSpaceDN w:val="0"/>
        <w:adjustRightInd w:val="0"/>
        <w:jc w:val="center"/>
        <w:rPr>
          <w:rFonts w:eastAsia="TimesNewRoman"/>
          <w:b/>
          <w:bCs/>
          <w:color w:val="000000"/>
        </w:rPr>
      </w:pPr>
      <w:r w:rsidRPr="00FA5E6E">
        <w:rPr>
          <w:rFonts w:eastAsia="TimesNewRoman"/>
          <w:b/>
          <w:bCs/>
          <w:color w:val="000000"/>
        </w:rPr>
        <w:t>1-888-CALL-FCC (1-888-225-5322)</w:t>
      </w:r>
    </w:p>
    <w:p w:rsidR="00CC2449" w:rsidRPr="00FA5E6E" w:rsidRDefault="00CC2449" w:rsidP="00342953">
      <w:pPr>
        <w:autoSpaceDE w:val="0"/>
        <w:autoSpaceDN w:val="0"/>
        <w:adjustRightInd w:val="0"/>
        <w:jc w:val="center"/>
        <w:rPr>
          <w:rFonts w:eastAsia="TimesNewRoman"/>
          <w:b/>
          <w:bCs/>
          <w:color w:val="000000"/>
        </w:rPr>
      </w:pPr>
      <w:r w:rsidRPr="00FA5E6E">
        <w:rPr>
          <w:rFonts w:eastAsia="TimesNewRoman"/>
          <w:b/>
          <w:bCs/>
          <w:color w:val="000000"/>
        </w:rPr>
        <w:t>TTY: 1-888-TELL-FCC (1-888-835-5322)</w:t>
      </w:r>
    </w:p>
    <w:p w:rsidR="00CC2449" w:rsidRPr="00FA5E6E" w:rsidRDefault="00CC2449" w:rsidP="00342953">
      <w:pPr>
        <w:autoSpaceDE w:val="0"/>
        <w:autoSpaceDN w:val="0"/>
        <w:adjustRightInd w:val="0"/>
        <w:jc w:val="center"/>
        <w:rPr>
          <w:rFonts w:eastAsia="TimesNewRoman"/>
          <w:b/>
          <w:bCs/>
          <w:color w:val="000000"/>
        </w:rPr>
      </w:pPr>
      <w:r w:rsidRPr="00FA5E6E">
        <w:rPr>
          <w:rFonts w:eastAsia="TimesNewRoman"/>
          <w:b/>
          <w:bCs/>
          <w:color w:val="000000"/>
        </w:rPr>
        <w:t>Fax: 1-866-418-0232</w:t>
      </w:r>
    </w:p>
    <w:p w:rsidR="008867A0" w:rsidRPr="00FA5E6E" w:rsidRDefault="008867A0" w:rsidP="000652E6">
      <w:pPr>
        <w:jc w:val="center"/>
        <w:rPr>
          <w:rFonts w:eastAsia="TimesNewRoman"/>
          <w:b/>
          <w:bCs/>
          <w:color w:val="367FFF"/>
        </w:rPr>
      </w:pPr>
      <w:r w:rsidRPr="00FA5E6E">
        <w:rPr>
          <w:rFonts w:eastAsia="TimesNewRoman"/>
          <w:b/>
          <w:bCs/>
          <w:color w:val="367FFF"/>
        </w:rPr>
        <w:br w:type="page"/>
      </w:r>
    </w:p>
    <w:p w:rsidR="00FA5E6E" w:rsidRPr="00FA5E6E" w:rsidRDefault="00FA5E6E" w:rsidP="00FA5E6E">
      <w:pPr>
        <w:autoSpaceDE w:val="0"/>
        <w:autoSpaceDN w:val="0"/>
        <w:adjustRightInd w:val="0"/>
        <w:jc w:val="center"/>
        <w:rPr>
          <w:rFonts w:eastAsia="TimesNewRoman"/>
          <w:b/>
          <w:bCs/>
          <w:color w:val="000000"/>
          <w:u w:val="single"/>
        </w:rPr>
      </w:pPr>
      <w:r w:rsidRPr="00FA5E6E">
        <w:rPr>
          <w:rFonts w:eastAsia="TimesNewRoman"/>
          <w:b/>
          <w:bCs/>
          <w:color w:val="000000"/>
          <w:u w:val="single"/>
        </w:rPr>
        <w:t>Eligible Telecommunications Carrier Annual Reporting</w:t>
      </w:r>
      <w:r w:rsidR="003F41B7">
        <w:rPr>
          <w:rFonts w:eastAsia="TimesNewRoman"/>
          <w:b/>
          <w:bCs/>
          <w:color w:val="000000"/>
          <w:u w:val="single"/>
        </w:rPr>
        <w:t xml:space="preserve">, </w:t>
      </w:r>
      <w:r w:rsidR="00825219">
        <w:rPr>
          <w:rFonts w:eastAsia="TimesNewRoman"/>
          <w:b/>
          <w:bCs/>
          <w:color w:val="000000"/>
          <w:u w:val="single"/>
        </w:rPr>
        <w:t>Certification</w:t>
      </w:r>
      <w:r w:rsidR="003F41B7">
        <w:rPr>
          <w:rFonts w:eastAsia="TimesNewRoman"/>
          <w:b/>
          <w:bCs/>
          <w:color w:val="000000"/>
          <w:u w:val="single"/>
        </w:rPr>
        <w:t>, and Recordkeeping</w:t>
      </w:r>
      <w:r w:rsidRPr="00FA5E6E">
        <w:rPr>
          <w:rFonts w:eastAsia="TimesNewRoman"/>
          <w:b/>
          <w:bCs/>
          <w:color w:val="000000"/>
          <w:u w:val="single"/>
        </w:rPr>
        <w:t xml:space="preserve"> Requirements for Recipients of High-Cost and/or Low Income </w:t>
      </w:r>
    </w:p>
    <w:p w:rsidR="00FA5E6E" w:rsidRPr="00FA5E6E" w:rsidRDefault="00FA5E6E" w:rsidP="00FA5E6E">
      <w:pPr>
        <w:autoSpaceDE w:val="0"/>
        <w:autoSpaceDN w:val="0"/>
        <w:adjustRightInd w:val="0"/>
        <w:jc w:val="center"/>
        <w:rPr>
          <w:rFonts w:eastAsia="TimesNewRoman"/>
          <w:b/>
          <w:bCs/>
          <w:color w:val="000000"/>
          <w:u w:val="single"/>
        </w:rPr>
      </w:pPr>
      <w:r w:rsidRPr="00FA5E6E">
        <w:rPr>
          <w:rFonts w:eastAsia="TimesNewRoman"/>
          <w:b/>
          <w:bCs/>
          <w:color w:val="000000"/>
          <w:u w:val="single"/>
        </w:rPr>
        <w:t xml:space="preserve">Universal Service Support </w:t>
      </w:r>
    </w:p>
    <w:p w:rsidR="00C04A3B" w:rsidRPr="00FA5E6E" w:rsidRDefault="00C04A3B" w:rsidP="00E9333D">
      <w:pPr>
        <w:rPr>
          <w:b/>
        </w:rPr>
      </w:pPr>
    </w:p>
    <w:p w:rsidR="00D3553A" w:rsidRPr="00FA5E6E" w:rsidRDefault="00CF3F52" w:rsidP="00FA5E6E">
      <w:pPr>
        <w:pStyle w:val="ListParagraph"/>
        <w:numPr>
          <w:ilvl w:val="0"/>
          <w:numId w:val="4"/>
        </w:numPr>
        <w:rPr>
          <w:b/>
        </w:rPr>
      </w:pPr>
      <w:r w:rsidRPr="00FA5E6E">
        <w:rPr>
          <w:b/>
        </w:rPr>
        <w:t>Objective</w:t>
      </w:r>
      <w:r w:rsidR="00701168" w:rsidRPr="00FA5E6E">
        <w:rPr>
          <w:b/>
        </w:rPr>
        <w:t>s</w:t>
      </w:r>
      <w:r w:rsidRPr="00FA5E6E">
        <w:rPr>
          <w:b/>
        </w:rPr>
        <w:t xml:space="preserve"> of the Proc</w:t>
      </w:r>
      <w:r w:rsidR="003A755E" w:rsidRPr="00FA5E6E">
        <w:rPr>
          <w:b/>
        </w:rPr>
        <w:t>e</w:t>
      </w:r>
      <w:r w:rsidRPr="00FA5E6E">
        <w:rPr>
          <w:b/>
        </w:rPr>
        <w:t>eding</w:t>
      </w:r>
    </w:p>
    <w:p w:rsidR="00CF3F52" w:rsidRPr="00FA5E6E" w:rsidRDefault="00CF3F52" w:rsidP="00E9333D"/>
    <w:p w:rsidR="0066309C" w:rsidRPr="00FA5E6E" w:rsidRDefault="007E0986" w:rsidP="001E2970">
      <w:r w:rsidRPr="00FA5E6E">
        <w:t xml:space="preserve">In the </w:t>
      </w:r>
      <w:r w:rsidRPr="00FA5E6E">
        <w:rPr>
          <w:i/>
        </w:rPr>
        <w:t>USF/ICC Transformation Order</w:t>
      </w:r>
      <w:r w:rsidRPr="00FA5E6E">
        <w:t>, the FCC adopted several reforms updating annual reporting requirements for eligible telecommunications carriers (ETCs) that receive high-cost support.</w:t>
      </w:r>
      <w:r w:rsidRPr="00FA5E6E">
        <w:rPr>
          <w:rStyle w:val="FootnoteReference"/>
        </w:rPr>
        <w:footnoteReference w:id="1"/>
      </w:r>
      <w:r w:rsidRPr="00FA5E6E">
        <w:t xml:space="preserve">  </w:t>
      </w:r>
      <w:r w:rsidRPr="00FA5E6E">
        <w:rPr>
          <w:rFonts w:eastAsia="TimesNewRoman"/>
          <w:color w:val="010101"/>
        </w:rPr>
        <w:t xml:space="preserve">Specifically, the Commission extended reporting requirements for voice service to all ETCs and adopted new </w:t>
      </w:r>
      <w:r w:rsidR="00192FAE">
        <w:rPr>
          <w:rFonts w:eastAsia="TimesNewRoman"/>
          <w:color w:val="010101"/>
        </w:rPr>
        <w:t xml:space="preserve">and modified </w:t>
      </w:r>
      <w:r w:rsidRPr="00FA5E6E">
        <w:rPr>
          <w:rFonts w:eastAsia="TimesNewRoman"/>
          <w:color w:val="010101"/>
        </w:rPr>
        <w:t>reporting</w:t>
      </w:r>
      <w:r w:rsidR="00FC69F2">
        <w:rPr>
          <w:rFonts w:eastAsia="TimesNewRoman"/>
          <w:color w:val="010101"/>
        </w:rPr>
        <w:t xml:space="preserve">, </w:t>
      </w:r>
      <w:r w:rsidR="00825219">
        <w:rPr>
          <w:rFonts w:eastAsia="TimesNewRoman"/>
          <w:color w:val="010101"/>
        </w:rPr>
        <w:t>certification</w:t>
      </w:r>
      <w:r w:rsidR="00FC69F2">
        <w:rPr>
          <w:rFonts w:eastAsia="TimesNewRoman"/>
          <w:color w:val="010101"/>
        </w:rPr>
        <w:t>, and recordkeeping</w:t>
      </w:r>
      <w:r w:rsidRPr="00FA5E6E">
        <w:rPr>
          <w:rFonts w:eastAsia="TimesNewRoman"/>
          <w:color w:val="010101"/>
        </w:rPr>
        <w:t xml:space="preserve"> requirements to reflect new broadband obligations.</w:t>
      </w:r>
      <w:r w:rsidRPr="00FA5E6E">
        <w:rPr>
          <w:rStyle w:val="FootnoteReference"/>
          <w:rFonts w:eastAsia="TimesNewRoman"/>
          <w:color w:val="010101"/>
        </w:rPr>
        <w:footnoteReference w:id="2"/>
      </w:r>
      <w:r w:rsidRPr="00FA5E6E">
        <w:t xml:space="preserve">  </w:t>
      </w:r>
      <w:r w:rsidR="00AE5E27">
        <w:t>In the</w:t>
      </w:r>
      <w:r w:rsidR="00360DA0">
        <w:t xml:space="preserve"> </w:t>
      </w:r>
      <w:r w:rsidR="005E6D6E" w:rsidRPr="0099179A">
        <w:rPr>
          <w:i/>
        </w:rPr>
        <w:t>Third Order on Reconsideration</w:t>
      </w:r>
      <w:r w:rsidR="005E6D6E">
        <w:t xml:space="preserve">, </w:t>
      </w:r>
      <w:r w:rsidR="00E56F55">
        <w:t xml:space="preserve">the </w:t>
      </w:r>
      <w:r w:rsidR="00A26754" w:rsidRPr="0099179A">
        <w:rPr>
          <w:i/>
        </w:rPr>
        <w:t>Fifth Order on Reconsideration</w:t>
      </w:r>
      <w:r w:rsidR="00A26754">
        <w:t xml:space="preserve">, </w:t>
      </w:r>
      <w:r w:rsidR="00E56F55">
        <w:t xml:space="preserve">the </w:t>
      </w:r>
      <w:r w:rsidR="00360DA0" w:rsidRPr="0099179A">
        <w:rPr>
          <w:i/>
        </w:rPr>
        <w:t>April 2014 Connect America Order</w:t>
      </w:r>
      <w:r w:rsidR="00FC69F2">
        <w:rPr>
          <w:i/>
        </w:rPr>
        <w:t>,</w:t>
      </w:r>
      <w:r w:rsidR="00360DA0">
        <w:t xml:space="preserve"> and the</w:t>
      </w:r>
      <w:r w:rsidR="00AE5E27">
        <w:t xml:space="preserve"> </w:t>
      </w:r>
      <w:r w:rsidR="00AE5E27" w:rsidRPr="0099179A">
        <w:rPr>
          <w:i/>
        </w:rPr>
        <w:t>December 2014 Connect America Order</w:t>
      </w:r>
      <w:r w:rsidR="00AE5E27">
        <w:t>,</w:t>
      </w:r>
      <w:r w:rsidR="00354973">
        <w:t xml:space="preserve"> </w:t>
      </w:r>
      <w:r w:rsidR="00AE5E27">
        <w:t xml:space="preserve">the FCC </w:t>
      </w:r>
      <w:r w:rsidR="00FC69F2">
        <w:t>made</w:t>
      </w:r>
      <w:r w:rsidR="000C5668">
        <w:t xml:space="preserve"> revisions to these requirements</w:t>
      </w:r>
      <w:r w:rsidR="00AE5E27">
        <w:t>.</w:t>
      </w:r>
      <w:r w:rsidR="00AE5E27">
        <w:rPr>
          <w:rStyle w:val="FootnoteReference"/>
        </w:rPr>
        <w:footnoteReference w:id="3"/>
      </w:r>
      <w:r w:rsidR="00AE5E27">
        <w:t xml:space="preserve">  </w:t>
      </w:r>
      <w:r w:rsidRPr="00FA5E6E">
        <w:t xml:space="preserve">Similarly, in the </w:t>
      </w:r>
      <w:r w:rsidRPr="00FA5E6E">
        <w:rPr>
          <w:i/>
        </w:rPr>
        <w:t>Lifeline Reform Order</w:t>
      </w:r>
      <w:r w:rsidRPr="00FA5E6E">
        <w:t>, the FCC adopted reporting requirements for ETCs that receive low-income support</w:t>
      </w:r>
      <w:r w:rsidR="00E81194" w:rsidRPr="00FA5E6E">
        <w:t xml:space="preserve"> to increase accountability in the program</w:t>
      </w:r>
      <w:r w:rsidRPr="00FA5E6E">
        <w:t>.</w:t>
      </w:r>
      <w:r w:rsidRPr="00FA5E6E">
        <w:rPr>
          <w:rStyle w:val="FootnoteReference"/>
        </w:rPr>
        <w:footnoteReference w:id="4"/>
      </w:r>
    </w:p>
    <w:p w:rsidR="0066309C" w:rsidRPr="00FA5E6E" w:rsidRDefault="0066309C" w:rsidP="001E2970"/>
    <w:p w:rsidR="0066309C" w:rsidRPr="00FA5E6E" w:rsidRDefault="00BA53D8" w:rsidP="00FA5E6E">
      <w:pPr>
        <w:pStyle w:val="ListParagraph"/>
        <w:numPr>
          <w:ilvl w:val="0"/>
          <w:numId w:val="4"/>
        </w:numPr>
        <w:rPr>
          <w:b/>
        </w:rPr>
      </w:pPr>
      <w:r w:rsidRPr="00FA5E6E">
        <w:rPr>
          <w:b/>
        </w:rPr>
        <w:t>Compliance</w:t>
      </w:r>
    </w:p>
    <w:p w:rsidR="00BA53D8" w:rsidRPr="00FA5E6E" w:rsidRDefault="00BA53D8" w:rsidP="001E2970"/>
    <w:p w:rsidR="0071371B" w:rsidRPr="00FA5E6E" w:rsidRDefault="0071371B" w:rsidP="00FA5E6E">
      <w:pPr>
        <w:pStyle w:val="ListParagraph"/>
        <w:numPr>
          <w:ilvl w:val="0"/>
          <w:numId w:val="6"/>
        </w:numPr>
        <w:rPr>
          <w:b/>
        </w:rPr>
      </w:pPr>
      <w:r w:rsidRPr="00FA5E6E">
        <w:rPr>
          <w:b/>
        </w:rPr>
        <w:t>Overview</w:t>
      </w:r>
    </w:p>
    <w:p w:rsidR="0071371B" w:rsidRPr="00FA5E6E" w:rsidRDefault="0071371B" w:rsidP="001E2970"/>
    <w:p w:rsidR="00D0586A" w:rsidRPr="00FA5E6E" w:rsidRDefault="006E0D50" w:rsidP="006E0D50">
      <w:r w:rsidRPr="00FA5E6E">
        <w:t>ETCs that receive federal high-cost universal service support (high-cost support) are required to provide the data identified in 47 C.F.R. § 54.313.</w:t>
      </w:r>
      <w:r w:rsidRPr="00FA5E6E">
        <w:rPr>
          <w:vertAlign w:val="superscript"/>
        </w:rPr>
        <w:footnoteReference w:id="5"/>
      </w:r>
      <w:r w:rsidRPr="00FA5E6E">
        <w:t xml:space="preserve"> </w:t>
      </w:r>
      <w:r w:rsidR="004F6A94">
        <w:t xml:space="preserve"> Such ETCs </w:t>
      </w:r>
      <w:r w:rsidR="006C17A4">
        <w:t xml:space="preserve">must </w:t>
      </w:r>
      <w:r w:rsidR="00FC69F2">
        <w:t xml:space="preserve">also </w:t>
      </w:r>
      <w:r w:rsidR="004F6A94">
        <w:t>annually make a certification regarding the</w:t>
      </w:r>
      <w:r w:rsidR="006C17A4">
        <w:t xml:space="preserve"> use of high-cost support pursuant to 47 C.F.R. </w:t>
      </w:r>
      <w:r w:rsidR="006C17A4" w:rsidRPr="00FA5E6E">
        <w:t>§</w:t>
      </w:r>
      <w:r w:rsidR="006C17A4">
        <w:t xml:space="preserve"> 54.314</w:t>
      </w:r>
      <w:r w:rsidR="00FC69F2">
        <w:t>,</w:t>
      </w:r>
      <w:r w:rsidR="006C17A4">
        <w:rPr>
          <w:rStyle w:val="FootnoteReference"/>
        </w:rPr>
        <w:footnoteReference w:id="6"/>
      </w:r>
      <w:r w:rsidR="00192FAE">
        <w:t xml:space="preserve"> </w:t>
      </w:r>
      <w:r w:rsidR="0075745C">
        <w:t>comply with a 10-year recordkeeping requirement</w:t>
      </w:r>
      <w:r w:rsidR="00192FAE">
        <w:t>, and cooperate with random compliance audits and other investigations</w:t>
      </w:r>
      <w:r w:rsidR="0075745C">
        <w:t>.</w:t>
      </w:r>
      <w:r w:rsidR="0075745C">
        <w:rPr>
          <w:rStyle w:val="FootnoteReference"/>
        </w:rPr>
        <w:footnoteReference w:id="7"/>
      </w:r>
      <w:r w:rsidR="006C17A4">
        <w:t xml:space="preserve">  </w:t>
      </w:r>
      <w:r w:rsidRPr="00FA5E6E">
        <w:t>Lifeline-only ETCs that receive only low-income support through the federal Lifeline program (low-income support) are required to provide the data identified in 47 C.F.R. § 54.422.</w:t>
      </w:r>
      <w:r w:rsidRPr="00FA5E6E">
        <w:rPr>
          <w:vertAlign w:val="superscript"/>
        </w:rPr>
        <w:footnoteReference w:id="8"/>
      </w:r>
      <w:r w:rsidRPr="00FA5E6E">
        <w:t xml:space="preserve">  ETCs that receive both high-cost support and low-income support should follow the high-cost and low-income support requirements.  ETCs that receive only low-income support should follow only the low-income support requirements.  </w:t>
      </w:r>
      <w:r w:rsidR="002713F5">
        <w:t xml:space="preserve">All </w:t>
      </w:r>
      <w:r w:rsidRPr="00FA5E6E">
        <w:t>ETCs must file annual reports using FCC Form 481</w:t>
      </w:r>
      <w:r w:rsidR="002713F5">
        <w:t xml:space="preserve"> (available online at </w:t>
      </w:r>
      <w:hyperlink r:id="rId8" w:history="1">
        <w:r w:rsidR="002713F5" w:rsidRPr="003D383E">
          <w:rPr>
            <w:rStyle w:val="Hyperlink"/>
          </w:rPr>
          <w:t>http://usac.org/about/tools/e-file.aspx</w:t>
        </w:r>
      </w:hyperlink>
      <w:r w:rsidR="002713F5">
        <w:t>), which encompasses all of the information and certifications listed below</w:t>
      </w:r>
      <w:r w:rsidR="00E73CD0">
        <w:t xml:space="preserve">, with the exception of the 47 C.F.R. </w:t>
      </w:r>
      <w:r w:rsidR="00E73CD0" w:rsidRPr="00FA5E6E">
        <w:t>§</w:t>
      </w:r>
      <w:r w:rsidR="00E73CD0">
        <w:t xml:space="preserve"> 54.314 certification</w:t>
      </w:r>
      <w:r w:rsidRPr="00FA5E6E">
        <w:t xml:space="preserve">.  </w:t>
      </w:r>
    </w:p>
    <w:p w:rsidR="007B044B" w:rsidRPr="00FA5E6E" w:rsidRDefault="007B044B" w:rsidP="001E2970"/>
    <w:p w:rsidR="007B044B" w:rsidRPr="00FA5E6E" w:rsidRDefault="00DA08D1" w:rsidP="001E2970">
      <w:pPr>
        <w:rPr>
          <w:b/>
        </w:rPr>
      </w:pPr>
      <w:r w:rsidRPr="00FA5E6E">
        <w:rPr>
          <w:b/>
        </w:rPr>
        <w:t>Each ETC</w:t>
      </w:r>
      <w:r w:rsidR="007B044B" w:rsidRPr="00FA5E6E">
        <w:rPr>
          <w:b/>
        </w:rPr>
        <w:t xml:space="preserve"> </w:t>
      </w:r>
      <w:r w:rsidR="009B6F18" w:rsidRPr="00FA5E6E">
        <w:rPr>
          <w:b/>
        </w:rPr>
        <w:t xml:space="preserve">receiving high-cost funds </w:t>
      </w:r>
      <w:r w:rsidR="007B044B" w:rsidRPr="00FA5E6E">
        <w:rPr>
          <w:b/>
        </w:rPr>
        <w:t>must report:</w:t>
      </w:r>
    </w:p>
    <w:p w:rsidR="007B044B" w:rsidRPr="00FA5E6E" w:rsidRDefault="007B044B" w:rsidP="001E2970"/>
    <w:p w:rsidR="007B044B" w:rsidRPr="00FA5E6E" w:rsidRDefault="002713F5" w:rsidP="00173886">
      <w:pPr>
        <w:pStyle w:val="ListParagraph"/>
        <w:numPr>
          <w:ilvl w:val="0"/>
          <w:numId w:val="2"/>
        </w:numPr>
      </w:pPr>
      <w:r>
        <w:t xml:space="preserve">A five-year service quality improvement plan, </w:t>
      </w:r>
      <w:r w:rsidRPr="00FA5E6E">
        <w:t xml:space="preserve">pursuant to </w:t>
      </w:r>
      <w:r>
        <w:t xml:space="preserve">47 C.F.R. </w:t>
      </w:r>
      <w:r w:rsidRPr="00FA5E6E">
        <w:t>§ 54.202(a)</w:t>
      </w:r>
      <w:r>
        <w:t>, and p</w:t>
      </w:r>
      <w:r w:rsidR="00173886" w:rsidRPr="00FA5E6E">
        <w:t xml:space="preserve">rogress </w:t>
      </w:r>
      <w:r>
        <w:t>reports annually thereafter</w:t>
      </w:r>
      <w:r w:rsidR="00173886" w:rsidRPr="00FA5E6E">
        <w:t>.</w:t>
      </w:r>
      <w:r w:rsidR="00173886" w:rsidRPr="00FA5E6E">
        <w:rPr>
          <w:rStyle w:val="FootnoteReference"/>
        </w:rPr>
        <w:footnoteReference w:id="9"/>
      </w:r>
    </w:p>
    <w:p w:rsidR="009C52CC" w:rsidRDefault="009C52CC" w:rsidP="00173886">
      <w:pPr>
        <w:pStyle w:val="ListParagraph"/>
        <w:numPr>
          <w:ilvl w:val="0"/>
          <w:numId w:val="2"/>
        </w:numPr>
      </w:pPr>
      <w:r>
        <w:t>Information and data separately broken out for both voice service and broadband service for the following:</w:t>
      </w:r>
    </w:p>
    <w:p w:rsidR="00173886" w:rsidRPr="00FA5E6E" w:rsidRDefault="005B73D0" w:rsidP="009C52CC">
      <w:pPr>
        <w:pStyle w:val="ListParagraph"/>
        <w:numPr>
          <w:ilvl w:val="1"/>
          <w:numId w:val="2"/>
        </w:numPr>
      </w:pPr>
      <w:r w:rsidRPr="00FA5E6E">
        <w:t>Detailed information concerning outages pursuant to</w:t>
      </w:r>
      <w:r w:rsidR="00FA560F" w:rsidRPr="00FA5E6E">
        <w:t xml:space="preserve"> 47 C.F.R.</w:t>
      </w:r>
      <w:r w:rsidRPr="00FA5E6E">
        <w:t xml:space="preserve"> § 54.313</w:t>
      </w:r>
      <w:r w:rsidR="004452F4" w:rsidRPr="00FA5E6E">
        <w:t>(a)</w:t>
      </w:r>
      <w:r w:rsidRPr="00FA5E6E">
        <w:t>(2).</w:t>
      </w:r>
      <w:r w:rsidR="009C52CC">
        <w:rPr>
          <w:rStyle w:val="FootnoteReference"/>
        </w:rPr>
        <w:footnoteReference w:id="10"/>
      </w:r>
    </w:p>
    <w:p w:rsidR="00FA560F" w:rsidRPr="00FA5E6E" w:rsidRDefault="00FA560F" w:rsidP="009C52CC">
      <w:pPr>
        <w:pStyle w:val="ListParagraph"/>
        <w:numPr>
          <w:ilvl w:val="1"/>
          <w:numId w:val="2"/>
        </w:numPr>
      </w:pPr>
      <w:r w:rsidRPr="00FA5E6E">
        <w:t>The number of unfulfilled service requests</w:t>
      </w:r>
      <w:r w:rsidR="00E30BFA" w:rsidRPr="00FA5E6E">
        <w:t xml:space="preserve"> in the prior calendar year</w:t>
      </w:r>
      <w:r w:rsidRPr="00FA5E6E">
        <w:t>.</w:t>
      </w:r>
      <w:r w:rsidRPr="00FA5E6E">
        <w:rPr>
          <w:rStyle w:val="FootnoteReference"/>
        </w:rPr>
        <w:footnoteReference w:id="11"/>
      </w:r>
    </w:p>
    <w:p w:rsidR="00E30BFA" w:rsidRPr="00FA5E6E" w:rsidRDefault="00E30BFA" w:rsidP="009C52CC">
      <w:pPr>
        <w:pStyle w:val="ListParagraph"/>
        <w:numPr>
          <w:ilvl w:val="1"/>
          <w:numId w:val="2"/>
        </w:numPr>
      </w:pPr>
      <w:r w:rsidRPr="00FA5E6E">
        <w:t>The number of complaints per 1,000 connections (separated into fixed and mobile) in the prior calendar year.</w:t>
      </w:r>
      <w:r w:rsidR="00A20E5A" w:rsidRPr="00FA5E6E">
        <w:rPr>
          <w:rStyle w:val="FootnoteReference"/>
        </w:rPr>
        <w:footnoteReference w:id="12"/>
      </w:r>
    </w:p>
    <w:p w:rsidR="000E65AA" w:rsidRDefault="000E65AA" w:rsidP="009C52CC">
      <w:pPr>
        <w:pStyle w:val="ListParagraph"/>
        <w:numPr>
          <w:ilvl w:val="1"/>
          <w:numId w:val="2"/>
        </w:numPr>
      </w:pPr>
      <w:r w:rsidRPr="00FA5E6E">
        <w:t>Certification of compliance with applicable service quality standards and consumer protection rules.</w:t>
      </w:r>
      <w:r w:rsidR="000B3B48" w:rsidRPr="00FA5E6E">
        <w:rPr>
          <w:rStyle w:val="FootnoteReference"/>
        </w:rPr>
        <w:footnoteReference w:id="13"/>
      </w:r>
    </w:p>
    <w:p w:rsidR="00DD14D1" w:rsidRPr="00FA5E6E" w:rsidRDefault="00DD14D1" w:rsidP="009C52CC">
      <w:pPr>
        <w:pStyle w:val="ListParagraph"/>
        <w:numPr>
          <w:ilvl w:val="1"/>
          <w:numId w:val="2"/>
        </w:numPr>
      </w:pPr>
      <w:r>
        <w:t xml:space="preserve">Certification of ability to remain functional in emergency situations as set forth in 47 C.F.R. </w:t>
      </w:r>
      <w:r w:rsidRPr="00FA5E6E">
        <w:t>§</w:t>
      </w:r>
      <w:r>
        <w:t xml:space="preserve"> 54.202(a)(2).</w:t>
      </w:r>
      <w:r>
        <w:rPr>
          <w:rStyle w:val="FootnoteReference"/>
        </w:rPr>
        <w:footnoteReference w:id="14"/>
      </w:r>
    </w:p>
    <w:p w:rsidR="00FB435C" w:rsidRPr="00FA5E6E" w:rsidRDefault="00727978" w:rsidP="009C52CC">
      <w:pPr>
        <w:pStyle w:val="ListParagraph"/>
        <w:numPr>
          <w:ilvl w:val="1"/>
          <w:numId w:val="2"/>
        </w:numPr>
      </w:pPr>
      <w:r w:rsidRPr="00FA5E6E">
        <w:t>Price offerings in a format specified by the Wireline Competition Bureau</w:t>
      </w:r>
      <w:r w:rsidR="0029580F" w:rsidRPr="00FA5E6E">
        <w:t xml:space="preserve"> (Bureau)</w:t>
      </w:r>
      <w:r w:rsidRPr="00FA5E6E">
        <w:t>.</w:t>
      </w:r>
      <w:r w:rsidR="007D59D2" w:rsidRPr="00FA5E6E">
        <w:rPr>
          <w:rStyle w:val="FootnoteReference"/>
        </w:rPr>
        <w:footnoteReference w:id="15"/>
      </w:r>
    </w:p>
    <w:p w:rsidR="00FD4143" w:rsidRPr="00FA5E6E" w:rsidRDefault="00A70684" w:rsidP="00173886">
      <w:pPr>
        <w:pStyle w:val="ListParagraph"/>
        <w:numPr>
          <w:ilvl w:val="0"/>
          <w:numId w:val="2"/>
        </w:numPr>
      </w:pPr>
      <w:r w:rsidRPr="00FA5E6E">
        <w:t xml:space="preserve">A list of holding company, operating companies, affiliates, and branding information as specified in </w:t>
      </w:r>
      <w:r w:rsidR="004452F4" w:rsidRPr="00FA5E6E">
        <w:t>47 C.F.R. § 54.313(a)</w:t>
      </w:r>
      <w:r w:rsidR="00C22F1E" w:rsidRPr="00FA5E6E">
        <w:t>(8).</w:t>
      </w:r>
    </w:p>
    <w:p w:rsidR="00C22F1E" w:rsidRPr="00FA5E6E" w:rsidRDefault="0053593C" w:rsidP="00173886">
      <w:pPr>
        <w:pStyle w:val="ListParagraph"/>
        <w:numPr>
          <w:ilvl w:val="0"/>
          <w:numId w:val="2"/>
        </w:numPr>
      </w:pPr>
      <w:r w:rsidRPr="00FA5E6E">
        <w:t>Any ETC that serves Tribal lands must complete the Tribal Lands Data Collection Form.</w:t>
      </w:r>
      <w:r w:rsidR="0034098C" w:rsidRPr="00FA5E6E">
        <w:rPr>
          <w:rStyle w:val="FootnoteReference"/>
        </w:rPr>
        <w:footnoteReference w:id="16"/>
      </w:r>
    </w:p>
    <w:p w:rsidR="00384D2F" w:rsidRPr="00FA5E6E" w:rsidRDefault="00E56DFF" w:rsidP="00384D2F">
      <w:pPr>
        <w:pStyle w:val="ListParagraph"/>
        <w:numPr>
          <w:ilvl w:val="0"/>
          <w:numId w:val="2"/>
        </w:numPr>
      </w:pPr>
      <w:r w:rsidRPr="00FA5E6E">
        <w:t xml:space="preserve">A </w:t>
      </w:r>
      <w:r w:rsidR="002713F5">
        <w:t>certification</w:t>
      </w:r>
      <w:r w:rsidRPr="00FA5E6E">
        <w:t xml:space="preserve"> that the pricing of the company’s voice services is no more than two standard deviations above the applicable national average.</w:t>
      </w:r>
      <w:r w:rsidRPr="00FA5E6E">
        <w:rPr>
          <w:rStyle w:val="FootnoteReference"/>
        </w:rPr>
        <w:footnoteReference w:id="17"/>
      </w:r>
    </w:p>
    <w:p w:rsidR="002713F5" w:rsidRDefault="002713F5" w:rsidP="00173886">
      <w:pPr>
        <w:pStyle w:val="ListParagraph"/>
        <w:numPr>
          <w:ilvl w:val="0"/>
          <w:numId w:val="2"/>
        </w:numPr>
      </w:pPr>
      <w:r>
        <w:t>Price cap carriers receiving Connect America Phase I incremental support pursuant to 47 C.F.R. § 54.312 must provide certain information</w:t>
      </w:r>
      <w:r w:rsidR="00981A38">
        <w:t xml:space="preserve"> related to </w:t>
      </w:r>
      <w:r w:rsidR="0064155B">
        <w:t>their</w:t>
      </w:r>
      <w:r w:rsidR="00981A38">
        <w:t xml:space="preserve"> </w:t>
      </w:r>
      <w:r w:rsidR="00AD18CF">
        <w:t xml:space="preserve">eligibility for and </w:t>
      </w:r>
      <w:r w:rsidR="00981A38">
        <w:t>use of such support</w:t>
      </w:r>
      <w:r>
        <w:t>.</w:t>
      </w:r>
      <w:r>
        <w:rPr>
          <w:rStyle w:val="FootnoteReference"/>
        </w:rPr>
        <w:footnoteReference w:id="18"/>
      </w:r>
    </w:p>
    <w:p w:rsidR="005618CA" w:rsidRDefault="002713F5" w:rsidP="00173886">
      <w:pPr>
        <w:pStyle w:val="ListParagraph"/>
        <w:numPr>
          <w:ilvl w:val="0"/>
          <w:numId w:val="2"/>
        </w:numPr>
      </w:pPr>
      <w:r>
        <w:t>Price cap carriers receiving frozen Connect America Phase I support pursuant to 47 C.F.R. § 54.312(a) or receiving high-cost support to offset reduction in access charges must provide certain certifications related to their broadband obligations.</w:t>
      </w:r>
      <w:r>
        <w:rPr>
          <w:rStyle w:val="FootnoteReference"/>
        </w:rPr>
        <w:footnoteReference w:id="19"/>
      </w:r>
    </w:p>
    <w:p w:rsidR="009F4855" w:rsidRDefault="009F4855" w:rsidP="00173886">
      <w:pPr>
        <w:pStyle w:val="ListParagraph"/>
        <w:numPr>
          <w:ilvl w:val="0"/>
          <w:numId w:val="2"/>
        </w:numPr>
      </w:pPr>
      <w:r>
        <w:t>Price cap carriers electing to receive model-based support</w:t>
      </w:r>
      <w:r w:rsidR="00E5746D">
        <w:t xml:space="preserve"> must </w:t>
      </w:r>
      <w:r w:rsidR="000A29CF">
        <w:t>include in their initial service quality improvement plans a list of the geocoded locations that already receive service meeting the Commission’s public interest obligations and the total amount of support, if any, the price cap carrier used for capital expenditures.</w:t>
      </w:r>
      <w:r w:rsidR="00282A2D">
        <w:rPr>
          <w:rStyle w:val="FootnoteReference"/>
        </w:rPr>
        <w:footnoteReference w:id="20"/>
      </w:r>
      <w:r w:rsidR="000A29CF">
        <w:t xml:space="preserve">  </w:t>
      </w:r>
      <w:r w:rsidR="007D4583">
        <w:t xml:space="preserve">In </w:t>
      </w:r>
      <w:r w:rsidR="000A29CF">
        <w:t xml:space="preserve">subsequent years, they must </w:t>
      </w:r>
      <w:r w:rsidR="00980609">
        <w:t>include in their progress reports a certification about their</w:t>
      </w:r>
      <w:r w:rsidR="00BF0B5F">
        <w:t xml:space="preserve"> participation in the E-rate program, a geocoded list of the locations to which they have deployed using Phase II support</w:t>
      </w:r>
      <w:r w:rsidR="00282A2D">
        <w:t>,</w:t>
      </w:r>
      <w:r w:rsidR="00BF0B5F">
        <w:t xml:space="preserve"> a</w:t>
      </w:r>
      <w:r w:rsidR="00282A2D">
        <w:t>n address</w:t>
      </w:r>
      <w:r w:rsidR="00BF0B5F">
        <w:t xml:space="preserve"> list of the community anchor institutions that they have newly served </w:t>
      </w:r>
      <w:r w:rsidR="00282A2D">
        <w:t xml:space="preserve">with broadband </w:t>
      </w:r>
      <w:r w:rsidR="00BF0B5F">
        <w:t>in their service areas, and the total amount of Phase II support, if any, they have used for capital expenditures in the previous calendar year.</w:t>
      </w:r>
      <w:r w:rsidR="00282A2D">
        <w:rPr>
          <w:rStyle w:val="FootnoteReference"/>
        </w:rPr>
        <w:footnoteReference w:id="21"/>
      </w:r>
      <w:r w:rsidR="00BF0B5F">
        <w:t xml:space="preserve"> </w:t>
      </w:r>
      <w:r w:rsidR="00980609">
        <w:t xml:space="preserve"> </w:t>
      </w:r>
      <w:r w:rsidR="00282A2D">
        <w:t>They</w:t>
      </w:r>
      <w:r w:rsidR="00980609">
        <w:t xml:space="preserve"> must </w:t>
      </w:r>
      <w:r w:rsidR="00282A2D">
        <w:t xml:space="preserve">also </w:t>
      </w:r>
      <w:r w:rsidR="00980609">
        <w:t>certify that they have met certain build-out milestones.</w:t>
      </w:r>
      <w:r w:rsidR="00282A2D">
        <w:rPr>
          <w:rStyle w:val="FootnoteReference"/>
        </w:rPr>
        <w:footnoteReference w:id="22"/>
      </w:r>
      <w:r w:rsidR="00980609">
        <w:t xml:space="preserve"> </w:t>
      </w:r>
    </w:p>
    <w:p w:rsidR="00F55D4E" w:rsidRPr="00FA5E6E" w:rsidRDefault="003178FA" w:rsidP="00173886">
      <w:pPr>
        <w:pStyle w:val="ListParagraph"/>
        <w:numPr>
          <w:ilvl w:val="0"/>
          <w:numId w:val="2"/>
        </w:numPr>
      </w:pPr>
      <w:r w:rsidRPr="00FA5E6E">
        <w:t xml:space="preserve">Privately held rate-of-return ETCs must provide a </w:t>
      </w:r>
      <w:r w:rsidR="009C52CC">
        <w:t>full and complete annual report of the company's financial condition and operations</w:t>
      </w:r>
      <w:r w:rsidRPr="00FA5E6E">
        <w:t>.</w:t>
      </w:r>
      <w:r w:rsidR="00090312" w:rsidRPr="00FA5E6E">
        <w:rPr>
          <w:rStyle w:val="FootnoteReference"/>
        </w:rPr>
        <w:footnoteReference w:id="23"/>
      </w:r>
      <w:r w:rsidR="00CD6B87" w:rsidRPr="00FA5E6E">
        <w:t xml:space="preserve"> </w:t>
      </w:r>
    </w:p>
    <w:p w:rsidR="009C52CC" w:rsidRPr="009C52CC" w:rsidRDefault="009C52CC" w:rsidP="009C52CC">
      <w:pPr>
        <w:pStyle w:val="ListParagraph"/>
        <w:numPr>
          <w:ilvl w:val="1"/>
          <w:numId w:val="2"/>
        </w:numPr>
      </w:pPr>
      <w:r w:rsidRPr="009C52CC">
        <w:rPr>
          <w:sz w:val="23"/>
          <w:szCs w:val="23"/>
        </w:rPr>
        <w:t>Privately held rate-of-return ETCs that receive loans from the Rural Utilities Se</w:t>
      </w:r>
      <w:r w:rsidR="00CB0764">
        <w:rPr>
          <w:sz w:val="23"/>
          <w:szCs w:val="23"/>
        </w:rPr>
        <w:t>rvice (RUS) must file</w:t>
      </w:r>
      <w:r w:rsidRPr="009C52CC">
        <w:rPr>
          <w:sz w:val="23"/>
          <w:szCs w:val="23"/>
        </w:rPr>
        <w:t xml:space="preserve"> copies of their annual RUS reports (Operating Report for Telecommunications Borrowers). </w:t>
      </w:r>
    </w:p>
    <w:p w:rsidR="009C52CC" w:rsidRPr="009C52CC" w:rsidRDefault="009C52CC" w:rsidP="009C52CC">
      <w:pPr>
        <w:pStyle w:val="ListParagraph"/>
        <w:numPr>
          <w:ilvl w:val="1"/>
          <w:numId w:val="2"/>
        </w:numPr>
      </w:pPr>
      <w:r w:rsidRPr="009C52CC">
        <w:rPr>
          <w:sz w:val="23"/>
          <w:szCs w:val="23"/>
        </w:rPr>
        <w:t xml:space="preserve">All privately held rate-of-return ETCs that are not recipients of loans from the RUS and whose financial statements are audited in the ordinary course of business must provide either: (1) a copy of their audited financial statement; or (2) a financial report in a format comparable to RUS Operating Report for Telecommunications Borrowers, accompanied by a copy of a management letter issued by the independent certified public accountant that performed the company’s financial audit. </w:t>
      </w:r>
    </w:p>
    <w:p w:rsidR="009C52CC" w:rsidRPr="009C52CC" w:rsidRDefault="009C52CC" w:rsidP="009C52CC">
      <w:pPr>
        <w:pStyle w:val="ListParagraph"/>
        <w:numPr>
          <w:ilvl w:val="1"/>
          <w:numId w:val="2"/>
        </w:numPr>
      </w:pPr>
      <w:r w:rsidRPr="009C52CC">
        <w:rPr>
          <w:sz w:val="23"/>
          <w:szCs w:val="23"/>
        </w:rPr>
        <w:t xml:space="preserve">All other privately held rate-of-return ETCs must provide either: (1) a copy of their financial statement which has been subject to review by an independent certified public accountant; or (2) a financial report in a format comparable to RUS Operating Report for Telecommunications Borrowers, with the underlying information subjected to a review by an independent certified public accountant and accompanied by an officer certification that: (a) the carrier was not audited in the ordinary course of business for the preceding fiscal year; and (b) that the reported data are accurate. </w:t>
      </w:r>
    </w:p>
    <w:p w:rsidR="00EE23CD" w:rsidRPr="009C52CC" w:rsidRDefault="00C04586" w:rsidP="009C52CC">
      <w:pPr>
        <w:pStyle w:val="Default"/>
        <w:numPr>
          <w:ilvl w:val="0"/>
          <w:numId w:val="2"/>
        </w:numPr>
        <w:rPr>
          <w:sz w:val="23"/>
          <w:szCs w:val="23"/>
        </w:rPr>
      </w:pPr>
      <w:r w:rsidRPr="00FA5E6E">
        <w:t>A</w:t>
      </w:r>
      <w:r w:rsidR="007F4FA4" w:rsidRPr="00FA5E6E">
        <w:t xml:space="preserve">n additional certification if the ETC is located in an area without terrestrial backhaul </w:t>
      </w:r>
      <w:r w:rsidR="00CB0764">
        <w:t xml:space="preserve">that no such backhaul options exist </w:t>
      </w:r>
      <w:r w:rsidR="007F4FA4" w:rsidRPr="00FA5E6E">
        <w:t xml:space="preserve">and </w:t>
      </w:r>
      <w:r w:rsidR="00CB0764">
        <w:t>that it is</w:t>
      </w:r>
      <w:r w:rsidR="007F4FA4" w:rsidRPr="00FA5E6E">
        <w:t xml:space="preserve"> providing service at actual speeds of at least 1 Mbps downstream and 256 kbps upstream</w:t>
      </w:r>
      <w:r w:rsidR="00C74078">
        <w:t xml:space="preserve"> </w:t>
      </w:r>
      <w:r w:rsidR="005F585C">
        <w:t>within the supported areas served by satellite middle mile facilities</w:t>
      </w:r>
      <w:r w:rsidR="007F4FA4" w:rsidRPr="00FA5E6E">
        <w:t>.</w:t>
      </w:r>
      <w:r w:rsidR="00293265" w:rsidRPr="00FA5E6E">
        <w:rPr>
          <w:rStyle w:val="FootnoteReference"/>
        </w:rPr>
        <w:footnoteReference w:id="24"/>
      </w:r>
    </w:p>
    <w:p w:rsidR="00743EC9" w:rsidRDefault="00743EC9" w:rsidP="009C52CC">
      <w:pPr>
        <w:pStyle w:val="ListParagraph"/>
        <w:numPr>
          <w:ilvl w:val="0"/>
          <w:numId w:val="2"/>
        </w:numPr>
      </w:pPr>
      <w:r>
        <w:t xml:space="preserve">Incumbent local exchange carriers </w:t>
      </w:r>
      <w:r w:rsidR="009C52CC">
        <w:t xml:space="preserve">with rates below the </w:t>
      </w:r>
      <w:r>
        <w:t xml:space="preserve">below the rate floor as defined in </w:t>
      </w:r>
      <w:r w:rsidRPr="00FA5E6E">
        <w:t xml:space="preserve">47 C.F.R. </w:t>
      </w:r>
      <w:r>
        <w:t>§54.318 should file pursuant to the following:</w:t>
      </w:r>
      <w:r>
        <w:rPr>
          <w:rStyle w:val="FootnoteReference"/>
        </w:rPr>
        <w:footnoteReference w:id="25"/>
      </w:r>
    </w:p>
    <w:p w:rsidR="00743EC9" w:rsidRPr="00743EC9" w:rsidRDefault="009C52CC" w:rsidP="00743EC9">
      <w:pPr>
        <w:pStyle w:val="ListParagraph"/>
        <w:numPr>
          <w:ilvl w:val="1"/>
          <w:numId w:val="2"/>
        </w:numPr>
      </w:pPr>
      <w:r w:rsidRPr="00743EC9">
        <w:rPr>
          <w:sz w:val="23"/>
          <w:szCs w:val="23"/>
        </w:rPr>
        <w:t>Section 54.313(h) requires all incumbent local exchange carriers receiving high-cost support to report all of their rates for residential local service for all portions of their service area, as well as state fees, to the extent the sum of those rates and fees are below the rate floor, and the number of lines for each rate specified.</w:t>
      </w:r>
      <w:r w:rsidRPr="00743EC9">
        <w:rPr>
          <w:sz w:val="16"/>
          <w:szCs w:val="16"/>
        </w:rPr>
        <w:t xml:space="preserve"> </w:t>
      </w:r>
      <w:r w:rsidR="00743EC9">
        <w:rPr>
          <w:sz w:val="16"/>
          <w:szCs w:val="16"/>
        </w:rPr>
        <w:t xml:space="preserve"> </w:t>
      </w:r>
      <w:r w:rsidR="00AD18CF">
        <w:rPr>
          <w:sz w:val="23"/>
          <w:szCs w:val="23"/>
        </w:rPr>
        <w:t>Such</w:t>
      </w:r>
      <w:r w:rsidR="00AD18CF" w:rsidRPr="00743EC9">
        <w:rPr>
          <w:sz w:val="23"/>
          <w:szCs w:val="23"/>
        </w:rPr>
        <w:t xml:space="preserve"> </w:t>
      </w:r>
      <w:r w:rsidRPr="00743EC9">
        <w:rPr>
          <w:sz w:val="23"/>
          <w:szCs w:val="23"/>
        </w:rPr>
        <w:t xml:space="preserve">ETCs shall report lines and rates in effect as of June 1 of the reporting year. For these purposes, state regulated fees are limited to state subscriber line charges, state universal service fees and mandatory extended area service charges. </w:t>
      </w:r>
      <w:r w:rsidR="00743EC9">
        <w:rPr>
          <w:sz w:val="23"/>
          <w:szCs w:val="23"/>
        </w:rPr>
        <w:t xml:space="preserve"> </w:t>
      </w:r>
      <w:r w:rsidRPr="00743EC9">
        <w:rPr>
          <w:sz w:val="23"/>
          <w:szCs w:val="23"/>
        </w:rPr>
        <w:t xml:space="preserve">Federal subscriber line charges and federal universal service fees are not included. </w:t>
      </w:r>
    </w:p>
    <w:p w:rsidR="00743EC9" w:rsidRPr="00743EC9" w:rsidRDefault="009C52CC" w:rsidP="009C52CC">
      <w:pPr>
        <w:pStyle w:val="ListParagraph"/>
        <w:numPr>
          <w:ilvl w:val="1"/>
          <w:numId w:val="2"/>
        </w:numPr>
      </w:pPr>
      <w:r w:rsidRPr="00743EC9">
        <w:rPr>
          <w:sz w:val="23"/>
          <w:szCs w:val="23"/>
        </w:rPr>
        <w:t xml:space="preserve">In addition to the annual filing, local exchange carriers may file updates of their rates for residential local service, as well as state fees, on January 2 of each year. </w:t>
      </w:r>
      <w:r w:rsidR="00743EC9">
        <w:rPr>
          <w:sz w:val="23"/>
          <w:szCs w:val="23"/>
        </w:rPr>
        <w:t xml:space="preserve"> </w:t>
      </w:r>
      <w:r w:rsidRPr="00743EC9">
        <w:rPr>
          <w:sz w:val="23"/>
          <w:szCs w:val="23"/>
        </w:rPr>
        <w:t xml:space="preserve">If a local exchange carrier reduces its rates and the sum of the reduced rates and state fees are below the rate floor, the local exchange carrier shall file such an update. </w:t>
      </w:r>
      <w:r w:rsidR="00743EC9">
        <w:rPr>
          <w:sz w:val="23"/>
          <w:szCs w:val="23"/>
        </w:rPr>
        <w:t xml:space="preserve"> </w:t>
      </w:r>
      <w:r w:rsidRPr="00743EC9">
        <w:rPr>
          <w:sz w:val="23"/>
          <w:szCs w:val="23"/>
        </w:rPr>
        <w:t>For the update, carriers shall report lines and rates in effect as of December 1.</w:t>
      </w:r>
    </w:p>
    <w:p w:rsidR="009C52CC" w:rsidRPr="00743EC9" w:rsidRDefault="009C52CC" w:rsidP="00743EC9">
      <w:pPr>
        <w:pStyle w:val="ListParagraph"/>
        <w:numPr>
          <w:ilvl w:val="1"/>
          <w:numId w:val="2"/>
        </w:numPr>
      </w:pPr>
      <w:r w:rsidRPr="00743EC9">
        <w:rPr>
          <w:sz w:val="23"/>
          <w:szCs w:val="23"/>
        </w:rPr>
        <w:t xml:space="preserve">ETCs subject to section 54.313(h) should file </w:t>
      </w:r>
      <w:r w:rsidR="002713F5">
        <w:rPr>
          <w:sz w:val="23"/>
          <w:szCs w:val="23"/>
        </w:rPr>
        <w:t xml:space="preserve">their rates and line counts </w:t>
      </w:r>
      <w:r w:rsidR="00B00ED5">
        <w:rPr>
          <w:sz w:val="23"/>
          <w:szCs w:val="23"/>
        </w:rPr>
        <w:t xml:space="preserve">separately from FCC Form 481, instead </w:t>
      </w:r>
      <w:r w:rsidR="002713F5">
        <w:rPr>
          <w:sz w:val="23"/>
          <w:szCs w:val="23"/>
        </w:rPr>
        <w:t>using</w:t>
      </w:r>
      <w:r w:rsidRPr="00743EC9">
        <w:rPr>
          <w:sz w:val="23"/>
          <w:szCs w:val="23"/>
        </w:rPr>
        <w:t xml:space="preserve"> the Rate Floor Data Collection form</w:t>
      </w:r>
      <w:r w:rsidR="00743EC9">
        <w:rPr>
          <w:sz w:val="23"/>
          <w:szCs w:val="23"/>
        </w:rPr>
        <w:t xml:space="preserve"> (available at </w:t>
      </w:r>
      <w:hyperlink r:id="rId9" w:history="1">
        <w:r w:rsidR="00743EC9" w:rsidRPr="003D383E">
          <w:rPr>
            <w:rStyle w:val="Hyperlink"/>
            <w:sz w:val="23"/>
            <w:szCs w:val="23"/>
          </w:rPr>
          <w:t>http://usac.org/hc/tools/forms.aspx</w:t>
        </w:r>
      </w:hyperlink>
      <w:r w:rsidR="00743EC9">
        <w:rPr>
          <w:sz w:val="23"/>
          <w:szCs w:val="23"/>
        </w:rPr>
        <w:t>)</w:t>
      </w:r>
      <w:r w:rsidRPr="00743EC9">
        <w:rPr>
          <w:sz w:val="23"/>
          <w:szCs w:val="23"/>
        </w:rPr>
        <w:t xml:space="preserve">. </w:t>
      </w:r>
    </w:p>
    <w:p w:rsidR="009C52CC" w:rsidRPr="00FA5E6E" w:rsidRDefault="009C52CC" w:rsidP="001E2970"/>
    <w:p w:rsidR="006E0D50" w:rsidRPr="00FA5E6E" w:rsidRDefault="006E0D50" w:rsidP="006E0D50">
      <w:r w:rsidRPr="00FA5E6E">
        <w:t>Competitive ETCs whose support is being phased down do not have to submit information or certifications related solely to broadband public interest obligations, but must continue to submit information or certifications with respect to their provision of voice service.</w:t>
      </w:r>
      <w:r w:rsidRPr="00FA5E6E">
        <w:rPr>
          <w:rStyle w:val="FootnoteReference"/>
        </w:rPr>
        <w:footnoteReference w:id="26"/>
      </w:r>
    </w:p>
    <w:p w:rsidR="006E0D50" w:rsidRPr="00FA5E6E" w:rsidRDefault="006E0D50" w:rsidP="006E0D50"/>
    <w:p w:rsidR="006E0D50" w:rsidRDefault="006E0D50" w:rsidP="006E0D50">
      <w:r w:rsidRPr="00FA5E6E">
        <w:t>These reporting rules do not apply to carriers that receive support solely from the Phase I Mobility Fund.</w:t>
      </w:r>
      <w:r w:rsidRPr="00FA5E6E">
        <w:rPr>
          <w:rStyle w:val="FootnoteReference"/>
        </w:rPr>
        <w:footnoteReference w:id="27"/>
      </w:r>
    </w:p>
    <w:p w:rsidR="00DE39C7" w:rsidRDefault="00DE39C7" w:rsidP="006E0D50"/>
    <w:p w:rsidR="002435C1" w:rsidRDefault="00E04819" w:rsidP="006E0D50">
      <w:pPr>
        <w:rPr>
          <w:b/>
        </w:rPr>
      </w:pPr>
      <w:r>
        <w:rPr>
          <w:b/>
        </w:rPr>
        <w:t>Each</w:t>
      </w:r>
      <w:r w:rsidRPr="00E04819">
        <w:rPr>
          <w:b/>
        </w:rPr>
        <w:t xml:space="preserve"> ETC</w:t>
      </w:r>
      <w:r w:rsidR="00DE39C7" w:rsidRPr="0099179A">
        <w:rPr>
          <w:b/>
        </w:rPr>
        <w:t xml:space="preserve"> receiving </w:t>
      </w:r>
      <w:r w:rsidR="002435C1" w:rsidRPr="0099179A">
        <w:rPr>
          <w:b/>
        </w:rPr>
        <w:t xml:space="preserve">high-cost support </w:t>
      </w:r>
      <w:r w:rsidR="002435C1">
        <w:rPr>
          <w:b/>
        </w:rPr>
        <w:t xml:space="preserve">must also </w:t>
      </w:r>
      <w:r w:rsidR="00E73CD0">
        <w:rPr>
          <w:b/>
        </w:rPr>
        <w:t>make</w:t>
      </w:r>
      <w:r w:rsidR="002435C1">
        <w:rPr>
          <w:b/>
        </w:rPr>
        <w:t xml:space="preserve"> an annual </w:t>
      </w:r>
      <w:r>
        <w:rPr>
          <w:b/>
        </w:rPr>
        <w:t xml:space="preserve">use </w:t>
      </w:r>
      <w:r w:rsidR="002435C1">
        <w:rPr>
          <w:b/>
        </w:rPr>
        <w:t>certification</w:t>
      </w:r>
    </w:p>
    <w:p w:rsidR="002435C1" w:rsidRDefault="002435C1" w:rsidP="006E0D50">
      <w:pPr>
        <w:rPr>
          <w:b/>
        </w:rPr>
      </w:pPr>
    </w:p>
    <w:p w:rsidR="002435C1" w:rsidRDefault="002435C1" w:rsidP="006E0D50">
      <w:r>
        <w:t>All such ETCs must certify t</w:t>
      </w:r>
      <w:r w:rsidR="00DE39C7">
        <w:t>hat all federal high-cost support provided to such carriers was used in the preceding calendar year and will be used in the coming calendar year only for the provision, maintenance, and upgrading of facilities and services for which the support is intended.</w:t>
      </w:r>
      <w:r w:rsidR="000B3D23">
        <w:rPr>
          <w:rStyle w:val="FootnoteReference"/>
        </w:rPr>
        <w:footnoteReference w:id="28"/>
      </w:r>
      <w:r w:rsidR="00DE39C7">
        <w:t xml:space="preserve">  </w:t>
      </w:r>
    </w:p>
    <w:p w:rsidR="002435C1" w:rsidRDefault="002435C1" w:rsidP="006E0D50"/>
    <w:p w:rsidR="006E0D50" w:rsidRPr="00FA5E6E" w:rsidRDefault="00DE39C7" w:rsidP="001E2970">
      <w:r>
        <w:t>ETCs that are not subject to the jurisdiction of a state and that are designated as ETC</w:t>
      </w:r>
      <w:r w:rsidR="00740E65">
        <w:t xml:space="preserve">s by the </w:t>
      </w:r>
      <w:r w:rsidR="00E73CD0">
        <w:t>FCC</w:t>
      </w:r>
      <w:r w:rsidR="00740E65">
        <w:t xml:space="preserve"> must </w:t>
      </w:r>
      <w:r w:rsidR="00E73CD0">
        <w:t>submit</w:t>
      </w:r>
      <w:r w:rsidR="00740E65">
        <w:t xml:space="preserve"> this certification</w:t>
      </w:r>
      <w:r w:rsidR="005C5C97">
        <w:t xml:space="preserve"> with the Administrator and the Commission</w:t>
      </w:r>
      <w:r w:rsidR="00740E65">
        <w:t>.</w:t>
      </w:r>
      <w:r w:rsidR="000B3D23">
        <w:rPr>
          <w:rStyle w:val="FootnoteReference"/>
        </w:rPr>
        <w:footnoteReference w:id="29"/>
      </w:r>
      <w:r w:rsidR="00740E65">
        <w:t xml:space="preserve">  ETCs that are designated as ETCs by a state must have the relevant state submit this certification on the ETC’s behalf.</w:t>
      </w:r>
      <w:r w:rsidR="000B3D23">
        <w:rPr>
          <w:rStyle w:val="FootnoteReference"/>
        </w:rPr>
        <w:footnoteReference w:id="30"/>
      </w:r>
      <w:r w:rsidR="00740E65">
        <w:t xml:space="preserve">  </w:t>
      </w:r>
    </w:p>
    <w:p w:rsidR="005D6C3F" w:rsidRDefault="005D6C3F">
      <w:pPr>
        <w:rPr>
          <w:b/>
        </w:rPr>
      </w:pPr>
    </w:p>
    <w:p w:rsidR="00192FAE" w:rsidRDefault="00E04819">
      <w:pPr>
        <w:rPr>
          <w:b/>
        </w:rPr>
      </w:pPr>
      <w:r>
        <w:rPr>
          <w:b/>
        </w:rPr>
        <w:t>Each ETC</w:t>
      </w:r>
      <w:r w:rsidR="00192FAE">
        <w:rPr>
          <w:b/>
        </w:rPr>
        <w:t xml:space="preserve"> receiving </w:t>
      </w:r>
      <w:r>
        <w:rPr>
          <w:b/>
        </w:rPr>
        <w:t>high-cost support is</w:t>
      </w:r>
      <w:r w:rsidR="00192FAE">
        <w:rPr>
          <w:b/>
        </w:rPr>
        <w:t xml:space="preserve"> subject to </w:t>
      </w:r>
      <w:r w:rsidR="00663FF8">
        <w:rPr>
          <w:b/>
        </w:rPr>
        <w:t>audits and recordkeeping requirements</w:t>
      </w:r>
    </w:p>
    <w:p w:rsidR="00192FAE" w:rsidRDefault="00192FAE">
      <w:pPr>
        <w:rPr>
          <w:b/>
        </w:rPr>
      </w:pPr>
    </w:p>
    <w:p w:rsidR="00663FF8" w:rsidRDefault="00663FF8">
      <w:r>
        <w:t>All ETCs receiving high-cost support are subject to random compliance audits and other investigations to ensure compliance with program rules and orders.</w:t>
      </w:r>
      <w:r>
        <w:rPr>
          <w:rStyle w:val="FootnoteReference"/>
        </w:rPr>
        <w:footnoteReference w:id="31"/>
      </w:r>
    </w:p>
    <w:p w:rsidR="00663FF8" w:rsidRDefault="00663FF8"/>
    <w:p w:rsidR="00192FAE" w:rsidRDefault="00663FF8">
      <w:r>
        <w:t>To assist in complying with these audits, all ETCs receiving high-cost support must retain all records required to demonstrate to auditors that support received was consistent with universal service high-cost program rules.  The documentation must be maintained for at least 10 years from the receipt of funding and shall be made available upon request to the FCC, any of its Bureaus or Offices, USAC, and their respective auditors.</w:t>
      </w:r>
      <w:r>
        <w:rPr>
          <w:rStyle w:val="FootnoteReference"/>
        </w:rPr>
        <w:footnoteReference w:id="32"/>
      </w:r>
    </w:p>
    <w:p w:rsidR="00621DDA" w:rsidRDefault="00621DDA"/>
    <w:p w:rsidR="00621DDA" w:rsidRPr="0099179A" w:rsidRDefault="00621DDA">
      <w:r>
        <w:t xml:space="preserve">ETCs that are subject to build-out milestones will </w:t>
      </w:r>
      <w:r w:rsidR="00CB0764">
        <w:t xml:space="preserve">also </w:t>
      </w:r>
      <w:r>
        <w:t>be subject to certain reporting requirements, support reduction</w:t>
      </w:r>
      <w:r w:rsidR="007173B2">
        <w:t>s</w:t>
      </w:r>
      <w:r>
        <w:t xml:space="preserve">, and </w:t>
      </w:r>
      <w:r w:rsidR="004A32FA">
        <w:t xml:space="preserve">even </w:t>
      </w:r>
      <w:r>
        <w:t xml:space="preserve">possible recovery of support if they miss </w:t>
      </w:r>
      <w:r w:rsidR="004A32FA">
        <w:t>these deadlines.</w:t>
      </w:r>
      <w:r w:rsidR="004A32FA">
        <w:rPr>
          <w:rStyle w:val="FootnoteReference"/>
        </w:rPr>
        <w:footnoteReference w:id="33"/>
      </w:r>
      <w:r w:rsidR="004A32FA">
        <w:t xml:space="preserve">  The </w:t>
      </w:r>
      <w:r w:rsidR="007173B2">
        <w:t xml:space="preserve">non-compliance </w:t>
      </w:r>
      <w:r w:rsidR="004A32FA">
        <w:t xml:space="preserve">measures that apply will depend on </w:t>
      </w:r>
      <w:r w:rsidR="00CB0764">
        <w:t>the size of the compliance gap (i.e., the number of required locations that the ETC fails to build out to by the applicable deadline)</w:t>
      </w:r>
      <w:r w:rsidR="004A32FA">
        <w:t>.</w:t>
      </w:r>
      <w:r w:rsidR="004A32FA">
        <w:rPr>
          <w:rStyle w:val="FootnoteReference"/>
        </w:rPr>
        <w:footnoteReference w:id="34"/>
      </w:r>
      <w:r w:rsidR="004A32FA">
        <w:t xml:space="preserve"> </w:t>
      </w:r>
    </w:p>
    <w:p w:rsidR="005D6C3F" w:rsidRDefault="005D6C3F" w:rsidP="00331F3A">
      <w:pPr>
        <w:rPr>
          <w:b/>
        </w:rPr>
      </w:pPr>
    </w:p>
    <w:p w:rsidR="00331F3A" w:rsidRPr="00FA5E6E" w:rsidRDefault="00331F3A" w:rsidP="00331F3A">
      <w:pPr>
        <w:rPr>
          <w:b/>
        </w:rPr>
      </w:pPr>
      <w:r w:rsidRPr="00FA5E6E">
        <w:rPr>
          <w:b/>
        </w:rPr>
        <w:t xml:space="preserve">Each ETC receiving </w:t>
      </w:r>
      <w:r w:rsidR="001104E0" w:rsidRPr="00FA5E6E">
        <w:rPr>
          <w:b/>
        </w:rPr>
        <w:t xml:space="preserve">low-income support </w:t>
      </w:r>
      <w:r w:rsidRPr="00FA5E6E">
        <w:rPr>
          <w:b/>
        </w:rPr>
        <w:t>must report:</w:t>
      </w:r>
    </w:p>
    <w:p w:rsidR="00570824" w:rsidRPr="00FA5E6E" w:rsidRDefault="00570824" w:rsidP="00331F3A"/>
    <w:p w:rsidR="00570824" w:rsidRPr="00FA5E6E" w:rsidRDefault="00570824" w:rsidP="00570824">
      <w:pPr>
        <w:pStyle w:val="ListParagraph"/>
        <w:numPr>
          <w:ilvl w:val="0"/>
          <w:numId w:val="3"/>
        </w:numPr>
      </w:pPr>
      <w:r w:rsidRPr="00FA5E6E">
        <w:t>A list of holding company, operating companies, affiliates, and branding information as specified in 47 C.F.R. § 54.</w:t>
      </w:r>
      <w:r w:rsidR="00510303" w:rsidRPr="00FA5E6E">
        <w:t>422</w:t>
      </w:r>
      <w:r w:rsidR="00897E1B" w:rsidRPr="00FA5E6E">
        <w:t>(a)</w:t>
      </w:r>
      <w:r w:rsidRPr="00FA5E6E">
        <w:t>(</w:t>
      </w:r>
      <w:r w:rsidR="005B3BAB" w:rsidRPr="00FA5E6E">
        <w:t>1</w:t>
      </w:r>
      <w:r w:rsidRPr="00FA5E6E">
        <w:t>).</w:t>
      </w:r>
    </w:p>
    <w:p w:rsidR="00570824" w:rsidRPr="00FA5E6E" w:rsidRDefault="000A7EBC" w:rsidP="00570824">
      <w:pPr>
        <w:pStyle w:val="ListParagraph"/>
        <w:numPr>
          <w:ilvl w:val="0"/>
          <w:numId w:val="3"/>
        </w:numPr>
      </w:pPr>
      <w:r w:rsidRPr="00FA5E6E">
        <w:t xml:space="preserve">Detailed information concerning the terms and conditions of voice telephony plans offered to Lifeline subscribers. Note that if the terms and conditions are publicly available, the ETC may provide a link to a public Web site that </w:t>
      </w:r>
      <w:r w:rsidR="002D34D9" w:rsidRPr="00FA5E6E">
        <w:t>shows</w:t>
      </w:r>
      <w:r w:rsidRPr="00FA5E6E">
        <w:t xml:space="preserve"> the terms and conditions.</w:t>
      </w:r>
      <w:r w:rsidR="00C24F67" w:rsidRPr="00FA5E6E">
        <w:rPr>
          <w:rStyle w:val="FootnoteReference"/>
        </w:rPr>
        <w:footnoteReference w:id="35"/>
      </w:r>
    </w:p>
    <w:p w:rsidR="006519F9" w:rsidRPr="00FA5E6E" w:rsidRDefault="006519F9" w:rsidP="00FA5E6E"/>
    <w:p w:rsidR="006519F9" w:rsidRPr="00FA5E6E" w:rsidRDefault="006519F9" w:rsidP="00FA5E6E">
      <w:pPr>
        <w:rPr>
          <w:b/>
        </w:rPr>
      </w:pPr>
      <w:r w:rsidRPr="00FA5E6E">
        <w:rPr>
          <w:b/>
        </w:rPr>
        <w:t>Each ETC designated by the FCC as a Lifeline-only ETC must also report:</w:t>
      </w:r>
    </w:p>
    <w:p w:rsidR="006519F9" w:rsidRPr="00FA5E6E" w:rsidRDefault="006519F9" w:rsidP="00FA5E6E"/>
    <w:p w:rsidR="00331F3A" w:rsidRPr="00FA5E6E" w:rsidRDefault="0074409F" w:rsidP="001E2970">
      <w:pPr>
        <w:pStyle w:val="ListParagraph"/>
        <w:numPr>
          <w:ilvl w:val="0"/>
          <w:numId w:val="3"/>
        </w:numPr>
      </w:pPr>
      <w:r w:rsidRPr="00FA5E6E">
        <w:t>Outage information</w:t>
      </w:r>
      <w:r w:rsidR="002457CA" w:rsidRPr="00FA5E6E">
        <w:t>, complaint information, and applicable certification</w:t>
      </w:r>
      <w:r w:rsidR="004D6DFA" w:rsidRPr="00FA5E6E">
        <w:t>s</w:t>
      </w:r>
      <w:r w:rsidRPr="00FA5E6E">
        <w:t>.</w:t>
      </w:r>
      <w:r w:rsidRPr="00FA5E6E">
        <w:rPr>
          <w:rStyle w:val="FootnoteReference"/>
        </w:rPr>
        <w:footnoteReference w:id="36"/>
      </w:r>
    </w:p>
    <w:p w:rsidR="00331F3A" w:rsidRPr="00FA5E6E" w:rsidRDefault="00331F3A" w:rsidP="001E2970"/>
    <w:p w:rsidR="005B0E2E" w:rsidRPr="00FA5E6E" w:rsidRDefault="003B1B8F" w:rsidP="00FA5E6E">
      <w:pPr>
        <w:pStyle w:val="ListParagraph"/>
        <w:numPr>
          <w:ilvl w:val="0"/>
          <w:numId w:val="6"/>
        </w:numPr>
        <w:rPr>
          <w:b/>
        </w:rPr>
      </w:pPr>
      <w:r w:rsidRPr="00FA5E6E">
        <w:rPr>
          <w:b/>
        </w:rPr>
        <w:t>Deadlines</w:t>
      </w:r>
    </w:p>
    <w:p w:rsidR="003B1B8F" w:rsidRPr="00FA5E6E" w:rsidRDefault="003B1B8F" w:rsidP="001E2970"/>
    <w:p w:rsidR="003944B7" w:rsidRDefault="00E93416" w:rsidP="00B00ED5">
      <w:r w:rsidRPr="00FA5E6E">
        <w:t>ETCs must file th</w:t>
      </w:r>
      <w:r w:rsidR="00BC0C08">
        <w:t xml:space="preserve">e annual reports </w:t>
      </w:r>
      <w:r w:rsidRPr="00FA5E6E">
        <w:t xml:space="preserve">by July 1 of the preceding year in order to receive funds for the </w:t>
      </w:r>
      <w:r w:rsidR="00D01E7B" w:rsidRPr="00FA5E6E">
        <w:t xml:space="preserve">subsequent </w:t>
      </w:r>
      <w:r w:rsidRPr="00FA5E6E">
        <w:t>year.</w:t>
      </w:r>
      <w:r w:rsidR="00B00ED5" w:rsidRPr="00FA5E6E">
        <w:rPr>
          <w:rStyle w:val="FootnoteReference"/>
        </w:rPr>
        <w:footnoteReference w:id="37"/>
      </w:r>
    </w:p>
    <w:p w:rsidR="005C5EEB" w:rsidRPr="00FA5E6E" w:rsidRDefault="005C5EEB" w:rsidP="0099179A">
      <w:pPr>
        <w:pStyle w:val="ListParagraph"/>
        <w:numPr>
          <w:ilvl w:val="0"/>
          <w:numId w:val="1"/>
        </w:numPr>
      </w:pPr>
      <w:r>
        <w:t>ETCs that file their reports after the July 1 deadline will have a reduction in support pursuant to the following schedule:</w:t>
      </w:r>
      <w:r w:rsidR="009E0D82">
        <w:rPr>
          <w:rStyle w:val="FootnoteReference"/>
        </w:rPr>
        <w:footnoteReference w:id="38"/>
      </w:r>
      <w:r>
        <w:t xml:space="preserve"> </w:t>
      </w:r>
    </w:p>
    <w:p w:rsidR="003944B7" w:rsidRPr="00FA5E6E" w:rsidRDefault="005C5EEB" w:rsidP="0099179A">
      <w:pPr>
        <w:pStyle w:val="ListParagraph"/>
        <w:numPr>
          <w:ilvl w:val="1"/>
          <w:numId w:val="1"/>
        </w:numPr>
      </w:pPr>
      <w:r>
        <w:t>ETCs that file after the July deadl</w:t>
      </w:r>
      <w:r w:rsidR="000F4CE5">
        <w:t>ine, but by July 8 will have their</w:t>
      </w:r>
      <w:r>
        <w:t xml:space="preserve"> support reduced in an amount equivalent to seven days of support.</w:t>
      </w:r>
    </w:p>
    <w:p w:rsidR="003944B7" w:rsidRPr="00FA5E6E" w:rsidRDefault="003516AB" w:rsidP="0099179A">
      <w:pPr>
        <w:pStyle w:val="ListParagraph"/>
        <w:numPr>
          <w:ilvl w:val="1"/>
          <w:numId w:val="1"/>
        </w:numPr>
      </w:pPr>
      <w:r w:rsidRPr="00FA5E6E">
        <w:t xml:space="preserve">ETCs that file </w:t>
      </w:r>
      <w:r w:rsidR="005C5EEB">
        <w:t>on or after July 9 will have their support reduced on a pro-rata daily basis equivalent to the period of non-compliance, plus the minimum seven-day reduction.</w:t>
      </w:r>
      <w:r w:rsidRPr="00FA5E6E">
        <w:t xml:space="preserve"> </w:t>
      </w:r>
    </w:p>
    <w:p w:rsidR="003B1B8F" w:rsidRPr="00FA5E6E" w:rsidRDefault="005C5EEB" w:rsidP="0099179A">
      <w:pPr>
        <w:pStyle w:val="ListParagraph"/>
        <w:numPr>
          <w:ilvl w:val="1"/>
          <w:numId w:val="1"/>
        </w:numPr>
      </w:pPr>
      <w:r>
        <w:t xml:space="preserve">Grace period:  An ETC that files after July 1 but before July 5 will not receive a reduction in support if the ETC and its holding company, operating companies, and affiliates have not missed the July </w:t>
      </w:r>
      <w:r w:rsidR="005C5C97">
        <w:t xml:space="preserve">1 </w:t>
      </w:r>
      <w:r>
        <w:t xml:space="preserve">deadline in any prior year. </w:t>
      </w:r>
    </w:p>
    <w:p w:rsidR="006F737C" w:rsidRDefault="006F737C" w:rsidP="001E2970"/>
    <w:p w:rsidR="00740E65" w:rsidRDefault="00BC0C08" w:rsidP="001E2970">
      <w:r>
        <w:t xml:space="preserve">The 47 C.F.R. </w:t>
      </w:r>
      <w:r w:rsidRPr="00FA5E6E">
        <w:t>§</w:t>
      </w:r>
      <w:r>
        <w:t xml:space="preserve"> 54.314 annual certification must be filed by the ETC or the relevant states by October 1 </w:t>
      </w:r>
      <w:r w:rsidR="005D6C3F">
        <w:t>each</w:t>
      </w:r>
      <w:r w:rsidR="001674C1">
        <w:t xml:space="preserve"> year in order to receive funds for the </w:t>
      </w:r>
      <w:r w:rsidR="005D6C3F">
        <w:t xml:space="preserve">following </w:t>
      </w:r>
      <w:r w:rsidR="001674C1">
        <w:t>year.</w:t>
      </w:r>
      <w:r w:rsidR="000661CD">
        <w:rPr>
          <w:rStyle w:val="FootnoteReference"/>
        </w:rPr>
        <w:footnoteReference w:id="39"/>
      </w:r>
    </w:p>
    <w:p w:rsidR="001674C1" w:rsidRDefault="001674C1" w:rsidP="0099179A">
      <w:pPr>
        <w:pStyle w:val="ListParagraph"/>
        <w:numPr>
          <w:ilvl w:val="0"/>
          <w:numId w:val="1"/>
        </w:numPr>
      </w:pPr>
      <w:r>
        <w:t>If an ETC or relevant state files the certification after the October 1 deadline, the ETC subject to the certification shall receive a reduction in its support pursuant to the following schedule:</w:t>
      </w:r>
      <w:r w:rsidR="000661CD">
        <w:rPr>
          <w:rStyle w:val="FootnoteReference"/>
        </w:rPr>
        <w:footnoteReference w:id="40"/>
      </w:r>
    </w:p>
    <w:p w:rsidR="001674C1" w:rsidRDefault="001674C1" w:rsidP="0099179A">
      <w:pPr>
        <w:pStyle w:val="ListParagraph"/>
        <w:numPr>
          <w:ilvl w:val="1"/>
          <w:numId w:val="1"/>
        </w:numPr>
      </w:pPr>
      <w:r>
        <w:t>ETCs subject to certifications filed after the October 1 deadline, but by October 8 will have their support reduced in an amount equivalent to seven days in support.</w:t>
      </w:r>
    </w:p>
    <w:p w:rsidR="001674C1" w:rsidRDefault="001674C1" w:rsidP="0099179A">
      <w:pPr>
        <w:pStyle w:val="ListParagraph"/>
        <w:numPr>
          <w:ilvl w:val="1"/>
          <w:numId w:val="1"/>
        </w:numPr>
      </w:pPr>
      <w:r>
        <w:t>ETCs subject to certifications filed on or after October 9 will have the</w:t>
      </w:r>
      <w:r w:rsidR="004926FD">
        <w:t>ir support reduced on a pro-rata</w:t>
      </w:r>
      <w:r>
        <w:t xml:space="preserve"> daily basis equivalent to the period of non-compliance, plus the minimum seven-day reduction. </w:t>
      </w:r>
    </w:p>
    <w:p w:rsidR="001674C1" w:rsidRDefault="001674C1" w:rsidP="0099179A">
      <w:pPr>
        <w:pStyle w:val="ListParagraph"/>
        <w:numPr>
          <w:ilvl w:val="1"/>
          <w:numId w:val="1"/>
        </w:numPr>
      </w:pPr>
      <w:r>
        <w:t xml:space="preserve">Grace period:  </w:t>
      </w:r>
      <w:r w:rsidR="000661CD">
        <w:t xml:space="preserve">If the certification is filed after October 1 but before October 5, the ETC subject to the certification will not receive a reduction in support if the ETC and its holding company, operating companies, and affiliates have not missed the October 1 deadline in any prior year. </w:t>
      </w:r>
    </w:p>
    <w:p w:rsidR="000661CD" w:rsidRPr="00FA5E6E" w:rsidRDefault="000661CD" w:rsidP="0099179A">
      <w:pPr>
        <w:pStyle w:val="ListParagraph"/>
        <w:ind w:left="1440"/>
      </w:pPr>
    </w:p>
    <w:p w:rsidR="006F737C" w:rsidRPr="00FA5E6E" w:rsidRDefault="00D62803" w:rsidP="00FA5E6E">
      <w:pPr>
        <w:pStyle w:val="ListParagraph"/>
        <w:numPr>
          <w:ilvl w:val="0"/>
          <w:numId w:val="6"/>
        </w:numPr>
        <w:rPr>
          <w:b/>
        </w:rPr>
      </w:pPr>
      <w:r w:rsidRPr="00FA5E6E">
        <w:rPr>
          <w:b/>
        </w:rPr>
        <w:t>Who May File</w:t>
      </w:r>
    </w:p>
    <w:p w:rsidR="00D62803" w:rsidRPr="00FA5E6E" w:rsidRDefault="00D62803" w:rsidP="001E2970"/>
    <w:p w:rsidR="00663CEB" w:rsidRDefault="000661CD" w:rsidP="001E2970">
      <w:r>
        <w:t>For the annual reporting requirement, t</w:t>
      </w:r>
      <w:r w:rsidR="00663CEB" w:rsidRPr="00FA5E6E">
        <w:t>he ETC may fill out the form or the ETC may designate an agent to fill out the form. If the ETC designates an agent to fill out the form</w:t>
      </w:r>
      <w:r w:rsidR="00BD51C5" w:rsidRPr="00FA5E6E">
        <w:t xml:space="preserve">, an </w:t>
      </w:r>
      <w:r w:rsidR="00465871" w:rsidRPr="00FA5E6E">
        <w:t xml:space="preserve">ETC </w:t>
      </w:r>
      <w:r w:rsidR="00BD51C5" w:rsidRPr="00FA5E6E">
        <w:t xml:space="preserve">officer must sign the </w:t>
      </w:r>
      <w:r w:rsidR="00743EC9">
        <w:t>c</w:t>
      </w:r>
      <w:r w:rsidR="00BD51C5" w:rsidRPr="00FA5E6E">
        <w:t xml:space="preserve">ertification </w:t>
      </w:r>
      <w:r w:rsidR="00743EC9">
        <w:t xml:space="preserve">in section </w:t>
      </w:r>
      <w:r w:rsidR="00BD51C5" w:rsidRPr="00FA5E6E">
        <w:t>3005</w:t>
      </w:r>
      <w:r w:rsidR="00D922D6" w:rsidRPr="00FA5E6E">
        <w:t xml:space="preserve"> </w:t>
      </w:r>
      <w:r w:rsidR="00743EC9">
        <w:t xml:space="preserve">of the form </w:t>
      </w:r>
      <w:r w:rsidR="00D922D6" w:rsidRPr="00FA5E6E">
        <w:t>and provide the required information</w:t>
      </w:r>
      <w:r w:rsidR="00BD51C5" w:rsidRPr="00FA5E6E">
        <w:t>.</w:t>
      </w:r>
    </w:p>
    <w:p w:rsidR="000661CD" w:rsidRDefault="000661CD" w:rsidP="001E2970"/>
    <w:p w:rsidR="000661CD" w:rsidRPr="00FA5E6E" w:rsidRDefault="000661CD" w:rsidP="001E2970">
      <w:r>
        <w:t xml:space="preserve">For the annual </w:t>
      </w:r>
      <w:r w:rsidR="00227B32">
        <w:t xml:space="preserve">use </w:t>
      </w:r>
      <w:r>
        <w:t xml:space="preserve">certification requirement, if the ETC is designated by the </w:t>
      </w:r>
      <w:r w:rsidR="00DC1901">
        <w:t>FCC</w:t>
      </w:r>
      <w:r>
        <w:t>, the certification must</w:t>
      </w:r>
      <w:r w:rsidR="00B41D77">
        <w:t xml:space="preserve"> be filed</w:t>
      </w:r>
      <w:r>
        <w:t xml:space="preserve"> </w:t>
      </w:r>
      <w:r w:rsidR="00DC1901">
        <w:t xml:space="preserve">in the form of a sworn affidavit executed by a corporate officer.  If the ETC is designated by a state, the certification </w:t>
      </w:r>
      <w:r w:rsidR="004F6A94">
        <w:t>may</w:t>
      </w:r>
      <w:r w:rsidR="00DC1901">
        <w:t xml:space="preserve"> be filed</w:t>
      </w:r>
      <w:r w:rsidR="004F6A94">
        <w:t xml:space="preserve"> in the form of a letter from </w:t>
      </w:r>
      <w:r w:rsidR="00DC1901">
        <w:t>the appropriate regulatory authority for the state.</w:t>
      </w:r>
    </w:p>
    <w:p w:rsidR="00663CEB" w:rsidRPr="00FA5E6E" w:rsidRDefault="00663CEB" w:rsidP="001E2970"/>
    <w:p w:rsidR="00D62803" w:rsidRPr="00FA5E6E" w:rsidRDefault="008A2E0C" w:rsidP="00FA5E6E">
      <w:pPr>
        <w:pStyle w:val="ListParagraph"/>
        <w:numPr>
          <w:ilvl w:val="0"/>
          <w:numId w:val="6"/>
        </w:numPr>
        <w:rPr>
          <w:b/>
        </w:rPr>
      </w:pPr>
      <w:r w:rsidRPr="00FA5E6E">
        <w:rPr>
          <w:b/>
        </w:rPr>
        <w:t>Where to File</w:t>
      </w:r>
    </w:p>
    <w:p w:rsidR="008A2E0C" w:rsidRPr="00FA5E6E" w:rsidRDefault="008A2E0C" w:rsidP="001E2970"/>
    <w:p w:rsidR="00574079" w:rsidRPr="0099179A" w:rsidRDefault="00574079" w:rsidP="001E2970">
      <w:pPr>
        <w:rPr>
          <w:b/>
        </w:rPr>
      </w:pPr>
      <w:r w:rsidRPr="0099179A">
        <w:rPr>
          <w:b/>
        </w:rPr>
        <w:t xml:space="preserve">FCC Form 481 </w:t>
      </w:r>
    </w:p>
    <w:p w:rsidR="00574079" w:rsidRDefault="00574079" w:rsidP="001E2970"/>
    <w:p w:rsidR="008A2E0C" w:rsidRPr="00FA5E6E" w:rsidRDefault="00743EC9" w:rsidP="001E2970">
      <w:r>
        <w:t xml:space="preserve">FCC Form 481 </w:t>
      </w:r>
      <w:r w:rsidR="00E6590D" w:rsidRPr="00FA5E6E">
        <w:t>must</w:t>
      </w:r>
      <w:r w:rsidR="008A2E0C" w:rsidRPr="00FA5E6E">
        <w:t xml:space="preserve"> be </w:t>
      </w:r>
      <w:r>
        <w:t xml:space="preserve">filed with the </w:t>
      </w:r>
      <w:r w:rsidR="008A2E0C" w:rsidRPr="00FA5E6E">
        <w:t>FCC</w:t>
      </w:r>
      <w:r>
        <w:t xml:space="preserve">, </w:t>
      </w:r>
      <w:r w:rsidR="008A2E0C" w:rsidRPr="00FA5E6E">
        <w:t>USAC</w:t>
      </w:r>
      <w:r>
        <w:t>, and the</w:t>
      </w:r>
      <w:r w:rsidR="00E6590D" w:rsidRPr="00FA5E6E">
        <w:t xml:space="preserve"> </w:t>
      </w:r>
      <w:r>
        <w:t>relevant state commission, relevant authority</w:t>
      </w:r>
      <w:r w:rsidR="008A2E0C" w:rsidRPr="00FA5E6E">
        <w:t xml:space="preserve"> in U.S. Territories, </w:t>
      </w:r>
      <w:r>
        <w:t>or Tribal government, as appropriate</w:t>
      </w:r>
      <w:r w:rsidR="008A2E0C" w:rsidRPr="00FA5E6E">
        <w:t>.</w:t>
      </w:r>
      <w:r w:rsidR="00E6590D" w:rsidRPr="00FA5E6E">
        <w:t xml:space="preserve"> </w:t>
      </w:r>
    </w:p>
    <w:p w:rsidR="00743EC9" w:rsidRDefault="00743EC9" w:rsidP="001E2970"/>
    <w:p w:rsidR="00AD1318" w:rsidRDefault="00743EC9" w:rsidP="001E2970">
      <w:r>
        <w:t>FCC Form 481 may be completed and submitted to USAC online at USAC’s website (</w:t>
      </w:r>
      <w:hyperlink r:id="rId10" w:history="1">
        <w:r w:rsidRPr="003D383E">
          <w:rPr>
            <w:rStyle w:val="Hyperlink"/>
          </w:rPr>
          <w:t>http://usac.org/about/tools/e-file.aspx</w:t>
        </w:r>
      </w:hyperlink>
      <w:r>
        <w:t>).  Completed forms may be printed to be submitted to the FCC and others.</w:t>
      </w:r>
    </w:p>
    <w:p w:rsidR="00743EC9" w:rsidRPr="00FA5E6E" w:rsidRDefault="00743EC9" w:rsidP="001E2970"/>
    <w:p w:rsidR="00AD1318" w:rsidRDefault="00AD1318" w:rsidP="001E2970">
      <w:r w:rsidRPr="00FA5E6E">
        <w:t xml:space="preserve">The form submitted to the FCC must clearly reference WC Docket No. </w:t>
      </w:r>
      <w:r w:rsidR="00DC1901">
        <w:t>14-58</w:t>
      </w:r>
      <w:r w:rsidR="00743EC9">
        <w:t xml:space="preserve"> and may be submitted through the FCC’s Electronic Comment Filing System (</w:t>
      </w:r>
      <w:hyperlink r:id="rId11" w:history="1">
        <w:r w:rsidR="00743EC9" w:rsidRPr="003D383E">
          <w:rPr>
            <w:rStyle w:val="Hyperlink"/>
          </w:rPr>
          <w:t>http://apps.fcc.gov/ecfs/</w:t>
        </w:r>
      </w:hyperlink>
      <w:r w:rsidR="00743EC9">
        <w:t>)</w:t>
      </w:r>
      <w:r w:rsidRPr="00FA5E6E">
        <w:t xml:space="preserve">. </w:t>
      </w:r>
      <w:r w:rsidR="00B00ED5">
        <w:t xml:space="preserve"> </w:t>
      </w:r>
      <w:r w:rsidRPr="00FA5E6E">
        <w:t>In their other filings, parties should follow</w:t>
      </w:r>
      <w:r w:rsidR="00E86F94" w:rsidRPr="00FA5E6E">
        <w:t xml:space="preserve"> relevant</w:t>
      </w:r>
      <w:r w:rsidR="00D87145" w:rsidRPr="00FA5E6E">
        <w:t xml:space="preserve"> local rules</w:t>
      </w:r>
      <w:r w:rsidRPr="00FA5E6E">
        <w:t>.</w:t>
      </w:r>
    </w:p>
    <w:p w:rsidR="00DC1901" w:rsidRDefault="00DC1901" w:rsidP="001E2970"/>
    <w:p w:rsidR="00574079" w:rsidRPr="0099179A" w:rsidRDefault="00574079" w:rsidP="001E2970">
      <w:pPr>
        <w:rPr>
          <w:b/>
        </w:rPr>
      </w:pPr>
      <w:r w:rsidRPr="0099179A">
        <w:rPr>
          <w:b/>
        </w:rPr>
        <w:t>47 C.F.R. § 54.314 Certification</w:t>
      </w:r>
    </w:p>
    <w:p w:rsidR="00574079" w:rsidRDefault="00574079" w:rsidP="001E2970"/>
    <w:p w:rsidR="00DC1901" w:rsidRDefault="00DC1901" w:rsidP="001E2970">
      <w:r>
        <w:t xml:space="preserve">The annual </w:t>
      </w:r>
      <w:r w:rsidR="00574079">
        <w:t xml:space="preserve">47 C.F.R. § 54.314 </w:t>
      </w:r>
      <w:r>
        <w:t>certification must be filed with USAC and with the FCC</w:t>
      </w:r>
      <w:r w:rsidR="00574079">
        <w:t>.</w:t>
      </w:r>
      <w:r w:rsidR="008F33E5">
        <w:t xml:space="preserve"> </w:t>
      </w:r>
    </w:p>
    <w:p w:rsidR="00574079" w:rsidRDefault="00574079" w:rsidP="001E2970"/>
    <w:p w:rsidR="00574079" w:rsidRDefault="00783DD7" w:rsidP="001E2970">
      <w:r>
        <w:t>State regulatory authorities and ETCs may file the certification with USAC online at USAC’s website (</w:t>
      </w:r>
      <w:hyperlink r:id="rId12" w:history="1">
        <w:r w:rsidRPr="007D1156">
          <w:rPr>
            <w:rStyle w:val="Hyperlink"/>
          </w:rPr>
          <w:t>http://usac.org/about/tools/e-file.aspx</w:t>
        </w:r>
      </w:hyperlink>
      <w:r>
        <w:t>), via email (</w:t>
      </w:r>
      <w:hyperlink r:id="rId13" w:history="1">
        <w:r w:rsidRPr="007D1156">
          <w:rPr>
            <w:rStyle w:val="Hyperlink"/>
          </w:rPr>
          <w:t>hccerts@usac.org</w:t>
        </w:r>
      </w:hyperlink>
      <w:r>
        <w:t>), or via U.S. mail.</w:t>
      </w:r>
    </w:p>
    <w:p w:rsidR="005D6C3F" w:rsidRDefault="005D6C3F" w:rsidP="001E2970"/>
    <w:p w:rsidR="00783DD7" w:rsidRPr="00FA5E6E" w:rsidRDefault="00FF31E4" w:rsidP="001E2970">
      <w:r>
        <w:t>The certification submitted to the FCC must clearly reference WC Docket No. 14-58 and may be submitted through the FCC’s Electronic Comment Filing System (</w:t>
      </w:r>
      <w:hyperlink r:id="rId14" w:history="1">
        <w:r w:rsidRPr="003D383E">
          <w:rPr>
            <w:rStyle w:val="Hyperlink"/>
          </w:rPr>
          <w:t>http://apps.fcc.gov/ecfs/</w:t>
        </w:r>
      </w:hyperlink>
      <w:r>
        <w:t>)</w:t>
      </w:r>
      <w:r w:rsidRPr="00FA5E6E">
        <w:t>.</w:t>
      </w:r>
    </w:p>
    <w:p w:rsidR="0003295A" w:rsidRPr="00FA5E6E" w:rsidRDefault="0003295A" w:rsidP="001E2970"/>
    <w:p w:rsidR="0003295A" w:rsidRPr="00FA5E6E" w:rsidRDefault="006519F9" w:rsidP="00FA5E6E">
      <w:pPr>
        <w:pStyle w:val="ListParagraph"/>
        <w:numPr>
          <w:ilvl w:val="0"/>
          <w:numId w:val="6"/>
        </w:numPr>
        <w:rPr>
          <w:b/>
        </w:rPr>
      </w:pPr>
      <w:r w:rsidRPr="00FA5E6E">
        <w:rPr>
          <w:b/>
        </w:rPr>
        <w:t>Confidentiality</w:t>
      </w:r>
    </w:p>
    <w:p w:rsidR="00AD1318" w:rsidRPr="00FA5E6E" w:rsidRDefault="00AD1318" w:rsidP="001E2970"/>
    <w:p w:rsidR="00C04747" w:rsidRPr="00FA5E6E" w:rsidRDefault="00AD1318" w:rsidP="001E2970">
      <w:r w:rsidRPr="00FA5E6E">
        <w:t xml:space="preserve">Parties seeking confidential treatment of portions of their FCC Form 481 should file with the FCC pursuant to 47 </w:t>
      </w:r>
      <w:r w:rsidR="003F3E8A" w:rsidRPr="00FA5E6E">
        <w:t>C.F.R.</w:t>
      </w:r>
      <w:r w:rsidRPr="00FA5E6E">
        <w:t xml:space="preserve"> §</w:t>
      </w:r>
      <w:r w:rsidR="00897E1B" w:rsidRPr="00FA5E6E">
        <w:t xml:space="preserve"> </w:t>
      </w:r>
      <w:r w:rsidRPr="00FA5E6E">
        <w:t>0.459.</w:t>
      </w:r>
      <w:r w:rsidR="00876F9F" w:rsidRPr="00FA5E6E">
        <w:t xml:space="preserve">  Privately held rate-of-return carriers may file their financial information pursuant to section 54.313(f)(2) subject to a protective order.</w:t>
      </w:r>
      <w:r w:rsidR="00876F9F" w:rsidRPr="00FA5E6E">
        <w:rPr>
          <w:rStyle w:val="FootnoteReference"/>
        </w:rPr>
        <w:footnoteReference w:id="41"/>
      </w:r>
    </w:p>
    <w:sectPr w:rsidR="00C04747" w:rsidRPr="00FA5E6E" w:rsidSect="00342953">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077" w:rsidRDefault="007E1077" w:rsidP="00342953">
      <w:r>
        <w:separator/>
      </w:r>
    </w:p>
  </w:endnote>
  <w:endnote w:type="continuationSeparator" w:id="0">
    <w:p w:rsidR="007E1077" w:rsidRDefault="007E1077" w:rsidP="0034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E3" w:rsidRDefault="00F96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67015"/>
      <w:docPartObj>
        <w:docPartGallery w:val="Page Numbers (Bottom of Page)"/>
        <w:docPartUnique/>
      </w:docPartObj>
    </w:sdtPr>
    <w:sdtEndPr>
      <w:rPr>
        <w:noProof/>
      </w:rPr>
    </w:sdtEndPr>
    <w:sdtContent>
      <w:p w:rsidR="00342953" w:rsidRDefault="00342953">
        <w:pPr>
          <w:pStyle w:val="Footer"/>
          <w:jc w:val="center"/>
        </w:pPr>
        <w:r>
          <w:fldChar w:fldCharType="begin"/>
        </w:r>
        <w:r>
          <w:instrText xml:space="preserve"> PAGE   \* MERGEFORMAT </w:instrText>
        </w:r>
        <w:r>
          <w:fldChar w:fldCharType="separate"/>
        </w:r>
        <w:r w:rsidR="004542AA">
          <w:rPr>
            <w:noProof/>
          </w:rPr>
          <w:t>2</w:t>
        </w:r>
        <w:r>
          <w:rPr>
            <w:noProof/>
          </w:rPr>
          <w:fldChar w:fldCharType="end"/>
        </w:r>
      </w:p>
    </w:sdtContent>
  </w:sdt>
  <w:p w:rsidR="00342953" w:rsidRDefault="003429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E3" w:rsidRDefault="00F96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077" w:rsidRDefault="007E1077" w:rsidP="00342953">
      <w:r>
        <w:separator/>
      </w:r>
    </w:p>
  </w:footnote>
  <w:footnote w:type="continuationSeparator" w:id="0">
    <w:p w:rsidR="007E1077" w:rsidRDefault="007E1077" w:rsidP="00342953">
      <w:r>
        <w:continuationSeparator/>
      </w:r>
    </w:p>
  </w:footnote>
  <w:footnote w:id="1">
    <w:p w:rsidR="007E0986" w:rsidRPr="007E0986" w:rsidRDefault="007E0986">
      <w:pPr>
        <w:pStyle w:val="FootnoteText"/>
      </w:pPr>
      <w:r>
        <w:rPr>
          <w:rStyle w:val="FootnoteReference"/>
        </w:rPr>
        <w:footnoteRef/>
      </w:r>
      <w:r>
        <w:t xml:space="preserve"> </w:t>
      </w:r>
      <w:r w:rsidRPr="00B72616">
        <w:rPr>
          <w:i/>
          <w:iCs/>
        </w:rPr>
        <w:t>Connect America Fund et al.</w:t>
      </w:r>
      <w:r w:rsidRPr="00B72616">
        <w:rPr>
          <w:iCs/>
        </w:rPr>
        <w:t>,</w:t>
      </w:r>
      <w:r w:rsidRPr="00B72616">
        <w:rPr>
          <w:i/>
          <w:iCs/>
        </w:rPr>
        <w:t xml:space="preserve"> </w:t>
      </w:r>
      <w:r w:rsidRPr="00B72616">
        <w:t xml:space="preserve">WC Docket No. 10-90 et al., Report and Order and Further Notice of Proposed Rulemaking, 26 FCC Rcd </w:t>
      </w:r>
      <w:r>
        <w:t xml:space="preserve">17663, </w:t>
      </w:r>
      <w:r w:rsidRPr="00B72616">
        <w:t>17</w:t>
      </w:r>
      <w:r>
        <w:t xml:space="preserve">849, para. 569 </w:t>
      </w:r>
      <w:r w:rsidRPr="00B72616">
        <w:t>(</w:t>
      </w:r>
      <w:r w:rsidRPr="00B72616">
        <w:rPr>
          <w:iCs/>
        </w:rPr>
        <w:t>2011)</w:t>
      </w:r>
      <w:r w:rsidRPr="00B72616">
        <w:rPr>
          <w:i/>
          <w:iCs/>
        </w:rPr>
        <w:t xml:space="preserve"> </w:t>
      </w:r>
      <w:r w:rsidRPr="00B72616">
        <w:rPr>
          <w:iCs/>
        </w:rPr>
        <w:t>(</w:t>
      </w:r>
      <w:r w:rsidRPr="00B72616">
        <w:rPr>
          <w:i/>
          <w:iCs/>
        </w:rPr>
        <w:t>USF/ICC Transformation Order</w:t>
      </w:r>
      <w:r w:rsidRPr="00B72616">
        <w:rPr>
          <w:iCs/>
        </w:rPr>
        <w:t>)</w:t>
      </w:r>
      <w:r>
        <w:rPr>
          <w:iCs/>
        </w:rPr>
        <w:t xml:space="preserve"> </w:t>
      </w:r>
      <w:r w:rsidR="00AE5E27">
        <w:rPr>
          <w:i/>
          <w:iCs/>
        </w:rPr>
        <w:t>aff’d sub nom., In re: FCC 11-161</w:t>
      </w:r>
      <w:r w:rsidR="00AE5E27">
        <w:rPr>
          <w:iCs/>
        </w:rPr>
        <w:t>, 753 F.3d 1015 (10th Cir. 2014</w:t>
      </w:r>
      <w:r>
        <w:rPr>
          <w:iCs/>
        </w:rPr>
        <w:t>).</w:t>
      </w:r>
    </w:p>
  </w:footnote>
  <w:footnote w:id="2">
    <w:p w:rsidR="007E0986" w:rsidRPr="007E0986" w:rsidRDefault="007E0986">
      <w:pPr>
        <w:pStyle w:val="FootnoteText"/>
      </w:pPr>
      <w:r>
        <w:rPr>
          <w:rStyle w:val="FootnoteReference"/>
        </w:rPr>
        <w:footnoteRef/>
      </w:r>
      <w:r>
        <w:t xml:space="preserve"> </w:t>
      </w:r>
      <w:r>
        <w:rPr>
          <w:i/>
        </w:rPr>
        <w:t xml:space="preserve">Id. </w:t>
      </w:r>
      <w:r>
        <w:t>at 17852</w:t>
      </w:r>
      <w:r w:rsidR="00825219">
        <w:t>, 17860</w:t>
      </w:r>
      <w:r>
        <w:t>, para</w:t>
      </w:r>
      <w:r w:rsidR="00825219">
        <w:t>s</w:t>
      </w:r>
      <w:r>
        <w:t>. 579</w:t>
      </w:r>
      <w:r w:rsidR="00825219">
        <w:t>, 608</w:t>
      </w:r>
      <w:r>
        <w:t>.</w:t>
      </w:r>
    </w:p>
  </w:footnote>
  <w:footnote w:id="3">
    <w:p w:rsidR="00AE5E27" w:rsidRDefault="00AE5E27">
      <w:pPr>
        <w:pStyle w:val="FootnoteText"/>
      </w:pPr>
      <w:r>
        <w:rPr>
          <w:rStyle w:val="FootnoteReference"/>
        </w:rPr>
        <w:footnoteRef/>
      </w:r>
      <w:r>
        <w:t xml:space="preserve"> </w:t>
      </w:r>
      <w:r w:rsidR="00A26754" w:rsidRPr="0099179A">
        <w:rPr>
          <w:i/>
        </w:rPr>
        <w:t>Connect America Fund et al.,</w:t>
      </w:r>
      <w:r w:rsidR="00A26754">
        <w:t xml:space="preserve"> WC Docket No. 10-90 et al., Third Order on Reconsideration, 27 FCC Rcd </w:t>
      </w:r>
      <w:r w:rsidR="00DC1784">
        <w:t>5622, 5623</w:t>
      </w:r>
      <w:r w:rsidR="000F4F0E">
        <w:t>-31</w:t>
      </w:r>
      <w:r w:rsidR="00DC1784">
        <w:t>, paras. 3-</w:t>
      </w:r>
      <w:r w:rsidR="000F4F0E">
        <w:t>24 (2012);</w:t>
      </w:r>
      <w:r w:rsidR="005E6D6E">
        <w:t xml:space="preserve"> </w:t>
      </w:r>
      <w:r w:rsidR="000F4F0E" w:rsidRPr="00FE25B2">
        <w:rPr>
          <w:i/>
        </w:rPr>
        <w:t>Connect America Fund et al.,</w:t>
      </w:r>
      <w:r w:rsidR="000F4F0E">
        <w:t xml:space="preserve"> WC Docket No. 10-90 et al., Fifth Order on Reconsideration, 27 FCC Rcd 14549, 14550-56, paras. 4-17 (2012); </w:t>
      </w:r>
      <w:r w:rsidR="00360DA0" w:rsidRPr="0099179A">
        <w:rPr>
          <w:i/>
        </w:rPr>
        <w:t>Connect America Fund et al.</w:t>
      </w:r>
      <w:r w:rsidR="00360DA0">
        <w:t xml:space="preserve">, WC Docket No. 10-90 et al., Report and Order et al., 29 FCC Rcd 7051, </w:t>
      </w:r>
      <w:r w:rsidR="008F54B7">
        <w:t xml:space="preserve">7069, para. 57 (2014); </w:t>
      </w:r>
      <w:r w:rsidRPr="0099179A">
        <w:rPr>
          <w:i/>
        </w:rPr>
        <w:t>Connect America Fund et al.</w:t>
      </w:r>
      <w:r>
        <w:t xml:space="preserve">, WC Docket No. 10-90 et al., </w:t>
      </w:r>
      <w:r w:rsidR="000C5668">
        <w:t>Report and Order, 29 FCC Rcd 15644, 15686-88, 15690-93, paras. 119-23, 129-38 (2014).</w:t>
      </w:r>
      <w:r w:rsidR="00354973">
        <w:t xml:space="preserve">  The Wireline Competition Bureau also clarified the reporting rules in several orders.  </w:t>
      </w:r>
      <w:r w:rsidR="00354973" w:rsidRPr="0099179A">
        <w:rPr>
          <w:i/>
        </w:rPr>
        <w:t>See Connect America Fund et al.</w:t>
      </w:r>
      <w:r w:rsidR="00354973">
        <w:t>, WC Docket No. 10-90</w:t>
      </w:r>
      <w:r w:rsidR="00ED5402">
        <w:t xml:space="preserve"> et al., Order, 27 FCC Rcd. 605 (Wireline Comp. Bur. 2012); </w:t>
      </w:r>
      <w:r w:rsidR="00ED5402" w:rsidRPr="0099179A">
        <w:rPr>
          <w:i/>
        </w:rPr>
        <w:t>Connect America Fund et al.</w:t>
      </w:r>
      <w:r w:rsidR="00ED5402">
        <w:t xml:space="preserve">, WC Docket No. 10-90 et al., </w:t>
      </w:r>
      <w:r w:rsidR="001154BC">
        <w:t xml:space="preserve">Order, </w:t>
      </w:r>
      <w:r w:rsidR="00ED5402">
        <w:t xml:space="preserve">28 FCC Rcd 2051 (Wireline Comp. Bur. 2013); </w:t>
      </w:r>
      <w:r w:rsidR="00ED5402" w:rsidRPr="0099179A">
        <w:rPr>
          <w:i/>
        </w:rPr>
        <w:t>Connect America Fund et al.</w:t>
      </w:r>
      <w:r w:rsidR="00ED5402">
        <w:t xml:space="preserve">, WC Docket No. 10-90 et al., </w:t>
      </w:r>
      <w:r w:rsidR="001154BC">
        <w:t xml:space="preserve">Order, </w:t>
      </w:r>
      <w:r w:rsidR="00ED5402">
        <w:t xml:space="preserve">28 FCC Rcd 7227 (Wireline Comp. Bur. 2013). </w:t>
      </w:r>
    </w:p>
  </w:footnote>
  <w:footnote w:id="4">
    <w:p w:rsidR="007E0986" w:rsidRPr="007E0986" w:rsidRDefault="007E0986">
      <w:pPr>
        <w:pStyle w:val="FootnoteText"/>
      </w:pPr>
      <w:r>
        <w:rPr>
          <w:rStyle w:val="FootnoteReference"/>
        </w:rPr>
        <w:footnoteRef/>
      </w:r>
      <w:r>
        <w:t xml:space="preserve"> </w:t>
      </w:r>
      <w:r>
        <w:rPr>
          <w:i/>
        </w:rPr>
        <w:t>Lifeline and Link Up Reform and Modernization et al.</w:t>
      </w:r>
      <w:r>
        <w:t xml:space="preserve">, WC Docket No. 11-42 et al., Report </w:t>
      </w:r>
      <w:r w:rsidRPr="00B72616">
        <w:t>and Order and Further Notice of Proposed Rulemaking,</w:t>
      </w:r>
      <w:r>
        <w:t xml:space="preserve"> 27 FCC Rcd 6656, 6819-20, paras. 389-90 (2012) (</w:t>
      </w:r>
      <w:r>
        <w:rPr>
          <w:i/>
        </w:rPr>
        <w:t>Lifeline Reform Order</w:t>
      </w:r>
      <w:r>
        <w:t>).</w:t>
      </w:r>
    </w:p>
  </w:footnote>
  <w:footnote w:id="5">
    <w:p w:rsidR="006E0D50" w:rsidRPr="009718C0" w:rsidRDefault="006E0D50" w:rsidP="006E0D50">
      <w:pPr>
        <w:pStyle w:val="FootnoteText"/>
        <w:rPr>
          <w:i/>
        </w:rPr>
      </w:pPr>
      <w:r w:rsidRPr="009718C0">
        <w:rPr>
          <w:rStyle w:val="FootnoteReference"/>
        </w:rPr>
        <w:footnoteRef/>
      </w:r>
      <w:r w:rsidRPr="009718C0">
        <w:t xml:space="preserve"> </w:t>
      </w:r>
      <w:r w:rsidRPr="009718C0">
        <w:rPr>
          <w:i/>
        </w:rPr>
        <w:t xml:space="preserve">See </w:t>
      </w:r>
      <w:r w:rsidR="000B3D23">
        <w:rPr>
          <w:i/>
        </w:rPr>
        <w:t xml:space="preserve">USF/ICC Transformation Order, </w:t>
      </w:r>
      <w:r w:rsidR="000B3D23">
        <w:t xml:space="preserve">26 FCC Rcd 17663 </w:t>
      </w:r>
      <w:r w:rsidRPr="009718C0">
        <w:rPr>
          <w:color w:val="020202"/>
          <w:lang w:eastAsia="ja-JP"/>
        </w:rPr>
        <w:t>(adopting section 54.313 of the Commission’s rules).</w:t>
      </w:r>
    </w:p>
  </w:footnote>
  <w:footnote w:id="6">
    <w:p w:rsidR="006C17A4" w:rsidRDefault="006C17A4">
      <w:pPr>
        <w:pStyle w:val="FootnoteText"/>
      </w:pPr>
      <w:r>
        <w:rPr>
          <w:rStyle w:val="FootnoteReference"/>
        </w:rPr>
        <w:footnoteRef/>
      </w:r>
      <w:r>
        <w:t xml:space="preserve"> </w:t>
      </w:r>
      <w:r w:rsidR="00A33810">
        <w:t xml:space="preserve">ETCs that are designated by states must have the relevant states file this certification on their behalf.  47 C.F.R. </w:t>
      </w:r>
      <w:r w:rsidR="00A33810" w:rsidRPr="00FA5E6E">
        <w:t>§</w:t>
      </w:r>
      <w:r w:rsidR="00A33810">
        <w:t xml:space="preserve"> 54.314</w:t>
      </w:r>
      <w:r w:rsidR="00DE39C7">
        <w:t>(a)</w:t>
      </w:r>
      <w:r w:rsidR="00A33810">
        <w:t>.</w:t>
      </w:r>
    </w:p>
  </w:footnote>
  <w:footnote w:id="7">
    <w:p w:rsidR="0075745C" w:rsidRDefault="0075745C">
      <w:pPr>
        <w:pStyle w:val="FootnoteText"/>
      </w:pPr>
      <w:r>
        <w:rPr>
          <w:rStyle w:val="FootnoteReference"/>
        </w:rPr>
        <w:footnoteRef/>
      </w:r>
      <w:r>
        <w:t xml:space="preserve"> 47 C.F.R. </w:t>
      </w:r>
      <w:r w:rsidRPr="00FA5E6E">
        <w:t>§</w:t>
      </w:r>
      <w:r>
        <w:t xml:space="preserve"> </w:t>
      </w:r>
      <w:r w:rsidR="00192FAE">
        <w:t xml:space="preserve">54.320; </w:t>
      </w:r>
      <w:r w:rsidRPr="0099179A">
        <w:rPr>
          <w:i/>
        </w:rPr>
        <w:t>USF/ICC Transformation Order</w:t>
      </w:r>
      <w:r>
        <w:t xml:space="preserve">, 26 FCC Rcd 17663, 17864, </w:t>
      </w:r>
      <w:r w:rsidR="00192FAE">
        <w:t xml:space="preserve">66, </w:t>
      </w:r>
      <w:r>
        <w:t>paras. 619-21</w:t>
      </w:r>
      <w:r w:rsidR="00192FAE">
        <w:t>, 629.</w:t>
      </w:r>
    </w:p>
  </w:footnote>
  <w:footnote w:id="8">
    <w:p w:rsidR="006E0D50" w:rsidRPr="009718C0" w:rsidRDefault="006E0D50" w:rsidP="006E0D50">
      <w:pPr>
        <w:pStyle w:val="FootnoteText"/>
        <w:rPr>
          <w:i/>
        </w:rPr>
      </w:pPr>
      <w:r w:rsidRPr="009718C0">
        <w:rPr>
          <w:rStyle w:val="FootnoteReference"/>
        </w:rPr>
        <w:footnoteRef/>
      </w:r>
      <w:r w:rsidRPr="009718C0">
        <w:t xml:space="preserve"> </w:t>
      </w:r>
      <w:r w:rsidRPr="009718C0">
        <w:rPr>
          <w:i/>
        </w:rPr>
        <w:t xml:space="preserve">See </w:t>
      </w:r>
      <w:r w:rsidRPr="009718C0">
        <w:rPr>
          <w:i/>
          <w:iCs/>
        </w:rPr>
        <w:t>Lifeline and Link Up Reform and Modernization</w:t>
      </w:r>
      <w:r>
        <w:rPr>
          <w:i/>
          <w:iCs/>
        </w:rPr>
        <w:t xml:space="preserve"> et al.</w:t>
      </w:r>
      <w:r w:rsidRPr="009718C0">
        <w:t xml:space="preserve">, WC Docket No.11-42, </w:t>
      </w:r>
      <w:r w:rsidRPr="009718C0">
        <w:rPr>
          <w:i/>
        </w:rPr>
        <w:t>et al.</w:t>
      </w:r>
      <w:r w:rsidRPr="009718C0">
        <w:t>,</w:t>
      </w:r>
      <w:r w:rsidRPr="009718C0">
        <w:rPr>
          <w:i/>
        </w:rPr>
        <w:t xml:space="preserve"> </w:t>
      </w:r>
      <w:r w:rsidRPr="009718C0">
        <w:t>Report and Order and Further Notice of Proposed Rulemaking, 27 FCC Rcd 6656 (2012) (</w:t>
      </w:r>
      <w:r w:rsidRPr="009718C0">
        <w:rPr>
          <w:i/>
          <w:iCs/>
        </w:rPr>
        <w:t>Lifeline Reform Order</w:t>
      </w:r>
      <w:r w:rsidRPr="009718C0">
        <w:t>) (adopting section 54.422 of the Commission’s rules).</w:t>
      </w:r>
    </w:p>
  </w:footnote>
  <w:footnote w:id="9">
    <w:p w:rsidR="00173886" w:rsidRDefault="00173886">
      <w:pPr>
        <w:pStyle w:val="FootnoteText"/>
      </w:pPr>
      <w:r>
        <w:rPr>
          <w:rStyle w:val="FootnoteReference"/>
        </w:rPr>
        <w:footnoteRef/>
      </w:r>
      <w:r>
        <w:t xml:space="preserve"> 47 C.F.R. § 54.313(a)(1)</w:t>
      </w:r>
      <w:r w:rsidR="00195F6D">
        <w:t>, (f)(1)</w:t>
      </w:r>
      <w:r w:rsidR="009C52CC">
        <w:t xml:space="preserve">; </w:t>
      </w:r>
      <w:r w:rsidR="009C52CC">
        <w:rPr>
          <w:i/>
        </w:rPr>
        <w:t xml:space="preserve">see also </w:t>
      </w:r>
      <w:r w:rsidR="009C52CC">
        <w:t xml:space="preserve">47 C.F.R. </w:t>
      </w:r>
      <w:r w:rsidR="009C52CC">
        <w:rPr>
          <w:rFonts w:ascii="Calibri" w:hAnsi="Calibri" w:cs="Calibri"/>
        </w:rPr>
        <w:t>§</w:t>
      </w:r>
      <w:r w:rsidR="009C52CC">
        <w:t xml:space="preserve"> 54.202(a)</w:t>
      </w:r>
      <w:r>
        <w:t>.</w:t>
      </w:r>
    </w:p>
  </w:footnote>
  <w:footnote w:id="10">
    <w:p w:rsidR="009C52CC" w:rsidRDefault="009C52CC">
      <w:pPr>
        <w:pStyle w:val="FootnoteText"/>
      </w:pPr>
      <w:r>
        <w:rPr>
          <w:rStyle w:val="FootnoteReference"/>
        </w:rPr>
        <w:footnoteRef/>
      </w:r>
      <w:r>
        <w:t xml:space="preserve"> 47 C.F.R. § 54.313(a)(2).  At this time, ETCs are not required to submit outage information regarding their broadband service.  </w:t>
      </w:r>
      <w:r>
        <w:rPr>
          <w:i/>
          <w:iCs/>
        </w:rPr>
        <w:t>See The Proposed Extension of Part 4 of the Commission’s Rules Regarding Outage Reporting To Interconnected Voice Over Internet Protocol Service Providers and Broadband Internet Service Providers</w:t>
      </w:r>
      <w:r>
        <w:t xml:space="preserve">, PS Docket No. 11-82, Report and Order, 27 FCC Rcd 2650 (2012) (deferring action on possible performance degradation thresholds for measuring an outage of broadband Internet service).  </w:t>
      </w:r>
    </w:p>
  </w:footnote>
  <w:footnote w:id="11">
    <w:p w:rsidR="00FA560F" w:rsidRDefault="00FA560F">
      <w:pPr>
        <w:pStyle w:val="FootnoteText"/>
      </w:pPr>
      <w:r>
        <w:rPr>
          <w:rStyle w:val="FootnoteReference"/>
        </w:rPr>
        <w:footnoteRef/>
      </w:r>
      <w:r>
        <w:t xml:space="preserve"> </w:t>
      </w:r>
      <w:r w:rsidR="00E30BFA">
        <w:t>47 C.F.R. § 54.313(a)(3).</w:t>
      </w:r>
    </w:p>
  </w:footnote>
  <w:footnote w:id="12">
    <w:p w:rsidR="00A20E5A" w:rsidRDefault="00A20E5A">
      <w:pPr>
        <w:pStyle w:val="FootnoteText"/>
      </w:pPr>
      <w:r>
        <w:rPr>
          <w:rStyle w:val="FootnoteReference"/>
        </w:rPr>
        <w:footnoteRef/>
      </w:r>
      <w:r>
        <w:t xml:space="preserve"> 47 C.F.R. § 54.313(a)(4).</w:t>
      </w:r>
    </w:p>
  </w:footnote>
  <w:footnote w:id="13">
    <w:p w:rsidR="000B3B48" w:rsidRDefault="000B3B48">
      <w:pPr>
        <w:pStyle w:val="FootnoteText"/>
      </w:pPr>
      <w:r>
        <w:rPr>
          <w:rStyle w:val="FootnoteReference"/>
        </w:rPr>
        <w:footnoteRef/>
      </w:r>
      <w:r>
        <w:t xml:space="preserve"> 47 C.F.R. § 54.313(a)(5).</w:t>
      </w:r>
    </w:p>
  </w:footnote>
  <w:footnote w:id="14">
    <w:p w:rsidR="00DD14D1" w:rsidRDefault="00DD14D1">
      <w:pPr>
        <w:pStyle w:val="FootnoteText"/>
      </w:pPr>
      <w:r>
        <w:rPr>
          <w:rStyle w:val="FootnoteReference"/>
        </w:rPr>
        <w:footnoteRef/>
      </w:r>
      <w:r>
        <w:t xml:space="preserve"> 47 C.F.R. § 54.313(a)(6).</w:t>
      </w:r>
    </w:p>
  </w:footnote>
  <w:footnote w:id="15">
    <w:p w:rsidR="007D59D2" w:rsidRDefault="007D59D2">
      <w:pPr>
        <w:pStyle w:val="FootnoteText"/>
      </w:pPr>
      <w:r>
        <w:rPr>
          <w:rStyle w:val="FootnoteReference"/>
        </w:rPr>
        <w:footnoteRef/>
      </w:r>
      <w:r>
        <w:t xml:space="preserve"> 47 C.F.R. § 54.313(a)(7).</w:t>
      </w:r>
    </w:p>
  </w:footnote>
  <w:footnote w:id="16">
    <w:p w:rsidR="0034098C" w:rsidRDefault="0034098C">
      <w:pPr>
        <w:pStyle w:val="FootnoteText"/>
      </w:pPr>
      <w:r>
        <w:rPr>
          <w:rStyle w:val="FootnoteReference"/>
        </w:rPr>
        <w:footnoteRef/>
      </w:r>
      <w:r w:rsidR="009C52CC">
        <w:t xml:space="preserve"> 47 C.F.R. § 54.313(a)(9); </w:t>
      </w:r>
      <w:r w:rsidR="009C52CC">
        <w:rPr>
          <w:i/>
          <w:iCs/>
        </w:rPr>
        <w:t>see also Office of Native Affairs and Policy, Wireless Telecommunications Bureau, and Wireline Telecommunications Bureau Issue Further Guidance on Tribal Government Engagement Obligation Provisions of the Connect America Fund</w:t>
      </w:r>
      <w:r w:rsidR="009C52CC">
        <w:t xml:space="preserve">, WC Docket Nos. 10-90 </w:t>
      </w:r>
      <w:r w:rsidR="009C52CC">
        <w:rPr>
          <w:i/>
          <w:iCs/>
        </w:rPr>
        <w:t>et al.</w:t>
      </w:r>
      <w:r w:rsidR="009C52CC">
        <w:t xml:space="preserve">, 27 FCC Rcd 8176 (2012).  </w:t>
      </w:r>
    </w:p>
  </w:footnote>
  <w:footnote w:id="17">
    <w:p w:rsidR="00E56DFF" w:rsidRDefault="00E56DFF">
      <w:pPr>
        <w:pStyle w:val="FootnoteText"/>
      </w:pPr>
      <w:r>
        <w:rPr>
          <w:rStyle w:val="FootnoteReference"/>
        </w:rPr>
        <w:footnoteRef/>
      </w:r>
      <w:r>
        <w:t xml:space="preserve"> 47 C.F.R. § 54.313(a)(10).</w:t>
      </w:r>
    </w:p>
  </w:footnote>
  <w:footnote w:id="18">
    <w:p w:rsidR="002713F5" w:rsidRDefault="002713F5">
      <w:pPr>
        <w:pStyle w:val="FootnoteText"/>
      </w:pPr>
      <w:r>
        <w:rPr>
          <w:rStyle w:val="FootnoteReference"/>
        </w:rPr>
        <w:footnoteRef/>
      </w:r>
      <w:r>
        <w:t xml:space="preserve"> </w:t>
      </w:r>
      <w:r w:rsidRPr="00FA5E6E">
        <w:t>47 C.F.R. § 54.313</w:t>
      </w:r>
      <w:r>
        <w:t>(b).</w:t>
      </w:r>
    </w:p>
  </w:footnote>
  <w:footnote w:id="19">
    <w:p w:rsidR="002713F5" w:rsidRDefault="002713F5">
      <w:pPr>
        <w:pStyle w:val="FootnoteText"/>
      </w:pPr>
      <w:r>
        <w:rPr>
          <w:rStyle w:val="FootnoteReference"/>
        </w:rPr>
        <w:footnoteRef/>
      </w:r>
      <w:r>
        <w:t xml:space="preserve"> </w:t>
      </w:r>
      <w:r w:rsidRPr="00FA5E6E">
        <w:t>47 C.F.R. § 54.313</w:t>
      </w:r>
      <w:r>
        <w:t>(c), (d).</w:t>
      </w:r>
    </w:p>
  </w:footnote>
  <w:footnote w:id="20">
    <w:p w:rsidR="00282A2D" w:rsidRDefault="00282A2D">
      <w:pPr>
        <w:pStyle w:val="FootnoteText"/>
      </w:pPr>
      <w:r>
        <w:rPr>
          <w:rStyle w:val="FootnoteReference"/>
        </w:rPr>
        <w:footnoteRef/>
      </w:r>
      <w:r>
        <w:t xml:space="preserve"> 47 C.F.R. </w:t>
      </w:r>
      <w:r w:rsidRPr="00FA5E6E">
        <w:t>§</w:t>
      </w:r>
      <w:r>
        <w:t xml:space="preserve"> 54.313(e).</w:t>
      </w:r>
    </w:p>
  </w:footnote>
  <w:footnote w:id="21">
    <w:p w:rsidR="00282A2D" w:rsidRDefault="00282A2D">
      <w:pPr>
        <w:pStyle w:val="FootnoteText"/>
      </w:pPr>
      <w:r>
        <w:rPr>
          <w:rStyle w:val="FootnoteReference"/>
        </w:rPr>
        <w:footnoteRef/>
      </w:r>
      <w:r>
        <w:t xml:space="preserve"> </w:t>
      </w:r>
      <w:r w:rsidRPr="00822DAF">
        <w:rPr>
          <w:i/>
        </w:rPr>
        <w:t>Id.</w:t>
      </w:r>
    </w:p>
  </w:footnote>
  <w:footnote w:id="22">
    <w:p w:rsidR="00282A2D" w:rsidRDefault="00282A2D">
      <w:pPr>
        <w:pStyle w:val="FootnoteText"/>
      </w:pPr>
      <w:r>
        <w:rPr>
          <w:rStyle w:val="FootnoteReference"/>
        </w:rPr>
        <w:footnoteRef/>
      </w:r>
      <w:r>
        <w:t xml:space="preserve"> </w:t>
      </w:r>
      <w:r w:rsidRPr="00822DAF">
        <w:rPr>
          <w:i/>
        </w:rPr>
        <w:t>Id.</w:t>
      </w:r>
    </w:p>
  </w:footnote>
  <w:footnote w:id="23">
    <w:p w:rsidR="00090312" w:rsidRDefault="00090312">
      <w:pPr>
        <w:pStyle w:val="FootnoteText"/>
      </w:pPr>
      <w:r>
        <w:rPr>
          <w:rStyle w:val="FootnoteReference"/>
        </w:rPr>
        <w:footnoteRef/>
      </w:r>
      <w:r>
        <w:t xml:space="preserve"> </w:t>
      </w:r>
      <w:r w:rsidR="00C803F9">
        <w:t>47 C.F.R. § 54.313(f)(2).</w:t>
      </w:r>
    </w:p>
  </w:footnote>
  <w:footnote w:id="24">
    <w:p w:rsidR="00293265" w:rsidRDefault="00293265">
      <w:pPr>
        <w:pStyle w:val="FootnoteText"/>
      </w:pPr>
      <w:r>
        <w:rPr>
          <w:rStyle w:val="FootnoteReference"/>
        </w:rPr>
        <w:footnoteRef/>
      </w:r>
      <w:r>
        <w:t xml:space="preserve"> 47 C.F.R. § 54.313(g).</w:t>
      </w:r>
    </w:p>
  </w:footnote>
  <w:footnote w:id="25">
    <w:p w:rsidR="00743EC9" w:rsidRPr="00743EC9" w:rsidRDefault="00743EC9">
      <w:pPr>
        <w:pStyle w:val="FootnoteText"/>
      </w:pPr>
      <w:r>
        <w:rPr>
          <w:rStyle w:val="FootnoteReference"/>
        </w:rPr>
        <w:footnoteRef/>
      </w:r>
      <w:r>
        <w:t xml:space="preserve"> 47 C.F.R. § 54.313(h); </w:t>
      </w:r>
      <w:r>
        <w:rPr>
          <w:i/>
        </w:rPr>
        <w:t xml:space="preserve">see also </w:t>
      </w:r>
      <w:r>
        <w:t>47 C.F.R. § 54.318.</w:t>
      </w:r>
    </w:p>
  </w:footnote>
  <w:footnote w:id="26">
    <w:p w:rsidR="006E0D50" w:rsidRPr="006E0D50" w:rsidRDefault="006E0D50">
      <w:pPr>
        <w:pStyle w:val="FootnoteText"/>
      </w:pPr>
      <w:r>
        <w:rPr>
          <w:rStyle w:val="FootnoteReference"/>
        </w:rPr>
        <w:footnoteRef/>
      </w:r>
      <w:r>
        <w:t xml:space="preserve"> </w:t>
      </w:r>
      <w:r w:rsidRPr="00B72616">
        <w:rPr>
          <w:i/>
          <w:iCs/>
        </w:rPr>
        <w:t>USF/ICC Transformation Order</w:t>
      </w:r>
      <w:r>
        <w:rPr>
          <w:iCs/>
        </w:rPr>
        <w:t>, 26 FCC Rcd at 17853, para. 583.</w:t>
      </w:r>
    </w:p>
  </w:footnote>
  <w:footnote w:id="27">
    <w:p w:rsidR="006E0D50" w:rsidRDefault="006E0D50" w:rsidP="006E0D50">
      <w:pPr>
        <w:pStyle w:val="FootnoteText"/>
      </w:pPr>
      <w:r>
        <w:rPr>
          <w:rStyle w:val="FootnoteReference"/>
        </w:rPr>
        <w:footnoteRef/>
      </w:r>
      <w:r>
        <w:t xml:space="preserve"> 47 C.F.R. § 54.313(k); such carriers should file annual reports pursuant to 47 C.F.R. </w:t>
      </w:r>
      <w:r>
        <w:rPr>
          <w:rFonts w:ascii="Calibri" w:hAnsi="Calibri" w:cs="Calibri"/>
        </w:rPr>
        <w:t>§</w:t>
      </w:r>
      <w:r>
        <w:t xml:space="preserve"> 54.1009.</w:t>
      </w:r>
    </w:p>
  </w:footnote>
  <w:footnote w:id="28">
    <w:p w:rsidR="000B3D23" w:rsidRDefault="000B3D23">
      <w:pPr>
        <w:pStyle w:val="FootnoteText"/>
      </w:pPr>
      <w:r>
        <w:rPr>
          <w:rStyle w:val="FootnoteReference"/>
        </w:rPr>
        <w:footnoteRef/>
      </w:r>
      <w:r w:rsidR="004926FD">
        <w:t xml:space="preserve"> 47 C.F.R. § 54.314(a), </w:t>
      </w:r>
      <w:r>
        <w:t>(b).</w:t>
      </w:r>
    </w:p>
  </w:footnote>
  <w:footnote w:id="29">
    <w:p w:rsidR="000B3D23" w:rsidRDefault="000B3D23">
      <w:pPr>
        <w:pStyle w:val="FootnoteText"/>
      </w:pPr>
      <w:r>
        <w:rPr>
          <w:rStyle w:val="FootnoteReference"/>
        </w:rPr>
        <w:footnoteRef/>
      </w:r>
      <w:r>
        <w:t xml:space="preserve"> </w:t>
      </w:r>
      <w:r w:rsidR="00663FF8">
        <w:t xml:space="preserve">47 C.F.R. § </w:t>
      </w:r>
      <w:r>
        <w:t>54.314(b).</w:t>
      </w:r>
    </w:p>
  </w:footnote>
  <w:footnote w:id="30">
    <w:p w:rsidR="000B3D23" w:rsidRDefault="000B3D23">
      <w:pPr>
        <w:pStyle w:val="FootnoteText"/>
      </w:pPr>
      <w:r>
        <w:rPr>
          <w:rStyle w:val="FootnoteReference"/>
        </w:rPr>
        <w:footnoteRef/>
      </w:r>
      <w:r>
        <w:t xml:space="preserve"> </w:t>
      </w:r>
      <w:r w:rsidR="00663FF8">
        <w:t xml:space="preserve">47 C.F.R. § </w:t>
      </w:r>
      <w:r>
        <w:t>54.314(a).</w:t>
      </w:r>
    </w:p>
  </w:footnote>
  <w:footnote w:id="31">
    <w:p w:rsidR="00663FF8" w:rsidRDefault="00663FF8">
      <w:pPr>
        <w:pStyle w:val="FootnoteText"/>
      </w:pPr>
      <w:r>
        <w:rPr>
          <w:rStyle w:val="FootnoteReference"/>
        </w:rPr>
        <w:footnoteRef/>
      </w:r>
      <w:r>
        <w:t xml:space="preserve"> 47 C.F.R. § 54.320(a).</w:t>
      </w:r>
    </w:p>
  </w:footnote>
  <w:footnote w:id="32">
    <w:p w:rsidR="00663FF8" w:rsidRDefault="00663FF8">
      <w:pPr>
        <w:pStyle w:val="FootnoteText"/>
      </w:pPr>
      <w:r>
        <w:rPr>
          <w:rStyle w:val="FootnoteReference"/>
        </w:rPr>
        <w:footnoteRef/>
      </w:r>
      <w:r>
        <w:t xml:space="preserve"> 47 C.F.R. § 54.320(b).</w:t>
      </w:r>
    </w:p>
  </w:footnote>
  <w:footnote w:id="33">
    <w:p w:rsidR="004A32FA" w:rsidRDefault="004A32FA">
      <w:pPr>
        <w:pStyle w:val="FootnoteText"/>
      </w:pPr>
      <w:r>
        <w:rPr>
          <w:rStyle w:val="FootnoteReference"/>
        </w:rPr>
        <w:footnoteRef/>
      </w:r>
      <w:r>
        <w:t xml:space="preserve"> 47 C.F.R. § 54.320(d).</w:t>
      </w:r>
    </w:p>
  </w:footnote>
  <w:footnote w:id="34">
    <w:p w:rsidR="004A32FA" w:rsidRDefault="004A32FA">
      <w:pPr>
        <w:pStyle w:val="FootnoteText"/>
      </w:pPr>
      <w:r>
        <w:rPr>
          <w:rStyle w:val="FootnoteReference"/>
        </w:rPr>
        <w:footnoteRef/>
      </w:r>
      <w:r>
        <w:t xml:space="preserve"> </w:t>
      </w:r>
      <w:r w:rsidRPr="00822DAF">
        <w:rPr>
          <w:i/>
        </w:rPr>
        <w:t>Id.</w:t>
      </w:r>
      <w:r>
        <w:t xml:space="preserve"> </w:t>
      </w:r>
    </w:p>
  </w:footnote>
  <w:footnote w:id="35">
    <w:p w:rsidR="00C24F67" w:rsidRDefault="00C24F67">
      <w:pPr>
        <w:pStyle w:val="FootnoteText"/>
      </w:pPr>
      <w:r>
        <w:rPr>
          <w:rStyle w:val="FootnoteReference"/>
        </w:rPr>
        <w:footnoteRef/>
      </w:r>
      <w:r>
        <w:t xml:space="preserve"> 47 C.F.R. § 54.422(a)(2).</w:t>
      </w:r>
    </w:p>
  </w:footnote>
  <w:footnote w:id="36">
    <w:p w:rsidR="0074409F" w:rsidRDefault="0074409F">
      <w:pPr>
        <w:pStyle w:val="FootnoteText"/>
      </w:pPr>
      <w:r>
        <w:rPr>
          <w:rStyle w:val="FootnoteReference"/>
        </w:rPr>
        <w:footnoteRef/>
      </w:r>
      <w:r>
        <w:t xml:space="preserve"> 47 C.F.R. § 54.422(b</w:t>
      </w:r>
      <w:r w:rsidR="00E73150">
        <w:t>)</w:t>
      </w:r>
      <w:r>
        <w:t>.</w:t>
      </w:r>
    </w:p>
  </w:footnote>
  <w:footnote w:id="37">
    <w:p w:rsidR="00B00ED5" w:rsidRDefault="00B00ED5" w:rsidP="00B00ED5">
      <w:pPr>
        <w:pStyle w:val="FootnoteText"/>
      </w:pPr>
      <w:r>
        <w:rPr>
          <w:rStyle w:val="FootnoteReference"/>
        </w:rPr>
        <w:footnoteRef/>
      </w:r>
      <w:r>
        <w:t xml:space="preserve"> 47 C.F.R. § 54.313(j).</w:t>
      </w:r>
    </w:p>
  </w:footnote>
  <w:footnote w:id="38">
    <w:p w:rsidR="009E0D82" w:rsidRDefault="009E0D82">
      <w:pPr>
        <w:pStyle w:val="FootnoteText"/>
      </w:pPr>
      <w:r>
        <w:rPr>
          <w:rStyle w:val="FootnoteReference"/>
        </w:rPr>
        <w:footnoteRef/>
      </w:r>
      <w:r>
        <w:t xml:space="preserve"> </w:t>
      </w:r>
      <w:r w:rsidRPr="0099179A">
        <w:rPr>
          <w:i/>
        </w:rPr>
        <w:t>Id.</w:t>
      </w:r>
      <w:r>
        <w:t xml:space="preserve"> </w:t>
      </w:r>
    </w:p>
  </w:footnote>
  <w:footnote w:id="39">
    <w:p w:rsidR="000661CD" w:rsidRDefault="000661CD">
      <w:pPr>
        <w:pStyle w:val="FootnoteText"/>
      </w:pPr>
      <w:r>
        <w:rPr>
          <w:rStyle w:val="FootnoteReference"/>
        </w:rPr>
        <w:footnoteRef/>
      </w:r>
      <w:r>
        <w:t xml:space="preserve"> 47 C.F.R. § 54.314(d).</w:t>
      </w:r>
    </w:p>
  </w:footnote>
  <w:footnote w:id="40">
    <w:p w:rsidR="000661CD" w:rsidRDefault="000661CD">
      <w:pPr>
        <w:pStyle w:val="FootnoteText"/>
      </w:pPr>
      <w:r>
        <w:rPr>
          <w:rStyle w:val="FootnoteReference"/>
        </w:rPr>
        <w:footnoteRef/>
      </w:r>
      <w:r>
        <w:t xml:space="preserve"> </w:t>
      </w:r>
      <w:r w:rsidRPr="0099179A">
        <w:rPr>
          <w:i/>
        </w:rPr>
        <w:t>Id.</w:t>
      </w:r>
      <w:r>
        <w:t xml:space="preserve"> </w:t>
      </w:r>
    </w:p>
  </w:footnote>
  <w:footnote w:id="41">
    <w:p w:rsidR="00876F9F" w:rsidRDefault="00876F9F">
      <w:pPr>
        <w:pStyle w:val="FootnoteText"/>
      </w:pPr>
      <w:r>
        <w:rPr>
          <w:rStyle w:val="FootnoteReference"/>
        </w:rPr>
        <w:footnoteRef/>
      </w:r>
      <w:r>
        <w:t xml:space="preserve"> </w:t>
      </w:r>
      <w:r w:rsidR="00FA5E6E">
        <w:rPr>
          <w:i/>
          <w:iCs/>
        </w:rPr>
        <w:t>Connect America Fund et al.</w:t>
      </w:r>
      <w:r w:rsidR="00FA5E6E">
        <w:t xml:space="preserve">, WC Docket No. 10-90 </w:t>
      </w:r>
      <w:r w:rsidR="00FA5E6E">
        <w:rPr>
          <w:i/>
          <w:iCs/>
        </w:rPr>
        <w:t>et al.</w:t>
      </w:r>
      <w:r w:rsidR="00FA5E6E">
        <w:t xml:space="preserve">, Protective Order, </w:t>
      </w:r>
      <w:r w:rsidR="00FA5E6E" w:rsidRPr="00FA5E6E">
        <w:rPr>
          <w:iCs/>
        </w:rPr>
        <w:t>27 FCC Rcd 14231</w:t>
      </w:r>
      <w:r w:rsidR="00FA5E6E">
        <w:t xml:space="preserve"> (Wireline Comp. Bur.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E3" w:rsidRDefault="00F96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E3" w:rsidRDefault="00F961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E3" w:rsidRDefault="00ED71E3" w:rsidP="00ED71E3">
    <w:pPr>
      <w:pStyle w:val="Header"/>
      <w:spacing w:before="360" w:line="228" w:lineRule="auto"/>
      <w:jc w:val="center"/>
    </w:pPr>
    <w:r>
      <w:rPr>
        <w:noProof/>
      </w:rPr>
      <w:drawing>
        <wp:anchor distT="0" distB="0" distL="114300" distR="114300" simplePos="0" relativeHeight="251659264" behindDoc="0" locked="0" layoutInCell="0" allowOverlap="1" wp14:anchorId="21292195" wp14:editId="41FA2520">
          <wp:simplePos x="0" y="0"/>
          <wp:positionH relativeFrom="column">
            <wp:posOffset>-403860</wp:posOffset>
          </wp:positionH>
          <wp:positionV relativeFrom="paragraph">
            <wp:posOffset>0</wp:posOffset>
          </wp:positionV>
          <wp:extent cx="865505" cy="8229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ED71E3" w:rsidRDefault="00ED71E3" w:rsidP="00ED71E3">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ED71E3" w:rsidRDefault="00ED71E3" w:rsidP="00ED71E3">
    <w:pPr>
      <w:pStyle w:val="Header"/>
      <w:jc w:val="center"/>
      <w:rPr>
        <w:sz w:val="22"/>
      </w:rPr>
    </w:pPr>
  </w:p>
  <w:p w:rsidR="00ED71E3" w:rsidRDefault="004542AA" w:rsidP="00ED71E3">
    <w:pPr>
      <w:pStyle w:val="Header"/>
      <w:jc w:val="center"/>
    </w:pPr>
    <w:r w:rsidRPr="004542AA">
      <w:rPr>
        <w:color w:val="FFFFFF" w:themeColor="background1"/>
      </w:rPr>
      <w:t>‘</w:t>
    </w:r>
    <w:r>
      <w:t>May 13, 2015</w:t>
    </w:r>
  </w:p>
  <w:p w:rsidR="00ED71E3" w:rsidRDefault="00ED7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5FA"/>
    <w:multiLevelType w:val="hybridMultilevel"/>
    <w:tmpl w:val="F8241378"/>
    <w:lvl w:ilvl="0" w:tplc="E6667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2056D"/>
    <w:multiLevelType w:val="hybridMultilevel"/>
    <w:tmpl w:val="2D28A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60D31"/>
    <w:multiLevelType w:val="hybridMultilevel"/>
    <w:tmpl w:val="AC6E72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264AA"/>
    <w:multiLevelType w:val="hybridMultilevel"/>
    <w:tmpl w:val="277C3F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2570E3"/>
    <w:multiLevelType w:val="hybridMultilevel"/>
    <w:tmpl w:val="0E96D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3A2B81"/>
    <w:multiLevelType w:val="hybridMultilevel"/>
    <w:tmpl w:val="52C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3A"/>
    <w:rsid w:val="0003295A"/>
    <w:rsid w:val="00051E99"/>
    <w:rsid w:val="000652E6"/>
    <w:rsid w:val="000661CD"/>
    <w:rsid w:val="0007667F"/>
    <w:rsid w:val="00090312"/>
    <w:rsid w:val="0009623F"/>
    <w:rsid w:val="000A29CF"/>
    <w:rsid w:val="000A326A"/>
    <w:rsid w:val="000A7EBC"/>
    <w:rsid w:val="000B1CAA"/>
    <w:rsid w:val="000B3B48"/>
    <w:rsid w:val="000B3D23"/>
    <w:rsid w:val="000C2242"/>
    <w:rsid w:val="000C5668"/>
    <w:rsid w:val="000D2DCC"/>
    <w:rsid w:val="000E65AA"/>
    <w:rsid w:val="000F4CE5"/>
    <w:rsid w:val="000F4F0E"/>
    <w:rsid w:val="0010756B"/>
    <w:rsid w:val="001104E0"/>
    <w:rsid w:val="00111A40"/>
    <w:rsid w:val="001154BC"/>
    <w:rsid w:val="001158E3"/>
    <w:rsid w:val="00121BB0"/>
    <w:rsid w:val="00134D56"/>
    <w:rsid w:val="00136256"/>
    <w:rsid w:val="00144F5F"/>
    <w:rsid w:val="001674C1"/>
    <w:rsid w:val="00173886"/>
    <w:rsid w:val="001757CC"/>
    <w:rsid w:val="00191BA4"/>
    <w:rsid w:val="00192FAE"/>
    <w:rsid w:val="00195F6D"/>
    <w:rsid w:val="0019793C"/>
    <w:rsid w:val="001A386A"/>
    <w:rsid w:val="001A7743"/>
    <w:rsid w:val="001C1DA3"/>
    <w:rsid w:val="001D09C4"/>
    <w:rsid w:val="001D542D"/>
    <w:rsid w:val="001D7C26"/>
    <w:rsid w:val="001E2970"/>
    <w:rsid w:val="001E51E1"/>
    <w:rsid w:val="001F02FC"/>
    <w:rsid w:val="0020108D"/>
    <w:rsid w:val="002144F0"/>
    <w:rsid w:val="00217214"/>
    <w:rsid w:val="0022424B"/>
    <w:rsid w:val="00227B32"/>
    <w:rsid w:val="002435C1"/>
    <w:rsid w:val="002457CA"/>
    <w:rsid w:val="002517BD"/>
    <w:rsid w:val="002522CB"/>
    <w:rsid w:val="00253803"/>
    <w:rsid w:val="00262DD6"/>
    <w:rsid w:val="002713F5"/>
    <w:rsid w:val="00282A2D"/>
    <w:rsid w:val="00293265"/>
    <w:rsid w:val="0029580F"/>
    <w:rsid w:val="00295DE4"/>
    <w:rsid w:val="002A637E"/>
    <w:rsid w:val="002B76E6"/>
    <w:rsid w:val="002C346C"/>
    <w:rsid w:val="002C4FED"/>
    <w:rsid w:val="002D34D9"/>
    <w:rsid w:val="002D6913"/>
    <w:rsid w:val="002E1230"/>
    <w:rsid w:val="002F1BE5"/>
    <w:rsid w:val="002F5C83"/>
    <w:rsid w:val="00304383"/>
    <w:rsid w:val="0031055E"/>
    <w:rsid w:val="0031647A"/>
    <w:rsid w:val="003178FA"/>
    <w:rsid w:val="00321CF7"/>
    <w:rsid w:val="00331F3A"/>
    <w:rsid w:val="0034098C"/>
    <w:rsid w:val="00342953"/>
    <w:rsid w:val="003436CB"/>
    <w:rsid w:val="003516AB"/>
    <w:rsid w:val="00354973"/>
    <w:rsid w:val="00360DA0"/>
    <w:rsid w:val="003722BE"/>
    <w:rsid w:val="0038095B"/>
    <w:rsid w:val="00381B33"/>
    <w:rsid w:val="00383407"/>
    <w:rsid w:val="00384D2F"/>
    <w:rsid w:val="003943C0"/>
    <w:rsid w:val="003944B7"/>
    <w:rsid w:val="003A1C88"/>
    <w:rsid w:val="003A755E"/>
    <w:rsid w:val="003A7674"/>
    <w:rsid w:val="003B1B55"/>
    <w:rsid w:val="003B1B8F"/>
    <w:rsid w:val="003C30F2"/>
    <w:rsid w:val="003C4FB7"/>
    <w:rsid w:val="003D38DB"/>
    <w:rsid w:val="003F3E8A"/>
    <w:rsid w:val="003F41B7"/>
    <w:rsid w:val="0040091B"/>
    <w:rsid w:val="00407CFB"/>
    <w:rsid w:val="00411683"/>
    <w:rsid w:val="00416FE7"/>
    <w:rsid w:val="00420A93"/>
    <w:rsid w:val="00425897"/>
    <w:rsid w:val="00430522"/>
    <w:rsid w:val="004452F4"/>
    <w:rsid w:val="00451BE2"/>
    <w:rsid w:val="004542AA"/>
    <w:rsid w:val="004546E5"/>
    <w:rsid w:val="00465871"/>
    <w:rsid w:val="00486901"/>
    <w:rsid w:val="004926FD"/>
    <w:rsid w:val="004A32FA"/>
    <w:rsid w:val="004B3FCA"/>
    <w:rsid w:val="004C1455"/>
    <w:rsid w:val="004D5543"/>
    <w:rsid w:val="004D6DFA"/>
    <w:rsid w:val="004E0E6A"/>
    <w:rsid w:val="004F6A94"/>
    <w:rsid w:val="00500809"/>
    <w:rsid w:val="00510303"/>
    <w:rsid w:val="00520FA7"/>
    <w:rsid w:val="005307CD"/>
    <w:rsid w:val="0053593C"/>
    <w:rsid w:val="005618CA"/>
    <w:rsid w:val="00570824"/>
    <w:rsid w:val="00574079"/>
    <w:rsid w:val="00584A77"/>
    <w:rsid w:val="005B0E2E"/>
    <w:rsid w:val="005B3BAB"/>
    <w:rsid w:val="005B73D0"/>
    <w:rsid w:val="005C5C97"/>
    <w:rsid w:val="005C5EEB"/>
    <w:rsid w:val="005C77C8"/>
    <w:rsid w:val="005D5568"/>
    <w:rsid w:val="005D6C3F"/>
    <w:rsid w:val="005E6D6E"/>
    <w:rsid w:val="005F40FC"/>
    <w:rsid w:val="005F585C"/>
    <w:rsid w:val="00606DDE"/>
    <w:rsid w:val="00621DDA"/>
    <w:rsid w:val="0064155B"/>
    <w:rsid w:val="006519F9"/>
    <w:rsid w:val="0066309C"/>
    <w:rsid w:val="00663CEB"/>
    <w:rsid w:val="00663FF8"/>
    <w:rsid w:val="00685BA9"/>
    <w:rsid w:val="00696843"/>
    <w:rsid w:val="006A0882"/>
    <w:rsid w:val="006A3614"/>
    <w:rsid w:val="006A4E39"/>
    <w:rsid w:val="006B6925"/>
    <w:rsid w:val="006C17A4"/>
    <w:rsid w:val="006C2892"/>
    <w:rsid w:val="006C345E"/>
    <w:rsid w:val="006C7CE0"/>
    <w:rsid w:val="006D7E36"/>
    <w:rsid w:val="006E0D50"/>
    <w:rsid w:val="006E153A"/>
    <w:rsid w:val="006E655A"/>
    <w:rsid w:val="006F737C"/>
    <w:rsid w:val="00701168"/>
    <w:rsid w:val="00706F4B"/>
    <w:rsid w:val="00711651"/>
    <w:rsid w:val="0071371B"/>
    <w:rsid w:val="00714818"/>
    <w:rsid w:val="00715907"/>
    <w:rsid w:val="007173B2"/>
    <w:rsid w:val="00727978"/>
    <w:rsid w:val="00740E65"/>
    <w:rsid w:val="00741D5C"/>
    <w:rsid w:val="00743EC9"/>
    <w:rsid w:val="0074409F"/>
    <w:rsid w:val="00755325"/>
    <w:rsid w:val="0075745C"/>
    <w:rsid w:val="00757A1C"/>
    <w:rsid w:val="007650AF"/>
    <w:rsid w:val="00783DD7"/>
    <w:rsid w:val="00795C60"/>
    <w:rsid w:val="007B044B"/>
    <w:rsid w:val="007B1790"/>
    <w:rsid w:val="007D4583"/>
    <w:rsid w:val="007D59D2"/>
    <w:rsid w:val="007E0986"/>
    <w:rsid w:val="007E1077"/>
    <w:rsid w:val="007F4FA4"/>
    <w:rsid w:val="007F7B49"/>
    <w:rsid w:val="00822DAF"/>
    <w:rsid w:val="00825219"/>
    <w:rsid w:val="00826181"/>
    <w:rsid w:val="00833296"/>
    <w:rsid w:val="00852425"/>
    <w:rsid w:val="0085457E"/>
    <w:rsid w:val="00876F9F"/>
    <w:rsid w:val="008867A0"/>
    <w:rsid w:val="00897E1B"/>
    <w:rsid w:val="008A2E0C"/>
    <w:rsid w:val="008C5D15"/>
    <w:rsid w:val="008E072F"/>
    <w:rsid w:val="008E786F"/>
    <w:rsid w:val="008F33E5"/>
    <w:rsid w:val="008F4353"/>
    <w:rsid w:val="008F54B7"/>
    <w:rsid w:val="009073F1"/>
    <w:rsid w:val="00920AE2"/>
    <w:rsid w:val="009239D1"/>
    <w:rsid w:val="0095125C"/>
    <w:rsid w:val="00955F03"/>
    <w:rsid w:val="0097592C"/>
    <w:rsid w:val="00980609"/>
    <w:rsid w:val="00981A38"/>
    <w:rsid w:val="0099179A"/>
    <w:rsid w:val="00992E7C"/>
    <w:rsid w:val="009B6F18"/>
    <w:rsid w:val="009C3D9E"/>
    <w:rsid w:val="009C3E07"/>
    <w:rsid w:val="009C4C9D"/>
    <w:rsid w:val="009C52CC"/>
    <w:rsid w:val="009D64AA"/>
    <w:rsid w:val="009E0D82"/>
    <w:rsid w:val="009F4855"/>
    <w:rsid w:val="00A06030"/>
    <w:rsid w:val="00A20E5A"/>
    <w:rsid w:val="00A247D6"/>
    <w:rsid w:val="00A26754"/>
    <w:rsid w:val="00A33810"/>
    <w:rsid w:val="00A70684"/>
    <w:rsid w:val="00A95C66"/>
    <w:rsid w:val="00AD1318"/>
    <w:rsid w:val="00AD18CF"/>
    <w:rsid w:val="00AE3FB2"/>
    <w:rsid w:val="00AE5E27"/>
    <w:rsid w:val="00B00ED5"/>
    <w:rsid w:val="00B12C92"/>
    <w:rsid w:val="00B236A6"/>
    <w:rsid w:val="00B32809"/>
    <w:rsid w:val="00B41D77"/>
    <w:rsid w:val="00B43219"/>
    <w:rsid w:val="00B476E4"/>
    <w:rsid w:val="00B54A37"/>
    <w:rsid w:val="00B56747"/>
    <w:rsid w:val="00B61797"/>
    <w:rsid w:val="00B62468"/>
    <w:rsid w:val="00B71743"/>
    <w:rsid w:val="00B72310"/>
    <w:rsid w:val="00BA329B"/>
    <w:rsid w:val="00BA53D8"/>
    <w:rsid w:val="00BC0C08"/>
    <w:rsid w:val="00BC144F"/>
    <w:rsid w:val="00BD51C5"/>
    <w:rsid w:val="00BE279E"/>
    <w:rsid w:val="00BE45ED"/>
    <w:rsid w:val="00BF0B5F"/>
    <w:rsid w:val="00BF3189"/>
    <w:rsid w:val="00C03F18"/>
    <w:rsid w:val="00C04586"/>
    <w:rsid w:val="00C04747"/>
    <w:rsid w:val="00C04A3B"/>
    <w:rsid w:val="00C22F1E"/>
    <w:rsid w:val="00C24F67"/>
    <w:rsid w:val="00C5206D"/>
    <w:rsid w:val="00C677A7"/>
    <w:rsid w:val="00C7278D"/>
    <w:rsid w:val="00C74078"/>
    <w:rsid w:val="00C803F9"/>
    <w:rsid w:val="00C82805"/>
    <w:rsid w:val="00CA5AE5"/>
    <w:rsid w:val="00CB0764"/>
    <w:rsid w:val="00CB24A2"/>
    <w:rsid w:val="00CC2449"/>
    <w:rsid w:val="00CC65F1"/>
    <w:rsid w:val="00CD4010"/>
    <w:rsid w:val="00CD6B87"/>
    <w:rsid w:val="00CF0548"/>
    <w:rsid w:val="00CF3F52"/>
    <w:rsid w:val="00D01E7B"/>
    <w:rsid w:val="00D0586A"/>
    <w:rsid w:val="00D3553A"/>
    <w:rsid w:val="00D57479"/>
    <w:rsid w:val="00D62803"/>
    <w:rsid w:val="00D66094"/>
    <w:rsid w:val="00D86FAC"/>
    <w:rsid w:val="00D87145"/>
    <w:rsid w:val="00D922D6"/>
    <w:rsid w:val="00D944D9"/>
    <w:rsid w:val="00D958BA"/>
    <w:rsid w:val="00D96FC4"/>
    <w:rsid w:val="00DA08D1"/>
    <w:rsid w:val="00DA382E"/>
    <w:rsid w:val="00DB2B1F"/>
    <w:rsid w:val="00DB52F3"/>
    <w:rsid w:val="00DB738C"/>
    <w:rsid w:val="00DC1784"/>
    <w:rsid w:val="00DC1901"/>
    <w:rsid w:val="00DD14D1"/>
    <w:rsid w:val="00DE39C7"/>
    <w:rsid w:val="00DE64B8"/>
    <w:rsid w:val="00DF5328"/>
    <w:rsid w:val="00E04819"/>
    <w:rsid w:val="00E115CC"/>
    <w:rsid w:val="00E30BFA"/>
    <w:rsid w:val="00E56B0B"/>
    <w:rsid w:val="00E56DFF"/>
    <w:rsid w:val="00E56F55"/>
    <w:rsid w:val="00E5746D"/>
    <w:rsid w:val="00E6590D"/>
    <w:rsid w:val="00E73150"/>
    <w:rsid w:val="00E73CD0"/>
    <w:rsid w:val="00E81194"/>
    <w:rsid w:val="00E86F94"/>
    <w:rsid w:val="00E90C87"/>
    <w:rsid w:val="00E924FE"/>
    <w:rsid w:val="00E9333D"/>
    <w:rsid w:val="00E93416"/>
    <w:rsid w:val="00EB441D"/>
    <w:rsid w:val="00EC0991"/>
    <w:rsid w:val="00EC1445"/>
    <w:rsid w:val="00ED447C"/>
    <w:rsid w:val="00ED5402"/>
    <w:rsid w:val="00ED71E3"/>
    <w:rsid w:val="00EE23CD"/>
    <w:rsid w:val="00EE5B08"/>
    <w:rsid w:val="00EF2B0F"/>
    <w:rsid w:val="00F00540"/>
    <w:rsid w:val="00F11120"/>
    <w:rsid w:val="00F27D47"/>
    <w:rsid w:val="00F55D4E"/>
    <w:rsid w:val="00F67A3F"/>
    <w:rsid w:val="00F8248F"/>
    <w:rsid w:val="00F961E3"/>
    <w:rsid w:val="00FA0A44"/>
    <w:rsid w:val="00FA424C"/>
    <w:rsid w:val="00FA560F"/>
    <w:rsid w:val="00FA5E6E"/>
    <w:rsid w:val="00FA6F12"/>
    <w:rsid w:val="00FA718F"/>
    <w:rsid w:val="00FB435C"/>
    <w:rsid w:val="00FC4A18"/>
    <w:rsid w:val="00FC69F2"/>
    <w:rsid w:val="00FD1569"/>
    <w:rsid w:val="00FD4143"/>
    <w:rsid w:val="00FE2E93"/>
    <w:rsid w:val="00FE46B2"/>
    <w:rsid w:val="00FF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53"/>
    <w:pPr>
      <w:tabs>
        <w:tab w:val="center" w:pos="4680"/>
        <w:tab w:val="right" w:pos="9360"/>
      </w:tabs>
    </w:pPr>
  </w:style>
  <w:style w:type="character" w:customStyle="1" w:styleId="HeaderChar">
    <w:name w:val="Header Char"/>
    <w:basedOn w:val="DefaultParagraphFont"/>
    <w:link w:val="Header"/>
    <w:uiPriority w:val="99"/>
    <w:rsid w:val="00342953"/>
    <w:rPr>
      <w:sz w:val="24"/>
      <w:szCs w:val="24"/>
    </w:rPr>
  </w:style>
  <w:style w:type="paragraph" w:styleId="Footer">
    <w:name w:val="footer"/>
    <w:basedOn w:val="Normal"/>
    <w:link w:val="FooterChar"/>
    <w:uiPriority w:val="99"/>
    <w:unhideWhenUsed/>
    <w:rsid w:val="00342953"/>
    <w:pPr>
      <w:tabs>
        <w:tab w:val="center" w:pos="4680"/>
        <w:tab w:val="right" w:pos="9360"/>
      </w:tabs>
    </w:pPr>
  </w:style>
  <w:style w:type="character" w:customStyle="1" w:styleId="FooterChar">
    <w:name w:val="Footer Char"/>
    <w:basedOn w:val="DefaultParagraphFont"/>
    <w:link w:val="Footer"/>
    <w:uiPriority w:val="99"/>
    <w:rsid w:val="00342953"/>
    <w:rPr>
      <w:sz w:val="24"/>
      <w:szCs w:val="24"/>
    </w:rPr>
  </w:style>
  <w:style w:type="character" w:styleId="Hyperlink">
    <w:name w:val="Hyperlink"/>
    <w:basedOn w:val="DefaultParagraphFont"/>
    <w:uiPriority w:val="99"/>
    <w:unhideWhenUsed/>
    <w:rsid w:val="008867A0"/>
    <w:rPr>
      <w:color w:val="0000FF" w:themeColor="hyperlink"/>
      <w:u w:val="single"/>
    </w:rPr>
  </w:style>
  <w:style w:type="paragraph" w:styleId="ListParagraph">
    <w:name w:val="List Paragraph"/>
    <w:basedOn w:val="Normal"/>
    <w:uiPriority w:val="34"/>
    <w:qFormat/>
    <w:rsid w:val="00CF3F52"/>
    <w:pPr>
      <w:ind w:left="720"/>
      <w:contextualSpacing/>
    </w:pPr>
  </w:style>
  <w:style w:type="paragraph" w:styleId="FootnoteText">
    <w:name w:val="footnote text"/>
    <w:basedOn w:val="Normal"/>
    <w:link w:val="FootnoteTextChar"/>
    <w:uiPriority w:val="99"/>
    <w:unhideWhenUsed/>
    <w:rsid w:val="006A0882"/>
    <w:rPr>
      <w:sz w:val="20"/>
      <w:szCs w:val="20"/>
    </w:rPr>
  </w:style>
  <w:style w:type="character" w:customStyle="1" w:styleId="FootnoteTextChar">
    <w:name w:val="Footnote Text Char"/>
    <w:basedOn w:val="DefaultParagraphFont"/>
    <w:link w:val="FootnoteText"/>
    <w:uiPriority w:val="99"/>
    <w:rsid w:val="006A0882"/>
  </w:style>
  <w:style w:type="character" w:styleId="FootnoteReference">
    <w:name w:val="footnote reference"/>
    <w:aliases w:val="Style 12,(NECG) Footnote Reference,Style 13,Appel note de bas de p,Style 124,fr,o,Style 3,FR,Style 17,Footnote Reference/,Style 6"/>
    <w:basedOn w:val="DefaultParagraphFont"/>
    <w:uiPriority w:val="99"/>
    <w:unhideWhenUsed/>
    <w:rsid w:val="006A0882"/>
    <w:rPr>
      <w:vertAlign w:val="superscript"/>
    </w:rPr>
  </w:style>
  <w:style w:type="paragraph" w:styleId="BalloonText">
    <w:name w:val="Balloon Text"/>
    <w:basedOn w:val="Normal"/>
    <w:link w:val="BalloonTextChar"/>
    <w:uiPriority w:val="99"/>
    <w:semiHidden/>
    <w:unhideWhenUsed/>
    <w:rsid w:val="00FC4A18"/>
    <w:rPr>
      <w:rFonts w:ascii="Tahoma" w:hAnsi="Tahoma" w:cs="Tahoma"/>
      <w:sz w:val="16"/>
      <w:szCs w:val="16"/>
    </w:rPr>
  </w:style>
  <w:style w:type="character" w:customStyle="1" w:styleId="BalloonTextChar">
    <w:name w:val="Balloon Text Char"/>
    <w:basedOn w:val="DefaultParagraphFont"/>
    <w:link w:val="BalloonText"/>
    <w:uiPriority w:val="99"/>
    <w:semiHidden/>
    <w:rsid w:val="00FC4A18"/>
    <w:rPr>
      <w:rFonts w:ascii="Tahoma" w:hAnsi="Tahoma" w:cs="Tahoma"/>
      <w:sz w:val="16"/>
      <w:szCs w:val="16"/>
    </w:rPr>
  </w:style>
  <w:style w:type="paragraph" w:customStyle="1" w:styleId="Default">
    <w:name w:val="Default"/>
    <w:rsid w:val="009C52CC"/>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D6C3F"/>
    <w:rPr>
      <w:sz w:val="16"/>
      <w:szCs w:val="16"/>
    </w:rPr>
  </w:style>
  <w:style w:type="paragraph" w:styleId="CommentText">
    <w:name w:val="annotation text"/>
    <w:basedOn w:val="Normal"/>
    <w:link w:val="CommentTextChar"/>
    <w:uiPriority w:val="99"/>
    <w:semiHidden/>
    <w:unhideWhenUsed/>
    <w:rsid w:val="005D6C3F"/>
    <w:rPr>
      <w:sz w:val="20"/>
      <w:szCs w:val="20"/>
    </w:rPr>
  </w:style>
  <w:style w:type="character" w:customStyle="1" w:styleId="CommentTextChar">
    <w:name w:val="Comment Text Char"/>
    <w:basedOn w:val="DefaultParagraphFont"/>
    <w:link w:val="CommentText"/>
    <w:uiPriority w:val="99"/>
    <w:semiHidden/>
    <w:rsid w:val="005D6C3F"/>
  </w:style>
  <w:style w:type="paragraph" w:styleId="CommentSubject">
    <w:name w:val="annotation subject"/>
    <w:basedOn w:val="CommentText"/>
    <w:next w:val="CommentText"/>
    <w:link w:val="CommentSubjectChar"/>
    <w:uiPriority w:val="99"/>
    <w:semiHidden/>
    <w:unhideWhenUsed/>
    <w:rsid w:val="005D6C3F"/>
    <w:rPr>
      <w:b/>
      <w:bCs/>
    </w:rPr>
  </w:style>
  <w:style w:type="character" w:customStyle="1" w:styleId="CommentSubjectChar">
    <w:name w:val="Comment Subject Char"/>
    <w:basedOn w:val="CommentTextChar"/>
    <w:link w:val="CommentSubject"/>
    <w:uiPriority w:val="99"/>
    <w:semiHidden/>
    <w:rsid w:val="005D6C3F"/>
    <w:rPr>
      <w:b/>
      <w:bCs/>
    </w:rPr>
  </w:style>
  <w:style w:type="character" w:styleId="FollowedHyperlink">
    <w:name w:val="FollowedHyperlink"/>
    <w:basedOn w:val="DefaultParagraphFont"/>
    <w:uiPriority w:val="99"/>
    <w:semiHidden/>
    <w:unhideWhenUsed/>
    <w:rsid w:val="002E12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53"/>
    <w:pPr>
      <w:tabs>
        <w:tab w:val="center" w:pos="4680"/>
        <w:tab w:val="right" w:pos="9360"/>
      </w:tabs>
    </w:pPr>
  </w:style>
  <w:style w:type="character" w:customStyle="1" w:styleId="HeaderChar">
    <w:name w:val="Header Char"/>
    <w:basedOn w:val="DefaultParagraphFont"/>
    <w:link w:val="Header"/>
    <w:uiPriority w:val="99"/>
    <w:rsid w:val="00342953"/>
    <w:rPr>
      <w:sz w:val="24"/>
      <w:szCs w:val="24"/>
    </w:rPr>
  </w:style>
  <w:style w:type="paragraph" w:styleId="Footer">
    <w:name w:val="footer"/>
    <w:basedOn w:val="Normal"/>
    <w:link w:val="FooterChar"/>
    <w:uiPriority w:val="99"/>
    <w:unhideWhenUsed/>
    <w:rsid w:val="00342953"/>
    <w:pPr>
      <w:tabs>
        <w:tab w:val="center" w:pos="4680"/>
        <w:tab w:val="right" w:pos="9360"/>
      </w:tabs>
    </w:pPr>
  </w:style>
  <w:style w:type="character" w:customStyle="1" w:styleId="FooterChar">
    <w:name w:val="Footer Char"/>
    <w:basedOn w:val="DefaultParagraphFont"/>
    <w:link w:val="Footer"/>
    <w:uiPriority w:val="99"/>
    <w:rsid w:val="00342953"/>
    <w:rPr>
      <w:sz w:val="24"/>
      <w:szCs w:val="24"/>
    </w:rPr>
  </w:style>
  <w:style w:type="character" w:styleId="Hyperlink">
    <w:name w:val="Hyperlink"/>
    <w:basedOn w:val="DefaultParagraphFont"/>
    <w:uiPriority w:val="99"/>
    <w:unhideWhenUsed/>
    <w:rsid w:val="008867A0"/>
    <w:rPr>
      <w:color w:val="0000FF" w:themeColor="hyperlink"/>
      <w:u w:val="single"/>
    </w:rPr>
  </w:style>
  <w:style w:type="paragraph" w:styleId="ListParagraph">
    <w:name w:val="List Paragraph"/>
    <w:basedOn w:val="Normal"/>
    <w:uiPriority w:val="34"/>
    <w:qFormat/>
    <w:rsid w:val="00CF3F52"/>
    <w:pPr>
      <w:ind w:left="720"/>
      <w:contextualSpacing/>
    </w:pPr>
  </w:style>
  <w:style w:type="paragraph" w:styleId="FootnoteText">
    <w:name w:val="footnote text"/>
    <w:basedOn w:val="Normal"/>
    <w:link w:val="FootnoteTextChar"/>
    <w:uiPriority w:val="99"/>
    <w:unhideWhenUsed/>
    <w:rsid w:val="006A0882"/>
    <w:rPr>
      <w:sz w:val="20"/>
      <w:szCs w:val="20"/>
    </w:rPr>
  </w:style>
  <w:style w:type="character" w:customStyle="1" w:styleId="FootnoteTextChar">
    <w:name w:val="Footnote Text Char"/>
    <w:basedOn w:val="DefaultParagraphFont"/>
    <w:link w:val="FootnoteText"/>
    <w:uiPriority w:val="99"/>
    <w:rsid w:val="006A0882"/>
  </w:style>
  <w:style w:type="character" w:styleId="FootnoteReference">
    <w:name w:val="footnote reference"/>
    <w:aliases w:val="Style 12,(NECG) Footnote Reference,Style 13,Appel note de bas de p,Style 124,fr,o,Style 3,FR,Style 17,Footnote Reference/,Style 6"/>
    <w:basedOn w:val="DefaultParagraphFont"/>
    <w:uiPriority w:val="99"/>
    <w:unhideWhenUsed/>
    <w:rsid w:val="006A0882"/>
    <w:rPr>
      <w:vertAlign w:val="superscript"/>
    </w:rPr>
  </w:style>
  <w:style w:type="paragraph" w:styleId="BalloonText">
    <w:name w:val="Balloon Text"/>
    <w:basedOn w:val="Normal"/>
    <w:link w:val="BalloonTextChar"/>
    <w:uiPriority w:val="99"/>
    <w:semiHidden/>
    <w:unhideWhenUsed/>
    <w:rsid w:val="00FC4A18"/>
    <w:rPr>
      <w:rFonts w:ascii="Tahoma" w:hAnsi="Tahoma" w:cs="Tahoma"/>
      <w:sz w:val="16"/>
      <w:szCs w:val="16"/>
    </w:rPr>
  </w:style>
  <w:style w:type="character" w:customStyle="1" w:styleId="BalloonTextChar">
    <w:name w:val="Balloon Text Char"/>
    <w:basedOn w:val="DefaultParagraphFont"/>
    <w:link w:val="BalloonText"/>
    <w:uiPriority w:val="99"/>
    <w:semiHidden/>
    <w:rsid w:val="00FC4A18"/>
    <w:rPr>
      <w:rFonts w:ascii="Tahoma" w:hAnsi="Tahoma" w:cs="Tahoma"/>
      <w:sz w:val="16"/>
      <w:szCs w:val="16"/>
    </w:rPr>
  </w:style>
  <w:style w:type="paragraph" w:customStyle="1" w:styleId="Default">
    <w:name w:val="Default"/>
    <w:rsid w:val="009C52CC"/>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D6C3F"/>
    <w:rPr>
      <w:sz w:val="16"/>
      <w:szCs w:val="16"/>
    </w:rPr>
  </w:style>
  <w:style w:type="paragraph" w:styleId="CommentText">
    <w:name w:val="annotation text"/>
    <w:basedOn w:val="Normal"/>
    <w:link w:val="CommentTextChar"/>
    <w:uiPriority w:val="99"/>
    <w:semiHidden/>
    <w:unhideWhenUsed/>
    <w:rsid w:val="005D6C3F"/>
    <w:rPr>
      <w:sz w:val="20"/>
      <w:szCs w:val="20"/>
    </w:rPr>
  </w:style>
  <w:style w:type="character" w:customStyle="1" w:styleId="CommentTextChar">
    <w:name w:val="Comment Text Char"/>
    <w:basedOn w:val="DefaultParagraphFont"/>
    <w:link w:val="CommentText"/>
    <w:uiPriority w:val="99"/>
    <w:semiHidden/>
    <w:rsid w:val="005D6C3F"/>
  </w:style>
  <w:style w:type="paragraph" w:styleId="CommentSubject">
    <w:name w:val="annotation subject"/>
    <w:basedOn w:val="CommentText"/>
    <w:next w:val="CommentText"/>
    <w:link w:val="CommentSubjectChar"/>
    <w:uiPriority w:val="99"/>
    <w:semiHidden/>
    <w:unhideWhenUsed/>
    <w:rsid w:val="005D6C3F"/>
    <w:rPr>
      <w:b/>
      <w:bCs/>
    </w:rPr>
  </w:style>
  <w:style w:type="character" w:customStyle="1" w:styleId="CommentSubjectChar">
    <w:name w:val="Comment Subject Char"/>
    <w:basedOn w:val="CommentTextChar"/>
    <w:link w:val="CommentSubject"/>
    <w:uiPriority w:val="99"/>
    <w:semiHidden/>
    <w:rsid w:val="005D6C3F"/>
    <w:rPr>
      <w:b/>
      <w:bCs/>
    </w:rPr>
  </w:style>
  <w:style w:type="character" w:styleId="FollowedHyperlink">
    <w:name w:val="FollowedHyperlink"/>
    <w:basedOn w:val="DefaultParagraphFont"/>
    <w:uiPriority w:val="99"/>
    <w:semiHidden/>
    <w:unhideWhenUsed/>
    <w:rsid w:val="002E12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ac.org/about/tools/e-file.aspx" TargetMode="External"/><Relationship Id="rId13" Type="http://schemas.openxmlformats.org/officeDocument/2006/relationships/hyperlink" Target="mailto:hccerts@usac.or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sac.org/about/tools/e-file.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sac.org/about/tools/e-file.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usac.org/hc/tools/forms.aspx" TargetMode="External"/><Relationship Id="rId14" Type="http://schemas.openxmlformats.org/officeDocument/2006/relationships/hyperlink" Target="http://apps.fcc.gov/ecf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2651</Words>
  <Characters>14418</Characters>
  <Application>Microsoft Office Word</Application>
  <DocSecurity>0</DocSecurity>
  <Lines>312</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2015-05-13T14:52:00Z</dcterms:created>
  <dcterms:modified xsi:type="dcterms:W3CDTF">2015-05-13T14:52:00Z</dcterms:modified>
  <cp:category> </cp:category>
  <cp:contentStatus> </cp:contentStatus>
</cp:coreProperties>
</file>