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FDD7" w14:textId="2F1A6ED4" w:rsidR="00D47505" w:rsidRPr="009F49AA" w:rsidRDefault="00F2561C" w:rsidP="009F49AA">
      <w:pPr>
        <w:ind w:left="6480"/>
        <w:rPr>
          <w:b/>
        </w:rPr>
      </w:pPr>
      <w:bookmarkStart w:id="0" w:name="_GoBack"/>
      <w:bookmarkEnd w:id="0"/>
      <w:r w:rsidRPr="009F49AA">
        <w:rPr>
          <w:b/>
        </w:rPr>
        <w:t>DA 1</w:t>
      </w:r>
      <w:r w:rsidR="002C5CCC" w:rsidRPr="009F49AA">
        <w:rPr>
          <w:b/>
        </w:rPr>
        <w:t>5</w:t>
      </w:r>
      <w:r w:rsidRPr="009F49AA">
        <w:rPr>
          <w:b/>
        </w:rPr>
        <w:t>-</w:t>
      </w:r>
      <w:r w:rsidR="009F49AA" w:rsidRPr="009F49AA">
        <w:rPr>
          <w:b/>
        </w:rPr>
        <w:t>580</w:t>
      </w:r>
    </w:p>
    <w:p w14:paraId="35EA0B0E" w14:textId="35E097E1" w:rsidR="00D47505" w:rsidRDefault="00F2561C" w:rsidP="009F49AA">
      <w:pPr>
        <w:ind w:left="6480"/>
        <w:rPr>
          <w:b/>
        </w:rPr>
      </w:pPr>
      <w:r w:rsidRPr="009F49AA">
        <w:rPr>
          <w:b/>
        </w:rPr>
        <w:t xml:space="preserve">Released:  </w:t>
      </w:r>
      <w:r w:rsidR="003648FF" w:rsidRPr="009F49AA">
        <w:rPr>
          <w:b/>
        </w:rPr>
        <w:t>May</w:t>
      </w:r>
      <w:r w:rsidR="00B855E1" w:rsidRPr="009F49AA">
        <w:rPr>
          <w:b/>
        </w:rPr>
        <w:t xml:space="preserve"> </w:t>
      </w:r>
      <w:r w:rsidR="009F49AA">
        <w:rPr>
          <w:b/>
        </w:rPr>
        <w:t>13</w:t>
      </w:r>
      <w:r w:rsidRPr="009F49AA">
        <w:rPr>
          <w:b/>
        </w:rPr>
        <w:t>, 201</w:t>
      </w:r>
      <w:r w:rsidR="00F05350" w:rsidRPr="009F49AA">
        <w:rPr>
          <w:b/>
        </w:rPr>
        <w:t>5</w:t>
      </w:r>
    </w:p>
    <w:p w14:paraId="042F63AA" w14:textId="77777777" w:rsidR="009F49AA" w:rsidRPr="009F49AA" w:rsidRDefault="009F49AA" w:rsidP="009F49AA">
      <w:pPr>
        <w:ind w:left="6480"/>
        <w:rPr>
          <w:b/>
        </w:rPr>
      </w:pPr>
    </w:p>
    <w:p w14:paraId="6EB6EBEE" w14:textId="77777777" w:rsidR="004A58DE" w:rsidRPr="00401058" w:rsidRDefault="004A58DE" w:rsidP="0029622D">
      <w:pPr>
        <w:spacing w:before="120" w:after="240"/>
        <w:jc w:val="center"/>
        <w:rPr>
          <w:b/>
          <w:sz w:val="24"/>
        </w:rPr>
      </w:pPr>
      <w:r w:rsidRPr="00401058">
        <w:rPr>
          <w:b/>
          <w:sz w:val="24"/>
        </w:rPr>
        <w:t xml:space="preserve">MEDIA BUREAU </w:t>
      </w:r>
      <w:r w:rsidR="009A1319">
        <w:rPr>
          <w:b/>
          <w:sz w:val="24"/>
        </w:rPr>
        <w:t xml:space="preserve">REMINDS FULL POWER AND CLASS A LICENSEES OF THE APPROACHING MAY 29, 2015 </w:t>
      </w:r>
      <w:r w:rsidRPr="00401058">
        <w:rPr>
          <w:b/>
          <w:sz w:val="24"/>
        </w:rPr>
        <w:t>PRE-AUCTION LICENSING DEADLINE</w:t>
      </w:r>
    </w:p>
    <w:p w14:paraId="7A85ED1D" w14:textId="77777777" w:rsidR="003F778F" w:rsidRPr="00765B7A" w:rsidRDefault="00EF53C6" w:rsidP="0029622D">
      <w:pPr>
        <w:spacing w:before="120" w:after="240"/>
        <w:jc w:val="center"/>
        <w:rPr>
          <w:b/>
          <w:sz w:val="24"/>
        </w:rPr>
      </w:pPr>
      <w:r>
        <w:rPr>
          <w:b/>
          <w:szCs w:val="22"/>
        </w:rPr>
        <w:t xml:space="preserve">Full Power and Class A Licensees are Encouraged to Review the </w:t>
      </w:r>
      <w:r w:rsidR="00765B7A" w:rsidRPr="00765B7A">
        <w:rPr>
          <w:b/>
          <w:szCs w:val="22"/>
        </w:rPr>
        <w:t>Pre-Auction Technical Certification Form</w:t>
      </w:r>
      <w:r w:rsidR="00765B7A" w:rsidRPr="00765B7A">
        <w:rPr>
          <w:b/>
          <w:sz w:val="24"/>
        </w:rPr>
        <w:t xml:space="preserve"> </w:t>
      </w:r>
      <w:r>
        <w:rPr>
          <w:b/>
          <w:sz w:val="24"/>
        </w:rPr>
        <w:t>(FCC Form 2100, Schedule 381)</w:t>
      </w:r>
    </w:p>
    <w:p w14:paraId="7EE661D9" w14:textId="77777777" w:rsidR="00AA01EE" w:rsidRPr="006E744B" w:rsidRDefault="002537A3" w:rsidP="00F06C9A">
      <w:pPr>
        <w:widowControl/>
        <w:spacing w:after="220"/>
        <w:ind w:firstLine="720"/>
        <w:rPr>
          <w:szCs w:val="22"/>
        </w:rPr>
      </w:pPr>
      <w:r w:rsidRPr="006E744B">
        <w:rPr>
          <w:szCs w:val="22"/>
        </w:rPr>
        <w:t>By this Public Notice t</w:t>
      </w:r>
      <w:r w:rsidR="009A1319" w:rsidRPr="006E744B">
        <w:rPr>
          <w:szCs w:val="22"/>
        </w:rPr>
        <w:t>he Media Bureau</w:t>
      </w:r>
      <w:r w:rsidRPr="006E744B">
        <w:rPr>
          <w:szCs w:val="22"/>
        </w:rPr>
        <w:t xml:space="preserve"> reminds all full power and Class A license</w:t>
      </w:r>
      <w:r w:rsidR="00FC0413" w:rsidRPr="006E744B">
        <w:rPr>
          <w:szCs w:val="22"/>
        </w:rPr>
        <w:t>e</w:t>
      </w:r>
      <w:r w:rsidRPr="006E744B">
        <w:rPr>
          <w:szCs w:val="22"/>
        </w:rPr>
        <w:t xml:space="preserve">s that </w:t>
      </w:r>
      <w:r w:rsidR="009A1319" w:rsidRPr="006E744B">
        <w:rPr>
          <w:b/>
          <w:szCs w:val="22"/>
        </w:rPr>
        <w:t>May 29, 2015</w:t>
      </w:r>
      <w:r w:rsidR="00091832" w:rsidRPr="006E744B">
        <w:rPr>
          <w:b/>
          <w:szCs w:val="22"/>
        </w:rPr>
        <w:t>,</w:t>
      </w:r>
      <w:r w:rsidR="0036020F" w:rsidRPr="006E744B">
        <w:rPr>
          <w:szCs w:val="22"/>
        </w:rPr>
        <w:t xml:space="preserve"> is</w:t>
      </w:r>
      <w:r w:rsidR="009A1319" w:rsidRPr="006E744B">
        <w:rPr>
          <w:szCs w:val="22"/>
        </w:rPr>
        <w:t xml:space="preserve"> the Pre-Auction Licensing Deadline</w:t>
      </w:r>
      <w:r w:rsidR="00FC0413" w:rsidRPr="006E744B">
        <w:rPr>
          <w:szCs w:val="22"/>
        </w:rPr>
        <w:t xml:space="preserve"> for the broadcast television spectrum incentive auction and repacking process</w:t>
      </w:r>
      <w:r w:rsidR="009A1319" w:rsidRPr="006E744B">
        <w:rPr>
          <w:szCs w:val="22"/>
        </w:rPr>
        <w:t>.</w:t>
      </w:r>
      <w:r w:rsidR="00F20385" w:rsidRPr="006E744B">
        <w:rPr>
          <w:rStyle w:val="FootnoteReference"/>
          <w:sz w:val="22"/>
          <w:szCs w:val="22"/>
        </w:rPr>
        <w:footnoteReference w:id="2"/>
      </w:r>
      <w:r w:rsidRPr="006E744B">
        <w:rPr>
          <w:szCs w:val="22"/>
        </w:rPr>
        <w:t xml:space="preserve">  I</w:t>
      </w:r>
      <w:r w:rsidR="00D85FEC" w:rsidRPr="006E744B">
        <w:rPr>
          <w:szCs w:val="22"/>
        </w:rPr>
        <w:t xml:space="preserve">n </w:t>
      </w:r>
      <w:r w:rsidR="009A1319" w:rsidRPr="006E744B">
        <w:rPr>
          <w:szCs w:val="22"/>
        </w:rPr>
        <w:t xml:space="preserve">order to be eligible for protection in the repacking </w:t>
      </w:r>
      <w:r w:rsidR="00371C11" w:rsidRPr="006E744B">
        <w:rPr>
          <w:szCs w:val="22"/>
        </w:rPr>
        <w:t>process and</w:t>
      </w:r>
      <w:r w:rsidR="000C70CB" w:rsidRPr="006E744B">
        <w:rPr>
          <w:szCs w:val="22"/>
        </w:rPr>
        <w:t xml:space="preserve"> relinquishment of spectrum usage rights in the </w:t>
      </w:r>
      <w:r w:rsidR="00465F2E" w:rsidRPr="006E744B">
        <w:rPr>
          <w:szCs w:val="22"/>
        </w:rPr>
        <w:t xml:space="preserve">reverse auction portion of the </w:t>
      </w:r>
      <w:r w:rsidR="000C70CB" w:rsidRPr="006E744B">
        <w:rPr>
          <w:szCs w:val="22"/>
        </w:rPr>
        <w:t>incentive auction</w:t>
      </w:r>
      <w:r w:rsidR="00FC0413" w:rsidRPr="006E744B">
        <w:rPr>
          <w:szCs w:val="22"/>
        </w:rPr>
        <w:t>,</w:t>
      </w:r>
      <w:r w:rsidR="00976CA0" w:rsidRPr="006E744B">
        <w:rPr>
          <w:szCs w:val="22"/>
        </w:rPr>
        <w:t xml:space="preserve"> all </w:t>
      </w:r>
      <w:r w:rsidR="007A0236" w:rsidRPr="006E744B">
        <w:rPr>
          <w:szCs w:val="22"/>
        </w:rPr>
        <w:t>Class A and full power facilities</w:t>
      </w:r>
      <w:r w:rsidR="009A1319" w:rsidRPr="006E744B">
        <w:rPr>
          <w:szCs w:val="22"/>
        </w:rPr>
        <w:t xml:space="preserve"> </w:t>
      </w:r>
      <w:r w:rsidR="007A0236" w:rsidRPr="006E744B">
        <w:rPr>
          <w:szCs w:val="22"/>
        </w:rPr>
        <w:t>that are subject to mandatory or discretionary protection,</w:t>
      </w:r>
      <w:r w:rsidR="001D2718" w:rsidRPr="006E744B">
        <w:rPr>
          <w:rStyle w:val="FootnoteReference"/>
          <w:sz w:val="22"/>
          <w:szCs w:val="22"/>
        </w:rPr>
        <w:footnoteReference w:id="3"/>
      </w:r>
      <w:r w:rsidR="001D2718" w:rsidRPr="006E744B">
        <w:rPr>
          <w:szCs w:val="22"/>
        </w:rPr>
        <w:t xml:space="preserve">  </w:t>
      </w:r>
      <w:r w:rsidR="007A0236" w:rsidRPr="006E744B">
        <w:rPr>
          <w:szCs w:val="22"/>
        </w:rPr>
        <w:t>with limited exception</w:t>
      </w:r>
      <w:r w:rsidR="00371C11" w:rsidRPr="006E744B">
        <w:rPr>
          <w:szCs w:val="22"/>
        </w:rPr>
        <w:t>,</w:t>
      </w:r>
      <w:r w:rsidR="007A0236" w:rsidRPr="006E744B">
        <w:rPr>
          <w:rStyle w:val="FootnoteReference"/>
          <w:sz w:val="22"/>
          <w:szCs w:val="22"/>
        </w:rPr>
        <w:footnoteReference w:id="4"/>
      </w:r>
      <w:r w:rsidR="007A0236" w:rsidRPr="006E744B">
        <w:rPr>
          <w:szCs w:val="22"/>
        </w:rPr>
        <w:t xml:space="preserve"> </w:t>
      </w:r>
      <w:r w:rsidR="00F87AB0" w:rsidRPr="006E744B">
        <w:rPr>
          <w:szCs w:val="22"/>
        </w:rPr>
        <w:t>must be licensed</w:t>
      </w:r>
      <w:r w:rsidR="009A1319" w:rsidRPr="006E744B">
        <w:rPr>
          <w:szCs w:val="22"/>
        </w:rPr>
        <w:t xml:space="preserve"> </w:t>
      </w:r>
      <w:r w:rsidR="007A0236" w:rsidRPr="006E744B">
        <w:rPr>
          <w:szCs w:val="22"/>
        </w:rPr>
        <w:t>or have on file a license to cover (FCC Form</w:t>
      </w:r>
      <w:r w:rsidR="00D42C58" w:rsidRPr="006E744B">
        <w:rPr>
          <w:szCs w:val="22"/>
        </w:rPr>
        <w:t xml:space="preserve"> 2100</w:t>
      </w:r>
      <w:r w:rsidR="00371C11" w:rsidRPr="006E744B">
        <w:rPr>
          <w:szCs w:val="22"/>
        </w:rPr>
        <w:t>,</w:t>
      </w:r>
      <w:r w:rsidR="00D42C58" w:rsidRPr="006E744B">
        <w:rPr>
          <w:szCs w:val="22"/>
        </w:rPr>
        <w:t xml:space="preserve"> Schedule B</w:t>
      </w:r>
      <w:r w:rsidR="0063378F" w:rsidRPr="006E744B">
        <w:rPr>
          <w:szCs w:val="22"/>
        </w:rPr>
        <w:t>/</w:t>
      </w:r>
      <w:r w:rsidRPr="006E744B">
        <w:rPr>
          <w:szCs w:val="22"/>
        </w:rPr>
        <w:t>FCC Form 2100, Schedule F</w:t>
      </w:r>
      <w:r w:rsidR="00D42C58" w:rsidRPr="006E744B">
        <w:rPr>
          <w:szCs w:val="22"/>
        </w:rPr>
        <w:t>)</w:t>
      </w:r>
      <w:r w:rsidR="007A0236" w:rsidRPr="006E744B">
        <w:rPr>
          <w:szCs w:val="22"/>
        </w:rPr>
        <w:t xml:space="preserve"> </w:t>
      </w:r>
      <w:r w:rsidR="009A1319" w:rsidRPr="006E744B">
        <w:rPr>
          <w:szCs w:val="22"/>
        </w:rPr>
        <w:t xml:space="preserve">by </w:t>
      </w:r>
      <w:r w:rsidR="009A1319" w:rsidRPr="006E744B">
        <w:rPr>
          <w:b/>
          <w:szCs w:val="22"/>
        </w:rPr>
        <w:t>May 29, 2015</w:t>
      </w:r>
      <w:r w:rsidR="003B5CF9" w:rsidRPr="006E744B">
        <w:rPr>
          <w:szCs w:val="22"/>
        </w:rPr>
        <w:t>.</w:t>
      </w:r>
      <w:r w:rsidR="00FA0788" w:rsidRPr="006E744B">
        <w:rPr>
          <w:szCs w:val="22"/>
        </w:rPr>
        <w:t xml:space="preserve">  </w:t>
      </w:r>
      <w:r w:rsidR="00AB4956" w:rsidRPr="006E744B">
        <w:rPr>
          <w:szCs w:val="22"/>
        </w:rPr>
        <w:t>W</w:t>
      </w:r>
      <w:r w:rsidR="000309EC" w:rsidRPr="006E744B">
        <w:rPr>
          <w:szCs w:val="22"/>
        </w:rPr>
        <w:t xml:space="preserve">hile </w:t>
      </w:r>
      <w:r w:rsidR="004F5D77" w:rsidRPr="006E744B">
        <w:rPr>
          <w:szCs w:val="22"/>
        </w:rPr>
        <w:t xml:space="preserve">Class A licensees may wait until </w:t>
      </w:r>
      <w:r w:rsidR="000309EC" w:rsidRPr="006E744B">
        <w:rPr>
          <w:szCs w:val="22"/>
        </w:rPr>
        <w:t>the</w:t>
      </w:r>
      <w:r w:rsidR="004F5D77" w:rsidRPr="006E744B">
        <w:rPr>
          <w:szCs w:val="22"/>
        </w:rPr>
        <w:t xml:space="preserve"> September </w:t>
      </w:r>
      <w:r w:rsidR="000309EC" w:rsidRPr="006E744B">
        <w:rPr>
          <w:szCs w:val="22"/>
        </w:rPr>
        <w:t xml:space="preserve">1, </w:t>
      </w:r>
      <w:r w:rsidR="004F5D77" w:rsidRPr="006E744B">
        <w:rPr>
          <w:szCs w:val="22"/>
        </w:rPr>
        <w:t>2015</w:t>
      </w:r>
      <w:r w:rsidR="00881AD2" w:rsidRPr="006E744B">
        <w:rPr>
          <w:szCs w:val="22"/>
        </w:rPr>
        <w:t>,</w:t>
      </w:r>
      <w:r w:rsidR="000309EC" w:rsidRPr="006E744B">
        <w:rPr>
          <w:szCs w:val="22"/>
        </w:rPr>
        <w:t xml:space="preserve"> digital transition </w:t>
      </w:r>
      <w:r w:rsidR="004F5D77" w:rsidRPr="006E744B">
        <w:rPr>
          <w:szCs w:val="22"/>
        </w:rPr>
        <w:t xml:space="preserve">deadline to complete construction and license their digital </w:t>
      </w:r>
      <w:r w:rsidR="00881AD2" w:rsidRPr="006E744B">
        <w:rPr>
          <w:szCs w:val="22"/>
        </w:rPr>
        <w:t>facilities</w:t>
      </w:r>
      <w:r w:rsidR="004F5D77" w:rsidRPr="006E744B">
        <w:rPr>
          <w:szCs w:val="22"/>
        </w:rPr>
        <w:t>,</w:t>
      </w:r>
      <w:r w:rsidR="00371C11" w:rsidRPr="006E744B">
        <w:rPr>
          <w:rStyle w:val="FootnoteReference"/>
          <w:sz w:val="22"/>
          <w:szCs w:val="22"/>
        </w:rPr>
        <w:footnoteReference w:id="5"/>
      </w:r>
      <w:r w:rsidR="004F5D77" w:rsidRPr="006E744B">
        <w:rPr>
          <w:szCs w:val="22"/>
        </w:rPr>
        <w:t xml:space="preserve"> </w:t>
      </w:r>
      <w:r w:rsidR="00246CBB" w:rsidRPr="006E744B">
        <w:rPr>
          <w:szCs w:val="22"/>
        </w:rPr>
        <w:t xml:space="preserve">those </w:t>
      </w:r>
      <w:r w:rsidR="00AB4956" w:rsidRPr="006E744B">
        <w:rPr>
          <w:szCs w:val="22"/>
        </w:rPr>
        <w:t xml:space="preserve">that do not have their digital facilities licensed by </w:t>
      </w:r>
      <w:r w:rsidR="00246CBB" w:rsidRPr="006E744B">
        <w:rPr>
          <w:b/>
          <w:szCs w:val="22"/>
        </w:rPr>
        <w:t>May 29, 2015</w:t>
      </w:r>
      <w:r w:rsidR="00881AD2" w:rsidRPr="006E744B">
        <w:rPr>
          <w:szCs w:val="22"/>
        </w:rPr>
        <w:t>,</w:t>
      </w:r>
      <w:r w:rsidR="004F5D77" w:rsidRPr="006E744B">
        <w:rPr>
          <w:szCs w:val="22"/>
        </w:rPr>
        <w:t xml:space="preserve"> </w:t>
      </w:r>
      <w:r w:rsidR="009041EE" w:rsidRPr="006E744B">
        <w:rPr>
          <w:szCs w:val="22"/>
        </w:rPr>
        <w:t>will</w:t>
      </w:r>
      <w:r w:rsidR="004F5D77" w:rsidRPr="006E744B">
        <w:rPr>
          <w:szCs w:val="22"/>
        </w:rPr>
        <w:t xml:space="preserve"> </w:t>
      </w:r>
      <w:r w:rsidR="009041EE" w:rsidRPr="006E744B">
        <w:rPr>
          <w:szCs w:val="22"/>
        </w:rPr>
        <w:t xml:space="preserve">be afforded </w:t>
      </w:r>
      <w:r w:rsidR="004F5D77" w:rsidRPr="006E744B">
        <w:rPr>
          <w:szCs w:val="22"/>
        </w:rPr>
        <w:t>protect</w:t>
      </w:r>
      <w:r w:rsidR="009041EE" w:rsidRPr="006E744B">
        <w:rPr>
          <w:szCs w:val="22"/>
        </w:rPr>
        <w:t xml:space="preserve">ion based </w:t>
      </w:r>
      <w:r w:rsidR="003733BC" w:rsidRPr="006E744B">
        <w:rPr>
          <w:szCs w:val="22"/>
        </w:rPr>
        <w:t xml:space="preserve">only </w:t>
      </w:r>
      <w:r w:rsidR="009041EE" w:rsidRPr="006E744B">
        <w:rPr>
          <w:szCs w:val="22"/>
        </w:rPr>
        <w:t>on the</w:t>
      </w:r>
      <w:r w:rsidR="004F5D77" w:rsidRPr="006E744B">
        <w:rPr>
          <w:szCs w:val="22"/>
        </w:rPr>
        <w:t xml:space="preserve"> coverage area and population </w:t>
      </w:r>
      <w:r w:rsidR="004F5D77" w:rsidRPr="006E744B">
        <w:rPr>
          <w:szCs w:val="22"/>
        </w:rPr>
        <w:lastRenderedPageBreak/>
        <w:t xml:space="preserve">served </w:t>
      </w:r>
      <w:r w:rsidR="003733BC" w:rsidRPr="006E744B">
        <w:rPr>
          <w:szCs w:val="22"/>
        </w:rPr>
        <w:t xml:space="preserve">by </w:t>
      </w:r>
      <w:r w:rsidR="009041EE" w:rsidRPr="006E744B">
        <w:rPr>
          <w:szCs w:val="22"/>
        </w:rPr>
        <w:t>their</w:t>
      </w:r>
      <w:r w:rsidR="004F5D77" w:rsidRPr="006E744B">
        <w:rPr>
          <w:szCs w:val="22"/>
        </w:rPr>
        <w:t xml:space="preserve"> </w:t>
      </w:r>
      <w:r w:rsidR="005A1A47" w:rsidRPr="006E744B">
        <w:rPr>
          <w:szCs w:val="22"/>
        </w:rPr>
        <w:t xml:space="preserve">licensed </w:t>
      </w:r>
      <w:r w:rsidR="004F5D77" w:rsidRPr="006E744B">
        <w:rPr>
          <w:szCs w:val="22"/>
        </w:rPr>
        <w:t xml:space="preserve">analog </w:t>
      </w:r>
      <w:r w:rsidR="00881AD2" w:rsidRPr="006E744B">
        <w:rPr>
          <w:szCs w:val="22"/>
        </w:rPr>
        <w:t>facilities</w:t>
      </w:r>
      <w:r w:rsidR="003733BC" w:rsidRPr="006E744B">
        <w:rPr>
          <w:szCs w:val="22"/>
        </w:rPr>
        <w:t>,</w:t>
      </w:r>
      <w:r w:rsidR="00881AD2" w:rsidRPr="006E744B">
        <w:rPr>
          <w:szCs w:val="22"/>
        </w:rPr>
        <w:t xml:space="preserve"> consistent with the </w:t>
      </w:r>
      <w:r w:rsidR="0086546D" w:rsidRPr="006E744B">
        <w:rPr>
          <w:szCs w:val="22"/>
        </w:rPr>
        <w:t xml:space="preserve">policy adopted in the </w:t>
      </w:r>
      <w:r w:rsidR="00881AD2" w:rsidRPr="006E744B">
        <w:rPr>
          <w:i/>
          <w:szCs w:val="22"/>
        </w:rPr>
        <w:t>Incentive Auction R&amp;O</w:t>
      </w:r>
      <w:r w:rsidR="004F5D77" w:rsidRPr="006E744B">
        <w:rPr>
          <w:szCs w:val="22"/>
        </w:rPr>
        <w:t>.</w:t>
      </w:r>
      <w:r w:rsidR="00D92906" w:rsidRPr="006E744B">
        <w:rPr>
          <w:rStyle w:val="FootnoteReference"/>
          <w:sz w:val="22"/>
          <w:szCs w:val="22"/>
        </w:rPr>
        <w:footnoteReference w:id="6"/>
      </w:r>
      <w:r w:rsidR="00F06C9A" w:rsidRPr="006E744B">
        <w:rPr>
          <w:szCs w:val="22"/>
        </w:rPr>
        <w:t xml:space="preserve"> </w:t>
      </w:r>
      <w:r w:rsidR="00AA01EE" w:rsidRPr="006E744B">
        <w:rPr>
          <w:szCs w:val="22"/>
        </w:rPr>
        <w:t xml:space="preserve"> </w:t>
      </w:r>
    </w:p>
    <w:p w14:paraId="6744CCD2" w14:textId="77777777" w:rsidR="005A1A47" w:rsidRPr="006E744B" w:rsidRDefault="007E47B3" w:rsidP="00C357DC">
      <w:pPr>
        <w:widowControl/>
        <w:spacing w:after="220"/>
        <w:ind w:firstLine="720"/>
        <w:rPr>
          <w:szCs w:val="22"/>
        </w:rPr>
      </w:pPr>
      <w:r w:rsidRPr="006E744B">
        <w:rPr>
          <w:szCs w:val="22"/>
        </w:rPr>
        <w:t xml:space="preserve">We stress that this is the last opportunity </w:t>
      </w:r>
      <w:r w:rsidR="00CA3950" w:rsidRPr="006E744B">
        <w:rPr>
          <w:iCs/>
          <w:szCs w:val="22"/>
        </w:rPr>
        <w:t xml:space="preserve">for all full power and Class A licensees to modify their licenses to fix </w:t>
      </w:r>
      <w:r w:rsidR="00D049AB" w:rsidRPr="006E744B">
        <w:rPr>
          <w:iCs/>
          <w:szCs w:val="22"/>
        </w:rPr>
        <w:t xml:space="preserve">any </w:t>
      </w:r>
      <w:r w:rsidR="00CA3950" w:rsidRPr="006E744B">
        <w:rPr>
          <w:iCs/>
          <w:szCs w:val="22"/>
        </w:rPr>
        <w:t>errors they</w:t>
      </w:r>
      <w:r w:rsidR="00D049AB" w:rsidRPr="006E744B">
        <w:rPr>
          <w:iCs/>
          <w:szCs w:val="22"/>
        </w:rPr>
        <w:t xml:space="preserve"> may</w:t>
      </w:r>
      <w:r w:rsidR="00CA3950" w:rsidRPr="006E744B">
        <w:rPr>
          <w:iCs/>
          <w:szCs w:val="22"/>
        </w:rPr>
        <w:t xml:space="preserve"> have made in providing us their operating parameters and to have those modifications protected in the repacking process.  </w:t>
      </w:r>
      <w:r w:rsidR="00AA01EE" w:rsidRPr="006E744B">
        <w:rPr>
          <w:iCs/>
          <w:szCs w:val="22"/>
        </w:rPr>
        <w:t xml:space="preserve">Specifically, </w:t>
      </w:r>
      <w:r w:rsidR="00AA01EE" w:rsidRPr="006E744B">
        <w:rPr>
          <w:szCs w:val="22"/>
        </w:rPr>
        <w:t>s</w:t>
      </w:r>
      <w:r w:rsidRPr="006E744B">
        <w:rPr>
          <w:szCs w:val="22"/>
        </w:rPr>
        <w:t xml:space="preserve">uch modifications will be protected so long as a modification application that complies with the </w:t>
      </w:r>
      <w:r w:rsidRPr="006E744B">
        <w:rPr>
          <w:i/>
          <w:iCs/>
          <w:szCs w:val="22"/>
        </w:rPr>
        <w:t xml:space="preserve">Freeze </w:t>
      </w:r>
      <w:r w:rsidRPr="006E744B">
        <w:rPr>
          <w:i/>
          <w:szCs w:val="22"/>
        </w:rPr>
        <w:t>PN</w:t>
      </w:r>
      <w:r w:rsidRPr="006E744B">
        <w:rPr>
          <w:rStyle w:val="FootnoteReference"/>
          <w:sz w:val="22"/>
          <w:szCs w:val="22"/>
        </w:rPr>
        <w:footnoteReference w:id="7"/>
      </w:r>
      <w:r w:rsidRPr="006E744B">
        <w:rPr>
          <w:i/>
          <w:szCs w:val="22"/>
        </w:rPr>
        <w:t xml:space="preserve"> </w:t>
      </w:r>
      <w:r w:rsidRPr="006E744B">
        <w:rPr>
          <w:szCs w:val="22"/>
        </w:rPr>
        <w:t xml:space="preserve">is filed and granted, and a license to cover application is filed, by </w:t>
      </w:r>
      <w:r w:rsidRPr="006E744B">
        <w:rPr>
          <w:b/>
          <w:bCs/>
          <w:szCs w:val="22"/>
        </w:rPr>
        <w:t>May 29, 2015</w:t>
      </w:r>
      <w:r w:rsidRPr="006E744B">
        <w:rPr>
          <w:szCs w:val="22"/>
        </w:rPr>
        <w:t>.</w:t>
      </w:r>
      <w:r w:rsidRPr="006E744B">
        <w:rPr>
          <w:rStyle w:val="FootnoteReference"/>
          <w:sz w:val="22"/>
          <w:szCs w:val="22"/>
        </w:rPr>
        <w:footnoteReference w:id="8"/>
      </w:r>
      <w:r w:rsidRPr="006E744B">
        <w:rPr>
          <w:szCs w:val="22"/>
        </w:rPr>
        <w:t xml:space="preserve">  </w:t>
      </w:r>
      <w:r w:rsidR="0083624C" w:rsidRPr="006E744B">
        <w:rPr>
          <w:szCs w:val="22"/>
        </w:rPr>
        <w:t>A</w:t>
      </w:r>
      <w:r w:rsidR="00CB5060" w:rsidRPr="006E744B">
        <w:rPr>
          <w:szCs w:val="22"/>
        </w:rPr>
        <w:t>fter May 29, 2015</w:t>
      </w:r>
      <w:r w:rsidR="0083624C" w:rsidRPr="006E744B">
        <w:rPr>
          <w:szCs w:val="22"/>
        </w:rPr>
        <w:t>,</w:t>
      </w:r>
      <w:r w:rsidR="00E7195B" w:rsidRPr="006E744B">
        <w:rPr>
          <w:szCs w:val="22"/>
        </w:rPr>
        <w:t xml:space="preserve"> </w:t>
      </w:r>
      <w:r w:rsidR="0083624C" w:rsidRPr="006E744B">
        <w:rPr>
          <w:szCs w:val="22"/>
        </w:rPr>
        <w:t>modification</w:t>
      </w:r>
      <w:r w:rsidR="00D049AB" w:rsidRPr="006E744B">
        <w:rPr>
          <w:szCs w:val="22"/>
        </w:rPr>
        <w:t>s</w:t>
      </w:r>
      <w:r w:rsidR="00417850" w:rsidRPr="006E744B">
        <w:rPr>
          <w:szCs w:val="22"/>
        </w:rPr>
        <w:t xml:space="preserve"> </w:t>
      </w:r>
      <w:r w:rsidR="00E7195B" w:rsidRPr="006E744B">
        <w:rPr>
          <w:szCs w:val="22"/>
        </w:rPr>
        <w:t xml:space="preserve">filed to fix errors </w:t>
      </w:r>
      <w:r w:rsidR="00417850" w:rsidRPr="006E744B">
        <w:rPr>
          <w:szCs w:val="22"/>
        </w:rPr>
        <w:t xml:space="preserve">made by a licensee, </w:t>
      </w:r>
      <w:r w:rsidR="00E7195B" w:rsidRPr="006E744B">
        <w:rPr>
          <w:szCs w:val="22"/>
        </w:rPr>
        <w:t xml:space="preserve">even if granted and </w:t>
      </w:r>
      <w:r w:rsidR="00417850" w:rsidRPr="006E744B">
        <w:rPr>
          <w:szCs w:val="22"/>
        </w:rPr>
        <w:t xml:space="preserve">ultimately </w:t>
      </w:r>
      <w:r w:rsidR="00E7195B" w:rsidRPr="006E744B">
        <w:rPr>
          <w:szCs w:val="22"/>
        </w:rPr>
        <w:t xml:space="preserve">licensed, </w:t>
      </w:r>
      <w:r w:rsidR="00CB5060" w:rsidRPr="006E744B">
        <w:rPr>
          <w:szCs w:val="22"/>
        </w:rPr>
        <w:t>will not</w:t>
      </w:r>
      <w:r w:rsidR="0083624C" w:rsidRPr="006E744B">
        <w:rPr>
          <w:szCs w:val="22"/>
        </w:rPr>
        <w:t xml:space="preserve"> </w:t>
      </w:r>
      <w:r w:rsidR="00CA3950" w:rsidRPr="006E744B">
        <w:rPr>
          <w:szCs w:val="22"/>
        </w:rPr>
        <w:t xml:space="preserve">be </w:t>
      </w:r>
      <w:r w:rsidR="00D049AB" w:rsidRPr="006E744B">
        <w:rPr>
          <w:szCs w:val="22"/>
        </w:rPr>
        <w:t>considered</w:t>
      </w:r>
      <w:r w:rsidR="00CB5060" w:rsidRPr="006E744B">
        <w:rPr>
          <w:szCs w:val="22"/>
        </w:rPr>
        <w:t xml:space="preserve"> </w:t>
      </w:r>
      <w:r w:rsidR="00CA3950" w:rsidRPr="006E744B">
        <w:rPr>
          <w:szCs w:val="22"/>
        </w:rPr>
        <w:t xml:space="preserve">for purposes of </w:t>
      </w:r>
      <w:r w:rsidR="00C357DC" w:rsidRPr="006E744B">
        <w:rPr>
          <w:szCs w:val="22"/>
        </w:rPr>
        <w:t xml:space="preserve">determining </w:t>
      </w:r>
      <w:r w:rsidR="00CA3950" w:rsidRPr="006E744B">
        <w:rPr>
          <w:szCs w:val="22"/>
        </w:rPr>
        <w:t>protection in the repack</w:t>
      </w:r>
      <w:r w:rsidR="00C357DC" w:rsidRPr="006E744B">
        <w:rPr>
          <w:szCs w:val="22"/>
        </w:rPr>
        <w:t>ing process</w:t>
      </w:r>
      <w:r w:rsidR="00CA3950" w:rsidRPr="006E744B">
        <w:rPr>
          <w:szCs w:val="22"/>
        </w:rPr>
        <w:t xml:space="preserve"> </w:t>
      </w:r>
      <w:r w:rsidR="00C357DC" w:rsidRPr="006E744B">
        <w:rPr>
          <w:szCs w:val="22"/>
        </w:rPr>
        <w:t xml:space="preserve">and </w:t>
      </w:r>
      <w:r w:rsidR="00417850" w:rsidRPr="006E744B">
        <w:rPr>
          <w:szCs w:val="22"/>
        </w:rPr>
        <w:t>spectrum usage right</w:t>
      </w:r>
      <w:r w:rsidR="00D049AB" w:rsidRPr="006E744B">
        <w:rPr>
          <w:szCs w:val="22"/>
        </w:rPr>
        <w:t>s</w:t>
      </w:r>
      <w:r w:rsidR="00417850" w:rsidRPr="006E744B">
        <w:rPr>
          <w:szCs w:val="22"/>
        </w:rPr>
        <w:t xml:space="preserve"> eligible</w:t>
      </w:r>
      <w:r w:rsidR="00C357DC" w:rsidRPr="006E744B">
        <w:rPr>
          <w:szCs w:val="22"/>
        </w:rPr>
        <w:t xml:space="preserve"> for relinquishment</w:t>
      </w:r>
      <w:r w:rsidR="00E7195B" w:rsidRPr="006E744B">
        <w:rPr>
          <w:szCs w:val="22"/>
        </w:rPr>
        <w:t xml:space="preserve"> </w:t>
      </w:r>
      <w:r w:rsidR="00C357DC" w:rsidRPr="006E744B">
        <w:rPr>
          <w:szCs w:val="22"/>
        </w:rPr>
        <w:t xml:space="preserve">in </w:t>
      </w:r>
      <w:r w:rsidR="00CA3950" w:rsidRPr="006E744B">
        <w:rPr>
          <w:szCs w:val="22"/>
        </w:rPr>
        <w:t>the reverse auction.</w:t>
      </w:r>
      <w:r w:rsidR="00C916DA" w:rsidRPr="006E744B">
        <w:rPr>
          <w:rStyle w:val="FootnoteReference"/>
          <w:sz w:val="22"/>
          <w:szCs w:val="22"/>
        </w:rPr>
        <w:footnoteReference w:id="9"/>
      </w:r>
      <w:r w:rsidR="00CA3950" w:rsidRPr="006E744B">
        <w:rPr>
          <w:szCs w:val="22"/>
        </w:rPr>
        <w:t xml:space="preserve">   </w:t>
      </w:r>
      <w:r w:rsidR="00E7195B" w:rsidRPr="006E744B">
        <w:rPr>
          <w:szCs w:val="22"/>
        </w:rPr>
        <w:t>Concluding</w:t>
      </w:r>
      <w:r w:rsidR="00CA3950" w:rsidRPr="006E744B">
        <w:rPr>
          <w:szCs w:val="22"/>
        </w:rPr>
        <w:t xml:space="preserve"> otherwise would undermine our ability to </w:t>
      </w:r>
      <w:r w:rsidR="00D049AB" w:rsidRPr="006E744B">
        <w:rPr>
          <w:szCs w:val="22"/>
        </w:rPr>
        <w:t>ensure</w:t>
      </w:r>
      <w:r w:rsidR="00CA3950" w:rsidRPr="006E744B">
        <w:rPr>
          <w:szCs w:val="22"/>
        </w:rPr>
        <w:t xml:space="preserve"> a stable database and prepare for the reverse auction and repacking process.</w:t>
      </w:r>
      <w:r w:rsidR="00A57D37" w:rsidRPr="006E744B">
        <w:rPr>
          <w:rStyle w:val="FootnoteReference"/>
          <w:sz w:val="22"/>
          <w:szCs w:val="22"/>
        </w:rPr>
        <w:footnoteReference w:id="10"/>
      </w:r>
      <w:r w:rsidR="00CA3950" w:rsidRPr="006E744B">
        <w:rPr>
          <w:szCs w:val="22"/>
        </w:rPr>
        <w:t xml:space="preserve"> </w:t>
      </w:r>
      <w:r w:rsidR="009A7B1B" w:rsidRPr="006E744B">
        <w:rPr>
          <w:szCs w:val="22"/>
        </w:rPr>
        <w:t xml:space="preserve"> </w:t>
      </w:r>
    </w:p>
    <w:p w14:paraId="55729264" w14:textId="3802D4AC" w:rsidR="00483BC9" w:rsidRPr="006E744B" w:rsidRDefault="00D42C58" w:rsidP="00C357DC">
      <w:pPr>
        <w:widowControl/>
        <w:spacing w:after="220"/>
        <w:ind w:firstLine="720"/>
        <w:rPr>
          <w:szCs w:val="22"/>
        </w:rPr>
      </w:pPr>
      <w:r w:rsidRPr="006E744B">
        <w:rPr>
          <w:szCs w:val="22"/>
        </w:rPr>
        <w:t>Shortly after the Pre-Auction Licensing Deadline,</w:t>
      </w:r>
      <w:r w:rsidR="00596D7C" w:rsidRPr="006E744B">
        <w:rPr>
          <w:szCs w:val="22"/>
        </w:rPr>
        <w:t xml:space="preserve"> t</w:t>
      </w:r>
      <w:r w:rsidR="001A2FFC" w:rsidRPr="006E744B">
        <w:rPr>
          <w:szCs w:val="22"/>
        </w:rPr>
        <w:t>he Media Bureau will releas</w:t>
      </w:r>
      <w:r w:rsidR="00596D7C" w:rsidRPr="006E744B">
        <w:rPr>
          <w:szCs w:val="22"/>
        </w:rPr>
        <w:t xml:space="preserve">e a </w:t>
      </w:r>
      <w:r w:rsidR="0086546D" w:rsidRPr="006E744B">
        <w:rPr>
          <w:szCs w:val="22"/>
        </w:rPr>
        <w:t>Publ</w:t>
      </w:r>
      <w:r w:rsidR="002537A3" w:rsidRPr="006E744B">
        <w:rPr>
          <w:szCs w:val="22"/>
        </w:rPr>
        <w:t>ic Notice</w:t>
      </w:r>
      <w:r w:rsidR="0086546D" w:rsidRPr="006E744B">
        <w:rPr>
          <w:szCs w:val="22"/>
        </w:rPr>
        <w:t xml:space="preserve"> </w:t>
      </w:r>
      <w:r w:rsidR="002537A3" w:rsidRPr="006E744B">
        <w:rPr>
          <w:szCs w:val="22"/>
        </w:rPr>
        <w:t>(“</w:t>
      </w:r>
      <w:r w:rsidR="002537A3" w:rsidRPr="006E744B">
        <w:rPr>
          <w:i/>
          <w:szCs w:val="22"/>
        </w:rPr>
        <w:t>Eligibility PN</w:t>
      </w:r>
      <w:r w:rsidR="002537A3" w:rsidRPr="006E744B">
        <w:rPr>
          <w:szCs w:val="22"/>
        </w:rPr>
        <w:t xml:space="preserve">”) </w:t>
      </w:r>
      <w:r w:rsidR="001A2FFC" w:rsidRPr="006E744B">
        <w:rPr>
          <w:szCs w:val="22"/>
        </w:rPr>
        <w:t xml:space="preserve">listing the facilities </w:t>
      </w:r>
      <w:r w:rsidR="0086546D" w:rsidRPr="006E744B">
        <w:rPr>
          <w:szCs w:val="22"/>
        </w:rPr>
        <w:t>eligible for protection in</w:t>
      </w:r>
      <w:r w:rsidR="002B1110" w:rsidRPr="006E744B">
        <w:rPr>
          <w:szCs w:val="22"/>
        </w:rPr>
        <w:t xml:space="preserve"> the</w:t>
      </w:r>
      <w:r w:rsidR="0086546D" w:rsidRPr="006E744B">
        <w:rPr>
          <w:szCs w:val="22"/>
        </w:rPr>
        <w:t xml:space="preserve"> repacking</w:t>
      </w:r>
      <w:r w:rsidR="002B1110" w:rsidRPr="006E744B">
        <w:rPr>
          <w:szCs w:val="22"/>
        </w:rPr>
        <w:t xml:space="preserve"> process</w:t>
      </w:r>
      <w:r w:rsidR="0086546D" w:rsidRPr="006E744B">
        <w:rPr>
          <w:szCs w:val="22"/>
        </w:rPr>
        <w:t xml:space="preserve"> </w:t>
      </w:r>
      <w:r w:rsidR="001D2718" w:rsidRPr="006E744B">
        <w:rPr>
          <w:szCs w:val="22"/>
        </w:rPr>
        <w:t>and</w:t>
      </w:r>
      <w:r w:rsidR="0086546D" w:rsidRPr="006E744B">
        <w:rPr>
          <w:szCs w:val="22"/>
        </w:rPr>
        <w:t xml:space="preserve"> relinquishment in the </w:t>
      </w:r>
      <w:r w:rsidR="002B1110" w:rsidRPr="006E744B">
        <w:rPr>
          <w:szCs w:val="22"/>
        </w:rPr>
        <w:t xml:space="preserve">reverse </w:t>
      </w:r>
      <w:r w:rsidR="0086546D" w:rsidRPr="006E744B">
        <w:rPr>
          <w:szCs w:val="22"/>
        </w:rPr>
        <w:t>auction</w:t>
      </w:r>
      <w:r w:rsidR="001D2718" w:rsidRPr="006E744B">
        <w:rPr>
          <w:szCs w:val="22"/>
        </w:rPr>
        <w:t xml:space="preserve"> </w:t>
      </w:r>
      <w:r w:rsidR="0086546D" w:rsidRPr="006E744B">
        <w:rPr>
          <w:szCs w:val="22"/>
        </w:rPr>
        <w:t xml:space="preserve">based on the </w:t>
      </w:r>
      <w:r w:rsidR="002537A3" w:rsidRPr="006E744B">
        <w:rPr>
          <w:color w:val="000000"/>
          <w:szCs w:val="22"/>
        </w:rPr>
        <w:t>database technical information</w:t>
      </w:r>
      <w:r w:rsidR="000B6CD9" w:rsidRPr="006E744B">
        <w:rPr>
          <w:rStyle w:val="FootnoteReference"/>
          <w:sz w:val="22"/>
          <w:szCs w:val="22"/>
        </w:rPr>
        <w:footnoteReference w:id="11"/>
      </w:r>
      <w:r w:rsidR="002537A3" w:rsidRPr="006E744B">
        <w:rPr>
          <w:color w:val="000000"/>
          <w:szCs w:val="22"/>
        </w:rPr>
        <w:t xml:space="preserve"> on file with the Commission</w:t>
      </w:r>
      <w:r w:rsidR="002537A3" w:rsidRPr="006E744B">
        <w:rPr>
          <w:szCs w:val="22"/>
        </w:rPr>
        <w:t xml:space="preserve"> as of</w:t>
      </w:r>
      <w:r w:rsidR="0086546D" w:rsidRPr="006E744B">
        <w:rPr>
          <w:szCs w:val="22"/>
        </w:rPr>
        <w:t xml:space="preserve"> </w:t>
      </w:r>
      <w:r w:rsidR="002107A6" w:rsidRPr="006E744B">
        <w:rPr>
          <w:szCs w:val="22"/>
        </w:rPr>
        <w:t>May 29, 2015</w:t>
      </w:r>
      <w:r w:rsidR="0086546D" w:rsidRPr="006E744B">
        <w:rPr>
          <w:szCs w:val="22"/>
        </w:rPr>
        <w:t>.</w:t>
      </w:r>
      <w:r w:rsidR="00540678" w:rsidRPr="006E744B">
        <w:rPr>
          <w:rStyle w:val="FootnoteReference"/>
          <w:sz w:val="22"/>
          <w:szCs w:val="22"/>
        </w:rPr>
        <w:footnoteReference w:id="12"/>
      </w:r>
      <w:r w:rsidR="0086546D" w:rsidRPr="006E744B">
        <w:rPr>
          <w:szCs w:val="22"/>
        </w:rPr>
        <w:t xml:space="preserve">  Following release of the </w:t>
      </w:r>
      <w:r w:rsidR="0086546D" w:rsidRPr="006E744B">
        <w:rPr>
          <w:i/>
          <w:szCs w:val="22"/>
        </w:rPr>
        <w:t>Eligibility PN</w:t>
      </w:r>
      <w:r w:rsidR="002107A6" w:rsidRPr="006E744B">
        <w:rPr>
          <w:szCs w:val="22"/>
        </w:rPr>
        <w:t xml:space="preserve">, </w:t>
      </w:r>
      <w:r w:rsidR="0086546D" w:rsidRPr="006E744B">
        <w:rPr>
          <w:szCs w:val="22"/>
        </w:rPr>
        <w:t>l</w:t>
      </w:r>
      <w:r w:rsidR="00D85FEC" w:rsidRPr="006E744B">
        <w:rPr>
          <w:szCs w:val="22"/>
        </w:rPr>
        <w:t xml:space="preserve">icensees </w:t>
      </w:r>
      <w:r w:rsidRPr="006E744B">
        <w:rPr>
          <w:szCs w:val="22"/>
        </w:rPr>
        <w:t>will</w:t>
      </w:r>
      <w:r w:rsidR="000678EF" w:rsidRPr="006E744B">
        <w:rPr>
          <w:szCs w:val="22"/>
        </w:rPr>
        <w:t xml:space="preserve"> </w:t>
      </w:r>
      <w:r w:rsidRPr="006E744B">
        <w:rPr>
          <w:szCs w:val="22"/>
        </w:rPr>
        <w:t>have</w:t>
      </w:r>
      <w:r w:rsidR="00561FF6" w:rsidRPr="006E744B">
        <w:rPr>
          <w:szCs w:val="22"/>
        </w:rPr>
        <w:t xml:space="preserve"> thirty (</w:t>
      </w:r>
      <w:r w:rsidRPr="006E744B">
        <w:rPr>
          <w:szCs w:val="22"/>
        </w:rPr>
        <w:t>30</w:t>
      </w:r>
      <w:r w:rsidR="00561FF6" w:rsidRPr="006E744B">
        <w:rPr>
          <w:szCs w:val="22"/>
        </w:rPr>
        <w:t>)</w:t>
      </w:r>
      <w:r w:rsidRPr="006E744B">
        <w:rPr>
          <w:szCs w:val="22"/>
        </w:rPr>
        <w:t xml:space="preserve"> days</w:t>
      </w:r>
      <w:r w:rsidR="00D85FEC" w:rsidRPr="006E744B">
        <w:rPr>
          <w:szCs w:val="22"/>
        </w:rPr>
        <w:t xml:space="preserve"> to file </w:t>
      </w:r>
      <w:r w:rsidR="003E1D58" w:rsidRPr="006E744B">
        <w:rPr>
          <w:szCs w:val="22"/>
        </w:rPr>
        <w:t>the</w:t>
      </w:r>
      <w:r w:rsidR="00D85FEC" w:rsidRPr="006E744B">
        <w:rPr>
          <w:szCs w:val="22"/>
        </w:rPr>
        <w:t xml:space="preserve"> Pre-Auction Technical Certification Form (FCC Form 2100, Schedule 381)</w:t>
      </w:r>
      <w:r w:rsidR="00561FF6" w:rsidRPr="006E744B">
        <w:rPr>
          <w:szCs w:val="22"/>
        </w:rPr>
        <w:t>.</w:t>
      </w:r>
      <w:r w:rsidR="00540678" w:rsidRPr="006E744B">
        <w:rPr>
          <w:rStyle w:val="FootnoteReference"/>
          <w:sz w:val="22"/>
          <w:szCs w:val="22"/>
        </w:rPr>
        <w:footnoteReference w:id="13"/>
      </w:r>
      <w:r w:rsidR="00561FF6" w:rsidRPr="006E744B">
        <w:rPr>
          <w:szCs w:val="22"/>
        </w:rPr>
        <w:t xml:space="preserve">  </w:t>
      </w:r>
      <w:r w:rsidR="008844D6" w:rsidRPr="006E744B">
        <w:rPr>
          <w:szCs w:val="22"/>
        </w:rPr>
        <w:t>T</w:t>
      </w:r>
      <w:r w:rsidR="002107A6" w:rsidRPr="006E744B">
        <w:rPr>
          <w:szCs w:val="22"/>
        </w:rPr>
        <w:t>he Pre-Auction Technical Certification Form</w:t>
      </w:r>
      <w:r w:rsidR="00540678" w:rsidRPr="006E744B">
        <w:rPr>
          <w:szCs w:val="22"/>
        </w:rPr>
        <w:t xml:space="preserve"> </w:t>
      </w:r>
      <w:r w:rsidR="003E1D58" w:rsidRPr="006E744B">
        <w:rPr>
          <w:szCs w:val="22"/>
        </w:rPr>
        <w:t>require</w:t>
      </w:r>
      <w:r w:rsidR="008844D6" w:rsidRPr="006E744B">
        <w:rPr>
          <w:szCs w:val="22"/>
        </w:rPr>
        <w:t>s</w:t>
      </w:r>
      <w:r w:rsidR="003E1D58" w:rsidRPr="006E744B">
        <w:rPr>
          <w:szCs w:val="22"/>
        </w:rPr>
        <w:t xml:space="preserve"> full power and Class A licensees to </w:t>
      </w:r>
      <w:r w:rsidR="00561FF6" w:rsidRPr="006E744B">
        <w:rPr>
          <w:szCs w:val="22"/>
        </w:rPr>
        <w:t>certify</w:t>
      </w:r>
      <w:r w:rsidR="00D85FEC" w:rsidRPr="006E744B">
        <w:rPr>
          <w:szCs w:val="22"/>
        </w:rPr>
        <w:t xml:space="preserve"> that they have reviewed </w:t>
      </w:r>
      <w:r w:rsidR="00561FF6" w:rsidRPr="006E744B">
        <w:rPr>
          <w:szCs w:val="22"/>
        </w:rPr>
        <w:t>the</w:t>
      </w:r>
      <w:r w:rsidR="00D85FEC" w:rsidRPr="006E744B">
        <w:rPr>
          <w:szCs w:val="22"/>
        </w:rPr>
        <w:t xml:space="preserve"> authorization</w:t>
      </w:r>
      <w:r w:rsidR="002107A6" w:rsidRPr="006E744B">
        <w:rPr>
          <w:szCs w:val="22"/>
        </w:rPr>
        <w:t xml:space="preserve"> for </w:t>
      </w:r>
      <w:r w:rsidR="00976CA0" w:rsidRPr="006E744B">
        <w:rPr>
          <w:szCs w:val="22"/>
        </w:rPr>
        <w:t xml:space="preserve">each </w:t>
      </w:r>
      <w:r w:rsidR="002107A6" w:rsidRPr="006E744B">
        <w:rPr>
          <w:szCs w:val="22"/>
        </w:rPr>
        <w:t xml:space="preserve">eligible facility listed in the </w:t>
      </w:r>
      <w:r w:rsidR="002107A6" w:rsidRPr="006E744B">
        <w:rPr>
          <w:i/>
          <w:szCs w:val="22"/>
        </w:rPr>
        <w:t>Eligibility PN</w:t>
      </w:r>
      <w:r w:rsidR="00D85FEC" w:rsidRPr="006E744B">
        <w:rPr>
          <w:szCs w:val="22"/>
        </w:rPr>
        <w:t xml:space="preserve"> and</w:t>
      </w:r>
      <w:r w:rsidR="002107A6" w:rsidRPr="006E744B">
        <w:rPr>
          <w:szCs w:val="22"/>
        </w:rPr>
        <w:t xml:space="preserve"> </w:t>
      </w:r>
      <w:r w:rsidR="00273380" w:rsidRPr="006E744B">
        <w:rPr>
          <w:szCs w:val="22"/>
        </w:rPr>
        <w:t xml:space="preserve">indicate whether </w:t>
      </w:r>
      <w:r w:rsidR="003E1D58" w:rsidRPr="006E744B">
        <w:rPr>
          <w:szCs w:val="22"/>
        </w:rPr>
        <w:t xml:space="preserve">the </w:t>
      </w:r>
      <w:r w:rsidR="00D85FEC" w:rsidRPr="006E744B">
        <w:rPr>
          <w:szCs w:val="22"/>
        </w:rPr>
        <w:t xml:space="preserve">underlying </w:t>
      </w:r>
      <w:r w:rsidR="00D85FEC" w:rsidRPr="006E744B">
        <w:rPr>
          <w:szCs w:val="22"/>
        </w:rPr>
        <w:lastRenderedPageBreak/>
        <w:t xml:space="preserve">database technical information for </w:t>
      </w:r>
      <w:r w:rsidR="003E1D58" w:rsidRPr="006E744B">
        <w:rPr>
          <w:szCs w:val="22"/>
        </w:rPr>
        <w:t>their</w:t>
      </w:r>
      <w:r w:rsidR="00561FF6" w:rsidRPr="006E744B">
        <w:rPr>
          <w:szCs w:val="22"/>
        </w:rPr>
        <w:t xml:space="preserve"> </w:t>
      </w:r>
      <w:r w:rsidR="00D85FEC" w:rsidRPr="006E744B">
        <w:rPr>
          <w:szCs w:val="22"/>
        </w:rPr>
        <w:t xml:space="preserve">eligible facility </w:t>
      </w:r>
      <w:r w:rsidR="00561FF6" w:rsidRPr="006E744B">
        <w:rPr>
          <w:szCs w:val="22"/>
        </w:rPr>
        <w:t>is correct</w:t>
      </w:r>
      <w:r w:rsidR="00D85FEC" w:rsidRPr="006E744B">
        <w:rPr>
          <w:szCs w:val="22"/>
        </w:rPr>
        <w:t>.</w:t>
      </w:r>
      <w:r w:rsidR="00D85FEC" w:rsidRPr="006E744B">
        <w:rPr>
          <w:rStyle w:val="FootnoteReference"/>
          <w:sz w:val="22"/>
          <w:szCs w:val="22"/>
        </w:rPr>
        <w:footnoteReference w:id="14"/>
      </w:r>
      <w:r w:rsidR="00D85FEC" w:rsidRPr="006E744B">
        <w:rPr>
          <w:szCs w:val="22"/>
        </w:rPr>
        <w:t xml:space="preserve">  </w:t>
      </w:r>
      <w:r w:rsidR="00C357DC" w:rsidRPr="006E744B">
        <w:rPr>
          <w:szCs w:val="22"/>
        </w:rPr>
        <w:t xml:space="preserve">Should the licensee discover that the Commission has made an error in the authorization or the underlying database technical information, the Commission will correct the error and </w:t>
      </w:r>
      <w:r w:rsidR="00483BC9" w:rsidRPr="006E744B">
        <w:rPr>
          <w:szCs w:val="22"/>
        </w:rPr>
        <w:t>will</w:t>
      </w:r>
      <w:r w:rsidR="00C357DC" w:rsidRPr="006E744B">
        <w:rPr>
          <w:szCs w:val="22"/>
        </w:rPr>
        <w:t xml:space="preserve"> c</w:t>
      </w:r>
      <w:r w:rsidR="00483BC9" w:rsidRPr="006E744B">
        <w:rPr>
          <w:szCs w:val="22"/>
        </w:rPr>
        <w:t xml:space="preserve">onsider the corrected information for purposes of determining </w:t>
      </w:r>
      <w:r w:rsidR="00C357DC" w:rsidRPr="006E744B">
        <w:rPr>
          <w:szCs w:val="22"/>
        </w:rPr>
        <w:t xml:space="preserve">protection in the repacking process and the spectrum usage rights eligible for relinquishment in </w:t>
      </w:r>
      <w:r w:rsidR="0083624C" w:rsidRPr="006E744B">
        <w:rPr>
          <w:szCs w:val="22"/>
        </w:rPr>
        <w:t>the reverse auction</w:t>
      </w:r>
      <w:r w:rsidR="00417850" w:rsidRPr="006E744B">
        <w:rPr>
          <w:szCs w:val="22"/>
        </w:rPr>
        <w:t>.</w:t>
      </w:r>
      <w:r w:rsidR="00417850" w:rsidRPr="006E744B">
        <w:rPr>
          <w:rStyle w:val="FootnoteReference"/>
          <w:sz w:val="22"/>
          <w:szCs w:val="22"/>
        </w:rPr>
        <w:footnoteReference w:id="15"/>
      </w:r>
    </w:p>
    <w:p w14:paraId="2766FB11" w14:textId="6EE4DB08" w:rsidR="000A2FA9" w:rsidRPr="006E744B" w:rsidRDefault="00563E57" w:rsidP="00C357DC">
      <w:pPr>
        <w:widowControl/>
        <w:spacing w:after="220"/>
        <w:ind w:firstLine="720"/>
        <w:rPr>
          <w:szCs w:val="22"/>
        </w:rPr>
      </w:pPr>
      <w:r w:rsidRPr="006E744B">
        <w:rPr>
          <w:szCs w:val="22"/>
        </w:rPr>
        <w:t>A copy of the Pre-Auction Technical Certification Form is attached to this Public Notice.</w:t>
      </w:r>
      <w:r w:rsidRPr="006E744B">
        <w:rPr>
          <w:rStyle w:val="FootnoteReference"/>
          <w:sz w:val="22"/>
          <w:szCs w:val="22"/>
        </w:rPr>
        <w:footnoteReference w:id="16"/>
      </w:r>
      <w:r w:rsidR="00F06C9A" w:rsidRPr="006E744B">
        <w:rPr>
          <w:szCs w:val="22"/>
        </w:rPr>
        <w:t xml:space="preserve">  </w:t>
      </w:r>
      <w:r w:rsidR="000B6CD9" w:rsidRPr="006E744B">
        <w:rPr>
          <w:szCs w:val="22"/>
        </w:rPr>
        <w:t xml:space="preserve">A separate Form </w:t>
      </w:r>
      <w:r w:rsidR="00572885" w:rsidRPr="006E744B">
        <w:rPr>
          <w:szCs w:val="22"/>
        </w:rPr>
        <w:t>must</w:t>
      </w:r>
      <w:r w:rsidR="000B6CD9" w:rsidRPr="006E744B">
        <w:rPr>
          <w:szCs w:val="22"/>
        </w:rPr>
        <w:t xml:space="preserve"> be filed for each eligible facility.  </w:t>
      </w:r>
      <w:r w:rsidRPr="006E744B">
        <w:rPr>
          <w:szCs w:val="22"/>
        </w:rPr>
        <w:t>We encourage all full power and Class A licensees to review the Form and begin the process of gathering the informa</w:t>
      </w:r>
      <w:r w:rsidR="00BF4B80" w:rsidRPr="006E744B">
        <w:rPr>
          <w:szCs w:val="22"/>
        </w:rPr>
        <w:t xml:space="preserve">tion necessary to complete it.  </w:t>
      </w:r>
      <w:r w:rsidR="007E47B3" w:rsidRPr="006E744B">
        <w:rPr>
          <w:szCs w:val="22"/>
        </w:rPr>
        <w:t xml:space="preserve">We currently anticipate that the </w:t>
      </w:r>
      <w:r w:rsidR="007E47B3" w:rsidRPr="006E744B">
        <w:rPr>
          <w:i/>
          <w:szCs w:val="22"/>
        </w:rPr>
        <w:t>Eligibility PN</w:t>
      </w:r>
      <w:r w:rsidR="007E47B3" w:rsidRPr="006E744B">
        <w:rPr>
          <w:szCs w:val="22"/>
        </w:rPr>
        <w:t xml:space="preserve"> will be released and the Pre-Auction Technical Certification Form will be made available for filing by mid-June 2015.  </w:t>
      </w:r>
    </w:p>
    <w:p w14:paraId="34BA94DE" w14:textId="1718EBCF" w:rsidR="002C5CCC" w:rsidRPr="006E744B" w:rsidRDefault="0039342E" w:rsidP="005B0E07">
      <w:pPr>
        <w:pStyle w:val="FootnoteText"/>
        <w:widowControl w:val="0"/>
        <w:spacing w:after="220"/>
        <w:ind w:firstLine="720"/>
        <w:rPr>
          <w:color w:val="000000"/>
          <w:sz w:val="22"/>
          <w:szCs w:val="22"/>
        </w:rPr>
      </w:pPr>
      <w:r w:rsidRPr="006E744B">
        <w:rPr>
          <w:rFonts w:eastAsia="TimesNewRoman"/>
          <w:sz w:val="22"/>
          <w:szCs w:val="22"/>
        </w:rPr>
        <w:t xml:space="preserve">For additional information on this Public Notice, contact </w:t>
      </w:r>
      <w:r w:rsidR="00AD7B0C" w:rsidRPr="006E744B">
        <w:rPr>
          <w:rFonts w:eastAsia="TimesNewRoman"/>
          <w:sz w:val="22"/>
          <w:szCs w:val="22"/>
        </w:rPr>
        <w:t>Evan Morris</w:t>
      </w:r>
      <w:r w:rsidRPr="006E744B">
        <w:rPr>
          <w:rFonts w:eastAsia="TimesNewRoman"/>
          <w:sz w:val="22"/>
          <w:szCs w:val="22"/>
        </w:rPr>
        <w:t>,</w:t>
      </w:r>
      <w:r w:rsidR="007403CA" w:rsidRPr="006E744B">
        <w:rPr>
          <w:rFonts w:eastAsia="TimesNewRoman"/>
          <w:sz w:val="22"/>
          <w:szCs w:val="22"/>
        </w:rPr>
        <w:t xml:space="preserve"> </w:t>
      </w:r>
      <w:hyperlink r:id="rId8" w:history="1">
        <w:r w:rsidR="003F778F" w:rsidRPr="006E744B">
          <w:rPr>
            <w:rStyle w:val="Hyperlink"/>
            <w:rFonts w:eastAsia="TimesNewRoman"/>
            <w:sz w:val="22"/>
            <w:szCs w:val="22"/>
          </w:rPr>
          <w:t>Evan.Morris@fcc.gov</w:t>
        </w:r>
      </w:hyperlink>
      <w:r w:rsidR="003222C1" w:rsidRPr="006E744B">
        <w:rPr>
          <w:rFonts w:eastAsia="TimesNewRoman"/>
          <w:sz w:val="22"/>
          <w:szCs w:val="22"/>
        </w:rPr>
        <w:t xml:space="preserve"> (legal), </w:t>
      </w:r>
      <w:r w:rsidR="007403CA" w:rsidRPr="006E744B">
        <w:rPr>
          <w:rFonts w:eastAsia="TimesNewRoman"/>
          <w:sz w:val="22"/>
          <w:szCs w:val="22"/>
        </w:rPr>
        <w:t>Kevin Harding</w:t>
      </w:r>
      <w:r w:rsidRPr="006E744B">
        <w:rPr>
          <w:rFonts w:eastAsia="TimesNewRoman"/>
          <w:sz w:val="22"/>
          <w:szCs w:val="22"/>
        </w:rPr>
        <w:t>,</w:t>
      </w:r>
      <w:r w:rsidR="007403CA" w:rsidRPr="006E744B">
        <w:rPr>
          <w:rFonts w:eastAsia="TimesNewRoman"/>
          <w:sz w:val="22"/>
          <w:szCs w:val="22"/>
        </w:rPr>
        <w:t xml:space="preserve"> </w:t>
      </w:r>
      <w:hyperlink r:id="rId9" w:history="1">
        <w:r w:rsidR="003F778F" w:rsidRPr="006E744B">
          <w:rPr>
            <w:rStyle w:val="Hyperlink"/>
            <w:rFonts w:eastAsia="TimesNewRoman"/>
            <w:sz w:val="22"/>
            <w:szCs w:val="22"/>
          </w:rPr>
          <w:t>Kevin.Harding@fcc.gov</w:t>
        </w:r>
      </w:hyperlink>
      <w:r w:rsidR="003222C1" w:rsidRPr="006E744B">
        <w:rPr>
          <w:rFonts w:eastAsia="TimesNewRoman"/>
          <w:sz w:val="22"/>
          <w:szCs w:val="22"/>
        </w:rPr>
        <w:t xml:space="preserve"> (technical), or</w:t>
      </w:r>
      <w:r w:rsidR="00453F5F" w:rsidRPr="006E744B">
        <w:rPr>
          <w:rFonts w:eastAsia="TimesNewRoman"/>
          <w:sz w:val="22"/>
          <w:szCs w:val="22"/>
        </w:rPr>
        <w:t xml:space="preserve"> Hossein Hashemzadeh, </w:t>
      </w:r>
      <w:hyperlink r:id="rId10" w:history="1">
        <w:r w:rsidR="00453F5F" w:rsidRPr="006E744B">
          <w:rPr>
            <w:rStyle w:val="Hyperlink"/>
            <w:rFonts w:eastAsia="TimesNewRoman"/>
            <w:sz w:val="22"/>
            <w:szCs w:val="22"/>
          </w:rPr>
          <w:t>Hossein.Hashemazdeh@fcc.gov</w:t>
        </w:r>
      </w:hyperlink>
      <w:r w:rsidR="00453F5F" w:rsidRPr="006E744B">
        <w:rPr>
          <w:rFonts w:eastAsia="TimesNewRoman"/>
          <w:sz w:val="22"/>
          <w:szCs w:val="22"/>
        </w:rPr>
        <w:t xml:space="preserve"> </w:t>
      </w:r>
      <w:r w:rsidR="003222C1" w:rsidRPr="006E744B">
        <w:rPr>
          <w:rFonts w:eastAsia="TimesNewRoman"/>
          <w:sz w:val="22"/>
          <w:szCs w:val="22"/>
        </w:rPr>
        <w:t>(</w:t>
      </w:r>
      <w:r w:rsidR="0063378F" w:rsidRPr="006E744B">
        <w:rPr>
          <w:rFonts w:eastAsia="TimesNewRoman"/>
          <w:sz w:val="22"/>
          <w:szCs w:val="22"/>
        </w:rPr>
        <w:t>technical/database</w:t>
      </w:r>
      <w:r w:rsidR="003222C1" w:rsidRPr="006E744B">
        <w:rPr>
          <w:rFonts w:eastAsia="TimesNewRoman"/>
          <w:sz w:val="22"/>
          <w:szCs w:val="22"/>
        </w:rPr>
        <w:t>)</w:t>
      </w:r>
      <w:r w:rsidR="0063378F" w:rsidRPr="006E744B">
        <w:rPr>
          <w:rFonts w:eastAsia="TimesNewRoman"/>
          <w:sz w:val="22"/>
          <w:szCs w:val="22"/>
        </w:rPr>
        <w:t>,</w:t>
      </w:r>
      <w:r w:rsidR="003222C1" w:rsidRPr="006E744B">
        <w:rPr>
          <w:rFonts w:eastAsia="TimesNewRoman"/>
          <w:sz w:val="22"/>
          <w:szCs w:val="22"/>
        </w:rPr>
        <w:t xml:space="preserve"> </w:t>
      </w:r>
      <w:r w:rsidRPr="006E744B">
        <w:rPr>
          <w:rFonts w:eastAsia="TimesNewRoman"/>
          <w:sz w:val="22"/>
          <w:szCs w:val="22"/>
        </w:rPr>
        <w:t xml:space="preserve">of the </w:t>
      </w:r>
      <w:r w:rsidR="007403CA" w:rsidRPr="006E744B">
        <w:rPr>
          <w:rFonts w:eastAsia="TimesNewRoman"/>
          <w:sz w:val="22"/>
          <w:szCs w:val="22"/>
        </w:rPr>
        <w:t>Video Division</w:t>
      </w:r>
      <w:r w:rsidRPr="006E744B">
        <w:rPr>
          <w:rFonts w:eastAsia="TimesNewRoman"/>
          <w:sz w:val="22"/>
          <w:szCs w:val="22"/>
        </w:rPr>
        <w:t>,</w:t>
      </w:r>
      <w:r w:rsidR="007403CA" w:rsidRPr="006E744B">
        <w:rPr>
          <w:rFonts w:eastAsia="TimesNewRoman"/>
          <w:sz w:val="22"/>
          <w:szCs w:val="22"/>
        </w:rPr>
        <w:t xml:space="preserve"> Media Bureau, at (202) 418-1600</w:t>
      </w:r>
      <w:r w:rsidRPr="006E744B">
        <w:rPr>
          <w:rFonts w:eastAsia="TimesNewRoman"/>
          <w:sz w:val="22"/>
          <w:szCs w:val="22"/>
        </w:rPr>
        <w:t>.</w:t>
      </w:r>
      <w:r w:rsidR="007403CA" w:rsidRPr="006E744B">
        <w:rPr>
          <w:rFonts w:eastAsia="TimesNewRoman"/>
          <w:sz w:val="22"/>
          <w:szCs w:val="22"/>
        </w:rPr>
        <w:t xml:space="preserve">  </w:t>
      </w:r>
      <w:r w:rsidRPr="006E744B">
        <w:rPr>
          <w:rFonts w:eastAsia="TimesNewRoman"/>
          <w:sz w:val="22"/>
          <w:szCs w:val="22"/>
        </w:rPr>
        <w:t xml:space="preserve">Press inquiries should be directed to Janice Wise, (202) 418-8165. </w:t>
      </w:r>
    </w:p>
    <w:p w14:paraId="74EDCC61" w14:textId="77777777" w:rsidR="00926966" w:rsidRPr="006E744B" w:rsidRDefault="00926966" w:rsidP="005B0E07">
      <w:pPr>
        <w:autoSpaceDE w:val="0"/>
        <w:autoSpaceDN w:val="0"/>
        <w:adjustRightInd w:val="0"/>
        <w:spacing w:after="220"/>
        <w:jc w:val="center"/>
        <w:rPr>
          <w:rFonts w:eastAsia="TimesNewRoman"/>
          <w:snapToGrid/>
          <w:color w:val="000000"/>
          <w:kern w:val="0"/>
          <w:szCs w:val="22"/>
        </w:rPr>
      </w:pPr>
      <w:r w:rsidRPr="006E744B">
        <w:rPr>
          <w:rFonts w:eastAsia="TimesNewRoman"/>
          <w:snapToGrid/>
          <w:color w:val="000000"/>
          <w:kern w:val="0"/>
          <w:szCs w:val="22"/>
        </w:rPr>
        <w:t>--FCC--</w:t>
      </w:r>
    </w:p>
    <w:sectPr w:rsidR="00926966" w:rsidRPr="006E744B"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3571B" w14:textId="77777777" w:rsidR="008D26EB" w:rsidRDefault="008D26EB">
      <w:pPr>
        <w:spacing w:line="20" w:lineRule="exact"/>
      </w:pPr>
    </w:p>
  </w:endnote>
  <w:endnote w:type="continuationSeparator" w:id="0">
    <w:p w14:paraId="34C74D11" w14:textId="77777777" w:rsidR="008D26EB" w:rsidRDefault="008D26EB">
      <w:r>
        <w:t xml:space="preserve"> </w:t>
      </w:r>
    </w:p>
  </w:endnote>
  <w:endnote w:type="continuationNotice" w:id="1">
    <w:p w14:paraId="3CF072BA" w14:textId="77777777" w:rsidR="008D26EB" w:rsidRDefault="008D26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News Gothic MT">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TimesNewRoman,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7D2CA"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83E4568" w14:textId="77777777" w:rsidR="00D25FB5" w:rsidRDefault="00D25FB5">
    <w:pPr>
      <w:pStyle w:val="Footer"/>
    </w:pPr>
  </w:p>
  <w:p w14:paraId="47F97F32"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710CA"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0A3E2D">
      <w:rPr>
        <w:noProof/>
      </w:rPr>
      <w:t>3</w:t>
    </w:r>
    <w:r>
      <w:fldChar w:fldCharType="end"/>
    </w:r>
  </w:p>
  <w:p w14:paraId="62EC02DA"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BA042"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08CF7" w14:textId="77777777" w:rsidR="008D26EB" w:rsidRDefault="008D26EB">
      <w:r>
        <w:separator/>
      </w:r>
    </w:p>
  </w:footnote>
  <w:footnote w:type="continuationSeparator" w:id="0">
    <w:p w14:paraId="61C01118" w14:textId="77777777" w:rsidR="008D26EB" w:rsidRDefault="008D26EB" w:rsidP="00C721AC">
      <w:pPr>
        <w:spacing w:before="120"/>
        <w:rPr>
          <w:sz w:val="20"/>
        </w:rPr>
      </w:pPr>
      <w:r>
        <w:rPr>
          <w:sz w:val="20"/>
        </w:rPr>
        <w:t xml:space="preserve">(Continued from previous page)  </w:t>
      </w:r>
      <w:r>
        <w:rPr>
          <w:sz w:val="20"/>
        </w:rPr>
        <w:separator/>
      </w:r>
    </w:p>
  </w:footnote>
  <w:footnote w:type="continuationNotice" w:id="1">
    <w:p w14:paraId="1E78AA92" w14:textId="77777777" w:rsidR="008D26EB" w:rsidRDefault="008D26EB" w:rsidP="00C721AC">
      <w:pPr>
        <w:jc w:val="right"/>
        <w:rPr>
          <w:sz w:val="20"/>
        </w:rPr>
      </w:pPr>
      <w:r>
        <w:rPr>
          <w:sz w:val="20"/>
        </w:rPr>
        <w:t>(continued….)</w:t>
      </w:r>
    </w:p>
  </w:footnote>
  <w:footnote w:id="2">
    <w:p w14:paraId="1355A588" w14:textId="77777777" w:rsidR="00F20385" w:rsidRPr="006E744B" w:rsidRDefault="00F20385" w:rsidP="005B0E07">
      <w:pPr>
        <w:pStyle w:val="FootnoteText"/>
        <w:widowControl w:val="0"/>
      </w:pPr>
      <w:r w:rsidRPr="006E744B">
        <w:rPr>
          <w:rStyle w:val="FootnoteReference"/>
        </w:rPr>
        <w:footnoteRef/>
      </w:r>
      <w:r w:rsidRPr="006E744B">
        <w:t xml:space="preserve"> </w:t>
      </w:r>
      <w:r w:rsidR="002537A3" w:rsidRPr="006E744B">
        <w:rPr>
          <w:i/>
        </w:rPr>
        <w:t>Media Bureau Designates May 29, 2015 as Pre-Auction Licensing Deadline</w:t>
      </w:r>
      <w:r w:rsidR="00FA0788" w:rsidRPr="006E744B">
        <w:t>, Public Notice, 30 FCC Rcd 393</w:t>
      </w:r>
      <w:r w:rsidR="002537A3" w:rsidRPr="006E744B">
        <w:t xml:space="preserve"> (</w:t>
      </w:r>
      <w:r w:rsidR="002760DE" w:rsidRPr="006E744B">
        <w:t>M</w:t>
      </w:r>
      <w:r w:rsidR="00FA0788" w:rsidRPr="006E744B">
        <w:t xml:space="preserve">B 2015).  </w:t>
      </w:r>
      <w:r w:rsidR="002537A3" w:rsidRPr="006E744B">
        <w:rPr>
          <w:i/>
        </w:rPr>
        <w:t>See also Expanding the Economic and Innovation Opportunities of Spectrum Through Incentive Auctions</w:t>
      </w:r>
      <w:r w:rsidR="002537A3" w:rsidRPr="006E744B">
        <w:t>, GN Docket No. 12-268, Report and Order, 29 FCC Rcd 6567, 6656, para. 195 and n.</w:t>
      </w:r>
      <w:r w:rsidR="001D2718" w:rsidRPr="006E744B">
        <w:t xml:space="preserve"> </w:t>
      </w:r>
      <w:r w:rsidR="002537A3" w:rsidRPr="006E744B">
        <w:t>646 (2014)</w:t>
      </w:r>
      <w:r w:rsidR="00FC0413" w:rsidRPr="006E744B">
        <w:t xml:space="preserve"> </w:t>
      </w:r>
      <w:r w:rsidR="002537A3" w:rsidRPr="006E744B">
        <w:t>(“</w:t>
      </w:r>
      <w:r w:rsidR="002537A3" w:rsidRPr="006E744B">
        <w:rPr>
          <w:i/>
        </w:rPr>
        <w:t>Incentive Auction R&amp;O</w:t>
      </w:r>
      <w:r w:rsidR="002537A3" w:rsidRPr="006E744B">
        <w:t>”)</w:t>
      </w:r>
      <w:r w:rsidR="001D2718" w:rsidRPr="006E744B">
        <w:t>.</w:t>
      </w:r>
    </w:p>
  </w:footnote>
  <w:footnote w:id="3">
    <w:p w14:paraId="57BC2041" w14:textId="77777777" w:rsidR="001D2718" w:rsidRPr="006E744B" w:rsidRDefault="001D2718" w:rsidP="005B0E07">
      <w:pPr>
        <w:autoSpaceDE w:val="0"/>
        <w:autoSpaceDN w:val="0"/>
        <w:adjustRightInd w:val="0"/>
        <w:spacing w:after="120"/>
        <w:rPr>
          <w:rFonts w:eastAsia="TimesNewRoman"/>
          <w:snapToGrid/>
          <w:kern w:val="0"/>
          <w:sz w:val="20"/>
        </w:rPr>
      </w:pPr>
      <w:r w:rsidRPr="006E744B">
        <w:rPr>
          <w:rStyle w:val="FootnoteReference"/>
        </w:rPr>
        <w:footnoteRef/>
      </w:r>
      <w:r w:rsidRPr="006E744B">
        <w:rPr>
          <w:sz w:val="20"/>
        </w:rPr>
        <w:t xml:space="preserve"> </w:t>
      </w:r>
      <w:r w:rsidR="00E962EC" w:rsidRPr="006E744B">
        <w:rPr>
          <w:i/>
          <w:sz w:val="20"/>
        </w:rPr>
        <w:t>Incentive Auction R&amp;O</w:t>
      </w:r>
      <w:r w:rsidR="00E962EC" w:rsidRPr="006E744B">
        <w:rPr>
          <w:sz w:val="20"/>
        </w:rPr>
        <w:t>, 29 FCC Rcd</w:t>
      </w:r>
      <w:r w:rsidR="00976CA0" w:rsidRPr="006E744B">
        <w:rPr>
          <w:sz w:val="20"/>
        </w:rPr>
        <w:t xml:space="preserve"> </w:t>
      </w:r>
      <w:r w:rsidRPr="006E744B">
        <w:rPr>
          <w:sz w:val="20"/>
        </w:rPr>
        <w:t xml:space="preserve">at 6652-53, paras. 185-86 (mandatory protection); </w:t>
      </w:r>
      <w:r w:rsidRPr="006E744B">
        <w:rPr>
          <w:i/>
          <w:sz w:val="20"/>
        </w:rPr>
        <w:t>Id.</w:t>
      </w:r>
      <w:r w:rsidRPr="006E744B">
        <w:rPr>
          <w:sz w:val="20"/>
        </w:rPr>
        <w:t xml:space="preserve"> at 6655-63, paras. 194-218 (discretionary protection); </w:t>
      </w:r>
      <w:r w:rsidRPr="006E744B">
        <w:rPr>
          <w:i/>
          <w:sz w:val="20"/>
        </w:rPr>
        <w:t>Id.</w:t>
      </w:r>
      <w:r w:rsidRPr="006E744B">
        <w:rPr>
          <w:sz w:val="20"/>
        </w:rPr>
        <w:t xml:space="preserve"> at 6718, para. 355 (</w:t>
      </w:r>
      <w:r w:rsidR="005B0E07" w:rsidRPr="006E744B">
        <w:rPr>
          <w:sz w:val="20"/>
        </w:rPr>
        <w:t>spectrum usage rights eligible for relinquishment</w:t>
      </w:r>
      <w:r w:rsidRPr="006E744B">
        <w:rPr>
          <w:sz w:val="20"/>
        </w:rPr>
        <w:t xml:space="preserve">).   </w:t>
      </w:r>
    </w:p>
  </w:footnote>
  <w:footnote w:id="4">
    <w:p w14:paraId="672E5340" w14:textId="5C31448F" w:rsidR="007A0236" w:rsidRPr="006E744B" w:rsidRDefault="007A0236" w:rsidP="005B0E07">
      <w:pPr>
        <w:autoSpaceDE w:val="0"/>
        <w:autoSpaceDN w:val="0"/>
        <w:adjustRightInd w:val="0"/>
        <w:spacing w:after="120"/>
        <w:rPr>
          <w:sz w:val="20"/>
        </w:rPr>
      </w:pPr>
      <w:r w:rsidRPr="006E744B">
        <w:rPr>
          <w:rStyle w:val="FootnoteReference"/>
        </w:rPr>
        <w:footnoteRef/>
      </w:r>
      <w:r w:rsidRPr="006E744B">
        <w:rPr>
          <w:sz w:val="20"/>
        </w:rPr>
        <w:t xml:space="preserve"> Licensees affected by the destruction of the World Trade Center may elect to protect either their </w:t>
      </w:r>
      <w:r w:rsidRPr="006E744B">
        <w:rPr>
          <w:rFonts w:eastAsia="TimesNewRoman"/>
          <w:snapToGrid/>
          <w:kern w:val="0"/>
          <w:sz w:val="20"/>
        </w:rPr>
        <w:t>licensed Empire State Building facility or a proposed new facility at One World Trade Center so long as that new facility has been applied for and authorized in a construction permit granted by the Pre-Auction Licensing Deadline.</w:t>
      </w:r>
      <w:r w:rsidRPr="006E744B">
        <w:rPr>
          <w:sz w:val="20"/>
        </w:rPr>
        <w:t xml:space="preserve">  </w:t>
      </w:r>
      <w:r w:rsidRPr="006E744B">
        <w:rPr>
          <w:i/>
          <w:sz w:val="20"/>
        </w:rPr>
        <w:t>Id.</w:t>
      </w:r>
      <w:r w:rsidRPr="006E744B">
        <w:rPr>
          <w:sz w:val="20"/>
        </w:rPr>
        <w:t xml:space="preserve"> at 6665-66, paras. 21</w:t>
      </w:r>
      <w:r w:rsidR="00402E17">
        <w:rPr>
          <w:sz w:val="20"/>
        </w:rPr>
        <w:t xml:space="preserve">9-20.  </w:t>
      </w:r>
      <w:r w:rsidR="000678EF" w:rsidRPr="006E744B">
        <w:rPr>
          <w:sz w:val="20"/>
        </w:rPr>
        <w:t>These l</w:t>
      </w:r>
      <w:r w:rsidRPr="006E744B">
        <w:rPr>
          <w:sz w:val="20"/>
        </w:rPr>
        <w:t xml:space="preserve">icensees must file a letter with the Commission making their election no later than May 29, 2015.  </w:t>
      </w:r>
      <w:r w:rsidRPr="006E744B">
        <w:rPr>
          <w:i/>
          <w:sz w:val="20"/>
        </w:rPr>
        <w:t xml:space="preserve">Id. </w:t>
      </w:r>
      <w:r w:rsidRPr="006E744B">
        <w:rPr>
          <w:sz w:val="20"/>
        </w:rPr>
        <w:t xml:space="preserve">at 6665, n. 690.  A copy of the letter should also be emailed to Kevin Harding, Associate </w:t>
      </w:r>
      <w:r w:rsidR="001A2FFC" w:rsidRPr="006E744B">
        <w:rPr>
          <w:sz w:val="20"/>
        </w:rPr>
        <w:t xml:space="preserve">Division Chief, Video Division, </w:t>
      </w:r>
      <w:r w:rsidRPr="006E744B">
        <w:rPr>
          <w:sz w:val="20"/>
        </w:rPr>
        <w:t xml:space="preserve">Media Bureau at </w:t>
      </w:r>
      <w:hyperlink r:id="rId1" w:history="1">
        <w:r w:rsidRPr="006E744B">
          <w:rPr>
            <w:rStyle w:val="Hyperlink"/>
            <w:sz w:val="20"/>
          </w:rPr>
          <w:t>kevin.harding@fcc.gov</w:t>
        </w:r>
      </w:hyperlink>
      <w:r w:rsidRPr="006E744B">
        <w:rPr>
          <w:sz w:val="20"/>
        </w:rPr>
        <w:t>.</w:t>
      </w:r>
    </w:p>
  </w:footnote>
  <w:footnote w:id="5">
    <w:p w14:paraId="773C9ED4" w14:textId="77777777" w:rsidR="00371C11" w:rsidRPr="006E744B" w:rsidRDefault="00371C11" w:rsidP="005B0E07">
      <w:pPr>
        <w:autoSpaceDE w:val="0"/>
        <w:autoSpaceDN w:val="0"/>
        <w:adjustRightInd w:val="0"/>
        <w:spacing w:after="120"/>
        <w:rPr>
          <w:rFonts w:ascii="TimesNewRoman,Italic" w:hAnsi="TimesNewRoman,Italic" w:cs="TimesNewRoman,Italic"/>
          <w:i/>
          <w:iCs/>
          <w:snapToGrid/>
          <w:kern w:val="0"/>
          <w:sz w:val="20"/>
        </w:rPr>
      </w:pPr>
      <w:r w:rsidRPr="006E744B">
        <w:rPr>
          <w:rStyle w:val="FootnoteReference"/>
        </w:rPr>
        <w:footnoteRef/>
      </w:r>
      <w:r w:rsidRPr="006E744B">
        <w:rPr>
          <w:sz w:val="20"/>
        </w:rPr>
        <w:t xml:space="preserve"> </w:t>
      </w:r>
      <w:r w:rsidR="001D2718" w:rsidRPr="006E744B">
        <w:rPr>
          <w:i/>
          <w:iCs/>
          <w:sz w:val="20"/>
        </w:rPr>
        <w:t>Amendment of Parts 73 and 74 of the Commission’s Rules to Establish Rules for Digital Low Power Television, Television Translator, and Television Booster Stations and to Amend Rules for Digital Class A Television Stations</w:t>
      </w:r>
      <w:r w:rsidR="001D2718" w:rsidRPr="006E744B">
        <w:rPr>
          <w:rFonts w:eastAsia="TimesNewRoman"/>
          <w:sz w:val="20"/>
        </w:rPr>
        <w:t>, MB Docket No. 03-185, Second Report and Order, 26 FCC Rcd 10732, 10753–54, para. 45 (2011)</w:t>
      </w:r>
      <w:r w:rsidR="001D2718" w:rsidRPr="006E744B">
        <w:rPr>
          <w:sz w:val="20"/>
        </w:rPr>
        <w:t xml:space="preserve">.  Recently the Media Bureau </w:t>
      </w:r>
      <w:r w:rsidR="00FA0788" w:rsidRPr="006E744B">
        <w:rPr>
          <w:sz w:val="20"/>
        </w:rPr>
        <w:t xml:space="preserve">suspended the digital transition date for low power television and TV translator </w:t>
      </w:r>
      <w:r w:rsidR="00976CA0" w:rsidRPr="006E744B">
        <w:rPr>
          <w:sz w:val="20"/>
        </w:rPr>
        <w:t>facilities</w:t>
      </w:r>
      <w:r w:rsidR="002760DE" w:rsidRPr="006E744B">
        <w:rPr>
          <w:sz w:val="20"/>
        </w:rPr>
        <w:t>.  T</w:t>
      </w:r>
      <w:r w:rsidR="00FA0788" w:rsidRPr="006E744B">
        <w:rPr>
          <w:sz w:val="20"/>
        </w:rPr>
        <w:t xml:space="preserve">his action did not affect the digital transition deadline for Class A stations.  </w:t>
      </w:r>
      <w:r w:rsidR="00FA0788" w:rsidRPr="006E744B">
        <w:rPr>
          <w:i/>
          <w:sz w:val="20"/>
        </w:rPr>
        <w:t>See</w:t>
      </w:r>
      <w:r w:rsidR="00FA0788" w:rsidRPr="006E744B">
        <w:rPr>
          <w:sz w:val="20"/>
        </w:rPr>
        <w:t xml:space="preserve"> </w:t>
      </w:r>
      <w:r w:rsidR="00FA0788" w:rsidRPr="006E744B">
        <w:rPr>
          <w:i/>
          <w:sz w:val="20"/>
        </w:rPr>
        <w:t>Suspension of September 1, 2015 Digital Transition Date for Low Power Television and TV Translator Stations</w:t>
      </w:r>
      <w:r w:rsidR="00FA0788" w:rsidRPr="006E744B">
        <w:rPr>
          <w:sz w:val="20"/>
        </w:rPr>
        <w:t>, Public Notice, DA 15-486 (Apr. 24, 2015).</w:t>
      </w:r>
      <w:r w:rsidR="00091832" w:rsidRPr="006E744B">
        <w:rPr>
          <w:sz w:val="20"/>
        </w:rPr>
        <w:t xml:space="preserve">  Class A television stations are reminded that they must cease all analog operations, including any analog companion channels, by the September 1, 2015 transition date.  </w:t>
      </w:r>
      <w:r w:rsidR="00091832" w:rsidRPr="006E744B">
        <w:rPr>
          <w:i/>
          <w:iCs/>
          <w:sz w:val="20"/>
        </w:rPr>
        <w:t>See</w:t>
      </w:r>
      <w:r w:rsidR="00091832" w:rsidRPr="006E744B">
        <w:rPr>
          <w:sz w:val="20"/>
        </w:rPr>
        <w:t xml:space="preserve"> 47 CFR § 74.731(l) (“After 11:59 pm local time on September 1, 2015…Class A television stations may no longer operate any facility in analog (NTSC) mode”).</w:t>
      </w:r>
      <w:r w:rsidR="00FA0788" w:rsidRPr="006E744B">
        <w:rPr>
          <w:sz w:val="20"/>
        </w:rPr>
        <w:t xml:space="preserve">  </w:t>
      </w:r>
    </w:p>
  </w:footnote>
  <w:footnote w:id="6">
    <w:p w14:paraId="6BA63063" w14:textId="77777777" w:rsidR="00D92906" w:rsidRPr="006E744B" w:rsidRDefault="00D92906" w:rsidP="00F06C9A">
      <w:pPr>
        <w:pStyle w:val="FootnoteText"/>
        <w:keepLines/>
      </w:pPr>
      <w:r w:rsidRPr="006E744B">
        <w:rPr>
          <w:rStyle w:val="FootnoteReference"/>
        </w:rPr>
        <w:footnoteRef/>
      </w:r>
      <w:r w:rsidRPr="006E744B">
        <w:t xml:space="preserve"> </w:t>
      </w:r>
      <w:r w:rsidRPr="006E744B">
        <w:rPr>
          <w:i/>
        </w:rPr>
        <w:t>Incentive Auction R&amp;O</w:t>
      </w:r>
      <w:r w:rsidRPr="006E744B">
        <w:t>, 29 FCC Rcd at 6664-65, para. 21</w:t>
      </w:r>
      <w:r w:rsidR="00DE45C3" w:rsidRPr="006E744B">
        <w:t>8 and n. 688</w:t>
      </w:r>
      <w:r w:rsidRPr="006E744B">
        <w:t>.</w:t>
      </w:r>
      <w:r w:rsidR="000678EF" w:rsidRPr="006E744B">
        <w:t xml:space="preserve">  The term “licensed” </w:t>
      </w:r>
      <w:r w:rsidR="00FC0413" w:rsidRPr="006E744B">
        <w:t xml:space="preserve">for these purposes </w:t>
      </w:r>
      <w:r w:rsidR="000678EF" w:rsidRPr="006E744B">
        <w:t>encompasses both licensed facilities and those subject to a pending license to cover application</w:t>
      </w:r>
      <w:r w:rsidR="00AF0C8E" w:rsidRPr="006E744B">
        <w:t>.</w:t>
      </w:r>
      <w:r w:rsidR="00FA0788" w:rsidRPr="006E744B">
        <w:t xml:space="preserve"> </w:t>
      </w:r>
    </w:p>
  </w:footnote>
  <w:footnote w:id="7">
    <w:p w14:paraId="619B2C17" w14:textId="77777777" w:rsidR="007E47B3" w:rsidRPr="006E744B" w:rsidRDefault="007E47B3" w:rsidP="005B0E07">
      <w:pPr>
        <w:pStyle w:val="FootnoteText"/>
        <w:widowControl w:val="0"/>
      </w:pPr>
      <w:r w:rsidRPr="006E744B">
        <w:rPr>
          <w:rStyle w:val="FootnoteReference"/>
        </w:rPr>
        <w:footnoteRef/>
      </w:r>
      <w:r w:rsidRPr="006E744B">
        <w:t xml:space="preserve"> </w:t>
      </w:r>
      <w:r w:rsidRPr="006E744B">
        <w:rPr>
          <w:i/>
        </w:rPr>
        <w:t>Media Bureau Announces Limitations on the Filing and Processing of Full Power and Class A Television Station Modification Applications, Effective Immediately, and Reminds Stations of Spectrum Act Preservation Mandate</w:t>
      </w:r>
      <w:r w:rsidRPr="006E744B">
        <w:t>, Public Notice, 28 FCC Rcd 4364 (MB 2013) (“</w:t>
      </w:r>
      <w:r w:rsidRPr="006E744B">
        <w:rPr>
          <w:i/>
        </w:rPr>
        <w:t>Freeze PN</w:t>
      </w:r>
      <w:r w:rsidRPr="006E744B">
        <w:t>).</w:t>
      </w:r>
    </w:p>
  </w:footnote>
  <w:footnote w:id="8">
    <w:p w14:paraId="18F75E60" w14:textId="77777777" w:rsidR="007E47B3" w:rsidRPr="006E744B" w:rsidRDefault="007E47B3" w:rsidP="005B0E07">
      <w:pPr>
        <w:pStyle w:val="PlainText"/>
        <w:widowControl w:val="0"/>
        <w:spacing w:after="120"/>
        <w:rPr>
          <w:rFonts w:ascii="Times New Roman" w:hAnsi="Times New Roman" w:cs="Times New Roman"/>
          <w:sz w:val="20"/>
          <w:szCs w:val="20"/>
        </w:rPr>
      </w:pPr>
      <w:r w:rsidRPr="006E744B">
        <w:rPr>
          <w:rStyle w:val="FootnoteReference"/>
          <w:rFonts w:cs="Times New Roman"/>
          <w:szCs w:val="20"/>
        </w:rPr>
        <w:footnoteRef/>
      </w:r>
      <w:r w:rsidRPr="006E744B">
        <w:rPr>
          <w:rFonts w:ascii="Times New Roman" w:hAnsi="Times New Roman" w:cs="Times New Roman"/>
          <w:sz w:val="20"/>
          <w:szCs w:val="20"/>
        </w:rPr>
        <w:t xml:space="preserve"> </w:t>
      </w:r>
      <w:r w:rsidRPr="006E744B">
        <w:rPr>
          <w:rFonts w:ascii="Times New Roman" w:hAnsi="Times New Roman" w:cs="Times New Roman"/>
          <w:i/>
          <w:sz w:val="20"/>
          <w:szCs w:val="20"/>
        </w:rPr>
        <w:t>Incentive Auction R&amp;O</w:t>
      </w:r>
      <w:r w:rsidRPr="006E744B">
        <w:rPr>
          <w:rFonts w:ascii="Times New Roman" w:hAnsi="Times New Roman" w:cs="Times New Roman"/>
          <w:sz w:val="20"/>
          <w:szCs w:val="20"/>
        </w:rPr>
        <w:t>, 29 FCC Rcd at 6662, para. 211.</w:t>
      </w:r>
    </w:p>
  </w:footnote>
  <w:footnote w:id="9">
    <w:p w14:paraId="64EC518E" w14:textId="77777777" w:rsidR="00C916DA" w:rsidRPr="006E744B" w:rsidRDefault="00C916DA">
      <w:pPr>
        <w:pStyle w:val="FootnoteText"/>
      </w:pPr>
      <w:r w:rsidRPr="006E744B">
        <w:rPr>
          <w:rStyle w:val="FootnoteReference"/>
        </w:rPr>
        <w:footnoteRef/>
      </w:r>
      <w:r w:rsidR="000B6CD9" w:rsidRPr="006E744B">
        <w:t xml:space="preserve"> </w:t>
      </w:r>
      <w:r w:rsidRPr="006E744B">
        <w:t>Despite the fact that the modified operating parameters will not be protected,</w:t>
      </w:r>
      <w:r w:rsidR="000B6CD9" w:rsidRPr="006E744B">
        <w:t xml:space="preserve"> if the licensee does not revise its operations to reflect the licensed parameters</w:t>
      </w:r>
      <w:r w:rsidRPr="006E744B">
        <w:t xml:space="preserve"> </w:t>
      </w:r>
      <w:r w:rsidR="000B6CD9" w:rsidRPr="006E744B">
        <w:t>it must file an application for modification of its facility (FCC Form 2100, Schedule A)</w:t>
      </w:r>
      <w:r w:rsidRPr="006E744B">
        <w:t xml:space="preserve">.  It must also seek a Special Temporary Authorization to allow it to continue to operate with parameters at variance pending </w:t>
      </w:r>
      <w:r w:rsidR="002B1110" w:rsidRPr="006E744B">
        <w:t>grant</w:t>
      </w:r>
      <w:r w:rsidR="000B6CD9" w:rsidRPr="006E744B">
        <w:t xml:space="preserve"> of its modified </w:t>
      </w:r>
      <w:r w:rsidRPr="006E744B">
        <w:t xml:space="preserve">license. </w:t>
      </w:r>
    </w:p>
  </w:footnote>
  <w:footnote w:id="10">
    <w:p w14:paraId="590195C4" w14:textId="2192BC9E" w:rsidR="00A57D37" w:rsidRPr="006E744B" w:rsidRDefault="00A57D37">
      <w:pPr>
        <w:pStyle w:val="FootnoteText"/>
      </w:pPr>
      <w:r w:rsidRPr="006E744B">
        <w:rPr>
          <w:rStyle w:val="FootnoteReference"/>
        </w:rPr>
        <w:footnoteRef/>
      </w:r>
      <w:r w:rsidRPr="006E744B">
        <w:t xml:space="preserve"> </w:t>
      </w:r>
      <w:r w:rsidR="009A7B1B" w:rsidRPr="006E744B">
        <w:rPr>
          <w:i/>
        </w:rPr>
        <w:t xml:space="preserve">See </w:t>
      </w:r>
      <w:r w:rsidR="000B6CD9" w:rsidRPr="006E744B">
        <w:rPr>
          <w:i/>
        </w:rPr>
        <w:t>Id.</w:t>
      </w:r>
      <w:r w:rsidR="009A7B1B" w:rsidRPr="006E744B">
        <w:t xml:space="preserve"> at 6651, n. 615 (ensuring a stable, accurate database to facilitate the repack by requiring broadcasters </w:t>
      </w:r>
      <w:r w:rsidR="003F401F">
        <w:t>t</w:t>
      </w:r>
      <w:r w:rsidR="009A7B1B" w:rsidRPr="006E744B">
        <w:t xml:space="preserve">o verify and certify to the accuracy of information related to their eligible facility); </w:t>
      </w:r>
      <w:r w:rsidR="009A7B1B" w:rsidRPr="006E744B">
        <w:rPr>
          <w:i/>
        </w:rPr>
        <w:t>Id.</w:t>
      </w:r>
      <w:r w:rsidR="009A7B1B" w:rsidRPr="006E744B">
        <w:t xml:space="preserve"> at 6656, para. 195 and n. 646 (concluding that the establishment of a Pre-Auction Licensing Deadline is needed to ensure a “largely static view of facilities that will be protected in the repacking process”); </w:t>
      </w:r>
      <w:r w:rsidR="009A7B1B" w:rsidRPr="006E744B">
        <w:rPr>
          <w:i/>
        </w:rPr>
        <w:t>Id.</w:t>
      </w:r>
      <w:r w:rsidR="009A7B1B" w:rsidRPr="006E744B">
        <w:t xml:space="preserve"> at 6719, para. 357 (finding that parity between the rules relating to protection in the repacking process and reverse auction eligibility will further the goals of the incentive auction).</w:t>
      </w:r>
      <w:r w:rsidR="00734473" w:rsidRPr="006E744B">
        <w:t xml:space="preserve">  </w:t>
      </w:r>
    </w:p>
  </w:footnote>
  <w:footnote w:id="11">
    <w:p w14:paraId="2CDB7099" w14:textId="70491E87" w:rsidR="000B6CD9" w:rsidRPr="006E744B" w:rsidRDefault="000B6CD9" w:rsidP="00540678">
      <w:pPr>
        <w:pStyle w:val="FootnoteText"/>
        <w:widowControl w:val="0"/>
      </w:pPr>
      <w:r w:rsidRPr="006E744B">
        <w:rPr>
          <w:rStyle w:val="FootnoteReference"/>
        </w:rPr>
        <w:footnoteRef/>
      </w:r>
      <w:r w:rsidR="00402E17">
        <w:t xml:space="preserve"> </w:t>
      </w:r>
      <w:r w:rsidRPr="006E744B">
        <w:t xml:space="preserve">“Database technical information” means all underlying technical data that sets forth the operational parameters of the facility, including but not limited to the technical information that may be found in the Commission’s Consolidated Database System (as well as the successor Licensing Management System) and Antenna Registration System. </w:t>
      </w:r>
    </w:p>
  </w:footnote>
  <w:footnote w:id="12">
    <w:p w14:paraId="797B62BD" w14:textId="703DE327" w:rsidR="00540678" w:rsidRPr="006E744B" w:rsidRDefault="00540678" w:rsidP="00540678">
      <w:pPr>
        <w:pStyle w:val="FootnoteText"/>
        <w:widowControl w:val="0"/>
      </w:pPr>
      <w:r w:rsidRPr="006E744B">
        <w:rPr>
          <w:rStyle w:val="FootnoteReference"/>
        </w:rPr>
        <w:footnoteRef/>
      </w:r>
      <w:r w:rsidRPr="006E744B">
        <w:t xml:space="preserve"> </w:t>
      </w:r>
      <w:r w:rsidRPr="006E744B">
        <w:rPr>
          <w:i/>
        </w:rPr>
        <w:t xml:space="preserve">Id. </w:t>
      </w:r>
      <w:r w:rsidRPr="006E744B">
        <w:t xml:space="preserve">at 6651, n. 615 (instructing the Media Bureau, prior to the start of the incentive auction, to issue a </w:t>
      </w:r>
      <w:r w:rsidR="00F1243C" w:rsidRPr="006E744B">
        <w:t>P</w:t>
      </w:r>
      <w:r w:rsidRPr="006E744B">
        <w:t xml:space="preserve">ublic </w:t>
      </w:r>
      <w:r w:rsidR="00F1243C" w:rsidRPr="006E744B">
        <w:t>N</w:t>
      </w:r>
      <w:r w:rsidRPr="006E744B">
        <w:t>otice listing each station’s protected facility (i.e., eligible facility)</w:t>
      </w:r>
      <w:r w:rsidR="00076961">
        <w:t>)</w:t>
      </w:r>
      <w:r w:rsidRPr="006E744B">
        <w:t xml:space="preserve">.  An “eligible facility” is a television licensee’s facility that is listed in the </w:t>
      </w:r>
      <w:r w:rsidRPr="006E744B">
        <w:rPr>
          <w:i/>
        </w:rPr>
        <w:t>Eligibility PN</w:t>
      </w:r>
      <w:r w:rsidRPr="006E744B">
        <w:t xml:space="preserve"> as being eligible for protection in the repacking process or relinquishment of spectrum usage rights in the incentive auction.</w:t>
      </w:r>
    </w:p>
  </w:footnote>
  <w:footnote w:id="13">
    <w:p w14:paraId="0D87DF9B" w14:textId="26450CE3" w:rsidR="00540678" w:rsidRPr="006E744B" w:rsidRDefault="00540678">
      <w:pPr>
        <w:pStyle w:val="FootnoteText"/>
      </w:pPr>
      <w:r w:rsidRPr="006E744B">
        <w:rPr>
          <w:rStyle w:val="FootnoteReference"/>
        </w:rPr>
        <w:footnoteRef/>
      </w:r>
      <w:r w:rsidRPr="006E744B">
        <w:t xml:space="preserve"> </w:t>
      </w:r>
      <w:r w:rsidR="00734473" w:rsidRPr="006E744B">
        <w:rPr>
          <w:i/>
        </w:rPr>
        <w:t>Id.</w:t>
      </w:r>
      <w:r w:rsidR="00402E17">
        <w:t xml:space="preserve"> </w:t>
      </w:r>
      <w:r w:rsidR="00734473" w:rsidRPr="006E744B">
        <w:t xml:space="preserve">(delegating authority to the Media Bureau to develop </w:t>
      </w:r>
      <w:r w:rsidR="00F706B4" w:rsidRPr="006E744B">
        <w:t>a</w:t>
      </w:r>
      <w:r w:rsidR="00734473" w:rsidRPr="006E744B">
        <w:t xml:space="preserve"> form </w:t>
      </w:r>
      <w:r w:rsidR="00F706B4" w:rsidRPr="006E744B">
        <w:t xml:space="preserve">for broadcasters to verify and certify to the accuracy of all database technical information </w:t>
      </w:r>
      <w:r w:rsidR="00734473" w:rsidRPr="006E744B">
        <w:t>and announce by Public Notice the deadline and procedure</w:t>
      </w:r>
      <w:r w:rsidR="00F706B4" w:rsidRPr="006E744B">
        <w:t xml:space="preserve"> for filing the form</w:t>
      </w:r>
      <w:r w:rsidR="00734473" w:rsidRPr="006E744B">
        <w:t>).  O</w:t>
      </w:r>
      <w:r w:rsidRPr="006E744B">
        <w:t xml:space="preserve">n March 31, 2015, the Office of Management and Budget approved FCC Form 2100, Schedule 381.  80 Fed. Reg. 19611 (Apr. 13, 2015).  </w:t>
      </w:r>
    </w:p>
  </w:footnote>
  <w:footnote w:id="14">
    <w:p w14:paraId="3099E300" w14:textId="252CB925" w:rsidR="00D85FEC" w:rsidRPr="006E744B" w:rsidRDefault="00D85FEC" w:rsidP="008844D6">
      <w:pPr>
        <w:widowControl/>
        <w:autoSpaceDE w:val="0"/>
        <w:autoSpaceDN w:val="0"/>
        <w:adjustRightInd w:val="0"/>
        <w:spacing w:after="120"/>
        <w:rPr>
          <w:rFonts w:ascii="TimesNewRoman" w:eastAsia="TimesNewRoman" w:cs="TimesNewRoman"/>
          <w:snapToGrid/>
          <w:kern w:val="0"/>
          <w:sz w:val="20"/>
        </w:rPr>
      </w:pPr>
      <w:r w:rsidRPr="006E744B">
        <w:rPr>
          <w:rStyle w:val="FootnoteReference"/>
        </w:rPr>
        <w:footnoteRef/>
      </w:r>
      <w:r w:rsidR="00BB6900" w:rsidRPr="006E744B">
        <w:rPr>
          <w:i/>
          <w:sz w:val="20"/>
        </w:rPr>
        <w:t xml:space="preserve"> </w:t>
      </w:r>
      <w:r w:rsidR="00F1243C" w:rsidRPr="006E744B">
        <w:rPr>
          <w:sz w:val="20"/>
        </w:rPr>
        <w:t>We note that a</w:t>
      </w:r>
      <w:r w:rsidR="008844D6" w:rsidRPr="006E744B">
        <w:rPr>
          <w:sz w:val="20"/>
        </w:rPr>
        <w:t xml:space="preserve">s part of the </w:t>
      </w:r>
      <w:r w:rsidR="00F706B4" w:rsidRPr="006E744B">
        <w:rPr>
          <w:sz w:val="20"/>
        </w:rPr>
        <w:t>Pre-Auction Technical Certification Form</w:t>
      </w:r>
      <w:r w:rsidR="008844D6" w:rsidRPr="006E744B">
        <w:rPr>
          <w:sz w:val="20"/>
        </w:rPr>
        <w:t xml:space="preserve"> broadcasters </w:t>
      </w:r>
      <w:r w:rsidR="00F706B4" w:rsidRPr="006E744B">
        <w:rPr>
          <w:sz w:val="20"/>
        </w:rPr>
        <w:t>are</w:t>
      </w:r>
      <w:r w:rsidR="008844D6" w:rsidRPr="006E744B">
        <w:rPr>
          <w:sz w:val="20"/>
        </w:rPr>
        <w:t xml:space="preserve"> also </w:t>
      </w:r>
      <w:r w:rsidR="00F706B4" w:rsidRPr="006E744B">
        <w:rPr>
          <w:sz w:val="20"/>
        </w:rPr>
        <w:t>required</w:t>
      </w:r>
      <w:r w:rsidR="008844D6" w:rsidRPr="006E744B">
        <w:rPr>
          <w:sz w:val="20"/>
        </w:rPr>
        <w:t xml:space="preserve"> to </w:t>
      </w:r>
      <w:r w:rsidR="00540678" w:rsidRPr="006E744B">
        <w:rPr>
          <w:sz w:val="20"/>
        </w:rPr>
        <w:t xml:space="preserve">provide additional information </w:t>
      </w:r>
      <w:r w:rsidR="00593F8B" w:rsidRPr="006E744B">
        <w:rPr>
          <w:sz w:val="20"/>
        </w:rPr>
        <w:t>concerning</w:t>
      </w:r>
      <w:r w:rsidR="00540678" w:rsidRPr="006E744B">
        <w:rPr>
          <w:sz w:val="20"/>
        </w:rPr>
        <w:t xml:space="preserve"> </w:t>
      </w:r>
      <w:r w:rsidR="00B27AA2" w:rsidRPr="006E744B">
        <w:rPr>
          <w:sz w:val="20"/>
        </w:rPr>
        <w:t>their</w:t>
      </w:r>
      <w:r w:rsidR="00540678" w:rsidRPr="006E744B">
        <w:rPr>
          <w:sz w:val="20"/>
        </w:rPr>
        <w:t xml:space="preserve"> </w:t>
      </w:r>
      <w:r w:rsidR="00F706B4" w:rsidRPr="006E744B">
        <w:rPr>
          <w:sz w:val="20"/>
        </w:rPr>
        <w:t>eligible</w:t>
      </w:r>
      <w:r w:rsidR="006E744B" w:rsidRPr="006E744B">
        <w:rPr>
          <w:sz w:val="20"/>
        </w:rPr>
        <w:t xml:space="preserve"> </w:t>
      </w:r>
      <w:r w:rsidR="00B27AA2" w:rsidRPr="006E744B">
        <w:rPr>
          <w:sz w:val="20"/>
        </w:rPr>
        <w:t>facility</w:t>
      </w:r>
      <w:r w:rsidR="00540678" w:rsidRPr="006E744B">
        <w:rPr>
          <w:sz w:val="20"/>
        </w:rPr>
        <w:t>.</w:t>
      </w:r>
      <w:r w:rsidR="00BB6900" w:rsidRPr="006E744B">
        <w:rPr>
          <w:sz w:val="20"/>
        </w:rPr>
        <w:t xml:space="preserve">  </w:t>
      </w:r>
      <w:r w:rsidR="008844D6" w:rsidRPr="006E744B">
        <w:rPr>
          <w:i/>
          <w:sz w:val="20"/>
        </w:rPr>
        <w:t>See</w:t>
      </w:r>
      <w:r w:rsidR="008844D6" w:rsidRPr="006E744B">
        <w:rPr>
          <w:sz w:val="20"/>
        </w:rPr>
        <w:t xml:space="preserve"> Pre-Auction Technical Certification Form, </w:t>
      </w:r>
      <w:r w:rsidR="00540678" w:rsidRPr="006E744B">
        <w:rPr>
          <w:sz w:val="20"/>
        </w:rPr>
        <w:t>Form 2100, Schedule 381, Question 2</w:t>
      </w:r>
      <w:r w:rsidR="008844D6" w:rsidRPr="006E744B">
        <w:rPr>
          <w:sz w:val="20"/>
        </w:rPr>
        <w:t>.</w:t>
      </w:r>
    </w:p>
  </w:footnote>
  <w:footnote w:id="15">
    <w:p w14:paraId="1AA6387D" w14:textId="77777777" w:rsidR="00417850" w:rsidRPr="006E744B" w:rsidRDefault="00417850" w:rsidP="008844D6">
      <w:pPr>
        <w:widowControl/>
        <w:spacing w:after="120"/>
        <w:rPr>
          <w:sz w:val="20"/>
        </w:rPr>
      </w:pPr>
      <w:r w:rsidRPr="006E744B">
        <w:rPr>
          <w:rStyle w:val="FootnoteReference"/>
        </w:rPr>
        <w:footnoteRef/>
      </w:r>
      <w:r w:rsidRPr="006E744B">
        <w:rPr>
          <w:sz w:val="20"/>
        </w:rPr>
        <w:t xml:space="preserve"> As noted above, </w:t>
      </w:r>
      <w:r w:rsidR="0037782F" w:rsidRPr="006E744B">
        <w:rPr>
          <w:sz w:val="20"/>
        </w:rPr>
        <w:t>after May 29, 2015,</w:t>
      </w:r>
      <w:r w:rsidR="00D049AB" w:rsidRPr="006E744B">
        <w:rPr>
          <w:sz w:val="20"/>
        </w:rPr>
        <w:t xml:space="preserve"> modifications filed to fix errors made by a licensee, even if granted and ultimately licensed, will not be considered for purposes of determining protection in the repacking process and spectrum usage rights eligible for relinquishment in the reverse auction.</w:t>
      </w:r>
    </w:p>
  </w:footnote>
  <w:footnote w:id="16">
    <w:p w14:paraId="614D907D" w14:textId="223FBA1F" w:rsidR="00D1418D" w:rsidRDefault="00563E57">
      <w:r w:rsidRPr="006E744B">
        <w:rPr>
          <w:rStyle w:val="FootnoteReference"/>
        </w:rPr>
        <w:footnoteRef/>
      </w:r>
      <w:r w:rsidRPr="006E744B">
        <w:rPr>
          <w:sz w:val="20"/>
        </w:rPr>
        <w:t xml:space="preserve"> A copy of the Pre-Auction Technical Certification Form is also available at: </w:t>
      </w:r>
      <w:hyperlink r:id="rId2" w:history="1">
        <w:r w:rsidRPr="006E744B">
          <w:rPr>
            <w:rStyle w:val="Hyperlink"/>
            <w:sz w:val="20"/>
          </w:rPr>
          <w:t>http://www.fcc.gov/forms</w:t>
        </w:r>
      </w:hyperlink>
      <w:r w:rsidRPr="006E744B">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17358" w14:textId="77777777" w:rsidR="00C85904" w:rsidRDefault="00C85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F247C" w14:textId="77777777" w:rsidR="00C85904" w:rsidRDefault="00C859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AB4DB" w14:textId="77777777" w:rsidR="00D47505" w:rsidRPr="002D5F10" w:rsidRDefault="00597D9B" w:rsidP="002D5F10">
    <w:pPr>
      <w:pStyle w:val="Header"/>
    </w:pPr>
    <w:r w:rsidRPr="002D5F10">
      <w:rPr>
        <w:noProof/>
        <w:snapToGrid/>
        <w:sz w:val="24"/>
      </w:rPr>
      <w:drawing>
        <wp:anchor distT="0" distB="0" distL="114300" distR="114300" simplePos="0" relativeHeight="251659264" behindDoc="0" locked="0" layoutInCell="0" allowOverlap="1" wp14:anchorId="3CFB3802" wp14:editId="0CA07308">
          <wp:simplePos x="0" y="0"/>
          <wp:positionH relativeFrom="column">
            <wp:posOffset>82550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2D5F10">
      <w:t>PUBLIC NOTICE</w:t>
    </w:r>
  </w:p>
  <w:p w14:paraId="3E08EEBB" w14:textId="77777777" w:rsidR="00D47505" w:rsidRDefault="00597D9B" w:rsidP="002D5F10">
    <w:pPr>
      <w:pStyle w:val="Header"/>
      <w:rPr>
        <w:sz w:val="28"/>
      </w:rPr>
    </w:pPr>
    <w:r>
      <w:rPr>
        <w:noProof/>
        <w:snapToGrid/>
      </w:rPr>
      <mc:AlternateContent>
        <mc:Choice Requires="wps">
          <w:drawing>
            <wp:anchor distT="0" distB="0" distL="114300" distR="114300" simplePos="0" relativeHeight="251658240" behindDoc="0" locked="0" layoutInCell="0" allowOverlap="1" wp14:anchorId="711BAF4E" wp14:editId="4E213A3F">
              <wp:simplePos x="0" y="0"/>
              <wp:positionH relativeFrom="column">
                <wp:posOffset>3343275</wp:posOffset>
              </wp:positionH>
              <wp:positionV relativeFrom="paragraph">
                <wp:posOffset>22225</wp:posOffset>
              </wp:positionV>
              <wp:extent cx="2640965" cy="548640"/>
              <wp:effectExtent l="0" t="317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1E3CE"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01D5238" w14:textId="77777777" w:rsidR="00D47505" w:rsidRDefault="00D47505" w:rsidP="00D4750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FE7F5E6" w14:textId="77777777" w:rsidR="00D47505" w:rsidRDefault="00D47505" w:rsidP="00D47505">
                          <w:pPr>
                            <w:jc w:val="right"/>
                            <w:rPr>
                              <w:rFonts w:ascii="Arial" w:hAnsi="Arial"/>
                              <w:b/>
                              <w:sz w:val="16"/>
                            </w:rPr>
                          </w:pPr>
                          <w:r>
                            <w:rPr>
                              <w:rFonts w:ascii="Arial" w:hAnsi="Arial"/>
                              <w:b/>
                              <w:sz w:val="16"/>
                            </w:rPr>
                            <w:t>TTY: 1-888-835-5322</w:t>
                          </w:r>
                        </w:p>
                        <w:p w14:paraId="10D1644E" w14:textId="77777777" w:rsidR="00D47505" w:rsidRDefault="00D47505" w:rsidP="00D4750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3.25pt;margin-top:1.7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I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Z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3sTTGN8AAAAIAQAADwAAAGRycy9kb3ducmV2LnhtbEyPwU7DMBBE70j8g7VI3KhDSKsmzaZCFRw4&#10;IVouvTnxkqSN7ch229CvZznBabSa0czbcj2ZQZzJh95ZhMdZAoJs43RvW4TP3evDEkSIymo1OEsI&#10;3xRgXd3elKrQ7mI/6LyNreASGwqF0MU4FlKGpiOjwsyNZNn7ct6oyKdvpfbqwuVmkGmSLKRRveWF&#10;To206ag5bk8G4W3v31/2Ibm6tI6bQ3N0u6vMEO/vpucViEhT/AvDLz6jQ8VMtTtZHcSAME8Xc44i&#10;PLGwn2dpBqJGWOY5yKqU/x+ofgAAAP//AwBQSwECLQAUAAYACAAAACEAtoM4kv4AAADhAQAAEwAA&#10;AAAAAAAAAAAAAAAAAAAAW0NvbnRlbnRfVHlwZXNdLnhtbFBLAQItABQABgAIAAAAIQA4/SH/1gAA&#10;AJQBAAALAAAAAAAAAAAAAAAAAC8BAABfcmVscy8ucmVsc1BLAQItABQABgAIAAAAIQC0VHRIfgIA&#10;AAcFAAAOAAAAAAAAAAAAAAAAAC4CAABkcnMvZTJvRG9jLnhtbFBLAQItABQABgAIAAAAIQDexNMY&#10;3wAAAAgBAAAPAAAAAAAAAAAAAAAAANgEAABkcnMvZG93bnJldi54bWxQSwUGAAAAAAQABADzAAAA&#10;5AUAAAAA&#10;" o:allowincell="f" stroked="f">
              <v:textbox inset=",0,,0">
                <w:txbxContent>
                  <w:p w14:paraId="75D1E3CE"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01D5238" w14:textId="77777777" w:rsidR="00D47505" w:rsidRDefault="00D47505" w:rsidP="00D47505">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4FE7F5E6" w14:textId="77777777" w:rsidR="00D47505" w:rsidRDefault="00D47505" w:rsidP="00D47505">
                    <w:pPr>
                      <w:jc w:val="right"/>
                      <w:rPr>
                        <w:rFonts w:ascii="Arial" w:hAnsi="Arial"/>
                        <w:b/>
                        <w:sz w:val="16"/>
                      </w:rPr>
                    </w:pPr>
                    <w:r>
                      <w:rPr>
                        <w:rFonts w:ascii="Arial" w:hAnsi="Arial"/>
                        <w:b/>
                        <w:sz w:val="16"/>
                      </w:rPr>
                      <w:t>TTY: 1-888-835-5322</w:t>
                    </w:r>
                  </w:p>
                  <w:p w14:paraId="10D1644E" w14:textId="77777777" w:rsidR="00D47505" w:rsidRDefault="00D47505" w:rsidP="00D47505">
                    <w:pPr>
                      <w:jc w:val="right"/>
                    </w:pPr>
                  </w:p>
                </w:txbxContent>
              </v:textbox>
            </v:shape>
          </w:pict>
        </mc:Fallback>
      </mc:AlternateContent>
    </w:r>
    <w:r>
      <w:rPr>
        <w:noProof/>
        <w:snapToGrid/>
      </w:rPr>
      <mc:AlternateContent>
        <mc:Choice Requires="wps">
          <w:drawing>
            <wp:anchor distT="0" distB="0" distL="114300" distR="114300" simplePos="0" relativeHeight="251656192" behindDoc="0" locked="0" layoutInCell="0" allowOverlap="1" wp14:anchorId="6BC466EA" wp14:editId="68AD0BA7">
              <wp:simplePos x="0" y="0"/>
              <wp:positionH relativeFrom="column">
                <wp:posOffset>24765</wp:posOffset>
              </wp:positionH>
              <wp:positionV relativeFrom="paragraph">
                <wp:posOffset>5080</wp:posOffset>
              </wp:positionV>
              <wp:extent cx="3108960" cy="64008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AAB0A" w14:textId="77777777" w:rsidR="00D47505" w:rsidRDefault="00D47505" w:rsidP="00D47505">
                          <w:pPr>
                            <w:rPr>
                              <w:rFonts w:ascii="Arial" w:hAnsi="Arial"/>
                              <w:b/>
                            </w:rPr>
                          </w:pPr>
                          <w:r>
                            <w:rPr>
                              <w:rFonts w:ascii="Arial" w:hAnsi="Arial"/>
                              <w:b/>
                            </w:rPr>
                            <w:t>Federal Communications Commission</w:t>
                          </w:r>
                        </w:p>
                        <w:p w14:paraId="6C20A008"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AA8476C"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J9Si5NoAAAAGAQAADwAAAGRycy9kb3ducmV2LnhtbEyOwU6DQBRF9yb+w+SZuDF2qG2p&#10;UIZGTTRuW/sBD3gFUuYNYaaF/r3PlV3e3JN7T7adbKcuNPjWsYH5LAJFXLqq5drA4efz+RWUD8gV&#10;do7JwJU8bPP7uwzTyo28o8s+1EpG2KdooAmhT7X2ZUMW/cz1xNId3WAxSBxqXQ04yrjt9EsUxdpi&#10;y/LQYE8fDZWn/dkaOH6PT6tkLL7CYb1bxu/Yrgt3NebxYXrbgAo0hX8Y/vRFHXJxKtyZK686A4tE&#10;QAOiL+UyWaxAFUJF8xh0nulb/fwXAAD//wMAUEsBAi0AFAAGAAgAAAAhALaDOJL+AAAA4QEAABMA&#10;AAAAAAAAAAAAAAAAAAAAAFtDb250ZW50X1R5cGVzXS54bWxQSwECLQAUAAYACAAAACEAOP0h/9YA&#10;AACUAQAACwAAAAAAAAAAAAAAAAAvAQAAX3JlbHMvLnJlbHNQSwECLQAUAAYACAAAACEAoGxncYQC&#10;AAAWBQAADgAAAAAAAAAAAAAAAAAuAgAAZHJzL2Uyb0RvYy54bWxQSwECLQAUAAYACAAAACEAJ9Si&#10;5NoAAAAGAQAADwAAAAAAAAAAAAAAAADeBAAAZHJzL2Rvd25yZXYueG1sUEsFBgAAAAAEAAQA8wAA&#10;AOUFAAAAAA==&#10;" o:allowincell="f" stroked="f">
              <v:textbox>
                <w:txbxContent>
                  <w:p w14:paraId="7A1AAB0A" w14:textId="77777777" w:rsidR="00D47505" w:rsidRDefault="00D47505" w:rsidP="00D47505">
                    <w:pPr>
                      <w:rPr>
                        <w:rFonts w:ascii="Arial" w:hAnsi="Arial"/>
                        <w:b/>
                      </w:rPr>
                    </w:pPr>
                    <w:r>
                      <w:rPr>
                        <w:rFonts w:ascii="Arial" w:hAnsi="Arial"/>
                        <w:b/>
                      </w:rPr>
                      <w:t>Federal Communications Commission</w:t>
                    </w:r>
                  </w:p>
                  <w:p w14:paraId="6C20A008"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AA8476C" w14:textId="77777777" w:rsidR="00D47505" w:rsidRDefault="00D47505" w:rsidP="00D47505">
                    <w:pPr>
                      <w:rPr>
                        <w:rFonts w:ascii="Arial" w:hAnsi="Arial"/>
                        <w:sz w:val="24"/>
                      </w:rPr>
                    </w:pPr>
                    <w:r>
                      <w:rPr>
                        <w:rFonts w:ascii="Arial" w:hAnsi="Arial"/>
                        <w:b/>
                      </w:rPr>
                      <w:t>Washington, D.C. 20554</w:t>
                    </w:r>
                  </w:p>
                </w:txbxContent>
              </v:textbox>
            </v:shape>
          </w:pict>
        </mc:Fallback>
      </mc:AlternateContent>
    </w:r>
  </w:p>
  <w:p w14:paraId="77BB461C" w14:textId="77777777" w:rsidR="00D47505" w:rsidRDefault="00597D9B" w:rsidP="002D5F10">
    <w:pPr>
      <w:pStyle w:val="Header"/>
    </w:pPr>
    <w:r>
      <w:rPr>
        <w:noProof/>
        <w:snapToGrid/>
      </w:rPr>
      <mc:AlternateContent>
        <mc:Choice Requires="wps">
          <w:drawing>
            <wp:anchor distT="0" distB="0" distL="114300" distR="114300" simplePos="0" relativeHeight="251657216" behindDoc="0" locked="0" layoutInCell="0" allowOverlap="1" wp14:anchorId="3F52B68D" wp14:editId="63321683">
              <wp:simplePos x="0" y="0"/>
              <wp:positionH relativeFrom="column">
                <wp:posOffset>78105</wp:posOffset>
              </wp:positionH>
              <wp:positionV relativeFrom="paragraph">
                <wp:posOffset>467995</wp:posOffset>
              </wp:positionV>
              <wp:extent cx="5886450" cy="2540"/>
              <wp:effectExtent l="11430" t="10795" r="762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6.85pt" to="469.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x/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DSJEe&#10;JNoIxVEeOjMYV0JArbY21EZP6sVsNP3ukNJ1R9SeR4avZwNpWchI3qSEjTOAvxu+aAYx5OB1bNOp&#10;tX2AhAagU1TjfFeDnzyicFjMZtO8ANEo+CZFHsVKSHnLNdb5z1z3KBgVlkA7YpPjxvnAhZS3kHCV&#10;0mshZdRbKjRUeF5MipjgtBQsOEOYs/tdLS06kjAx8YuFgecxzOqDYhGs44StrrYnQl5suFyqgAfV&#10;AJ2rdRmJH/N0vpqtZvkon0xXozxtmtGndZ2PpuvsY9F8aOq6yX4GalledoIxrgK723hm+d/Jf30o&#10;l8G6D+i9Dclb9NgvIHv7R9JRzqDgZRZ2mp239iYzTGQMvr6eMPKPe7Af3/jyFwAAAP//AwBQSwME&#10;FAAGAAgAAAAhAM0/e1zcAAAACAEAAA8AAABkcnMvZG93bnJldi54bWxMj01PwzAMhu9I/IfISFwm&#10;lq5FjJWmEwJ647IB4uo1pq1onK7JtsKvx5zg+H7o9eNiPbleHWkMnWcDi3kCirj2tuPGwOtLdXUL&#10;KkRki71nMvBFAdbl+VmBufUn3tBxGxslIxxyNNDGOORah7olh2HuB2LJPvzoMIocG21HPMm463Wa&#10;JDfaYcdyocWBHlqqP7cHZyBUb7Svvmf1LHnPGk/p/vH5CY25vJju70BFmuJfGX7xBR1KYdr5A9ug&#10;etFpJk0Dy2wJSvJVthJjJ8b1AnRZ6P8PlD8AAAD//wMAUEsBAi0AFAAGAAgAAAAhALaDOJL+AAAA&#10;4QEAABMAAAAAAAAAAAAAAAAAAAAAAFtDb250ZW50X1R5cGVzXS54bWxQSwECLQAUAAYACAAAACEA&#10;OP0h/9YAAACUAQAACwAAAAAAAAAAAAAAAAAvAQAAX3JlbHMvLnJlbHNQSwECLQAUAAYACAAAACEA&#10;BXm8fxYCAAArBAAADgAAAAAAAAAAAAAAAAAuAgAAZHJzL2Uyb0RvYy54bWxQSwECLQAUAAYACAAA&#10;ACEAzT97XNwAAAAIAQAADwAAAAAAAAAAAAAAAABwBAAAZHJzL2Rvd25yZXYueG1sUEsFBgAAAAAE&#10;AAQA8wAAAHk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897"/>
    <w:multiLevelType w:val="hybridMultilevel"/>
    <w:tmpl w:val="BF5A84CA"/>
    <w:lvl w:ilvl="0" w:tplc="A2CCDB18">
      <w:start w:val="1"/>
      <w:numFmt w:val="decimal"/>
      <w:lvlText w:val="(%1)"/>
      <w:lvlJc w:val="left"/>
      <w:pPr>
        <w:ind w:left="720" w:hanging="360"/>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9412DD"/>
    <w:multiLevelType w:val="hybridMultilevel"/>
    <w:tmpl w:val="C928A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4F0E0C"/>
    <w:multiLevelType w:val="hybridMultilevel"/>
    <w:tmpl w:val="62B6543C"/>
    <w:lvl w:ilvl="0" w:tplc="9D94B042">
      <w:start w:val="1"/>
      <w:numFmt w:val="decimal"/>
      <w:lvlText w:val="(%1)"/>
      <w:lvlJc w:val="left"/>
      <w:pPr>
        <w:ind w:left="1785" w:hanging="1065"/>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E90529"/>
    <w:multiLevelType w:val="hybridMultilevel"/>
    <w:tmpl w:val="44C6AE4C"/>
    <w:lvl w:ilvl="0" w:tplc="C17C3188">
      <w:start w:val="1"/>
      <w:numFmt w:val="lowerLetter"/>
      <w:lvlText w:val="%1."/>
      <w:lvlJc w:val="left"/>
      <w:pPr>
        <w:ind w:left="1170" w:hanging="360"/>
      </w:pPr>
      <w:rPr>
        <w:rFonts w:cs="Times New Roman"/>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5">
    <w:nsid w:val="1EDE56C8"/>
    <w:multiLevelType w:val="hybridMultilevel"/>
    <w:tmpl w:val="10165824"/>
    <w:lvl w:ilvl="0" w:tplc="A2CCDB18">
      <w:start w:val="1"/>
      <w:numFmt w:val="decimal"/>
      <w:lvlText w:val="(%1)"/>
      <w:lvlJc w:val="left"/>
      <w:pPr>
        <w:ind w:left="990" w:hanging="360"/>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96B356E"/>
    <w:multiLevelType w:val="hybridMultilevel"/>
    <w:tmpl w:val="62B6543C"/>
    <w:lvl w:ilvl="0" w:tplc="9D94B042">
      <w:start w:val="1"/>
      <w:numFmt w:val="decimal"/>
      <w:lvlText w:val="(%1)"/>
      <w:lvlJc w:val="left"/>
      <w:pPr>
        <w:ind w:left="1785" w:hanging="1065"/>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32D01810"/>
    <w:multiLevelType w:val="hybridMultilevel"/>
    <w:tmpl w:val="10165824"/>
    <w:lvl w:ilvl="0" w:tplc="A2CCDB18">
      <w:start w:val="1"/>
      <w:numFmt w:val="decimal"/>
      <w:lvlText w:val="(%1)"/>
      <w:lvlJc w:val="left"/>
      <w:pPr>
        <w:ind w:left="990" w:hanging="360"/>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2272A3"/>
    <w:multiLevelType w:val="hybridMultilevel"/>
    <w:tmpl w:val="10165824"/>
    <w:lvl w:ilvl="0" w:tplc="A2CCDB18">
      <w:start w:val="1"/>
      <w:numFmt w:val="decimal"/>
      <w:lvlText w:val="(%1)"/>
      <w:lvlJc w:val="left"/>
      <w:pPr>
        <w:ind w:left="720" w:hanging="360"/>
      </w:pPr>
      <w:rPr>
        <w:rFonts w:eastAsia="TimesNew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91C00A9"/>
    <w:multiLevelType w:val="hybridMultilevel"/>
    <w:tmpl w:val="10165824"/>
    <w:lvl w:ilvl="0" w:tplc="A2CCDB18">
      <w:start w:val="1"/>
      <w:numFmt w:val="decimal"/>
      <w:lvlText w:val="(%1)"/>
      <w:lvlJc w:val="left"/>
      <w:pPr>
        <w:ind w:left="720" w:hanging="360"/>
      </w:pPr>
      <w:rPr>
        <w:rFonts w:eastAsia="TimesNew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1">
    <w:nsid w:val="68BC2F86"/>
    <w:multiLevelType w:val="hybridMultilevel"/>
    <w:tmpl w:val="D736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EC5501"/>
    <w:multiLevelType w:val="hybridMultilevel"/>
    <w:tmpl w:val="8CC03150"/>
    <w:lvl w:ilvl="0" w:tplc="5F30254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8425B25"/>
    <w:multiLevelType w:val="multilevel"/>
    <w:tmpl w:val="D9A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8"/>
  </w:num>
  <w:num w:numId="4">
    <w:abstractNumId w:val="15"/>
  </w:num>
  <w:num w:numId="5">
    <w:abstractNumId w:val="7"/>
  </w:num>
  <w:num w:numId="6">
    <w:abstractNumId w:val="1"/>
  </w:num>
  <w:num w:numId="7">
    <w:abstractNumId w:val="17"/>
  </w:num>
  <w:num w:numId="8">
    <w:abstractNumId w:val="21"/>
  </w:num>
  <w:num w:numId="9">
    <w:abstractNumId w:val="0"/>
  </w:num>
  <w:num w:numId="10">
    <w:abstractNumId w:val="14"/>
  </w:num>
  <w:num w:numId="11">
    <w:abstractNumId w:val="11"/>
  </w:num>
  <w:num w:numId="12">
    <w:abstractNumId w:val="5"/>
  </w:num>
  <w:num w:numId="13">
    <w:abstractNumId w:val="2"/>
  </w:num>
  <w:num w:numId="14">
    <w:abstractNumId w:val="9"/>
  </w:num>
  <w:num w:numId="15">
    <w:abstractNumId w:val="3"/>
  </w:num>
  <w:num w:numId="16">
    <w:abstractNumId w:val="13"/>
  </w:num>
  <w:num w:numId="17">
    <w:abstractNumId w:val="23"/>
  </w:num>
  <w:num w:numId="18">
    <w:abstractNumId w:val="18"/>
  </w:num>
  <w:num w:numId="19">
    <w:abstractNumId w:val="19"/>
  </w:num>
  <w:num w:numId="20">
    <w:abstractNumId w:val="10"/>
  </w:num>
  <w:num w:numId="21">
    <w:abstractNumId w:val="16"/>
  </w:num>
  <w:num w:numId="22">
    <w:abstractNumId w:val="12"/>
  </w:num>
  <w:num w:numId="23">
    <w:abstractNumId w:val="2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ann Bunkin">
    <w15:presenceInfo w15:providerId="Windows Live" w15:userId="f2da499e1f7e80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9B"/>
    <w:rsid w:val="0000073B"/>
    <w:rsid w:val="00005C6D"/>
    <w:rsid w:val="000309EC"/>
    <w:rsid w:val="00035A49"/>
    <w:rsid w:val="00035B2B"/>
    <w:rsid w:val="00036039"/>
    <w:rsid w:val="00037AC3"/>
    <w:rsid w:val="00037F90"/>
    <w:rsid w:val="0005488D"/>
    <w:rsid w:val="000665FC"/>
    <w:rsid w:val="000678EF"/>
    <w:rsid w:val="00075406"/>
    <w:rsid w:val="00076961"/>
    <w:rsid w:val="00080573"/>
    <w:rsid w:val="00085969"/>
    <w:rsid w:val="000875BF"/>
    <w:rsid w:val="00091832"/>
    <w:rsid w:val="00096D8C"/>
    <w:rsid w:val="000A2FA9"/>
    <w:rsid w:val="000A3E2D"/>
    <w:rsid w:val="000B6CD9"/>
    <w:rsid w:val="000C0B65"/>
    <w:rsid w:val="000C0F48"/>
    <w:rsid w:val="000C6823"/>
    <w:rsid w:val="000C70CB"/>
    <w:rsid w:val="000E05FE"/>
    <w:rsid w:val="000E3D42"/>
    <w:rsid w:val="000F4C6F"/>
    <w:rsid w:val="000F6E59"/>
    <w:rsid w:val="001014E7"/>
    <w:rsid w:val="00106BB1"/>
    <w:rsid w:val="00110C78"/>
    <w:rsid w:val="00111317"/>
    <w:rsid w:val="001136AF"/>
    <w:rsid w:val="00122BD5"/>
    <w:rsid w:val="00132085"/>
    <w:rsid w:val="00133F79"/>
    <w:rsid w:val="0013657A"/>
    <w:rsid w:val="001371A8"/>
    <w:rsid w:val="0014702F"/>
    <w:rsid w:val="001635D7"/>
    <w:rsid w:val="00173D12"/>
    <w:rsid w:val="00183B11"/>
    <w:rsid w:val="00194A66"/>
    <w:rsid w:val="001A2FFC"/>
    <w:rsid w:val="001A7244"/>
    <w:rsid w:val="001C2BDE"/>
    <w:rsid w:val="001C3DEE"/>
    <w:rsid w:val="001D2718"/>
    <w:rsid w:val="001D320A"/>
    <w:rsid w:val="001D6BCF"/>
    <w:rsid w:val="001E01CA"/>
    <w:rsid w:val="001E1A22"/>
    <w:rsid w:val="001F086E"/>
    <w:rsid w:val="002107A6"/>
    <w:rsid w:val="00210D75"/>
    <w:rsid w:val="00222892"/>
    <w:rsid w:val="00226A24"/>
    <w:rsid w:val="00236898"/>
    <w:rsid w:val="00240A10"/>
    <w:rsid w:val="00246CBB"/>
    <w:rsid w:val="002532A5"/>
    <w:rsid w:val="002537A3"/>
    <w:rsid w:val="00263323"/>
    <w:rsid w:val="0027014F"/>
    <w:rsid w:val="00273380"/>
    <w:rsid w:val="00275462"/>
    <w:rsid w:val="00275CF5"/>
    <w:rsid w:val="00275F1B"/>
    <w:rsid w:val="002760DE"/>
    <w:rsid w:val="002770FD"/>
    <w:rsid w:val="0028227E"/>
    <w:rsid w:val="002827FC"/>
    <w:rsid w:val="0028301F"/>
    <w:rsid w:val="00283D87"/>
    <w:rsid w:val="00285017"/>
    <w:rsid w:val="002869F7"/>
    <w:rsid w:val="002913DF"/>
    <w:rsid w:val="00292921"/>
    <w:rsid w:val="00293E33"/>
    <w:rsid w:val="0029622D"/>
    <w:rsid w:val="002A2D2E"/>
    <w:rsid w:val="002B1110"/>
    <w:rsid w:val="002B5A43"/>
    <w:rsid w:val="002C00E8"/>
    <w:rsid w:val="002C21D6"/>
    <w:rsid w:val="002C5CCC"/>
    <w:rsid w:val="002C5E84"/>
    <w:rsid w:val="002D2926"/>
    <w:rsid w:val="002D3AEC"/>
    <w:rsid w:val="002D5F10"/>
    <w:rsid w:val="002F255F"/>
    <w:rsid w:val="00314649"/>
    <w:rsid w:val="003173EB"/>
    <w:rsid w:val="003179D9"/>
    <w:rsid w:val="003215E4"/>
    <w:rsid w:val="003222C1"/>
    <w:rsid w:val="00323C06"/>
    <w:rsid w:val="003266BF"/>
    <w:rsid w:val="00334296"/>
    <w:rsid w:val="00343749"/>
    <w:rsid w:val="003471E7"/>
    <w:rsid w:val="0036020F"/>
    <w:rsid w:val="00362A65"/>
    <w:rsid w:val="00363E78"/>
    <w:rsid w:val="003648FF"/>
    <w:rsid w:val="00365577"/>
    <w:rsid w:val="003660ED"/>
    <w:rsid w:val="00371C11"/>
    <w:rsid w:val="003733BC"/>
    <w:rsid w:val="00375D18"/>
    <w:rsid w:val="0037782F"/>
    <w:rsid w:val="0039342E"/>
    <w:rsid w:val="00394E5A"/>
    <w:rsid w:val="00397F6B"/>
    <w:rsid w:val="003A68D7"/>
    <w:rsid w:val="003B0550"/>
    <w:rsid w:val="003B5A46"/>
    <w:rsid w:val="003B5CF9"/>
    <w:rsid w:val="003B694F"/>
    <w:rsid w:val="003C6557"/>
    <w:rsid w:val="003D3C25"/>
    <w:rsid w:val="003E1D58"/>
    <w:rsid w:val="003E3D97"/>
    <w:rsid w:val="003E4C0E"/>
    <w:rsid w:val="003E6B85"/>
    <w:rsid w:val="003F171C"/>
    <w:rsid w:val="003F401F"/>
    <w:rsid w:val="003F778F"/>
    <w:rsid w:val="00401058"/>
    <w:rsid w:val="00402E17"/>
    <w:rsid w:val="00412FC5"/>
    <w:rsid w:val="004131AB"/>
    <w:rsid w:val="00415801"/>
    <w:rsid w:val="00417850"/>
    <w:rsid w:val="00421095"/>
    <w:rsid w:val="00422276"/>
    <w:rsid w:val="004242F1"/>
    <w:rsid w:val="00427A63"/>
    <w:rsid w:val="00427D8A"/>
    <w:rsid w:val="004313C6"/>
    <w:rsid w:val="004459A1"/>
    <w:rsid w:val="00445A00"/>
    <w:rsid w:val="004467DE"/>
    <w:rsid w:val="00451B0F"/>
    <w:rsid w:val="00453035"/>
    <w:rsid w:val="00453F5F"/>
    <w:rsid w:val="004573CB"/>
    <w:rsid w:val="00465F2E"/>
    <w:rsid w:val="004663AA"/>
    <w:rsid w:val="00466411"/>
    <w:rsid w:val="0047518B"/>
    <w:rsid w:val="0047662D"/>
    <w:rsid w:val="00483BC9"/>
    <w:rsid w:val="00486E67"/>
    <w:rsid w:val="0049001C"/>
    <w:rsid w:val="0049031E"/>
    <w:rsid w:val="004A2841"/>
    <w:rsid w:val="004A58DE"/>
    <w:rsid w:val="004A7BED"/>
    <w:rsid w:val="004B06E9"/>
    <w:rsid w:val="004B3A8B"/>
    <w:rsid w:val="004C07E6"/>
    <w:rsid w:val="004C2EE3"/>
    <w:rsid w:val="004C6BA3"/>
    <w:rsid w:val="004E4A22"/>
    <w:rsid w:val="004F29EA"/>
    <w:rsid w:val="004F5D77"/>
    <w:rsid w:val="0050573C"/>
    <w:rsid w:val="00511968"/>
    <w:rsid w:val="005143A5"/>
    <w:rsid w:val="005175F3"/>
    <w:rsid w:val="00525CE4"/>
    <w:rsid w:val="0053358C"/>
    <w:rsid w:val="005359EE"/>
    <w:rsid w:val="00540678"/>
    <w:rsid w:val="0055092F"/>
    <w:rsid w:val="0055282A"/>
    <w:rsid w:val="0055614C"/>
    <w:rsid w:val="00561FF6"/>
    <w:rsid w:val="00563E57"/>
    <w:rsid w:val="00565384"/>
    <w:rsid w:val="00572885"/>
    <w:rsid w:val="00573542"/>
    <w:rsid w:val="00581D24"/>
    <w:rsid w:val="005857EA"/>
    <w:rsid w:val="00591220"/>
    <w:rsid w:val="005928A1"/>
    <w:rsid w:val="00593F8B"/>
    <w:rsid w:val="005951D6"/>
    <w:rsid w:val="00595ADD"/>
    <w:rsid w:val="00596D7C"/>
    <w:rsid w:val="00597C37"/>
    <w:rsid w:val="00597C64"/>
    <w:rsid w:val="00597D9B"/>
    <w:rsid w:val="005A1A47"/>
    <w:rsid w:val="005A2AB2"/>
    <w:rsid w:val="005A2B18"/>
    <w:rsid w:val="005A4741"/>
    <w:rsid w:val="005B0E07"/>
    <w:rsid w:val="005B6B1B"/>
    <w:rsid w:val="005C043A"/>
    <w:rsid w:val="005C0B2D"/>
    <w:rsid w:val="005C36F7"/>
    <w:rsid w:val="005C37E7"/>
    <w:rsid w:val="005C4E1D"/>
    <w:rsid w:val="005C7F81"/>
    <w:rsid w:val="005E14C2"/>
    <w:rsid w:val="005E3572"/>
    <w:rsid w:val="005E5264"/>
    <w:rsid w:val="0060096E"/>
    <w:rsid w:val="00604708"/>
    <w:rsid w:val="00605C6E"/>
    <w:rsid w:val="00606835"/>
    <w:rsid w:val="00607BA5"/>
    <w:rsid w:val="00610932"/>
    <w:rsid w:val="0061180A"/>
    <w:rsid w:val="00621FB6"/>
    <w:rsid w:val="0062527F"/>
    <w:rsid w:val="00626EB6"/>
    <w:rsid w:val="00632121"/>
    <w:rsid w:val="0063372A"/>
    <w:rsid w:val="0063378F"/>
    <w:rsid w:val="006376F7"/>
    <w:rsid w:val="0064136D"/>
    <w:rsid w:val="00655D03"/>
    <w:rsid w:val="00655DB8"/>
    <w:rsid w:val="006724DF"/>
    <w:rsid w:val="006750B4"/>
    <w:rsid w:val="00681542"/>
    <w:rsid w:val="00683388"/>
    <w:rsid w:val="00683F84"/>
    <w:rsid w:val="00685BB1"/>
    <w:rsid w:val="006914A1"/>
    <w:rsid w:val="006936F5"/>
    <w:rsid w:val="00695413"/>
    <w:rsid w:val="006A1F49"/>
    <w:rsid w:val="006A6A16"/>
    <w:rsid w:val="006A6A81"/>
    <w:rsid w:val="006C13ED"/>
    <w:rsid w:val="006C29FB"/>
    <w:rsid w:val="006C2B42"/>
    <w:rsid w:val="006D0CEB"/>
    <w:rsid w:val="006D12BE"/>
    <w:rsid w:val="006E6BF5"/>
    <w:rsid w:val="006E744B"/>
    <w:rsid w:val="006F1035"/>
    <w:rsid w:val="006F4111"/>
    <w:rsid w:val="006F6061"/>
    <w:rsid w:val="006F7393"/>
    <w:rsid w:val="0070224F"/>
    <w:rsid w:val="007025DB"/>
    <w:rsid w:val="007115F7"/>
    <w:rsid w:val="007162F7"/>
    <w:rsid w:val="00734473"/>
    <w:rsid w:val="007403CA"/>
    <w:rsid w:val="007439C7"/>
    <w:rsid w:val="0076412C"/>
    <w:rsid w:val="00765B7A"/>
    <w:rsid w:val="007735EA"/>
    <w:rsid w:val="00782834"/>
    <w:rsid w:val="00785689"/>
    <w:rsid w:val="007922F0"/>
    <w:rsid w:val="0079754B"/>
    <w:rsid w:val="007A0236"/>
    <w:rsid w:val="007A0D47"/>
    <w:rsid w:val="007A1E6D"/>
    <w:rsid w:val="007B0EB2"/>
    <w:rsid w:val="007B5A34"/>
    <w:rsid w:val="007B677D"/>
    <w:rsid w:val="007C287F"/>
    <w:rsid w:val="007C3038"/>
    <w:rsid w:val="007C3F7F"/>
    <w:rsid w:val="007D6EA6"/>
    <w:rsid w:val="007E1051"/>
    <w:rsid w:val="007E47B3"/>
    <w:rsid w:val="007E5338"/>
    <w:rsid w:val="007F32A1"/>
    <w:rsid w:val="00807047"/>
    <w:rsid w:val="00810B6F"/>
    <w:rsid w:val="00812B87"/>
    <w:rsid w:val="00815110"/>
    <w:rsid w:val="00816531"/>
    <w:rsid w:val="00820399"/>
    <w:rsid w:val="00822CE0"/>
    <w:rsid w:val="00825972"/>
    <w:rsid w:val="0083624C"/>
    <w:rsid w:val="00841AB1"/>
    <w:rsid w:val="008436CF"/>
    <w:rsid w:val="00847368"/>
    <w:rsid w:val="00856B89"/>
    <w:rsid w:val="008605DF"/>
    <w:rsid w:val="00861040"/>
    <w:rsid w:val="00864B1A"/>
    <w:rsid w:val="0086546D"/>
    <w:rsid w:val="0087788C"/>
    <w:rsid w:val="00881AD2"/>
    <w:rsid w:val="008844D6"/>
    <w:rsid w:val="00892C41"/>
    <w:rsid w:val="008962F7"/>
    <w:rsid w:val="008A25B1"/>
    <w:rsid w:val="008A3938"/>
    <w:rsid w:val="008B065C"/>
    <w:rsid w:val="008B62F1"/>
    <w:rsid w:val="008C68F1"/>
    <w:rsid w:val="008D26EB"/>
    <w:rsid w:val="008D3E06"/>
    <w:rsid w:val="008D69FB"/>
    <w:rsid w:val="00902E26"/>
    <w:rsid w:val="009041EE"/>
    <w:rsid w:val="00904D81"/>
    <w:rsid w:val="00921803"/>
    <w:rsid w:val="00926503"/>
    <w:rsid w:val="00926966"/>
    <w:rsid w:val="00932409"/>
    <w:rsid w:val="009326A2"/>
    <w:rsid w:val="00933C5F"/>
    <w:rsid w:val="0093711B"/>
    <w:rsid w:val="00942883"/>
    <w:rsid w:val="00950A27"/>
    <w:rsid w:val="009611CB"/>
    <w:rsid w:val="0096205A"/>
    <w:rsid w:val="009700DF"/>
    <w:rsid w:val="00970E45"/>
    <w:rsid w:val="009726D8"/>
    <w:rsid w:val="00976CA0"/>
    <w:rsid w:val="00986576"/>
    <w:rsid w:val="00990280"/>
    <w:rsid w:val="009A1319"/>
    <w:rsid w:val="009A7B1B"/>
    <w:rsid w:val="009D05A7"/>
    <w:rsid w:val="009D12F2"/>
    <w:rsid w:val="009E0548"/>
    <w:rsid w:val="009E5E6F"/>
    <w:rsid w:val="009F49AA"/>
    <w:rsid w:val="009F76DB"/>
    <w:rsid w:val="00A01522"/>
    <w:rsid w:val="00A10643"/>
    <w:rsid w:val="00A11CD2"/>
    <w:rsid w:val="00A20C11"/>
    <w:rsid w:val="00A313C4"/>
    <w:rsid w:val="00A32C3B"/>
    <w:rsid w:val="00A3405A"/>
    <w:rsid w:val="00A37DDA"/>
    <w:rsid w:val="00A45F4F"/>
    <w:rsid w:val="00A57D37"/>
    <w:rsid w:val="00A600A9"/>
    <w:rsid w:val="00A612D9"/>
    <w:rsid w:val="00A65047"/>
    <w:rsid w:val="00A65322"/>
    <w:rsid w:val="00A717F0"/>
    <w:rsid w:val="00A801BE"/>
    <w:rsid w:val="00A810A0"/>
    <w:rsid w:val="00AA01EE"/>
    <w:rsid w:val="00AA1955"/>
    <w:rsid w:val="00AA55B7"/>
    <w:rsid w:val="00AA5B9E"/>
    <w:rsid w:val="00AA7FCF"/>
    <w:rsid w:val="00AB2407"/>
    <w:rsid w:val="00AB4956"/>
    <w:rsid w:val="00AB53DF"/>
    <w:rsid w:val="00AB6DE4"/>
    <w:rsid w:val="00AC5886"/>
    <w:rsid w:val="00AD7B0C"/>
    <w:rsid w:val="00AE4856"/>
    <w:rsid w:val="00AF0C8E"/>
    <w:rsid w:val="00AF137C"/>
    <w:rsid w:val="00B07E5C"/>
    <w:rsid w:val="00B1293E"/>
    <w:rsid w:val="00B1618A"/>
    <w:rsid w:val="00B27AA2"/>
    <w:rsid w:val="00B31798"/>
    <w:rsid w:val="00B40867"/>
    <w:rsid w:val="00B44631"/>
    <w:rsid w:val="00B552D7"/>
    <w:rsid w:val="00B679AB"/>
    <w:rsid w:val="00B76DB8"/>
    <w:rsid w:val="00B811F7"/>
    <w:rsid w:val="00B855E1"/>
    <w:rsid w:val="00B9024A"/>
    <w:rsid w:val="00B903E1"/>
    <w:rsid w:val="00BA3DF6"/>
    <w:rsid w:val="00BA5DC6"/>
    <w:rsid w:val="00BA6196"/>
    <w:rsid w:val="00BA737E"/>
    <w:rsid w:val="00BB6900"/>
    <w:rsid w:val="00BC6D8C"/>
    <w:rsid w:val="00BC7984"/>
    <w:rsid w:val="00BD393B"/>
    <w:rsid w:val="00BD43F6"/>
    <w:rsid w:val="00BD5477"/>
    <w:rsid w:val="00BD5798"/>
    <w:rsid w:val="00BE189E"/>
    <w:rsid w:val="00BF118C"/>
    <w:rsid w:val="00BF4B80"/>
    <w:rsid w:val="00C154FB"/>
    <w:rsid w:val="00C16B8E"/>
    <w:rsid w:val="00C214C6"/>
    <w:rsid w:val="00C316BC"/>
    <w:rsid w:val="00C318FF"/>
    <w:rsid w:val="00C34006"/>
    <w:rsid w:val="00C357DC"/>
    <w:rsid w:val="00C401B3"/>
    <w:rsid w:val="00C426B1"/>
    <w:rsid w:val="00C428B5"/>
    <w:rsid w:val="00C50FCD"/>
    <w:rsid w:val="00C66160"/>
    <w:rsid w:val="00C7143E"/>
    <w:rsid w:val="00C721AC"/>
    <w:rsid w:val="00C81E8C"/>
    <w:rsid w:val="00C82D23"/>
    <w:rsid w:val="00C85904"/>
    <w:rsid w:val="00C8724F"/>
    <w:rsid w:val="00C90D6A"/>
    <w:rsid w:val="00C916DA"/>
    <w:rsid w:val="00C93A43"/>
    <w:rsid w:val="00C9448E"/>
    <w:rsid w:val="00C94FEC"/>
    <w:rsid w:val="00CA247E"/>
    <w:rsid w:val="00CA3950"/>
    <w:rsid w:val="00CA620E"/>
    <w:rsid w:val="00CA7175"/>
    <w:rsid w:val="00CB402F"/>
    <w:rsid w:val="00CB407D"/>
    <w:rsid w:val="00CB5060"/>
    <w:rsid w:val="00CC14B5"/>
    <w:rsid w:val="00CC2CD7"/>
    <w:rsid w:val="00CC72B6"/>
    <w:rsid w:val="00CF7EBA"/>
    <w:rsid w:val="00D0218D"/>
    <w:rsid w:val="00D049AB"/>
    <w:rsid w:val="00D05CC3"/>
    <w:rsid w:val="00D11F36"/>
    <w:rsid w:val="00D13BAA"/>
    <w:rsid w:val="00D1418D"/>
    <w:rsid w:val="00D20D30"/>
    <w:rsid w:val="00D25FB5"/>
    <w:rsid w:val="00D34709"/>
    <w:rsid w:val="00D35690"/>
    <w:rsid w:val="00D42C58"/>
    <w:rsid w:val="00D44223"/>
    <w:rsid w:val="00D47505"/>
    <w:rsid w:val="00D61621"/>
    <w:rsid w:val="00D66B7C"/>
    <w:rsid w:val="00D7313E"/>
    <w:rsid w:val="00D75815"/>
    <w:rsid w:val="00D81D2D"/>
    <w:rsid w:val="00D85FEC"/>
    <w:rsid w:val="00D86259"/>
    <w:rsid w:val="00D92906"/>
    <w:rsid w:val="00D94D9E"/>
    <w:rsid w:val="00DA04C2"/>
    <w:rsid w:val="00DA2529"/>
    <w:rsid w:val="00DA39F0"/>
    <w:rsid w:val="00DB130A"/>
    <w:rsid w:val="00DB2EBB"/>
    <w:rsid w:val="00DC10A1"/>
    <w:rsid w:val="00DC12E6"/>
    <w:rsid w:val="00DC655F"/>
    <w:rsid w:val="00DC7348"/>
    <w:rsid w:val="00DD0B59"/>
    <w:rsid w:val="00DD7EBD"/>
    <w:rsid w:val="00DE45C3"/>
    <w:rsid w:val="00DE4C8D"/>
    <w:rsid w:val="00DF0810"/>
    <w:rsid w:val="00DF62B6"/>
    <w:rsid w:val="00E07225"/>
    <w:rsid w:val="00E20F4E"/>
    <w:rsid w:val="00E221AE"/>
    <w:rsid w:val="00E23CFE"/>
    <w:rsid w:val="00E240CC"/>
    <w:rsid w:val="00E30166"/>
    <w:rsid w:val="00E4562E"/>
    <w:rsid w:val="00E5409F"/>
    <w:rsid w:val="00E7195B"/>
    <w:rsid w:val="00E962EC"/>
    <w:rsid w:val="00EB0C9D"/>
    <w:rsid w:val="00EB23FC"/>
    <w:rsid w:val="00EB4ACC"/>
    <w:rsid w:val="00EB536C"/>
    <w:rsid w:val="00EC070D"/>
    <w:rsid w:val="00EC0E34"/>
    <w:rsid w:val="00ED2382"/>
    <w:rsid w:val="00EE1ACA"/>
    <w:rsid w:val="00EE4C52"/>
    <w:rsid w:val="00EE6488"/>
    <w:rsid w:val="00EE7516"/>
    <w:rsid w:val="00EF53C6"/>
    <w:rsid w:val="00F021FA"/>
    <w:rsid w:val="00F05252"/>
    <w:rsid w:val="00F05350"/>
    <w:rsid w:val="00F06C68"/>
    <w:rsid w:val="00F06C9A"/>
    <w:rsid w:val="00F10957"/>
    <w:rsid w:val="00F11CD5"/>
    <w:rsid w:val="00F1243C"/>
    <w:rsid w:val="00F17737"/>
    <w:rsid w:val="00F20385"/>
    <w:rsid w:val="00F21116"/>
    <w:rsid w:val="00F24C27"/>
    <w:rsid w:val="00F2561C"/>
    <w:rsid w:val="00F26D5E"/>
    <w:rsid w:val="00F3686C"/>
    <w:rsid w:val="00F538E7"/>
    <w:rsid w:val="00F60C38"/>
    <w:rsid w:val="00F62E97"/>
    <w:rsid w:val="00F64209"/>
    <w:rsid w:val="00F651BD"/>
    <w:rsid w:val="00F706B4"/>
    <w:rsid w:val="00F720D9"/>
    <w:rsid w:val="00F75D94"/>
    <w:rsid w:val="00F83457"/>
    <w:rsid w:val="00F8591E"/>
    <w:rsid w:val="00F87AB0"/>
    <w:rsid w:val="00F87D78"/>
    <w:rsid w:val="00F93BF5"/>
    <w:rsid w:val="00FA0788"/>
    <w:rsid w:val="00FB6B2B"/>
    <w:rsid w:val="00FB7E45"/>
    <w:rsid w:val="00FC0413"/>
    <w:rsid w:val="00FC3130"/>
    <w:rsid w:val="00FC3497"/>
    <w:rsid w:val="00FC5A15"/>
    <w:rsid w:val="00FD074B"/>
    <w:rsid w:val="00FD6A4A"/>
    <w:rsid w:val="00FE1290"/>
    <w:rsid w:val="00FE2C64"/>
    <w:rsid w:val="00F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2D"/>
    <w:pPr>
      <w:widowControl w:val="0"/>
    </w:pPr>
    <w:rPr>
      <w:snapToGrid w:val="0"/>
      <w:kern w:val="28"/>
      <w:sz w:val="22"/>
    </w:rPr>
  </w:style>
  <w:style w:type="paragraph" w:styleId="Heading1">
    <w:name w:val="heading 1"/>
    <w:basedOn w:val="Normal"/>
    <w:next w:val="ParaNum0"/>
    <w:qFormat/>
    <w:rsid w:val="000A3E2D"/>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0A3E2D"/>
    <w:pPr>
      <w:keepNext/>
      <w:numPr>
        <w:ilvl w:val="1"/>
        <w:numId w:val="7"/>
      </w:numPr>
      <w:spacing w:after="120"/>
      <w:outlineLvl w:val="1"/>
    </w:pPr>
    <w:rPr>
      <w:b/>
    </w:rPr>
  </w:style>
  <w:style w:type="paragraph" w:styleId="Heading3">
    <w:name w:val="heading 3"/>
    <w:basedOn w:val="Normal"/>
    <w:next w:val="ParaNum0"/>
    <w:qFormat/>
    <w:rsid w:val="000A3E2D"/>
    <w:pPr>
      <w:keepNext/>
      <w:numPr>
        <w:ilvl w:val="2"/>
        <w:numId w:val="7"/>
      </w:numPr>
      <w:tabs>
        <w:tab w:val="left" w:pos="2160"/>
      </w:tabs>
      <w:spacing w:after="120"/>
      <w:outlineLvl w:val="2"/>
    </w:pPr>
    <w:rPr>
      <w:b/>
    </w:rPr>
  </w:style>
  <w:style w:type="paragraph" w:styleId="Heading4">
    <w:name w:val="heading 4"/>
    <w:basedOn w:val="Normal"/>
    <w:next w:val="ParaNum0"/>
    <w:qFormat/>
    <w:rsid w:val="000A3E2D"/>
    <w:pPr>
      <w:keepNext/>
      <w:numPr>
        <w:ilvl w:val="3"/>
        <w:numId w:val="7"/>
      </w:numPr>
      <w:tabs>
        <w:tab w:val="left" w:pos="2880"/>
      </w:tabs>
      <w:spacing w:after="120"/>
      <w:outlineLvl w:val="3"/>
    </w:pPr>
    <w:rPr>
      <w:b/>
    </w:rPr>
  </w:style>
  <w:style w:type="paragraph" w:styleId="Heading5">
    <w:name w:val="heading 5"/>
    <w:basedOn w:val="Normal"/>
    <w:next w:val="ParaNum0"/>
    <w:qFormat/>
    <w:rsid w:val="000A3E2D"/>
    <w:pPr>
      <w:keepNext/>
      <w:numPr>
        <w:ilvl w:val="4"/>
        <w:numId w:val="7"/>
      </w:numPr>
      <w:tabs>
        <w:tab w:val="clear" w:pos="3960"/>
        <w:tab w:val="left" w:pos="3600"/>
      </w:tabs>
      <w:suppressAutoHyphens/>
      <w:spacing w:after="120"/>
      <w:outlineLvl w:val="4"/>
    </w:pPr>
    <w:rPr>
      <w:b/>
    </w:rPr>
  </w:style>
  <w:style w:type="paragraph" w:styleId="Heading6">
    <w:name w:val="heading 6"/>
    <w:basedOn w:val="Normal"/>
    <w:next w:val="ParaNum0"/>
    <w:qFormat/>
    <w:rsid w:val="000A3E2D"/>
    <w:pPr>
      <w:numPr>
        <w:ilvl w:val="5"/>
        <w:numId w:val="7"/>
      </w:numPr>
      <w:tabs>
        <w:tab w:val="left" w:pos="4320"/>
      </w:tabs>
      <w:spacing w:after="120"/>
      <w:outlineLvl w:val="5"/>
    </w:pPr>
    <w:rPr>
      <w:b/>
    </w:rPr>
  </w:style>
  <w:style w:type="paragraph" w:styleId="Heading7">
    <w:name w:val="heading 7"/>
    <w:basedOn w:val="Normal"/>
    <w:next w:val="ParaNum0"/>
    <w:qFormat/>
    <w:rsid w:val="000A3E2D"/>
    <w:pPr>
      <w:numPr>
        <w:ilvl w:val="7"/>
        <w:numId w:val="7"/>
      </w:numPr>
      <w:tabs>
        <w:tab w:val="clear" w:pos="5400"/>
        <w:tab w:val="left" w:pos="5040"/>
      </w:tabs>
      <w:spacing w:after="120"/>
      <w:ind w:hanging="720"/>
      <w:outlineLvl w:val="6"/>
    </w:pPr>
    <w:rPr>
      <w:b/>
    </w:rPr>
  </w:style>
  <w:style w:type="paragraph" w:styleId="Heading8">
    <w:name w:val="heading 8"/>
    <w:basedOn w:val="Normal"/>
    <w:next w:val="ParaNum0"/>
    <w:qFormat/>
    <w:rsid w:val="000A3E2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0A3E2D"/>
    <w:pPr>
      <w:numPr>
        <w:ilvl w:val="8"/>
        <w:numId w:val="7"/>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0A3E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3E2D"/>
  </w:style>
  <w:style w:type="paragraph" w:customStyle="1" w:styleId="ParaNum0">
    <w:name w:val="ParaNum"/>
    <w:basedOn w:val="Normal"/>
    <w:rsid w:val="000A3E2D"/>
    <w:pPr>
      <w:numPr>
        <w:numId w:val="2"/>
      </w:numPr>
      <w:tabs>
        <w:tab w:val="clear" w:pos="1080"/>
        <w:tab w:val="num" w:pos="1440"/>
      </w:tabs>
      <w:spacing w:after="120"/>
    </w:pPr>
  </w:style>
  <w:style w:type="paragraph" w:styleId="EndnoteText">
    <w:name w:val="endnote text"/>
    <w:basedOn w:val="Normal"/>
    <w:semiHidden/>
    <w:rsid w:val="000A3E2D"/>
    <w:rPr>
      <w:sz w:val="20"/>
    </w:rPr>
  </w:style>
  <w:style w:type="character" w:styleId="EndnoteReference">
    <w:name w:val="endnote reference"/>
    <w:semiHidden/>
    <w:rsid w:val="000A3E2D"/>
    <w:rPr>
      <w:vertAlign w:val="superscript"/>
    </w:rPr>
  </w:style>
  <w:style w:type="paragraph" w:styleId="FootnoteText">
    <w:name w:val="footnote text"/>
    <w:link w:val="FootnoteTextChar"/>
    <w:rsid w:val="000A3E2D"/>
    <w:pPr>
      <w:spacing w:after="120"/>
    </w:pPr>
  </w:style>
  <w:style w:type="character" w:styleId="FootnoteReference">
    <w:name w:val="footnote reference"/>
    <w:rsid w:val="000A3E2D"/>
    <w:rPr>
      <w:rFonts w:ascii="Times New Roman" w:hAnsi="Times New Roman"/>
      <w:dstrike w:val="0"/>
      <w:color w:val="auto"/>
      <w:sz w:val="20"/>
      <w:vertAlign w:val="superscript"/>
    </w:rPr>
  </w:style>
  <w:style w:type="paragraph" w:styleId="TOC1">
    <w:name w:val="toc 1"/>
    <w:basedOn w:val="Normal"/>
    <w:next w:val="Normal"/>
    <w:semiHidden/>
    <w:rsid w:val="000A3E2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A3E2D"/>
    <w:pPr>
      <w:tabs>
        <w:tab w:val="left" w:pos="720"/>
        <w:tab w:val="right" w:leader="dot" w:pos="9360"/>
      </w:tabs>
      <w:suppressAutoHyphens/>
      <w:ind w:left="720" w:right="720" w:hanging="360"/>
    </w:pPr>
    <w:rPr>
      <w:noProof/>
    </w:rPr>
  </w:style>
  <w:style w:type="paragraph" w:styleId="TOC3">
    <w:name w:val="toc 3"/>
    <w:basedOn w:val="Normal"/>
    <w:next w:val="Normal"/>
    <w:semiHidden/>
    <w:rsid w:val="000A3E2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A3E2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A3E2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A3E2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A3E2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A3E2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A3E2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A3E2D"/>
    <w:pPr>
      <w:tabs>
        <w:tab w:val="right" w:pos="9360"/>
      </w:tabs>
      <w:suppressAutoHyphens/>
    </w:pPr>
  </w:style>
  <w:style w:type="character" w:customStyle="1" w:styleId="EquationCaption">
    <w:name w:val="_Equation Caption"/>
    <w:rsid w:val="000A3E2D"/>
  </w:style>
  <w:style w:type="paragraph" w:styleId="Header">
    <w:name w:val="header"/>
    <w:basedOn w:val="Normal"/>
    <w:autoRedefine/>
    <w:rsid w:val="000A3E2D"/>
    <w:pPr>
      <w:tabs>
        <w:tab w:val="center" w:pos="4680"/>
        <w:tab w:val="right" w:pos="9360"/>
      </w:tabs>
      <w:spacing w:before="40"/>
      <w:ind w:firstLine="1080"/>
    </w:pPr>
    <w:rPr>
      <w:rFonts w:ascii="News Gothic MT" w:hAnsi="News Gothic MT"/>
      <w:b/>
      <w:sz w:val="96"/>
    </w:rPr>
  </w:style>
  <w:style w:type="paragraph" w:styleId="Footer">
    <w:name w:val="footer"/>
    <w:basedOn w:val="Normal"/>
    <w:rsid w:val="000A3E2D"/>
    <w:pPr>
      <w:tabs>
        <w:tab w:val="center" w:pos="4320"/>
        <w:tab w:val="right" w:pos="8640"/>
      </w:tabs>
    </w:pPr>
  </w:style>
  <w:style w:type="character" w:styleId="PageNumber">
    <w:name w:val="page number"/>
    <w:basedOn w:val="DefaultParagraphFont"/>
    <w:rsid w:val="000A3E2D"/>
  </w:style>
  <w:style w:type="paragraph" w:styleId="BlockText">
    <w:name w:val="Block Text"/>
    <w:basedOn w:val="Normal"/>
    <w:rsid w:val="000A3E2D"/>
    <w:pPr>
      <w:spacing w:after="240"/>
      <w:ind w:left="1440" w:right="1440"/>
    </w:pPr>
  </w:style>
  <w:style w:type="paragraph" w:customStyle="1" w:styleId="Paratitle">
    <w:name w:val="Para title"/>
    <w:basedOn w:val="Normal"/>
    <w:rsid w:val="000A3E2D"/>
    <w:pPr>
      <w:tabs>
        <w:tab w:val="center" w:pos="9270"/>
      </w:tabs>
      <w:spacing w:after="240"/>
    </w:pPr>
    <w:rPr>
      <w:spacing w:val="-2"/>
    </w:rPr>
  </w:style>
  <w:style w:type="paragraph" w:customStyle="1" w:styleId="Bullet">
    <w:name w:val="Bullet"/>
    <w:basedOn w:val="Normal"/>
    <w:rsid w:val="000A3E2D"/>
    <w:pPr>
      <w:tabs>
        <w:tab w:val="left" w:pos="2160"/>
      </w:tabs>
      <w:spacing w:after="220"/>
      <w:ind w:left="2160" w:hanging="720"/>
    </w:pPr>
  </w:style>
  <w:style w:type="paragraph" w:customStyle="1" w:styleId="TableFormat">
    <w:name w:val="TableFormat"/>
    <w:basedOn w:val="Bullet"/>
    <w:rsid w:val="000A3E2D"/>
    <w:pPr>
      <w:tabs>
        <w:tab w:val="clear" w:pos="2160"/>
        <w:tab w:val="left" w:pos="5040"/>
      </w:tabs>
      <w:ind w:left="5040" w:hanging="3600"/>
    </w:pPr>
  </w:style>
  <w:style w:type="paragraph" w:customStyle="1" w:styleId="TOCTitle">
    <w:name w:val="TOC Title"/>
    <w:basedOn w:val="Normal"/>
    <w:rsid w:val="000A3E2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A3E2D"/>
    <w:pPr>
      <w:jc w:val="center"/>
    </w:pPr>
    <w:rPr>
      <w:rFonts w:ascii="Times New Roman Bold" w:hAnsi="Times New Roman Bold"/>
      <w:b/>
      <w:bCs/>
      <w:caps/>
      <w:szCs w:val="22"/>
    </w:rPr>
  </w:style>
  <w:style w:type="character" w:styleId="Hyperlink">
    <w:name w:val="Hyperlink"/>
    <w:rsid w:val="000A3E2D"/>
    <w:rPr>
      <w:color w:val="0000FF"/>
      <w:u w:val="single"/>
    </w:rPr>
  </w:style>
  <w:style w:type="paragraph" w:styleId="ListParagraph">
    <w:name w:val="List Paragraph"/>
    <w:basedOn w:val="Normal"/>
    <w:uiPriority w:val="34"/>
    <w:qFormat/>
    <w:rsid w:val="00005C6D"/>
    <w:pPr>
      <w:ind w:left="720"/>
      <w:contextualSpacing/>
    </w:pPr>
  </w:style>
  <w:style w:type="character" w:styleId="CommentReference">
    <w:name w:val="annotation reference"/>
    <w:basedOn w:val="DefaultParagraphFont"/>
    <w:rsid w:val="00397F6B"/>
    <w:rPr>
      <w:sz w:val="16"/>
      <w:szCs w:val="16"/>
    </w:rPr>
  </w:style>
  <w:style w:type="paragraph" w:styleId="CommentText">
    <w:name w:val="annotation text"/>
    <w:basedOn w:val="Normal"/>
    <w:link w:val="CommentTextChar"/>
    <w:rsid w:val="00397F6B"/>
    <w:rPr>
      <w:sz w:val="20"/>
    </w:rPr>
  </w:style>
  <w:style w:type="character" w:customStyle="1" w:styleId="CommentTextChar">
    <w:name w:val="Comment Text Char"/>
    <w:basedOn w:val="DefaultParagraphFont"/>
    <w:link w:val="CommentText"/>
    <w:rsid w:val="00397F6B"/>
    <w:rPr>
      <w:snapToGrid w:val="0"/>
      <w:kern w:val="28"/>
    </w:rPr>
  </w:style>
  <w:style w:type="paragraph" w:styleId="CommentSubject">
    <w:name w:val="annotation subject"/>
    <w:basedOn w:val="CommentText"/>
    <w:next w:val="CommentText"/>
    <w:link w:val="CommentSubjectChar"/>
    <w:rsid w:val="00397F6B"/>
    <w:rPr>
      <w:b/>
      <w:bCs/>
    </w:rPr>
  </w:style>
  <w:style w:type="character" w:customStyle="1" w:styleId="CommentSubjectChar">
    <w:name w:val="Comment Subject Char"/>
    <w:basedOn w:val="CommentTextChar"/>
    <w:link w:val="CommentSubject"/>
    <w:rsid w:val="00397F6B"/>
    <w:rPr>
      <w:b/>
      <w:bCs/>
      <w:snapToGrid w:val="0"/>
      <w:kern w:val="28"/>
    </w:rPr>
  </w:style>
  <w:style w:type="paragraph" w:styleId="BalloonText">
    <w:name w:val="Balloon Text"/>
    <w:basedOn w:val="Normal"/>
    <w:link w:val="BalloonTextChar"/>
    <w:rsid w:val="00397F6B"/>
    <w:rPr>
      <w:rFonts w:ascii="Tahoma" w:hAnsi="Tahoma" w:cs="Tahoma"/>
      <w:sz w:val="16"/>
      <w:szCs w:val="16"/>
    </w:rPr>
  </w:style>
  <w:style w:type="character" w:customStyle="1" w:styleId="BalloonTextChar">
    <w:name w:val="Balloon Text Char"/>
    <w:basedOn w:val="DefaultParagraphFont"/>
    <w:link w:val="BalloonText"/>
    <w:rsid w:val="00397F6B"/>
    <w:rPr>
      <w:rFonts w:ascii="Tahoma" w:hAnsi="Tahoma" w:cs="Tahoma"/>
      <w:snapToGrid w:val="0"/>
      <w:kern w:val="28"/>
      <w:sz w:val="16"/>
      <w:szCs w:val="16"/>
    </w:rPr>
  </w:style>
  <w:style w:type="paragraph" w:styleId="NormalWeb">
    <w:name w:val="Normal (Web)"/>
    <w:basedOn w:val="Normal"/>
    <w:uiPriority w:val="99"/>
    <w:unhideWhenUsed/>
    <w:rsid w:val="00AD7B0C"/>
    <w:pPr>
      <w:widowControl/>
      <w:spacing w:before="100" w:beforeAutospacing="1" w:after="100" w:afterAutospacing="1"/>
    </w:pPr>
    <w:rPr>
      <w:snapToGrid/>
      <w:kern w:val="0"/>
      <w:sz w:val="24"/>
      <w:szCs w:val="24"/>
    </w:rPr>
  </w:style>
  <w:style w:type="paragraph" w:styleId="Revision">
    <w:name w:val="Revision"/>
    <w:hidden/>
    <w:uiPriority w:val="99"/>
    <w:semiHidden/>
    <w:rsid w:val="0096205A"/>
    <w:rPr>
      <w:snapToGrid w:val="0"/>
      <w:kern w:val="28"/>
      <w:sz w:val="22"/>
    </w:rPr>
  </w:style>
  <w:style w:type="character" w:customStyle="1" w:styleId="FootnoteTextChar">
    <w:name w:val="Footnote Text Char"/>
    <w:basedOn w:val="DefaultParagraphFont"/>
    <w:link w:val="FootnoteText"/>
    <w:rsid w:val="00106BB1"/>
  </w:style>
  <w:style w:type="character" w:customStyle="1" w:styleId="emphi1">
    <w:name w:val="emphi1"/>
    <w:basedOn w:val="DefaultParagraphFont"/>
    <w:rsid w:val="00FD074B"/>
    <w:rPr>
      <w:i/>
      <w:iCs/>
    </w:rPr>
  </w:style>
  <w:style w:type="paragraph" w:styleId="Caption">
    <w:name w:val="caption"/>
    <w:basedOn w:val="Normal"/>
    <w:next w:val="Normal"/>
    <w:qFormat/>
    <w:rsid w:val="005E3572"/>
    <w:pPr>
      <w:spacing w:before="120" w:after="120"/>
    </w:pPr>
    <w:rPr>
      <w:b/>
    </w:rPr>
  </w:style>
  <w:style w:type="paragraph" w:customStyle="1" w:styleId="NumberedList">
    <w:name w:val="Numbered List"/>
    <w:basedOn w:val="Normal"/>
    <w:rsid w:val="005E3572"/>
    <w:pPr>
      <w:numPr>
        <w:numId w:val="21"/>
      </w:numPr>
      <w:tabs>
        <w:tab w:val="clear" w:pos="1080"/>
      </w:tabs>
      <w:spacing w:after="220"/>
      <w:ind w:firstLine="0"/>
    </w:pPr>
  </w:style>
  <w:style w:type="paragraph" w:customStyle="1" w:styleId="Paranum">
    <w:name w:val="Paranum"/>
    <w:basedOn w:val="Normal"/>
    <w:rsid w:val="005E3572"/>
    <w:pPr>
      <w:numPr>
        <w:numId w:val="22"/>
      </w:numPr>
      <w:tabs>
        <w:tab w:val="clear" w:pos="1080"/>
      </w:tabs>
      <w:spacing w:after="220"/>
      <w:jc w:val="both"/>
    </w:pPr>
  </w:style>
  <w:style w:type="paragraph" w:customStyle="1" w:styleId="TableFormat0">
    <w:name w:val="Table Format"/>
    <w:basedOn w:val="Normal"/>
    <w:rsid w:val="005E3572"/>
    <w:pPr>
      <w:tabs>
        <w:tab w:val="left" w:pos="5040"/>
      </w:tabs>
      <w:spacing w:after="220"/>
      <w:ind w:left="5040" w:hanging="3600"/>
      <w:jc w:val="both"/>
    </w:pPr>
  </w:style>
  <w:style w:type="character" w:styleId="FollowedHyperlink">
    <w:name w:val="FollowedHyperlink"/>
    <w:rsid w:val="005E3572"/>
    <w:rPr>
      <w:color w:val="800080"/>
      <w:u w:val="single"/>
    </w:rPr>
  </w:style>
  <w:style w:type="paragraph" w:styleId="PlainText">
    <w:name w:val="Plain Text"/>
    <w:basedOn w:val="Normal"/>
    <w:link w:val="PlainTextChar"/>
    <w:uiPriority w:val="99"/>
    <w:unhideWhenUsed/>
    <w:rsid w:val="00B552D7"/>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B552D7"/>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2D"/>
    <w:pPr>
      <w:widowControl w:val="0"/>
    </w:pPr>
    <w:rPr>
      <w:snapToGrid w:val="0"/>
      <w:kern w:val="28"/>
      <w:sz w:val="22"/>
    </w:rPr>
  </w:style>
  <w:style w:type="paragraph" w:styleId="Heading1">
    <w:name w:val="heading 1"/>
    <w:basedOn w:val="Normal"/>
    <w:next w:val="ParaNum0"/>
    <w:qFormat/>
    <w:rsid w:val="000A3E2D"/>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0A3E2D"/>
    <w:pPr>
      <w:keepNext/>
      <w:numPr>
        <w:ilvl w:val="1"/>
        <w:numId w:val="7"/>
      </w:numPr>
      <w:spacing w:after="120"/>
      <w:outlineLvl w:val="1"/>
    </w:pPr>
    <w:rPr>
      <w:b/>
    </w:rPr>
  </w:style>
  <w:style w:type="paragraph" w:styleId="Heading3">
    <w:name w:val="heading 3"/>
    <w:basedOn w:val="Normal"/>
    <w:next w:val="ParaNum0"/>
    <w:qFormat/>
    <w:rsid w:val="000A3E2D"/>
    <w:pPr>
      <w:keepNext/>
      <w:numPr>
        <w:ilvl w:val="2"/>
        <w:numId w:val="7"/>
      </w:numPr>
      <w:tabs>
        <w:tab w:val="left" w:pos="2160"/>
      </w:tabs>
      <w:spacing w:after="120"/>
      <w:outlineLvl w:val="2"/>
    </w:pPr>
    <w:rPr>
      <w:b/>
    </w:rPr>
  </w:style>
  <w:style w:type="paragraph" w:styleId="Heading4">
    <w:name w:val="heading 4"/>
    <w:basedOn w:val="Normal"/>
    <w:next w:val="ParaNum0"/>
    <w:qFormat/>
    <w:rsid w:val="000A3E2D"/>
    <w:pPr>
      <w:keepNext/>
      <w:numPr>
        <w:ilvl w:val="3"/>
        <w:numId w:val="7"/>
      </w:numPr>
      <w:tabs>
        <w:tab w:val="left" w:pos="2880"/>
      </w:tabs>
      <w:spacing w:after="120"/>
      <w:outlineLvl w:val="3"/>
    </w:pPr>
    <w:rPr>
      <w:b/>
    </w:rPr>
  </w:style>
  <w:style w:type="paragraph" w:styleId="Heading5">
    <w:name w:val="heading 5"/>
    <w:basedOn w:val="Normal"/>
    <w:next w:val="ParaNum0"/>
    <w:qFormat/>
    <w:rsid w:val="000A3E2D"/>
    <w:pPr>
      <w:keepNext/>
      <w:numPr>
        <w:ilvl w:val="4"/>
        <w:numId w:val="7"/>
      </w:numPr>
      <w:tabs>
        <w:tab w:val="clear" w:pos="3960"/>
        <w:tab w:val="left" w:pos="3600"/>
      </w:tabs>
      <w:suppressAutoHyphens/>
      <w:spacing w:after="120"/>
      <w:outlineLvl w:val="4"/>
    </w:pPr>
    <w:rPr>
      <w:b/>
    </w:rPr>
  </w:style>
  <w:style w:type="paragraph" w:styleId="Heading6">
    <w:name w:val="heading 6"/>
    <w:basedOn w:val="Normal"/>
    <w:next w:val="ParaNum0"/>
    <w:qFormat/>
    <w:rsid w:val="000A3E2D"/>
    <w:pPr>
      <w:numPr>
        <w:ilvl w:val="5"/>
        <w:numId w:val="7"/>
      </w:numPr>
      <w:tabs>
        <w:tab w:val="left" w:pos="4320"/>
      </w:tabs>
      <w:spacing w:after="120"/>
      <w:outlineLvl w:val="5"/>
    </w:pPr>
    <w:rPr>
      <w:b/>
    </w:rPr>
  </w:style>
  <w:style w:type="paragraph" w:styleId="Heading7">
    <w:name w:val="heading 7"/>
    <w:basedOn w:val="Normal"/>
    <w:next w:val="ParaNum0"/>
    <w:qFormat/>
    <w:rsid w:val="000A3E2D"/>
    <w:pPr>
      <w:numPr>
        <w:ilvl w:val="7"/>
        <w:numId w:val="7"/>
      </w:numPr>
      <w:tabs>
        <w:tab w:val="clear" w:pos="5400"/>
        <w:tab w:val="left" w:pos="5040"/>
      </w:tabs>
      <w:spacing w:after="120"/>
      <w:ind w:hanging="720"/>
      <w:outlineLvl w:val="6"/>
    </w:pPr>
    <w:rPr>
      <w:b/>
    </w:rPr>
  </w:style>
  <w:style w:type="paragraph" w:styleId="Heading8">
    <w:name w:val="heading 8"/>
    <w:basedOn w:val="Normal"/>
    <w:next w:val="ParaNum0"/>
    <w:qFormat/>
    <w:rsid w:val="000A3E2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0A3E2D"/>
    <w:pPr>
      <w:numPr>
        <w:ilvl w:val="8"/>
        <w:numId w:val="7"/>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0A3E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3E2D"/>
  </w:style>
  <w:style w:type="paragraph" w:customStyle="1" w:styleId="ParaNum0">
    <w:name w:val="ParaNum"/>
    <w:basedOn w:val="Normal"/>
    <w:rsid w:val="000A3E2D"/>
    <w:pPr>
      <w:numPr>
        <w:numId w:val="2"/>
      </w:numPr>
      <w:tabs>
        <w:tab w:val="clear" w:pos="1080"/>
        <w:tab w:val="num" w:pos="1440"/>
      </w:tabs>
      <w:spacing w:after="120"/>
    </w:pPr>
  </w:style>
  <w:style w:type="paragraph" w:styleId="EndnoteText">
    <w:name w:val="endnote text"/>
    <w:basedOn w:val="Normal"/>
    <w:semiHidden/>
    <w:rsid w:val="000A3E2D"/>
    <w:rPr>
      <w:sz w:val="20"/>
    </w:rPr>
  </w:style>
  <w:style w:type="character" w:styleId="EndnoteReference">
    <w:name w:val="endnote reference"/>
    <w:semiHidden/>
    <w:rsid w:val="000A3E2D"/>
    <w:rPr>
      <w:vertAlign w:val="superscript"/>
    </w:rPr>
  </w:style>
  <w:style w:type="paragraph" w:styleId="FootnoteText">
    <w:name w:val="footnote text"/>
    <w:link w:val="FootnoteTextChar"/>
    <w:rsid w:val="000A3E2D"/>
    <w:pPr>
      <w:spacing w:after="120"/>
    </w:pPr>
  </w:style>
  <w:style w:type="character" w:styleId="FootnoteReference">
    <w:name w:val="footnote reference"/>
    <w:rsid w:val="000A3E2D"/>
    <w:rPr>
      <w:rFonts w:ascii="Times New Roman" w:hAnsi="Times New Roman"/>
      <w:dstrike w:val="0"/>
      <w:color w:val="auto"/>
      <w:sz w:val="20"/>
      <w:vertAlign w:val="superscript"/>
    </w:rPr>
  </w:style>
  <w:style w:type="paragraph" w:styleId="TOC1">
    <w:name w:val="toc 1"/>
    <w:basedOn w:val="Normal"/>
    <w:next w:val="Normal"/>
    <w:semiHidden/>
    <w:rsid w:val="000A3E2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A3E2D"/>
    <w:pPr>
      <w:tabs>
        <w:tab w:val="left" w:pos="720"/>
        <w:tab w:val="right" w:leader="dot" w:pos="9360"/>
      </w:tabs>
      <w:suppressAutoHyphens/>
      <w:ind w:left="720" w:right="720" w:hanging="360"/>
    </w:pPr>
    <w:rPr>
      <w:noProof/>
    </w:rPr>
  </w:style>
  <w:style w:type="paragraph" w:styleId="TOC3">
    <w:name w:val="toc 3"/>
    <w:basedOn w:val="Normal"/>
    <w:next w:val="Normal"/>
    <w:semiHidden/>
    <w:rsid w:val="000A3E2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A3E2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A3E2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A3E2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A3E2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A3E2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A3E2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A3E2D"/>
    <w:pPr>
      <w:tabs>
        <w:tab w:val="right" w:pos="9360"/>
      </w:tabs>
      <w:suppressAutoHyphens/>
    </w:pPr>
  </w:style>
  <w:style w:type="character" w:customStyle="1" w:styleId="EquationCaption">
    <w:name w:val="_Equation Caption"/>
    <w:rsid w:val="000A3E2D"/>
  </w:style>
  <w:style w:type="paragraph" w:styleId="Header">
    <w:name w:val="header"/>
    <w:basedOn w:val="Normal"/>
    <w:autoRedefine/>
    <w:rsid w:val="000A3E2D"/>
    <w:pPr>
      <w:tabs>
        <w:tab w:val="center" w:pos="4680"/>
        <w:tab w:val="right" w:pos="9360"/>
      </w:tabs>
      <w:spacing w:before="40"/>
      <w:ind w:firstLine="1080"/>
    </w:pPr>
    <w:rPr>
      <w:rFonts w:ascii="News Gothic MT" w:hAnsi="News Gothic MT"/>
      <w:b/>
      <w:sz w:val="96"/>
    </w:rPr>
  </w:style>
  <w:style w:type="paragraph" w:styleId="Footer">
    <w:name w:val="footer"/>
    <w:basedOn w:val="Normal"/>
    <w:rsid w:val="000A3E2D"/>
    <w:pPr>
      <w:tabs>
        <w:tab w:val="center" w:pos="4320"/>
        <w:tab w:val="right" w:pos="8640"/>
      </w:tabs>
    </w:pPr>
  </w:style>
  <w:style w:type="character" w:styleId="PageNumber">
    <w:name w:val="page number"/>
    <w:basedOn w:val="DefaultParagraphFont"/>
    <w:rsid w:val="000A3E2D"/>
  </w:style>
  <w:style w:type="paragraph" w:styleId="BlockText">
    <w:name w:val="Block Text"/>
    <w:basedOn w:val="Normal"/>
    <w:rsid w:val="000A3E2D"/>
    <w:pPr>
      <w:spacing w:after="240"/>
      <w:ind w:left="1440" w:right="1440"/>
    </w:pPr>
  </w:style>
  <w:style w:type="paragraph" w:customStyle="1" w:styleId="Paratitle">
    <w:name w:val="Para title"/>
    <w:basedOn w:val="Normal"/>
    <w:rsid w:val="000A3E2D"/>
    <w:pPr>
      <w:tabs>
        <w:tab w:val="center" w:pos="9270"/>
      </w:tabs>
      <w:spacing w:after="240"/>
    </w:pPr>
    <w:rPr>
      <w:spacing w:val="-2"/>
    </w:rPr>
  </w:style>
  <w:style w:type="paragraph" w:customStyle="1" w:styleId="Bullet">
    <w:name w:val="Bullet"/>
    <w:basedOn w:val="Normal"/>
    <w:rsid w:val="000A3E2D"/>
    <w:pPr>
      <w:tabs>
        <w:tab w:val="left" w:pos="2160"/>
      </w:tabs>
      <w:spacing w:after="220"/>
      <w:ind w:left="2160" w:hanging="720"/>
    </w:pPr>
  </w:style>
  <w:style w:type="paragraph" w:customStyle="1" w:styleId="TableFormat">
    <w:name w:val="TableFormat"/>
    <w:basedOn w:val="Bullet"/>
    <w:rsid w:val="000A3E2D"/>
    <w:pPr>
      <w:tabs>
        <w:tab w:val="clear" w:pos="2160"/>
        <w:tab w:val="left" w:pos="5040"/>
      </w:tabs>
      <w:ind w:left="5040" w:hanging="3600"/>
    </w:pPr>
  </w:style>
  <w:style w:type="paragraph" w:customStyle="1" w:styleId="TOCTitle">
    <w:name w:val="TOC Title"/>
    <w:basedOn w:val="Normal"/>
    <w:rsid w:val="000A3E2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A3E2D"/>
    <w:pPr>
      <w:jc w:val="center"/>
    </w:pPr>
    <w:rPr>
      <w:rFonts w:ascii="Times New Roman Bold" w:hAnsi="Times New Roman Bold"/>
      <w:b/>
      <w:bCs/>
      <w:caps/>
      <w:szCs w:val="22"/>
    </w:rPr>
  </w:style>
  <w:style w:type="character" w:styleId="Hyperlink">
    <w:name w:val="Hyperlink"/>
    <w:rsid w:val="000A3E2D"/>
    <w:rPr>
      <w:color w:val="0000FF"/>
      <w:u w:val="single"/>
    </w:rPr>
  </w:style>
  <w:style w:type="paragraph" w:styleId="ListParagraph">
    <w:name w:val="List Paragraph"/>
    <w:basedOn w:val="Normal"/>
    <w:uiPriority w:val="34"/>
    <w:qFormat/>
    <w:rsid w:val="00005C6D"/>
    <w:pPr>
      <w:ind w:left="720"/>
      <w:contextualSpacing/>
    </w:pPr>
  </w:style>
  <w:style w:type="character" w:styleId="CommentReference">
    <w:name w:val="annotation reference"/>
    <w:basedOn w:val="DefaultParagraphFont"/>
    <w:rsid w:val="00397F6B"/>
    <w:rPr>
      <w:sz w:val="16"/>
      <w:szCs w:val="16"/>
    </w:rPr>
  </w:style>
  <w:style w:type="paragraph" w:styleId="CommentText">
    <w:name w:val="annotation text"/>
    <w:basedOn w:val="Normal"/>
    <w:link w:val="CommentTextChar"/>
    <w:rsid w:val="00397F6B"/>
    <w:rPr>
      <w:sz w:val="20"/>
    </w:rPr>
  </w:style>
  <w:style w:type="character" w:customStyle="1" w:styleId="CommentTextChar">
    <w:name w:val="Comment Text Char"/>
    <w:basedOn w:val="DefaultParagraphFont"/>
    <w:link w:val="CommentText"/>
    <w:rsid w:val="00397F6B"/>
    <w:rPr>
      <w:snapToGrid w:val="0"/>
      <w:kern w:val="28"/>
    </w:rPr>
  </w:style>
  <w:style w:type="paragraph" w:styleId="CommentSubject">
    <w:name w:val="annotation subject"/>
    <w:basedOn w:val="CommentText"/>
    <w:next w:val="CommentText"/>
    <w:link w:val="CommentSubjectChar"/>
    <w:rsid w:val="00397F6B"/>
    <w:rPr>
      <w:b/>
      <w:bCs/>
    </w:rPr>
  </w:style>
  <w:style w:type="character" w:customStyle="1" w:styleId="CommentSubjectChar">
    <w:name w:val="Comment Subject Char"/>
    <w:basedOn w:val="CommentTextChar"/>
    <w:link w:val="CommentSubject"/>
    <w:rsid w:val="00397F6B"/>
    <w:rPr>
      <w:b/>
      <w:bCs/>
      <w:snapToGrid w:val="0"/>
      <w:kern w:val="28"/>
    </w:rPr>
  </w:style>
  <w:style w:type="paragraph" w:styleId="BalloonText">
    <w:name w:val="Balloon Text"/>
    <w:basedOn w:val="Normal"/>
    <w:link w:val="BalloonTextChar"/>
    <w:rsid w:val="00397F6B"/>
    <w:rPr>
      <w:rFonts w:ascii="Tahoma" w:hAnsi="Tahoma" w:cs="Tahoma"/>
      <w:sz w:val="16"/>
      <w:szCs w:val="16"/>
    </w:rPr>
  </w:style>
  <w:style w:type="character" w:customStyle="1" w:styleId="BalloonTextChar">
    <w:name w:val="Balloon Text Char"/>
    <w:basedOn w:val="DefaultParagraphFont"/>
    <w:link w:val="BalloonText"/>
    <w:rsid w:val="00397F6B"/>
    <w:rPr>
      <w:rFonts w:ascii="Tahoma" w:hAnsi="Tahoma" w:cs="Tahoma"/>
      <w:snapToGrid w:val="0"/>
      <w:kern w:val="28"/>
      <w:sz w:val="16"/>
      <w:szCs w:val="16"/>
    </w:rPr>
  </w:style>
  <w:style w:type="paragraph" w:styleId="NormalWeb">
    <w:name w:val="Normal (Web)"/>
    <w:basedOn w:val="Normal"/>
    <w:uiPriority w:val="99"/>
    <w:unhideWhenUsed/>
    <w:rsid w:val="00AD7B0C"/>
    <w:pPr>
      <w:widowControl/>
      <w:spacing w:before="100" w:beforeAutospacing="1" w:after="100" w:afterAutospacing="1"/>
    </w:pPr>
    <w:rPr>
      <w:snapToGrid/>
      <w:kern w:val="0"/>
      <w:sz w:val="24"/>
      <w:szCs w:val="24"/>
    </w:rPr>
  </w:style>
  <w:style w:type="paragraph" w:styleId="Revision">
    <w:name w:val="Revision"/>
    <w:hidden/>
    <w:uiPriority w:val="99"/>
    <w:semiHidden/>
    <w:rsid w:val="0096205A"/>
    <w:rPr>
      <w:snapToGrid w:val="0"/>
      <w:kern w:val="28"/>
      <w:sz w:val="22"/>
    </w:rPr>
  </w:style>
  <w:style w:type="character" w:customStyle="1" w:styleId="FootnoteTextChar">
    <w:name w:val="Footnote Text Char"/>
    <w:basedOn w:val="DefaultParagraphFont"/>
    <w:link w:val="FootnoteText"/>
    <w:rsid w:val="00106BB1"/>
  </w:style>
  <w:style w:type="character" w:customStyle="1" w:styleId="emphi1">
    <w:name w:val="emphi1"/>
    <w:basedOn w:val="DefaultParagraphFont"/>
    <w:rsid w:val="00FD074B"/>
    <w:rPr>
      <w:i/>
      <w:iCs/>
    </w:rPr>
  </w:style>
  <w:style w:type="paragraph" w:styleId="Caption">
    <w:name w:val="caption"/>
    <w:basedOn w:val="Normal"/>
    <w:next w:val="Normal"/>
    <w:qFormat/>
    <w:rsid w:val="005E3572"/>
    <w:pPr>
      <w:spacing w:before="120" w:after="120"/>
    </w:pPr>
    <w:rPr>
      <w:b/>
    </w:rPr>
  </w:style>
  <w:style w:type="paragraph" w:customStyle="1" w:styleId="NumberedList">
    <w:name w:val="Numbered List"/>
    <w:basedOn w:val="Normal"/>
    <w:rsid w:val="005E3572"/>
    <w:pPr>
      <w:numPr>
        <w:numId w:val="21"/>
      </w:numPr>
      <w:tabs>
        <w:tab w:val="clear" w:pos="1080"/>
      </w:tabs>
      <w:spacing w:after="220"/>
      <w:ind w:firstLine="0"/>
    </w:pPr>
  </w:style>
  <w:style w:type="paragraph" w:customStyle="1" w:styleId="Paranum">
    <w:name w:val="Paranum"/>
    <w:basedOn w:val="Normal"/>
    <w:rsid w:val="005E3572"/>
    <w:pPr>
      <w:numPr>
        <w:numId w:val="22"/>
      </w:numPr>
      <w:tabs>
        <w:tab w:val="clear" w:pos="1080"/>
      </w:tabs>
      <w:spacing w:after="220"/>
      <w:jc w:val="both"/>
    </w:pPr>
  </w:style>
  <w:style w:type="paragraph" w:customStyle="1" w:styleId="TableFormat0">
    <w:name w:val="Table Format"/>
    <w:basedOn w:val="Normal"/>
    <w:rsid w:val="005E3572"/>
    <w:pPr>
      <w:tabs>
        <w:tab w:val="left" w:pos="5040"/>
      </w:tabs>
      <w:spacing w:after="220"/>
      <w:ind w:left="5040" w:hanging="3600"/>
      <w:jc w:val="both"/>
    </w:pPr>
  </w:style>
  <w:style w:type="character" w:styleId="FollowedHyperlink">
    <w:name w:val="FollowedHyperlink"/>
    <w:rsid w:val="005E3572"/>
    <w:rPr>
      <w:color w:val="800080"/>
      <w:u w:val="single"/>
    </w:rPr>
  </w:style>
  <w:style w:type="paragraph" w:styleId="PlainText">
    <w:name w:val="Plain Text"/>
    <w:basedOn w:val="Normal"/>
    <w:link w:val="PlainTextChar"/>
    <w:uiPriority w:val="99"/>
    <w:unhideWhenUsed/>
    <w:rsid w:val="00B552D7"/>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B552D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19615">
      <w:bodyDiv w:val="1"/>
      <w:marLeft w:val="0"/>
      <w:marRight w:val="0"/>
      <w:marTop w:val="0"/>
      <w:marBottom w:val="0"/>
      <w:divBdr>
        <w:top w:val="none" w:sz="0" w:space="0" w:color="auto"/>
        <w:left w:val="none" w:sz="0" w:space="0" w:color="auto"/>
        <w:bottom w:val="none" w:sz="0" w:space="0" w:color="auto"/>
        <w:right w:val="none" w:sz="0" w:space="0" w:color="auto"/>
      </w:divBdr>
      <w:divsChild>
        <w:div w:id="344402718">
          <w:marLeft w:val="0"/>
          <w:marRight w:val="0"/>
          <w:marTop w:val="0"/>
          <w:marBottom w:val="0"/>
          <w:divBdr>
            <w:top w:val="none" w:sz="0" w:space="0" w:color="auto"/>
            <w:left w:val="single" w:sz="6" w:space="0" w:color="BBBBBB"/>
            <w:bottom w:val="single" w:sz="6" w:space="0" w:color="BBBBBB"/>
            <w:right w:val="single" w:sz="6" w:space="0" w:color="BBBBBB"/>
          </w:divBdr>
          <w:divsChild>
            <w:div w:id="2112435614">
              <w:marLeft w:val="0"/>
              <w:marRight w:val="0"/>
              <w:marTop w:val="0"/>
              <w:marBottom w:val="0"/>
              <w:divBdr>
                <w:top w:val="none" w:sz="0" w:space="0" w:color="auto"/>
                <w:left w:val="none" w:sz="0" w:space="0" w:color="auto"/>
                <w:bottom w:val="none" w:sz="0" w:space="0" w:color="auto"/>
                <w:right w:val="none" w:sz="0" w:space="0" w:color="auto"/>
              </w:divBdr>
              <w:divsChild>
                <w:div w:id="1932885017">
                  <w:marLeft w:val="0"/>
                  <w:marRight w:val="0"/>
                  <w:marTop w:val="0"/>
                  <w:marBottom w:val="0"/>
                  <w:divBdr>
                    <w:top w:val="none" w:sz="0" w:space="0" w:color="auto"/>
                    <w:left w:val="none" w:sz="0" w:space="0" w:color="auto"/>
                    <w:bottom w:val="none" w:sz="0" w:space="0" w:color="auto"/>
                    <w:right w:val="none" w:sz="0" w:space="0" w:color="auto"/>
                  </w:divBdr>
                  <w:divsChild>
                    <w:div w:id="294068616">
                      <w:marLeft w:val="0"/>
                      <w:marRight w:val="0"/>
                      <w:marTop w:val="0"/>
                      <w:marBottom w:val="0"/>
                      <w:divBdr>
                        <w:top w:val="none" w:sz="0" w:space="0" w:color="auto"/>
                        <w:left w:val="none" w:sz="0" w:space="0" w:color="auto"/>
                        <w:bottom w:val="none" w:sz="0" w:space="0" w:color="auto"/>
                        <w:right w:val="none" w:sz="0" w:space="0" w:color="auto"/>
                      </w:divBdr>
                      <w:divsChild>
                        <w:div w:id="1862543663">
                          <w:marLeft w:val="0"/>
                          <w:marRight w:val="0"/>
                          <w:marTop w:val="0"/>
                          <w:marBottom w:val="0"/>
                          <w:divBdr>
                            <w:top w:val="none" w:sz="0" w:space="0" w:color="auto"/>
                            <w:left w:val="none" w:sz="0" w:space="0" w:color="auto"/>
                            <w:bottom w:val="none" w:sz="0" w:space="0" w:color="auto"/>
                            <w:right w:val="none" w:sz="0" w:space="0" w:color="auto"/>
                          </w:divBdr>
                          <w:divsChild>
                            <w:div w:id="1043214169">
                              <w:marLeft w:val="0"/>
                              <w:marRight w:val="0"/>
                              <w:marTop w:val="0"/>
                              <w:marBottom w:val="0"/>
                              <w:divBdr>
                                <w:top w:val="none" w:sz="0" w:space="0" w:color="auto"/>
                                <w:left w:val="none" w:sz="0" w:space="0" w:color="auto"/>
                                <w:bottom w:val="none" w:sz="0" w:space="0" w:color="auto"/>
                                <w:right w:val="none" w:sz="0" w:space="0" w:color="auto"/>
                              </w:divBdr>
                              <w:divsChild>
                                <w:div w:id="992634992">
                                  <w:marLeft w:val="0"/>
                                  <w:marRight w:val="0"/>
                                  <w:marTop w:val="0"/>
                                  <w:marBottom w:val="0"/>
                                  <w:divBdr>
                                    <w:top w:val="none" w:sz="0" w:space="0" w:color="auto"/>
                                    <w:left w:val="none" w:sz="0" w:space="0" w:color="auto"/>
                                    <w:bottom w:val="none" w:sz="0" w:space="0" w:color="auto"/>
                                    <w:right w:val="none" w:sz="0" w:space="0" w:color="auto"/>
                                  </w:divBdr>
                                  <w:divsChild>
                                    <w:div w:id="1267806890">
                                      <w:marLeft w:val="0"/>
                                      <w:marRight w:val="0"/>
                                      <w:marTop w:val="0"/>
                                      <w:marBottom w:val="0"/>
                                      <w:divBdr>
                                        <w:top w:val="none" w:sz="0" w:space="0" w:color="auto"/>
                                        <w:left w:val="none" w:sz="0" w:space="0" w:color="auto"/>
                                        <w:bottom w:val="none" w:sz="0" w:space="0" w:color="auto"/>
                                        <w:right w:val="none" w:sz="0" w:space="0" w:color="auto"/>
                                      </w:divBdr>
                                      <w:divsChild>
                                        <w:div w:id="1230917036">
                                          <w:marLeft w:val="1200"/>
                                          <w:marRight w:val="1200"/>
                                          <w:marTop w:val="0"/>
                                          <w:marBottom w:val="0"/>
                                          <w:divBdr>
                                            <w:top w:val="none" w:sz="0" w:space="0" w:color="auto"/>
                                            <w:left w:val="none" w:sz="0" w:space="0" w:color="auto"/>
                                            <w:bottom w:val="none" w:sz="0" w:space="0" w:color="auto"/>
                                            <w:right w:val="none" w:sz="0" w:space="0" w:color="auto"/>
                                          </w:divBdr>
                                          <w:divsChild>
                                            <w:div w:id="1388602757">
                                              <w:marLeft w:val="0"/>
                                              <w:marRight w:val="0"/>
                                              <w:marTop w:val="0"/>
                                              <w:marBottom w:val="0"/>
                                              <w:divBdr>
                                                <w:top w:val="none" w:sz="0" w:space="0" w:color="auto"/>
                                                <w:left w:val="none" w:sz="0" w:space="0" w:color="auto"/>
                                                <w:bottom w:val="none" w:sz="0" w:space="0" w:color="auto"/>
                                                <w:right w:val="none" w:sz="0" w:space="0" w:color="auto"/>
                                              </w:divBdr>
                                              <w:divsChild>
                                                <w:div w:id="973293562">
                                                  <w:marLeft w:val="0"/>
                                                  <w:marRight w:val="0"/>
                                                  <w:marTop w:val="0"/>
                                                  <w:marBottom w:val="0"/>
                                                  <w:divBdr>
                                                    <w:top w:val="none" w:sz="0" w:space="0" w:color="auto"/>
                                                    <w:left w:val="none" w:sz="0" w:space="0" w:color="auto"/>
                                                    <w:bottom w:val="none" w:sz="0" w:space="0" w:color="auto"/>
                                                    <w:right w:val="none" w:sz="0" w:space="0" w:color="auto"/>
                                                  </w:divBdr>
                                                  <w:divsChild>
                                                    <w:div w:id="1616669898">
                                                      <w:marLeft w:val="0"/>
                                                      <w:marRight w:val="0"/>
                                                      <w:marTop w:val="0"/>
                                                      <w:marBottom w:val="0"/>
                                                      <w:divBdr>
                                                        <w:top w:val="none" w:sz="0" w:space="0" w:color="auto"/>
                                                        <w:left w:val="none" w:sz="0" w:space="0" w:color="auto"/>
                                                        <w:bottom w:val="none" w:sz="0" w:space="0" w:color="auto"/>
                                                        <w:right w:val="none" w:sz="0" w:space="0" w:color="auto"/>
                                                      </w:divBdr>
                                                      <w:divsChild>
                                                        <w:div w:id="1751584074">
                                                          <w:marLeft w:val="0"/>
                                                          <w:marRight w:val="0"/>
                                                          <w:marTop w:val="0"/>
                                                          <w:marBottom w:val="0"/>
                                                          <w:divBdr>
                                                            <w:top w:val="none" w:sz="0" w:space="0" w:color="auto"/>
                                                            <w:left w:val="none" w:sz="0" w:space="0" w:color="auto"/>
                                                            <w:bottom w:val="none" w:sz="0" w:space="0" w:color="auto"/>
                                                            <w:right w:val="none" w:sz="0" w:space="0" w:color="auto"/>
                                                          </w:divBdr>
                                                        </w:div>
                                                      </w:divsChild>
                                                    </w:div>
                                                    <w:div w:id="282661782">
                                                      <w:marLeft w:val="0"/>
                                                      <w:marRight w:val="0"/>
                                                      <w:marTop w:val="0"/>
                                                      <w:marBottom w:val="0"/>
                                                      <w:divBdr>
                                                        <w:top w:val="none" w:sz="0" w:space="0" w:color="auto"/>
                                                        <w:left w:val="none" w:sz="0" w:space="0" w:color="auto"/>
                                                        <w:bottom w:val="none" w:sz="0" w:space="0" w:color="auto"/>
                                                        <w:right w:val="none" w:sz="0" w:space="0" w:color="auto"/>
                                                      </w:divBdr>
                                                      <w:divsChild>
                                                        <w:div w:id="923150609">
                                                          <w:marLeft w:val="0"/>
                                                          <w:marRight w:val="0"/>
                                                          <w:marTop w:val="0"/>
                                                          <w:marBottom w:val="0"/>
                                                          <w:divBdr>
                                                            <w:top w:val="none" w:sz="0" w:space="0" w:color="auto"/>
                                                            <w:left w:val="none" w:sz="0" w:space="0" w:color="auto"/>
                                                            <w:bottom w:val="none" w:sz="0" w:space="0" w:color="auto"/>
                                                            <w:right w:val="none" w:sz="0" w:space="0" w:color="auto"/>
                                                          </w:divBdr>
                                                        </w:div>
                                                      </w:divsChild>
                                                    </w:div>
                                                    <w:div w:id="1873108432">
                                                      <w:marLeft w:val="0"/>
                                                      <w:marRight w:val="0"/>
                                                      <w:marTop w:val="0"/>
                                                      <w:marBottom w:val="0"/>
                                                      <w:divBdr>
                                                        <w:top w:val="none" w:sz="0" w:space="0" w:color="auto"/>
                                                        <w:left w:val="none" w:sz="0" w:space="0" w:color="auto"/>
                                                        <w:bottom w:val="none" w:sz="0" w:space="0" w:color="auto"/>
                                                        <w:right w:val="none" w:sz="0" w:space="0" w:color="auto"/>
                                                      </w:divBdr>
                                                      <w:divsChild>
                                                        <w:div w:id="1625504111">
                                                          <w:marLeft w:val="0"/>
                                                          <w:marRight w:val="0"/>
                                                          <w:marTop w:val="0"/>
                                                          <w:marBottom w:val="0"/>
                                                          <w:divBdr>
                                                            <w:top w:val="none" w:sz="0" w:space="0" w:color="auto"/>
                                                            <w:left w:val="none" w:sz="0" w:space="0" w:color="auto"/>
                                                            <w:bottom w:val="none" w:sz="0" w:space="0" w:color="auto"/>
                                                            <w:right w:val="none" w:sz="0" w:space="0" w:color="auto"/>
                                                          </w:divBdr>
                                                        </w:div>
                                                      </w:divsChild>
                                                    </w:div>
                                                    <w:div w:id="1474635944">
                                                      <w:marLeft w:val="0"/>
                                                      <w:marRight w:val="0"/>
                                                      <w:marTop w:val="0"/>
                                                      <w:marBottom w:val="0"/>
                                                      <w:divBdr>
                                                        <w:top w:val="none" w:sz="0" w:space="0" w:color="auto"/>
                                                        <w:left w:val="none" w:sz="0" w:space="0" w:color="auto"/>
                                                        <w:bottom w:val="none" w:sz="0" w:space="0" w:color="auto"/>
                                                        <w:right w:val="none" w:sz="0" w:space="0" w:color="auto"/>
                                                      </w:divBdr>
                                                      <w:divsChild>
                                                        <w:div w:id="446706056">
                                                          <w:marLeft w:val="0"/>
                                                          <w:marRight w:val="0"/>
                                                          <w:marTop w:val="0"/>
                                                          <w:marBottom w:val="0"/>
                                                          <w:divBdr>
                                                            <w:top w:val="none" w:sz="0" w:space="0" w:color="auto"/>
                                                            <w:left w:val="none" w:sz="0" w:space="0" w:color="auto"/>
                                                            <w:bottom w:val="none" w:sz="0" w:space="0" w:color="auto"/>
                                                            <w:right w:val="none" w:sz="0" w:space="0" w:color="auto"/>
                                                          </w:divBdr>
                                                        </w:div>
                                                      </w:divsChild>
                                                    </w:div>
                                                    <w:div w:id="1030302902">
                                                      <w:marLeft w:val="0"/>
                                                      <w:marRight w:val="0"/>
                                                      <w:marTop w:val="0"/>
                                                      <w:marBottom w:val="0"/>
                                                      <w:divBdr>
                                                        <w:top w:val="none" w:sz="0" w:space="0" w:color="auto"/>
                                                        <w:left w:val="none" w:sz="0" w:space="0" w:color="auto"/>
                                                        <w:bottom w:val="none" w:sz="0" w:space="0" w:color="auto"/>
                                                        <w:right w:val="none" w:sz="0" w:space="0" w:color="auto"/>
                                                      </w:divBdr>
                                                      <w:divsChild>
                                                        <w:div w:id="1234662733">
                                                          <w:marLeft w:val="0"/>
                                                          <w:marRight w:val="0"/>
                                                          <w:marTop w:val="0"/>
                                                          <w:marBottom w:val="0"/>
                                                          <w:divBdr>
                                                            <w:top w:val="none" w:sz="0" w:space="0" w:color="auto"/>
                                                            <w:left w:val="none" w:sz="0" w:space="0" w:color="auto"/>
                                                            <w:bottom w:val="none" w:sz="0" w:space="0" w:color="auto"/>
                                                            <w:right w:val="none" w:sz="0" w:space="0" w:color="auto"/>
                                                          </w:divBdr>
                                                        </w:div>
                                                      </w:divsChild>
                                                    </w:div>
                                                    <w:div w:id="451172810">
                                                      <w:marLeft w:val="0"/>
                                                      <w:marRight w:val="0"/>
                                                      <w:marTop w:val="0"/>
                                                      <w:marBottom w:val="0"/>
                                                      <w:divBdr>
                                                        <w:top w:val="none" w:sz="0" w:space="0" w:color="auto"/>
                                                        <w:left w:val="none" w:sz="0" w:space="0" w:color="auto"/>
                                                        <w:bottom w:val="none" w:sz="0" w:space="0" w:color="auto"/>
                                                        <w:right w:val="none" w:sz="0" w:space="0" w:color="auto"/>
                                                      </w:divBdr>
                                                      <w:divsChild>
                                                        <w:div w:id="1290473727">
                                                          <w:marLeft w:val="0"/>
                                                          <w:marRight w:val="0"/>
                                                          <w:marTop w:val="0"/>
                                                          <w:marBottom w:val="0"/>
                                                          <w:divBdr>
                                                            <w:top w:val="none" w:sz="0" w:space="0" w:color="auto"/>
                                                            <w:left w:val="none" w:sz="0" w:space="0" w:color="auto"/>
                                                            <w:bottom w:val="none" w:sz="0" w:space="0" w:color="auto"/>
                                                            <w:right w:val="none" w:sz="0" w:space="0" w:color="auto"/>
                                                          </w:divBdr>
                                                        </w:div>
                                                      </w:divsChild>
                                                    </w:div>
                                                    <w:div w:id="639923209">
                                                      <w:marLeft w:val="0"/>
                                                      <w:marRight w:val="0"/>
                                                      <w:marTop w:val="0"/>
                                                      <w:marBottom w:val="0"/>
                                                      <w:divBdr>
                                                        <w:top w:val="none" w:sz="0" w:space="0" w:color="auto"/>
                                                        <w:left w:val="none" w:sz="0" w:space="0" w:color="auto"/>
                                                        <w:bottom w:val="none" w:sz="0" w:space="0" w:color="auto"/>
                                                        <w:right w:val="none" w:sz="0" w:space="0" w:color="auto"/>
                                                      </w:divBdr>
                                                      <w:divsChild>
                                                        <w:div w:id="13430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278416">
      <w:bodyDiv w:val="1"/>
      <w:marLeft w:val="0"/>
      <w:marRight w:val="0"/>
      <w:marTop w:val="0"/>
      <w:marBottom w:val="0"/>
      <w:divBdr>
        <w:top w:val="none" w:sz="0" w:space="0" w:color="auto"/>
        <w:left w:val="none" w:sz="0" w:space="0" w:color="auto"/>
        <w:bottom w:val="none" w:sz="0" w:space="0" w:color="auto"/>
        <w:right w:val="none" w:sz="0" w:space="0" w:color="auto"/>
      </w:divBdr>
    </w:div>
    <w:div w:id="1102841570">
      <w:bodyDiv w:val="1"/>
      <w:marLeft w:val="0"/>
      <w:marRight w:val="0"/>
      <w:marTop w:val="0"/>
      <w:marBottom w:val="0"/>
      <w:divBdr>
        <w:top w:val="none" w:sz="0" w:space="0" w:color="auto"/>
        <w:left w:val="none" w:sz="0" w:space="0" w:color="auto"/>
        <w:bottom w:val="none" w:sz="0" w:space="0" w:color="auto"/>
        <w:right w:val="none" w:sz="0" w:space="0" w:color="auto"/>
      </w:divBdr>
    </w:div>
    <w:div w:id="1259873912">
      <w:bodyDiv w:val="1"/>
      <w:marLeft w:val="0"/>
      <w:marRight w:val="0"/>
      <w:marTop w:val="0"/>
      <w:marBottom w:val="0"/>
      <w:divBdr>
        <w:top w:val="none" w:sz="0" w:space="0" w:color="auto"/>
        <w:left w:val="none" w:sz="0" w:space="0" w:color="auto"/>
        <w:bottom w:val="none" w:sz="0" w:space="0" w:color="auto"/>
        <w:right w:val="none" w:sz="0" w:space="0" w:color="auto"/>
      </w:divBdr>
    </w:div>
    <w:div w:id="1486706513">
      <w:bodyDiv w:val="1"/>
      <w:marLeft w:val="0"/>
      <w:marRight w:val="0"/>
      <w:marTop w:val="0"/>
      <w:marBottom w:val="0"/>
      <w:divBdr>
        <w:top w:val="none" w:sz="0" w:space="0" w:color="auto"/>
        <w:left w:val="none" w:sz="0" w:space="0" w:color="auto"/>
        <w:bottom w:val="none" w:sz="0" w:space="0" w:color="auto"/>
        <w:right w:val="none" w:sz="0" w:space="0" w:color="auto"/>
      </w:divBdr>
    </w:div>
    <w:div w:id="15031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Morris@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ossein.Hashemazdeh@fcc.go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Kevin.Harding@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forms" TargetMode="External"/><Relationship Id="rId1" Type="http://schemas.openxmlformats.org/officeDocument/2006/relationships/hyperlink" Target="mailto:kevin.harding@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634</Words>
  <Characters>3552</Characters>
  <Application>Microsoft Office Word</Application>
  <DocSecurity>0</DocSecurity>
  <Lines>49</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4197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2015-05-13T15:11:00Z</cp:lastPrinted>
  <dcterms:created xsi:type="dcterms:W3CDTF">2015-05-13T15:54:00Z</dcterms:created>
  <dcterms:modified xsi:type="dcterms:W3CDTF">2015-05-13T15:54:00Z</dcterms:modified>
  <cp:category> </cp:category>
  <cp:contentStatus> </cp:contentStatus>
</cp:coreProperties>
</file>