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3D" w:rsidRDefault="008726BB" w:rsidP="00576B56">
      <w:pPr>
        <w:jc w:val="center"/>
        <w:rPr>
          <w:b/>
        </w:rPr>
      </w:pPr>
      <w:bookmarkStart w:id="0" w:name="_GoBack"/>
      <w:bookmarkEnd w:id="0"/>
      <w:r>
        <w:rPr>
          <w:b/>
        </w:rPr>
        <w:t>Before the</w:t>
      </w:r>
    </w:p>
    <w:p w:rsidR="00EE593D" w:rsidRDefault="008726BB">
      <w:pPr>
        <w:jc w:val="center"/>
        <w:rPr>
          <w:b/>
        </w:rPr>
      </w:pPr>
      <w:r>
        <w:rPr>
          <w:b/>
        </w:rPr>
        <w:t>Federal Communications Commission</w:t>
      </w:r>
    </w:p>
    <w:p w:rsidR="00EE593D" w:rsidRDefault="008726BB">
      <w:pPr>
        <w:jc w:val="center"/>
        <w:rPr>
          <w:b/>
        </w:rPr>
      </w:pPr>
      <w:r>
        <w:rPr>
          <w:b/>
        </w:rPr>
        <w:t>Washington, D.C. 20554</w:t>
      </w:r>
    </w:p>
    <w:p w:rsidR="00EE593D" w:rsidRDefault="00EE593D"/>
    <w:p w:rsidR="00EE593D" w:rsidRDefault="00EE593D"/>
    <w:tbl>
      <w:tblPr>
        <w:tblW w:w="0" w:type="auto"/>
        <w:tblLayout w:type="fixed"/>
        <w:tblLook w:val="0000" w:firstRow="0" w:lastRow="0" w:firstColumn="0" w:lastColumn="0" w:noHBand="0" w:noVBand="0"/>
      </w:tblPr>
      <w:tblGrid>
        <w:gridCol w:w="4698"/>
        <w:gridCol w:w="720"/>
        <w:gridCol w:w="4230"/>
      </w:tblGrid>
      <w:tr w:rsidR="00EE593D">
        <w:tc>
          <w:tcPr>
            <w:tcW w:w="4698" w:type="dxa"/>
          </w:tcPr>
          <w:p w:rsidR="00EE593D" w:rsidRDefault="00576B56">
            <w:pPr>
              <w:ind w:right="-18"/>
            </w:pPr>
            <w:r>
              <w:t>In the M</w:t>
            </w:r>
            <w:r w:rsidR="008726BB">
              <w:t>atter of</w:t>
            </w:r>
          </w:p>
          <w:p w:rsidR="00EE593D" w:rsidRDefault="00EE593D">
            <w:pPr>
              <w:ind w:right="-18"/>
            </w:pPr>
          </w:p>
          <w:p w:rsidR="000F4C81" w:rsidRDefault="000F4C81" w:rsidP="00576B56">
            <w:pPr>
              <w:tabs>
                <w:tab w:val="center" w:pos="4680"/>
              </w:tabs>
              <w:suppressAutoHyphens/>
              <w:rPr>
                <w:spacing w:val="-2"/>
              </w:rPr>
            </w:pPr>
            <w:r>
              <w:rPr>
                <w:spacing w:val="-2"/>
              </w:rPr>
              <w:t>DIRECTV Enterprises, LLC</w:t>
            </w:r>
          </w:p>
          <w:p w:rsidR="00540D1E" w:rsidRDefault="00540D1E" w:rsidP="00576B56">
            <w:pPr>
              <w:tabs>
                <w:tab w:val="center" w:pos="4680"/>
              </w:tabs>
              <w:suppressAutoHyphens/>
              <w:rPr>
                <w:spacing w:val="-2"/>
              </w:rPr>
            </w:pPr>
          </w:p>
          <w:p w:rsidR="00901112" w:rsidRDefault="00901112" w:rsidP="00576B56">
            <w:pPr>
              <w:tabs>
                <w:tab w:val="center" w:pos="4680"/>
              </w:tabs>
              <w:suppressAutoHyphens/>
              <w:rPr>
                <w:spacing w:val="-2"/>
              </w:rPr>
            </w:pPr>
            <w:r>
              <w:rPr>
                <w:spacing w:val="-2"/>
              </w:rPr>
              <w:t>Application for Milestone</w:t>
            </w:r>
          </w:p>
          <w:p w:rsidR="00EE593D" w:rsidRDefault="00901112" w:rsidP="00901112">
            <w:pPr>
              <w:ind w:right="-18"/>
            </w:pPr>
            <w:r>
              <w:rPr>
                <w:spacing w:val="-2"/>
              </w:rPr>
              <w:t>Extension</w:t>
            </w:r>
            <w:r w:rsidR="000F4C81">
              <w:rPr>
                <w:spacing w:val="-2"/>
              </w:rPr>
              <w:t xml:space="preserve"> for DIRECTV RB-2</w:t>
            </w:r>
          </w:p>
        </w:tc>
        <w:tc>
          <w:tcPr>
            <w:tcW w:w="720" w:type="dxa"/>
          </w:tcPr>
          <w:p w:rsidR="00EE593D" w:rsidRDefault="008726BB">
            <w:pPr>
              <w:rPr>
                <w:b/>
              </w:rPr>
            </w:pPr>
            <w:r>
              <w:rPr>
                <w:b/>
              </w:rPr>
              <w:t>)</w:t>
            </w:r>
          </w:p>
          <w:p w:rsidR="00EE593D" w:rsidRDefault="008726BB">
            <w:pPr>
              <w:rPr>
                <w:b/>
              </w:rPr>
            </w:pPr>
            <w:r>
              <w:rPr>
                <w:b/>
              </w:rPr>
              <w:t>)</w:t>
            </w:r>
          </w:p>
          <w:p w:rsidR="00EE593D" w:rsidRDefault="008726BB">
            <w:pPr>
              <w:rPr>
                <w:b/>
              </w:rPr>
            </w:pPr>
            <w:r>
              <w:rPr>
                <w:b/>
              </w:rPr>
              <w:t>)</w:t>
            </w:r>
          </w:p>
          <w:p w:rsidR="00EE593D" w:rsidRDefault="008726BB">
            <w:pPr>
              <w:rPr>
                <w:b/>
              </w:rPr>
            </w:pPr>
            <w:r>
              <w:rPr>
                <w:b/>
              </w:rPr>
              <w:t>)</w:t>
            </w:r>
          </w:p>
          <w:p w:rsidR="00EE593D" w:rsidRDefault="008726BB">
            <w:pPr>
              <w:rPr>
                <w:b/>
              </w:rPr>
            </w:pPr>
            <w:r>
              <w:rPr>
                <w:b/>
              </w:rPr>
              <w:t>)</w:t>
            </w:r>
          </w:p>
          <w:p w:rsidR="000F4C81" w:rsidRDefault="000F4C81">
            <w:pPr>
              <w:rPr>
                <w:b/>
              </w:rPr>
            </w:pPr>
            <w:r>
              <w:rPr>
                <w:b/>
              </w:rPr>
              <w:t>)</w:t>
            </w:r>
          </w:p>
          <w:p w:rsidR="00EE593D" w:rsidRDefault="00EE593D">
            <w:pPr>
              <w:rPr>
                <w:b/>
              </w:rPr>
            </w:pPr>
          </w:p>
        </w:tc>
        <w:tc>
          <w:tcPr>
            <w:tcW w:w="4230" w:type="dxa"/>
          </w:tcPr>
          <w:p w:rsidR="00EE593D" w:rsidRDefault="00EE593D"/>
          <w:p w:rsidR="00EE593D" w:rsidRDefault="00EE593D"/>
          <w:p w:rsidR="00901112" w:rsidRDefault="00576B56" w:rsidP="00901112">
            <w:pPr>
              <w:tabs>
                <w:tab w:val="center" w:pos="4680"/>
              </w:tabs>
              <w:suppressAutoHyphens/>
              <w:spacing w:line="480" w:lineRule="auto"/>
              <w:rPr>
                <w:shd w:val="clear" w:color="auto" w:fill="FFFFFF"/>
              </w:rPr>
            </w:pPr>
            <w:r>
              <w:rPr>
                <w:bCs/>
                <w:color w:val="000000"/>
              </w:rPr>
              <w:t xml:space="preserve">IBFS File No. </w:t>
            </w:r>
            <w:r w:rsidR="00901112" w:rsidRPr="00632903">
              <w:rPr>
                <w:bCs/>
                <w:color w:val="000000"/>
              </w:rPr>
              <w:t>SAT-MOD-20140624-00075</w:t>
            </w:r>
          </w:p>
          <w:p w:rsidR="00EE593D" w:rsidRDefault="00576B56" w:rsidP="00AB1B48">
            <w:r>
              <w:t>Call Sign: S</w:t>
            </w:r>
            <w:r w:rsidR="00AB1B48">
              <w:t>2712</w:t>
            </w:r>
          </w:p>
        </w:tc>
      </w:tr>
    </w:tbl>
    <w:p w:rsidR="00EE593D" w:rsidRDefault="00293D67">
      <w:pPr>
        <w:spacing w:before="120"/>
        <w:jc w:val="center"/>
        <w:rPr>
          <w:b/>
        </w:rPr>
      </w:pPr>
      <w:r>
        <w:rPr>
          <w:b/>
          <w:spacing w:val="-2"/>
        </w:rPr>
        <w:t>ORDER</w:t>
      </w:r>
    </w:p>
    <w:p w:rsidR="00EE593D" w:rsidRDefault="00EE593D"/>
    <w:p w:rsidR="00EE593D" w:rsidRDefault="008726BB">
      <w:pPr>
        <w:tabs>
          <w:tab w:val="left" w:pos="5760"/>
        </w:tabs>
        <w:rPr>
          <w:b/>
        </w:rPr>
      </w:pPr>
      <w:r>
        <w:rPr>
          <w:b/>
        </w:rPr>
        <w:t xml:space="preserve">   Adopted:  </w:t>
      </w:r>
      <w:r w:rsidR="00E87FEF">
        <w:rPr>
          <w:b/>
          <w:spacing w:val="-2"/>
        </w:rPr>
        <w:t>May 14, 2015</w:t>
      </w:r>
      <w:r>
        <w:rPr>
          <w:b/>
        </w:rPr>
        <w:tab/>
        <w:t xml:space="preserve">Released:  </w:t>
      </w:r>
      <w:r w:rsidR="00E87FEF">
        <w:rPr>
          <w:b/>
          <w:spacing w:val="-2"/>
        </w:rPr>
        <w:t>May 14, 2015</w:t>
      </w:r>
    </w:p>
    <w:p w:rsidR="00EE593D" w:rsidRDefault="00EE593D">
      <w:pPr>
        <w:tabs>
          <w:tab w:val="left" w:pos="5760"/>
        </w:tabs>
        <w:rPr>
          <w:b/>
        </w:rPr>
      </w:pPr>
    </w:p>
    <w:p w:rsidR="00EE593D" w:rsidRDefault="008726BB">
      <w:pPr>
        <w:tabs>
          <w:tab w:val="left" w:pos="5760"/>
        </w:tabs>
      </w:pPr>
      <w:r>
        <w:t xml:space="preserve">By the </w:t>
      </w:r>
      <w:r w:rsidR="00293D67">
        <w:rPr>
          <w:spacing w:val="-2"/>
        </w:rPr>
        <w:t>Chief, Satellite Division, International Bureau</w:t>
      </w:r>
      <w:r>
        <w:rPr>
          <w:spacing w:val="-2"/>
        </w:rPr>
        <w:t>:</w:t>
      </w:r>
    </w:p>
    <w:p w:rsidR="00EE593D" w:rsidRDefault="00EE593D"/>
    <w:p w:rsidR="00293D67" w:rsidRPr="00FF3BAD" w:rsidRDefault="00293D67" w:rsidP="00293D67">
      <w:pPr>
        <w:pStyle w:val="Heading1"/>
      </w:pPr>
      <w:r w:rsidRPr="000F4C81">
        <w:t xml:space="preserve">INTRODUCTION </w:t>
      </w:r>
    </w:p>
    <w:p w:rsidR="00293D67" w:rsidRDefault="00425DD0" w:rsidP="001A4EDA">
      <w:pPr>
        <w:pStyle w:val="ParaNum"/>
        <w:jc w:val="left"/>
      </w:pPr>
      <w:r>
        <w:t>By</w:t>
      </w:r>
      <w:r w:rsidRPr="00F569A8">
        <w:t xml:space="preserve"> </w:t>
      </w:r>
      <w:r w:rsidR="00293D67" w:rsidRPr="00F569A8">
        <w:t xml:space="preserve">this Order, we grant the application of DIRECTV Enterprises, LLC (DIRECTV) </w:t>
      </w:r>
      <w:r w:rsidR="00A65F5A">
        <w:t>for an extension</w:t>
      </w:r>
      <w:r w:rsidR="00042BA7">
        <w:t>,</w:t>
      </w:r>
      <w:r w:rsidR="00A65F5A">
        <w:t xml:space="preserve"> </w:t>
      </w:r>
      <w:r w:rsidR="00E00296">
        <w:t>through</w:t>
      </w:r>
      <w:r w:rsidR="005C7652">
        <w:t xml:space="preserve"> July</w:t>
      </w:r>
      <w:r w:rsidR="00E00296">
        <w:t xml:space="preserve"> 31</w:t>
      </w:r>
      <w:r w:rsidR="005C7652">
        <w:t>, 2015</w:t>
      </w:r>
      <w:r w:rsidR="00042BA7">
        <w:t>,</w:t>
      </w:r>
      <w:r w:rsidR="005C7652">
        <w:t xml:space="preserve"> </w:t>
      </w:r>
      <w:r w:rsidR="00E00296">
        <w:t>to</w:t>
      </w:r>
      <w:r w:rsidR="00293D67" w:rsidRPr="00F569A8">
        <w:t xml:space="preserve"> </w:t>
      </w:r>
      <w:r w:rsidR="00A65F5A">
        <w:t>meet its “</w:t>
      </w:r>
      <w:r w:rsidR="00293D67" w:rsidRPr="00F569A8">
        <w:t>launch and begin operations</w:t>
      </w:r>
      <w:r w:rsidR="00A65F5A">
        <w:t>”</w:t>
      </w:r>
      <w:r w:rsidR="00293D67" w:rsidRPr="00F569A8">
        <w:t xml:space="preserve"> milestone </w:t>
      </w:r>
      <w:r w:rsidR="00A65F5A">
        <w:t xml:space="preserve">for </w:t>
      </w:r>
      <w:r w:rsidR="00257008">
        <w:t>it</w:t>
      </w:r>
      <w:r w:rsidR="00A65F5A">
        <w:t>s</w:t>
      </w:r>
      <w:r w:rsidR="00257008" w:rsidRPr="00F569A8">
        <w:t xml:space="preserve"> </w:t>
      </w:r>
      <w:r w:rsidR="00293D67" w:rsidRPr="00F569A8">
        <w:t>RB-2 space station.</w:t>
      </w:r>
      <w:r w:rsidR="00293D67" w:rsidRPr="00276AE9">
        <w:rPr>
          <w:vertAlign w:val="superscript"/>
        </w:rPr>
        <w:footnoteReference w:id="2"/>
      </w:r>
      <w:r w:rsidR="00293D67" w:rsidRPr="005837F5">
        <w:t xml:space="preserve"> </w:t>
      </w:r>
      <w:r w:rsidR="00293D67" w:rsidRPr="00F569A8">
        <w:t xml:space="preserve"> As discussed below, DIRECTV has provided sufficient information to </w:t>
      </w:r>
      <w:r>
        <w:t xml:space="preserve">demonstrate that it will launch and bring RB-2 into operation no later than </w:t>
      </w:r>
      <w:r w:rsidR="00A65F5A">
        <w:t>this date</w:t>
      </w:r>
      <w:r w:rsidR="00293D67" w:rsidRPr="00F569A8">
        <w:t xml:space="preserve">.  </w:t>
      </w:r>
      <w:r w:rsidR="00037C5F">
        <w:t>Given the apparent</w:t>
      </w:r>
      <w:r w:rsidR="00293D67" w:rsidRPr="00F569A8">
        <w:t xml:space="preserve"> imminent launch of RB-2</w:t>
      </w:r>
      <w:r>
        <w:t>,</w:t>
      </w:r>
      <w:r w:rsidR="000D7C1B">
        <w:t xml:space="preserve"> currently scheduled for May 2</w:t>
      </w:r>
      <w:r w:rsidR="00E00296">
        <w:t>7</w:t>
      </w:r>
      <w:r w:rsidR="000D7C1B">
        <w:t>, 2015,</w:t>
      </w:r>
      <w:r w:rsidR="00801EEB">
        <w:t xml:space="preserve"> </w:t>
      </w:r>
      <w:r w:rsidR="00293D67" w:rsidRPr="00F569A8">
        <w:t xml:space="preserve">we believe </w:t>
      </w:r>
      <w:r w:rsidR="00FD43E4">
        <w:t xml:space="preserve">this </w:t>
      </w:r>
      <w:r>
        <w:t xml:space="preserve">extension </w:t>
      </w:r>
      <w:r w:rsidR="00293D67" w:rsidRPr="00F569A8">
        <w:t>is in the public interest</w:t>
      </w:r>
      <w:r w:rsidR="009D38AF">
        <w:t xml:space="preserve"> and </w:t>
      </w:r>
      <w:r w:rsidR="002045EA">
        <w:t xml:space="preserve">that </w:t>
      </w:r>
      <w:r w:rsidR="009D38AF">
        <w:t xml:space="preserve">a </w:t>
      </w:r>
      <w:r w:rsidR="004C6A97">
        <w:t>modification of the milestone date under</w:t>
      </w:r>
      <w:r w:rsidR="009D38AF">
        <w:t xml:space="preserve"> </w:t>
      </w:r>
      <w:r w:rsidR="00A65F5A">
        <w:t xml:space="preserve">Section 25.117(e) of the </w:t>
      </w:r>
      <w:r w:rsidR="009D38AF">
        <w:t>Commission’s rule</w:t>
      </w:r>
      <w:r w:rsidR="00E00296">
        <w:t>s</w:t>
      </w:r>
      <w:r w:rsidR="004C6A97">
        <w:t>, 47 C.F.R. § 25.117(e),</w:t>
      </w:r>
      <w:r w:rsidR="00D23F47">
        <w:t xml:space="preserve"> </w:t>
      </w:r>
      <w:r w:rsidR="002045EA">
        <w:t>is justified</w:t>
      </w:r>
      <w:r w:rsidR="009D38AF">
        <w:t xml:space="preserve">. </w:t>
      </w:r>
      <w:r w:rsidR="00257008">
        <w:t xml:space="preserve"> </w:t>
      </w:r>
      <w:r w:rsidR="00801EEB">
        <w:t>Finally, w</w:t>
      </w:r>
      <w:r w:rsidR="00257008">
        <w:t>e find that DIRECTV has met the first three mileston</w:t>
      </w:r>
      <w:r w:rsidR="00C80003">
        <w:t>es applicable to RB-2</w:t>
      </w:r>
      <w:r w:rsidR="005C7652">
        <w:t xml:space="preserve">:  (1) </w:t>
      </w:r>
      <w:r w:rsidR="00257008">
        <w:t>enter into a binding contract</w:t>
      </w:r>
      <w:r w:rsidR="005C7652">
        <w:t>; (2)</w:t>
      </w:r>
      <w:r w:rsidR="00257008">
        <w:t xml:space="preserve"> complete critical design review</w:t>
      </w:r>
      <w:r w:rsidR="005C7652">
        <w:t>;</w:t>
      </w:r>
      <w:r w:rsidR="00257008">
        <w:t xml:space="preserve"> and </w:t>
      </w:r>
      <w:r w:rsidR="005C7652">
        <w:t xml:space="preserve">(3) </w:t>
      </w:r>
      <w:r w:rsidR="00257008">
        <w:t>commence construction</w:t>
      </w:r>
      <w:r w:rsidR="005C7652">
        <w:t>.  We therefore</w:t>
      </w:r>
      <w:r w:rsidR="00257008">
        <w:t xml:space="preserve"> reduce the remaining bond from $3 million to $75</w:t>
      </w:r>
      <w:r w:rsidR="00E5099D">
        <w:t>0</w:t>
      </w:r>
      <w:r w:rsidR="00257008">
        <w:t>,000.</w:t>
      </w:r>
    </w:p>
    <w:p w:rsidR="001A4EDA" w:rsidRDefault="001A4EDA" w:rsidP="004E1FBE">
      <w:pPr>
        <w:pStyle w:val="Heading1"/>
      </w:pPr>
      <w:r>
        <w:t>BACKGROUND</w:t>
      </w:r>
    </w:p>
    <w:p w:rsidR="00293D67" w:rsidRPr="005837F5" w:rsidRDefault="00293D67" w:rsidP="004E1FBE">
      <w:pPr>
        <w:pStyle w:val="ParaNum"/>
        <w:jc w:val="left"/>
      </w:pPr>
      <w:r w:rsidRPr="005837F5">
        <w:t xml:space="preserve">On July 27, 2009, the Commission granted DIRECTV authority to construct, launch and operate RB-2, a geostationary orbit 17/24 GHz Broadcasting-Satellite Service (BSS) space station </w:t>
      </w:r>
      <w:r>
        <w:t xml:space="preserve">to be located </w:t>
      </w:r>
      <w:r w:rsidRPr="005837F5">
        <w:t>at the 102.825° west longitude (W.L.) orbital location.</w:t>
      </w:r>
      <w:r w:rsidR="004446FB">
        <w:rPr>
          <w:rStyle w:val="FootnoteReference"/>
        </w:rPr>
        <w:footnoteReference w:id="3"/>
      </w:r>
      <w:r w:rsidRPr="005837F5">
        <w:t xml:space="preserve"> </w:t>
      </w:r>
      <w:r>
        <w:t xml:space="preserve"> </w:t>
      </w:r>
      <w:r w:rsidRPr="005837F5">
        <w:t>RB-2 is authorized to operate in the 17.3-17.7 GHz (space-to-Earth) and the 24.75-25.15 GHz (Earth-to-space) frequency bands</w:t>
      </w:r>
      <w:r w:rsidR="00576B56">
        <w:t xml:space="preserve">.  As </w:t>
      </w:r>
      <w:r w:rsidR="00EB644E">
        <w:t xml:space="preserve">a condition to </w:t>
      </w:r>
      <w:r w:rsidR="00576B56">
        <w:t>the grant of authority</w:t>
      </w:r>
      <w:r w:rsidR="00F1629D">
        <w:t xml:space="preserve"> for RB-2, </w:t>
      </w:r>
      <w:r w:rsidRPr="005837F5">
        <w:t>DIRECTV</w:t>
      </w:r>
      <w:r w:rsidR="000D7C1B">
        <w:t xml:space="preserve"> was </w:t>
      </w:r>
      <w:r w:rsidR="00F1629D">
        <w:t xml:space="preserve">required </w:t>
      </w:r>
      <w:r w:rsidRPr="005837F5">
        <w:t>to:</w:t>
      </w:r>
      <w:r w:rsidR="001D668D">
        <w:t xml:space="preserve"> </w:t>
      </w:r>
      <w:r w:rsidR="00F1629D">
        <w:t xml:space="preserve"> (</w:t>
      </w:r>
      <w:r w:rsidR="00801EEB">
        <w:t>1</w:t>
      </w:r>
      <w:r w:rsidR="00F1629D">
        <w:t>) </w:t>
      </w:r>
      <w:r w:rsidR="00801EEB">
        <w:t>e</w:t>
      </w:r>
      <w:r w:rsidRPr="005837F5">
        <w:t>xecute a binding contract for construction by July 27, 2010</w:t>
      </w:r>
      <w:r w:rsidR="00F1629D">
        <w:t>; (</w:t>
      </w:r>
      <w:r w:rsidR="00801EEB">
        <w:t>2</w:t>
      </w:r>
      <w:r w:rsidR="00F1629D">
        <w:t xml:space="preserve">) </w:t>
      </w:r>
      <w:r w:rsidR="00801EEB">
        <w:t>c</w:t>
      </w:r>
      <w:r w:rsidRPr="005837F5">
        <w:t xml:space="preserve">omplete the </w:t>
      </w:r>
      <w:r w:rsidR="002045EA">
        <w:t>c</w:t>
      </w:r>
      <w:r w:rsidR="002045EA" w:rsidRPr="005837F5">
        <w:t xml:space="preserve">ritical </w:t>
      </w:r>
      <w:r w:rsidR="002045EA">
        <w:t>d</w:t>
      </w:r>
      <w:r w:rsidRPr="005837F5">
        <w:t xml:space="preserve">esign </w:t>
      </w:r>
      <w:r w:rsidR="002045EA">
        <w:t>r</w:t>
      </w:r>
      <w:r w:rsidRPr="005837F5">
        <w:t>eview by July 27, 2011;</w:t>
      </w:r>
      <w:r w:rsidR="00F1629D">
        <w:t xml:space="preserve"> (</w:t>
      </w:r>
      <w:r w:rsidR="00801EEB">
        <w:t>3</w:t>
      </w:r>
      <w:r w:rsidR="00F1629D">
        <w:t xml:space="preserve">) </w:t>
      </w:r>
      <w:r w:rsidR="00801EEB">
        <w:t>c</w:t>
      </w:r>
      <w:r w:rsidRPr="005837F5">
        <w:t>ommence construction by July 27, 2012;</w:t>
      </w:r>
      <w:r w:rsidR="00F1629D">
        <w:t xml:space="preserve"> and (</w:t>
      </w:r>
      <w:r w:rsidR="00801EEB">
        <w:t>4</w:t>
      </w:r>
      <w:r w:rsidR="00F1629D">
        <w:t xml:space="preserve">) </w:t>
      </w:r>
      <w:r w:rsidR="00801EEB">
        <w:t>l</w:t>
      </w:r>
      <w:r w:rsidRPr="005837F5">
        <w:t>aunch and begin operations by July 27, 2014.</w:t>
      </w:r>
      <w:r w:rsidRPr="001E0219">
        <w:rPr>
          <w:vertAlign w:val="superscript"/>
        </w:rPr>
        <w:footnoteReference w:id="4"/>
      </w:r>
      <w:r w:rsidRPr="005837F5">
        <w:t xml:space="preserve">  </w:t>
      </w:r>
      <w:r w:rsidR="00257008">
        <w:t xml:space="preserve">Within 30 days of </w:t>
      </w:r>
      <w:r w:rsidR="00257008">
        <w:lastRenderedPageBreak/>
        <w:t>the grant of its application for RB-2, DIRECTV posted a bond in the amount of $3 million, as required by Commission rules.</w:t>
      </w:r>
      <w:r w:rsidR="00257008">
        <w:rPr>
          <w:rStyle w:val="FootnoteReference"/>
        </w:rPr>
        <w:footnoteReference w:id="5"/>
      </w:r>
    </w:p>
    <w:p w:rsidR="00293D67" w:rsidRDefault="00293D67" w:rsidP="004E1FBE">
      <w:pPr>
        <w:pStyle w:val="ParaNum"/>
        <w:jc w:val="left"/>
      </w:pPr>
      <w:r w:rsidRPr="005837F5">
        <w:t xml:space="preserve">DIRECTV </w:t>
      </w:r>
      <w:r w:rsidR="000D7C1B">
        <w:t xml:space="preserve">previously </w:t>
      </w:r>
      <w:r w:rsidRPr="005837F5">
        <w:t xml:space="preserve">certified that </w:t>
      </w:r>
      <w:r w:rsidR="000F4C81">
        <w:t xml:space="preserve">it met </w:t>
      </w:r>
      <w:r w:rsidRPr="005837F5">
        <w:t>the first three milestones</w:t>
      </w:r>
      <w:r w:rsidR="004C6A97">
        <w:t xml:space="preserve"> applicable to RB-2</w:t>
      </w:r>
      <w:r w:rsidR="001D668D">
        <w:t>.</w:t>
      </w:r>
      <w:r w:rsidR="00425DD0">
        <w:rPr>
          <w:rStyle w:val="FootnoteReference"/>
        </w:rPr>
        <w:footnoteReference w:id="6"/>
      </w:r>
      <w:r w:rsidRPr="005837F5">
        <w:t xml:space="preserve"> </w:t>
      </w:r>
      <w:r w:rsidR="001D668D">
        <w:t xml:space="preserve"> Subsequently, </w:t>
      </w:r>
      <w:r w:rsidRPr="005837F5">
        <w:t xml:space="preserve">on June 24, 2014, </w:t>
      </w:r>
      <w:r w:rsidR="004C6A97">
        <w:t>DIRECTV</w:t>
      </w:r>
      <w:r w:rsidR="004C6A97" w:rsidRPr="005837F5">
        <w:t xml:space="preserve"> </w:t>
      </w:r>
      <w:r w:rsidRPr="005837F5">
        <w:t>filed a request for a</w:t>
      </w:r>
      <w:r>
        <w:t>n</w:t>
      </w:r>
      <w:r w:rsidRPr="005837F5">
        <w:t xml:space="preserve"> extension or waiver of the final</w:t>
      </w:r>
      <w:r w:rsidR="000D7C1B">
        <w:t xml:space="preserve"> </w:t>
      </w:r>
      <w:r w:rsidR="004C6A97">
        <w:t xml:space="preserve">“launch and begin operations” </w:t>
      </w:r>
      <w:r w:rsidR="000D7C1B">
        <w:t>milestone</w:t>
      </w:r>
      <w:r w:rsidRPr="005837F5">
        <w:t>.</w:t>
      </w:r>
      <w:r w:rsidRPr="00774463">
        <w:rPr>
          <w:vertAlign w:val="superscript"/>
        </w:rPr>
        <w:footnoteReference w:id="7"/>
      </w:r>
      <w:r w:rsidRPr="00774463">
        <w:rPr>
          <w:vertAlign w:val="superscript"/>
        </w:rPr>
        <w:t xml:space="preserve"> </w:t>
      </w:r>
      <w:r w:rsidRPr="005837F5">
        <w:t xml:space="preserve"> </w:t>
      </w:r>
      <w:r>
        <w:t xml:space="preserve">According to </w:t>
      </w:r>
      <w:r w:rsidRPr="005837F5">
        <w:t xml:space="preserve">DIRECTV, difficulties </w:t>
      </w:r>
      <w:r>
        <w:t xml:space="preserve">in </w:t>
      </w:r>
      <w:r w:rsidRPr="005837F5">
        <w:t>acquir</w:t>
      </w:r>
      <w:r>
        <w:t>ing</w:t>
      </w:r>
      <w:r w:rsidRPr="005837F5">
        <w:t xml:space="preserve"> travelling wave tube arrays necessitated switching to a new satellite manufacturer</w:t>
      </w:r>
      <w:r w:rsidR="00FD43E4">
        <w:t>,</w:t>
      </w:r>
      <w:r w:rsidRPr="00774463">
        <w:rPr>
          <w:vertAlign w:val="superscript"/>
        </w:rPr>
        <w:footnoteReference w:id="8"/>
      </w:r>
      <w:r w:rsidR="00FD43E4">
        <w:t xml:space="preserve"> and the switch delayed completion of construction to approximately 45 days</w:t>
      </w:r>
      <w:r w:rsidRPr="005837F5">
        <w:t xml:space="preserve"> after the launch </w:t>
      </w:r>
      <w:r>
        <w:t xml:space="preserve">and begin operations </w:t>
      </w:r>
      <w:r w:rsidRPr="005837F5">
        <w:t>milestone</w:t>
      </w:r>
      <w:r w:rsidR="004C6A97">
        <w:t xml:space="preserve"> date</w:t>
      </w:r>
      <w:r w:rsidRPr="005837F5">
        <w:t>.</w:t>
      </w:r>
      <w:r w:rsidR="00576B56">
        <w:rPr>
          <w:rStyle w:val="FootnoteReference"/>
        </w:rPr>
        <w:footnoteReference w:id="9"/>
      </w:r>
      <w:r w:rsidRPr="005837F5">
        <w:t xml:space="preserve">  In </w:t>
      </w:r>
      <w:r>
        <w:t xml:space="preserve">support of </w:t>
      </w:r>
      <w:r w:rsidRPr="005837F5">
        <w:t xml:space="preserve">its milestone extension request, DIRECTV </w:t>
      </w:r>
      <w:r w:rsidR="00E00296" w:rsidRPr="005837F5">
        <w:t>note</w:t>
      </w:r>
      <w:r w:rsidR="00E00296">
        <w:t>s</w:t>
      </w:r>
      <w:r w:rsidR="00E00296" w:rsidRPr="005837F5">
        <w:t xml:space="preserve"> </w:t>
      </w:r>
      <w:r w:rsidRPr="005837F5">
        <w:t>that it ha</w:t>
      </w:r>
      <w:r w:rsidR="00FF5BF7">
        <w:t>s</w:t>
      </w:r>
      <w:r w:rsidRPr="005837F5">
        <w:t xml:space="preserve"> paid 91.4 percent of all pre-launch construction payments, 90 percent of the launch services contract, </w:t>
      </w:r>
      <w:r>
        <w:t xml:space="preserve">and </w:t>
      </w:r>
      <w:r w:rsidR="00E00296">
        <w:t>ha</w:t>
      </w:r>
      <w:r w:rsidR="00FF5BF7">
        <w:t>s</w:t>
      </w:r>
      <w:r w:rsidR="00E00296">
        <w:t xml:space="preserve"> </w:t>
      </w:r>
      <w:r w:rsidRPr="005837F5">
        <w:t xml:space="preserve">made substantial progress </w:t>
      </w:r>
      <w:r w:rsidR="003D177A">
        <w:t>in other areas</w:t>
      </w:r>
      <w:r w:rsidRPr="005837F5">
        <w:t>.</w:t>
      </w:r>
      <w:r>
        <w:rPr>
          <w:rStyle w:val="FootnoteReference"/>
        </w:rPr>
        <w:footnoteReference w:id="10"/>
      </w:r>
      <w:r>
        <w:t xml:space="preserve">  DIRECTV also </w:t>
      </w:r>
      <w:r w:rsidR="00E00296">
        <w:t xml:space="preserve">states </w:t>
      </w:r>
      <w:r>
        <w:t>that its</w:t>
      </w:r>
      <w:r w:rsidRPr="005837F5">
        <w:t xml:space="preserve"> launch provider, Arianespace, </w:t>
      </w:r>
      <w:r w:rsidR="00E00296">
        <w:t>did not have</w:t>
      </w:r>
      <w:r w:rsidRPr="005837F5">
        <w:t xml:space="preserve"> an available launch slot until 2015.</w:t>
      </w:r>
      <w:r w:rsidRPr="00276AE9">
        <w:rPr>
          <w:vertAlign w:val="superscript"/>
        </w:rPr>
        <w:footnoteReference w:id="11"/>
      </w:r>
      <w:r w:rsidRPr="005837F5">
        <w:t xml:space="preserve">  According to DIRECTV, it has had a launch services contract in place </w:t>
      </w:r>
      <w:r>
        <w:t xml:space="preserve">with Arianespace </w:t>
      </w:r>
      <w:r w:rsidRPr="005837F5">
        <w:t>for several years</w:t>
      </w:r>
      <w:r w:rsidR="00576B56">
        <w:t>,</w:t>
      </w:r>
      <w:r w:rsidRPr="005837F5">
        <w:t xml:space="preserve"> but </w:t>
      </w:r>
      <w:r w:rsidR="00576B56">
        <w:t xml:space="preserve">launch of RB-2 was delayed by </w:t>
      </w:r>
      <w:r w:rsidR="00860BE9">
        <w:t xml:space="preserve">Arianespace’s </w:t>
      </w:r>
      <w:r w:rsidR="00576B56">
        <w:t xml:space="preserve">need to find a second payload for the </w:t>
      </w:r>
      <w:r w:rsidR="00860BE9">
        <w:t xml:space="preserve">RB-2 </w:t>
      </w:r>
      <w:r w:rsidR="00576B56">
        <w:t>launch vehicle</w:t>
      </w:r>
      <w:r w:rsidRPr="005837F5">
        <w:t>.</w:t>
      </w:r>
      <w:r w:rsidRPr="00276AE9">
        <w:rPr>
          <w:vertAlign w:val="superscript"/>
        </w:rPr>
        <w:footnoteReference w:id="12"/>
      </w:r>
      <w:r w:rsidRPr="00752367">
        <w:t xml:space="preserve"> </w:t>
      </w:r>
      <w:r w:rsidRPr="005837F5">
        <w:t xml:space="preserve"> DIRECTV contends that switching to an alternative launch provider such as Sea Launch or International Launch Services would not </w:t>
      </w:r>
      <w:r w:rsidR="00576B56">
        <w:t xml:space="preserve">have </w:t>
      </w:r>
      <w:r w:rsidRPr="005837F5">
        <w:t>achieve</w:t>
      </w:r>
      <w:r w:rsidR="00576B56">
        <w:t>d</w:t>
      </w:r>
      <w:r w:rsidRPr="005837F5">
        <w:t xml:space="preserve"> an earlier launch</w:t>
      </w:r>
      <w:r w:rsidR="00576B56">
        <w:t>,</w:t>
      </w:r>
      <w:r w:rsidRPr="005837F5">
        <w:t xml:space="preserve"> as both providers have suffered recent launch failures and have full launch manifests.</w:t>
      </w:r>
      <w:r w:rsidR="00576B56">
        <w:rPr>
          <w:rStyle w:val="FootnoteReference"/>
        </w:rPr>
        <w:footnoteReference w:id="13"/>
      </w:r>
      <w:r w:rsidR="002E0338">
        <w:t xml:space="preserve">  For these reasons, DIRECTV requests an extension of its final launch and operation milestone </w:t>
      </w:r>
      <w:r w:rsidR="004C6A97">
        <w:t xml:space="preserve">from July 27, 2014, </w:t>
      </w:r>
      <w:r w:rsidR="002E0338">
        <w:t xml:space="preserve">until July </w:t>
      </w:r>
      <w:r w:rsidR="00042BA7">
        <w:t>31</w:t>
      </w:r>
      <w:r w:rsidR="002E0338">
        <w:t>, 2015.</w:t>
      </w:r>
      <w:r w:rsidR="002E0338">
        <w:rPr>
          <w:rStyle w:val="FootnoteReference"/>
        </w:rPr>
        <w:footnoteReference w:id="14"/>
      </w:r>
    </w:p>
    <w:p w:rsidR="00293D67" w:rsidRDefault="00293D67" w:rsidP="004C6A97">
      <w:pPr>
        <w:pStyle w:val="ParaNum"/>
        <w:jc w:val="left"/>
      </w:pPr>
      <w:r w:rsidRPr="005837F5">
        <w:t>SES Americom, Inc. and Ciel Satellite Limited Partnership</w:t>
      </w:r>
      <w:r>
        <w:t xml:space="preserve"> (Ciel)</w:t>
      </w:r>
      <w:r w:rsidRPr="005837F5">
        <w:t xml:space="preserve"> (collectively “SES”)</w:t>
      </w:r>
      <w:r w:rsidRPr="00774463">
        <w:rPr>
          <w:vertAlign w:val="superscript"/>
        </w:rPr>
        <w:footnoteReference w:id="15"/>
      </w:r>
      <w:r w:rsidRPr="005837F5">
        <w:t xml:space="preserve"> </w:t>
      </w:r>
      <w:r>
        <w:t xml:space="preserve">request that the Commission </w:t>
      </w:r>
      <w:r w:rsidRPr="005837F5">
        <w:t>deny DIRECTV’s milestone extension request</w:t>
      </w:r>
      <w:r>
        <w:t xml:space="preserve"> or, </w:t>
      </w:r>
      <w:r w:rsidR="00977346">
        <w:t>alternatively</w:t>
      </w:r>
      <w:r>
        <w:t xml:space="preserve">, </w:t>
      </w:r>
      <w:r w:rsidR="00977346">
        <w:t xml:space="preserve">withhold </w:t>
      </w:r>
      <w:r>
        <w:t>operating authority for RB-2 until DIRECTV completes coordination with Ciel-6i</w:t>
      </w:r>
      <w:r w:rsidR="00576B56">
        <w:t xml:space="preserve">, which is a Canadian-licensed </w:t>
      </w:r>
      <w:r w:rsidR="00BB2803" w:rsidRPr="004C6A97">
        <w:t>space station</w:t>
      </w:r>
      <w:r w:rsidR="00FD43E4">
        <w:t xml:space="preserve"> </w:t>
      </w:r>
      <w:r w:rsidR="00576B56">
        <w:t>that also operates in the 17/24 GHz BSS frequency band at the 103° W.L. orbital location</w:t>
      </w:r>
      <w:r>
        <w:t>.</w:t>
      </w:r>
      <w:r>
        <w:rPr>
          <w:rStyle w:val="FootnoteReference"/>
        </w:rPr>
        <w:footnoteReference w:id="16"/>
      </w:r>
      <w:r>
        <w:t xml:space="preserve">  </w:t>
      </w:r>
      <w:r w:rsidRPr="005837F5">
        <w:t>DISH Operating LLC (DISH)</w:t>
      </w:r>
      <w:r w:rsidRPr="00774463">
        <w:rPr>
          <w:vertAlign w:val="superscript"/>
        </w:rPr>
        <w:footnoteReference w:id="17"/>
      </w:r>
      <w:r w:rsidRPr="005837F5">
        <w:t xml:space="preserve"> </w:t>
      </w:r>
      <w:r>
        <w:t xml:space="preserve">similarly requests that coordination with Ciel-6i be a condition of any milestone extension and also requests that </w:t>
      </w:r>
      <w:r w:rsidR="00977346">
        <w:t xml:space="preserve">we require that </w:t>
      </w:r>
      <w:r>
        <w:t xml:space="preserve">the operational parameters of RB-2 reflect the results of any </w:t>
      </w:r>
      <w:r w:rsidR="008C45F3">
        <w:t xml:space="preserve">such </w:t>
      </w:r>
      <w:r>
        <w:t>coordination agreement.</w:t>
      </w:r>
      <w:r>
        <w:rPr>
          <w:rStyle w:val="FootnoteReference"/>
        </w:rPr>
        <w:footnoteReference w:id="18"/>
      </w:r>
    </w:p>
    <w:p w:rsidR="00293D67" w:rsidRDefault="00293D67" w:rsidP="00293D67">
      <w:pPr>
        <w:pStyle w:val="Heading1"/>
      </w:pPr>
      <w:r>
        <w:t>discussion</w:t>
      </w:r>
    </w:p>
    <w:p w:rsidR="00293D67" w:rsidRDefault="00293D67" w:rsidP="004E1FBE">
      <w:pPr>
        <w:pStyle w:val="ParaNum"/>
        <w:jc w:val="left"/>
      </w:pPr>
      <w:r>
        <w:t>It is well-established that t</w:t>
      </w:r>
      <w:r w:rsidRPr="00F26D4F">
        <w:t>he Commission may waive its rules if there is “good cause” to do so.</w:t>
      </w:r>
      <w:r w:rsidRPr="00F26D4F">
        <w:rPr>
          <w:vertAlign w:val="superscript"/>
        </w:rPr>
        <w:footnoteReference w:id="19"/>
      </w:r>
      <w:r w:rsidRPr="00F26D4F">
        <w:rPr>
          <w:vertAlign w:val="superscript"/>
        </w:rPr>
        <w:t xml:space="preserve"> </w:t>
      </w:r>
      <w:r w:rsidRPr="00F26D4F">
        <w:t xml:space="preserve"> Waiver is appropriate only if special circumstances warrant a deviation from the general rule, and such deviation would better serve the public interest than would strict adherence to the general rule.</w:t>
      </w:r>
      <w:r w:rsidRPr="00F26D4F">
        <w:rPr>
          <w:vertAlign w:val="superscript"/>
        </w:rPr>
        <w:footnoteReference w:id="20"/>
      </w:r>
      <w:r w:rsidRPr="00F26D4F">
        <w:t xml:space="preserve">  Generally, the Commission may grant a waiver of its rules in a particular case only if the relief requested would not undermine the policy objective of the rule in question and would otherwise serve the public interest.</w:t>
      </w:r>
      <w:r w:rsidRPr="00F26D4F">
        <w:rPr>
          <w:vertAlign w:val="superscript"/>
        </w:rPr>
        <w:footnoteReference w:id="21"/>
      </w:r>
      <w:r>
        <w:t xml:space="preserve">  </w:t>
      </w:r>
      <w:r w:rsidR="00EB644E">
        <w:t>T</w:t>
      </w:r>
      <w:r w:rsidR="00576B56">
        <w:t xml:space="preserve">he policy objective of the Commission’s </w:t>
      </w:r>
      <w:r>
        <w:t xml:space="preserve">milestone </w:t>
      </w:r>
      <w:r w:rsidR="00576B56">
        <w:t xml:space="preserve">rules is to </w:t>
      </w:r>
      <w:r>
        <w:t>ensure that licensees proceed with construction and launch their satellites in a timely manner so that valuable spectrum will not be held to the exclusion of others by those who are unwilling or unable to proceed</w:t>
      </w:r>
      <w:r w:rsidR="00576B56">
        <w:t>.</w:t>
      </w:r>
      <w:r w:rsidR="00576B56">
        <w:rPr>
          <w:rStyle w:val="FootnoteReference"/>
        </w:rPr>
        <w:footnoteReference w:id="22"/>
      </w:r>
      <w:r w:rsidR="00EB644E">
        <w:t xml:space="preserve">  </w:t>
      </w:r>
    </w:p>
    <w:p w:rsidR="00EB644E" w:rsidRDefault="00EB644E" w:rsidP="004E1FBE">
      <w:pPr>
        <w:pStyle w:val="ParaNum"/>
        <w:jc w:val="left"/>
      </w:pPr>
      <w:r>
        <w:t xml:space="preserve">We find that a limited waiver of the </w:t>
      </w:r>
      <w:r w:rsidR="000316B8">
        <w:t>“</w:t>
      </w:r>
      <w:r>
        <w:t xml:space="preserve">launch and </w:t>
      </w:r>
      <w:r w:rsidR="000316B8">
        <w:t xml:space="preserve">begin </w:t>
      </w:r>
      <w:r>
        <w:t>operation</w:t>
      </w:r>
      <w:r w:rsidR="000316B8">
        <w:t>s”</w:t>
      </w:r>
      <w:r>
        <w:t xml:space="preserve"> milestone for RB-2 is warranted under the circumstances.  DIRECTV has completed the physical construction of the RB-</w:t>
      </w:r>
      <w:r w:rsidR="00E5099D">
        <w:t>2</w:t>
      </w:r>
      <w:r>
        <w:t xml:space="preserve"> payload and is ready to launch the satellite in the immediate future. </w:t>
      </w:r>
      <w:r w:rsidR="001D668D">
        <w:t xml:space="preserve"> </w:t>
      </w:r>
      <w:r w:rsidR="0080387D">
        <w:t xml:space="preserve">The satellite arrived in French Guiana </w:t>
      </w:r>
      <w:r w:rsidR="00DB69FF">
        <w:t xml:space="preserve">on March 31, 2015, </w:t>
      </w:r>
      <w:r w:rsidR="0080387D">
        <w:t xml:space="preserve">in preparation for a </w:t>
      </w:r>
      <w:r w:rsidR="004C6A97">
        <w:t xml:space="preserve">late </w:t>
      </w:r>
      <w:r w:rsidR="0080387D">
        <w:t>May 2015 launch date.</w:t>
      </w:r>
      <w:r w:rsidR="0080387D">
        <w:rPr>
          <w:rStyle w:val="FootnoteReference"/>
        </w:rPr>
        <w:footnoteReference w:id="23"/>
      </w:r>
      <w:r w:rsidR="0080387D">
        <w:t xml:space="preserve"> </w:t>
      </w:r>
      <w:r w:rsidR="00425DD0">
        <w:t xml:space="preserve"> </w:t>
      </w:r>
      <w:r w:rsidR="0080387D">
        <w:t xml:space="preserve">Based on these circumstances, we find that there is sufficient evidence to demonstrate that DIRECTV is proceeding with construction and launch of the RB-2 payload and that good cause exists to partially waive the </w:t>
      </w:r>
      <w:r w:rsidR="00037C5F">
        <w:t>“</w:t>
      </w:r>
      <w:r w:rsidR="0080387D">
        <w:t xml:space="preserve">launch and </w:t>
      </w:r>
      <w:r w:rsidR="00037C5F">
        <w:t xml:space="preserve">begin </w:t>
      </w:r>
      <w:r w:rsidR="0080387D">
        <w:t>operations</w:t>
      </w:r>
      <w:r w:rsidR="00037C5F">
        <w:t>”</w:t>
      </w:r>
      <w:r w:rsidR="0080387D">
        <w:t xml:space="preserve"> milestone.  This finding is consistent with previous instances where we have found that the imminent launch of the satellite justifies a limited waiver of the </w:t>
      </w:r>
      <w:r w:rsidR="00037C5F">
        <w:t>“</w:t>
      </w:r>
      <w:r w:rsidR="0080387D">
        <w:t>launch and</w:t>
      </w:r>
      <w:r w:rsidR="00037C5F">
        <w:t xml:space="preserve"> begin</w:t>
      </w:r>
      <w:r w:rsidR="0080387D">
        <w:t xml:space="preserve"> operations</w:t>
      </w:r>
      <w:r w:rsidR="00037C5F">
        <w:t>”</w:t>
      </w:r>
      <w:r w:rsidR="0080387D">
        <w:t xml:space="preserve"> milestone.</w:t>
      </w:r>
      <w:r w:rsidR="0080387D">
        <w:rPr>
          <w:rStyle w:val="FootnoteReference"/>
        </w:rPr>
        <w:footnoteReference w:id="24"/>
      </w:r>
      <w:r w:rsidR="00F1629D" w:rsidRPr="00F1629D">
        <w:t xml:space="preserve"> </w:t>
      </w:r>
      <w:r w:rsidR="00F1629D">
        <w:t xml:space="preserve"> This waiver, however, is conditioned on launch and commencement of operations of RB-2 by July </w:t>
      </w:r>
      <w:r w:rsidR="004C6A97">
        <w:t>31</w:t>
      </w:r>
      <w:r w:rsidR="00F1629D">
        <w:t>, 2015.</w:t>
      </w:r>
      <w:r w:rsidR="008C45F3">
        <w:t xml:space="preserve">  </w:t>
      </w:r>
      <w:r w:rsidR="00037C5F">
        <w:t>Given</w:t>
      </w:r>
      <w:r w:rsidR="00DB69FF">
        <w:t xml:space="preserve"> the imminent launch of RB-2</w:t>
      </w:r>
      <w:r w:rsidR="004C6A97">
        <w:t xml:space="preserve"> and the documentation provided by DIRECTV</w:t>
      </w:r>
      <w:r w:rsidR="00DB69FF">
        <w:t>, we also conclude that DIRECTV has met the first three milestones</w:t>
      </w:r>
      <w:r w:rsidR="00D4574C">
        <w:t>,</w:t>
      </w:r>
      <w:r w:rsidR="00DB69FF">
        <w:t xml:space="preserve"> which required that DIRECTV enter into a binding contract, complete critical design review, and commence construction.</w:t>
      </w:r>
    </w:p>
    <w:p w:rsidR="00293D67" w:rsidRDefault="00C76E3F" w:rsidP="004E1FBE">
      <w:pPr>
        <w:pStyle w:val="ParaNum"/>
        <w:jc w:val="left"/>
      </w:pPr>
      <w:r>
        <w:t>In accordance with th</w:t>
      </w:r>
      <w:r w:rsidR="00037C5F">
        <w:t>e</w:t>
      </w:r>
      <w:r>
        <w:t>s</w:t>
      </w:r>
      <w:r w:rsidR="00037C5F">
        <w:t>e</w:t>
      </w:r>
      <w:r>
        <w:t xml:space="preserve"> finding</w:t>
      </w:r>
      <w:r w:rsidR="00037C5F">
        <w:t>s</w:t>
      </w:r>
      <w:r>
        <w:t xml:space="preserve">, we deny </w:t>
      </w:r>
      <w:r w:rsidR="00037C5F">
        <w:t>SES’s</w:t>
      </w:r>
      <w:r w:rsidR="00D4574C">
        <w:t xml:space="preserve"> </w:t>
      </w:r>
      <w:r>
        <w:t xml:space="preserve">petition to deny.  </w:t>
      </w:r>
      <w:r w:rsidR="00210ECF">
        <w:t>SES contends that it is bad policy to allow a licensee to evade its milestone obligations simply because the licensee continued to make construction and launch payments</w:t>
      </w:r>
      <w:r w:rsidR="009F5210">
        <w:t>,</w:t>
      </w:r>
      <w:r w:rsidR="00210ECF">
        <w:rPr>
          <w:rStyle w:val="FootnoteReference"/>
        </w:rPr>
        <w:footnoteReference w:id="25"/>
      </w:r>
      <w:r w:rsidR="009F5210">
        <w:t xml:space="preserve"> and that to delay RB-2’s operational date would be a “fundamental [compromise] of the milestone framework [because it fails to ensure] timely availability of service to the public.”</w:t>
      </w:r>
      <w:r w:rsidR="009F5210">
        <w:rPr>
          <w:rStyle w:val="FootnoteReference"/>
        </w:rPr>
        <w:footnoteReference w:id="26"/>
      </w:r>
      <w:r w:rsidR="00210ECF">
        <w:t xml:space="preserve">  </w:t>
      </w:r>
      <w:r w:rsidR="009F5210">
        <w:t xml:space="preserve">We disagree on both points.  DIRECTV has not only made construction and launch payments, but has also completed physical construction of the RB-2 payload and has delivered the payload for imminent launch.  In light of the imminent launch of the payload, there is concrete evidence to support our finding that the spectrum resources used by RB-2 will be available for service to the public in a timely manner.  </w:t>
      </w:r>
      <w:r w:rsidR="000F4C81">
        <w:t>Accordingly, the facts presented here do not support either of the policy concerns raised by SES.</w:t>
      </w:r>
    </w:p>
    <w:p w:rsidR="00AF63AB" w:rsidRDefault="00C76E3F" w:rsidP="004E1FBE">
      <w:pPr>
        <w:pStyle w:val="ParaNum"/>
        <w:jc w:val="left"/>
      </w:pPr>
      <w:r>
        <w:t>Finally,</w:t>
      </w:r>
      <w:r w:rsidR="009F5210">
        <w:t xml:space="preserve"> </w:t>
      </w:r>
      <w:r w:rsidR="001D668D">
        <w:t>DISH</w:t>
      </w:r>
      <w:r w:rsidR="009F5210">
        <w:t xml:space="preserve">’s request </w:t>
      </w:r>
      <w:r>
        <w:t xml:space="preserve">that we condition any milestone extension on coordination of RB-2 with the Canadian Ciel-6i </w:t>
      </w:r>
      <w:r w:rsidR="006E3B8F" w:rsidRPr="004C6A97">
        <w:t>space station</w:t>
      </w:r>
      <w:r>
        <w:t xml:space="preserve"> at 103</w:t>
      </w:r>
      <w:r w:rsidR="006E3B8F">
        <w:t>°</w:t>
      </w:r>
      <w:r>
        <w:t xml:space="preserve"> W.L. is unnecessary.  The authorization for RB-2 </w:t>
      </w:r>
      <w:r w:rsidR="008C45F3">
        <w:t xml:space="preserve">is </w:t>
      </w:r>
      <w:r>
        <w:t xml:space="preserve">already </w:t>
      </w:r>
      <w:r w:rsidR="008C45F3">
        <w:t xml:space="preserve">subject to </w:t>
      </w:r>
      <w:r>
        <w:t>a condition that addresses the obligations of international coordination under the procedures of the International Telecommunication Union (ITU)</w:t>
      </w:r>
      <w:r w:rsidR="008C45F3">
        <w:t>.</w:t>
      </w:r>
      <w:r>
        <w:rPr>
          <w:rStyle w:val="FootnoteReference"/>
        </w:rPr>
        <w:footnoteReference w:id="27"/>
      </w:r>
      <w:r>
        <w:t xml:space="preserve">  </w:t>
      </w:r>
      <w:r w:rsidR="000F4C81">
        <w:t>Consequently, there</w:t>
      </w:r>
      <w:r>
        <w:t xml:space="preserve"> is</w:t>
      </w:r>
      <w:r w:rsidR="00F91F88">
        <w:t xml:space="preserve"> no reason</w:t>
      </w:r>
      <w:r>
        <w:t xml:space="preserve"> to impose additional conditions regarding coordination of the RB-2 payload</w:t>
      </w:r>
      <w:r w:rsidR="00F1629D">
        <w:t xml:space="preserve">, and we deny </w:t>
      </w:r>
      <w:r w:rsidR="001D668D">
        <w:t>DISH</w:t>
      </w:r>
      <w:r w:rsidR="00F1629D">
        <w:t>’s request to do so</w:t>
      </w:r>
      <w:r w:rsidR="00F91F88">
        <w:t>.</w:t>
      </w:r>
    </w:p>
    <w:p w:rsidR="00293D67" w:rsidRDefault="00293D67" w:rsidP="00293D67">
      <w:pPr>
        <w:pStyle w:val="Heading1"/>
      </w:pPr>
      <w:r>
        <w:t>ordering clauses</w:t>
      </w:r>
    </w:p>
    <w:p w:rsidR="00D4574C" w:rsidRDefault="00293D67">
      <w:pPr>
        <w:pStyle w:val="ParaNum"/>
        <w:jc w:val="left"/>
      </w:pPr>
      <w:r w:rsidRPr="005837F5">
        <w:t xml:space="preserve">IT IS ORDERED that the </w:t>
      </w:r>
      <w:r w:rsidR="00DE3984">
        <w:t xml:space="preserve">application </w:t>
      </w:r>
      <w:r w:rsidRPr="005837F5">
        <w:t>of DIRECTV Enterprises, LLC</w:t>
      </w:r>
      <w:r w:rsidR="00337CFE">
        <w:t xml:space="preserve">, </w:t>
      </w:r>
      <w:r w:rsidRPr="005837F5">
        <w:t xml:space="preserve">IBFS File No. </w:t>
      </w:r>
      <w:r w:rsidR="009A66AF">
        <w:t>SAT-MOD-2014062</w:t>
      </w:r>
      <w:r w:rsidR="001D668D">
        <w:t>4</w:t>
      </w:r>
      <w:r w:rsidR="009A66AF">
        <w:t>-000</w:t>
      </w:r>
      <w:r w:rsidR="001D668D">
        <w:t>75</w:t>
      </w:r>
      <w:r w:rsidR="009A66AF">
        <w:t xml:space="preserve">, </w:t>
      </w:r>
      <w:r w:rsidR="00DE3984">
        <w:t xml:space="preserve">for an extension through July 31, 2015 </w:t>
      </w:r>
      <w:r w:rsidR="00D705DF">
        <w:t xml:space="preserve">to </w:t>
      </w:r>
      <w:r w:rsidR="00DE3984">
        <w:t xml:space="preserve">meet its </w:t>
      </w:r>
      <w:r w:rsidR="00D705DF">
        <w:t xml:space="preserve"> </w:t>
      </w:r>
      <w:r w:rsidR="001B4B53">
        <w:t>“</w:t>
      </w:r>
      <w:r w:rsidR="00D705DF">
        <w:t xml:space="preserve">launch and </w:t>
      </w:r>
      <w:r w:rsidR="000316B8">
        <w:t xml:space="preserve">begin </w:t>
      </w:r>
      <w:r w:rsidR="00D4574C">
        <w:t>operat</w:t>
      </w:r>
      <w:r w:rsidR="000316B8">
        <w:t>ions</w:t>
      </w:r>
      <w:r w:rsidR="001B4B53">
        <w:t>”</w:t>
      </w:r>
      <w:r w:rsidR="00D705DF">
        <w:t xml:space="preserve"> milestone </w:t>
      </w:r>
      <w:r w:rsidR="00DE3984">
        <w:t xml:space="preserve">for </w:t>
      </w:r>
      <w:r w:rsidR="00D705DF">
        <w:t>the DIRECTV RB-2 space station</w:t>
      </w:r>
      <w:r w:rsidR="008726BB">
        <w:t>, authorized to operate at the 102.8</w:t>
      </w:r>
      <w:r w:rsidR="00952B82">
        <w:t>2</w:t>
      </w:r>
      <w:r w:rsidR="008726BB">
        <w:t>5</w:t>
      </w:r>
      <w:r w:rsidR="008726BB" w:rsidRPr="005837F5">
        <w:t>° W.L. orbital location</w:t>
      </w:r>
      <w:r w:rsidR="008726BB">
        <w:t xml:space="preserve"> and provide Broadcasting-Satellite Service using the 17.3-17.7 GHz (space-to-Earth) and 24.75-25.15 GHz (Earth-to-space) frequency bands</w:t>
      </w:r>
      <w:r w:rsidR="00D4574C">
        <w:t>,</w:t>
      </w:r>
      <w:r w:rsidR="008726BB">
        <w:t xml:space="preserve"> </w:t>
      </w:r>
      <w:r w:rsidRPr="005837F5">
        <w:t xml:space="preserve">IS GRANTED.  </w:t>
      </w:r>
    </w:p>
    <w:p w:rsidR="00F1629D" w:rsidRDefault="00F1629D">
      <w:pPr>
        <w:pStyle w:val="ParaNum"/>
        <w:jc w:val="left"/>
      </w:pPr>
      <w:r>
        <w:t xml:space="preserve">IT IS FURTHER ORDERED that the Petition to Deny filed by </w:t>
      </w:r>
      <w:r w:rsidRPr="005837F5">
        <w:t>SES Americom, Inc. and Ciel Satellite Limited Partnership</w:t>
      </w:r>
      <w:r>
        <w:t xml:space="preserve"> IS DENIED for the reasons stated herein.</w:t>
      </w:r>
    </w:p>
    <w:p w:rsidR="00F1629D" w:rsidRDefault="00F1629D" w:rsidP="004E1FBE">
      <w:pPr>
        <w:pStyle w:val="ParaNum"/>
        <w:jc w:val="left"/>
      </w:pPr>
      <w:r>
        <w:t xml:space="preserve">IT IS FURTHER ORDERED that the </w:t>
      </w:r>
      <w:r w:rsidR="00075665">
        <w:t>Petition to Condition</w:t>
      </w:r>
      <w:r>
        <w:t xml:space="preserve"> filed </w:t>
      </w:r>
      <w:r w:rsidR="00075665">
        <w:t xml:space="preserve">by </w:t>
      </w:r>
      <w:r w:rsidRPr="005837F5">
        <w:t>DISH Operating LLC</w:t>
      </w:r>
      <w:r>
        <w:t xml:space="preserve"> IS DENIED for the reasons stated herein.</w:t>
      </w:r>
    </w:p>
    <w:p w:rsidR="0045454E" w:rsidRDefault="00337CFE" w:rsidP="004E1FBE">
      <w:pPr>
        <w:pStyle w:val="ParaNum"/>
        <w:jc w:val="left"/>
      </w:pPr>
      <w:r>
        <w:t xml:space="preserve">IT IS FURTHER ORDERED that DIRECTV Enterprises, LLC may reduce the amount of the bond posted for the RB-2 </w:t>
      </w:r>
      <w:r w:rsidR="00D4574C">
        <w:t xml:space="preserve">space station </w:t>
      </w:r>
      <w:r>
        <w:t xml:space="preserve">to $750,000, as provided in the </w:t>
      </w:r>
      <w:r w:rsidRPr="004E1FBE">
        <w:rPr>
          <w:i/>
        </w:rPr>
        <w:t>Amendment of the Commission's Space Station Licensing Rules and Policies</w:t>
      </w:r>
      <w:r>
        <w:t xml:space="preserve">, First Report and Order and Further Notice of Proposed Rulemaking, IB Docket No. 02-34, 18 FCC Rcd 10760 (2003); </w:t>
      </w:r>
      <w:r w:rsidRPr="004E1FBE">
        <w:rPr>
          <w:i/>
        </w:rPr>
        <w:t>Amendment of the Commission's Space Station Licensing Rules and Policies</w:t>
      </w:r>
      <w:r>
        <w:t>, First Order on Reconsideration and Fifth Report and Order, IB Docket No. 02-34, 19 FCC Rcd 12637 (2004).</w:t>
      </w:r>
    </w:p>
    <w:p w:rsidR="0045454E" w:rsidRDefault="0045454E">
      <w:r>
        <w:br w:type="page"/>
      </w:r>
    </w:p>
    <w:p w:rsidR="008C45F3" w:rsidRDefault="008C45F3" w:rsidP="0045454E">
      <w:pPr>
        <w:pStyle w:val="ParaNum"/>
        <w:numPr>
          <w:ilvl w:val="0"/>
          <w:numId w:val="0"/>
        </w:numPr>
        <w:ind w:left="720"/>
        <w:jc w:val="left"/>
      </w:pPr>
    </w:p>
    <w:p w:rsidR="00414A69" w:rsidRDefault="00D4574C" w:rsidP="004E1FBE">
      <w:pPr>
        <w:pStyle w:val="ParaNum"/>
        <w:jc w:val="left"/>
      </w:pPr>
      <w:r w:rsidRPr="00AC78BB">
        <w:rPr>
          <w:szCs w:val="22"/>
        </w:rPr>
        <w:t>This action is taken under delegated authority pursuant to Sections 0.51 and 0.261 of the Commission’s rules, 47 C.F.R. §§ 0.51, and 0.261</w:t>
      </w:r>
      <w:r>
        <w:rPr>
          <w:szCs w:val="22"/>
        </w:rPr>
        <w:t>.</w:t>
      </w:r>
    </w:p>
    <w:p w:rsidR="00A5632C" w:rsidRDefault="00A5632C" w:rsidP="00A5632C">
      <w:pPr>
        <w:pStyle w:val="ParaNum"/>
        <w:numPr>
          <w:ilvl w:val="0"/>
          <w:numId w:val="0"/>
        </w:numPr>
        <w:ind w:left="720"/>
      </w:pPr>
    </w:p>
    <w:p w:rsidR="00A5632C" w:rsidRDefault="00A5632C" w:rsidP="00A5632C">
      <w:pPr>
        <w:pStyle w:val="ParaNum"/>
        <w:numPr>
          <w:ilvl w:val="0"/>
          <w:numId w:val="0"/>
        </w:numPr>
        <w:ind w:left="720"/>
      </w:pPr>
      <w:r>
        <w:tab/>
      </w:r>
      <w:r>
        <w:tab/>
      </w:r>
      <w:r w:rsidR="00540D1E">
        <w:tab/>
      </w:r>
      <w:r>
        <w:t>FEDERAL COMMUNICATIONS COMMISSION</w:t>
      </w:r>
    </w:p>
    <w:p w:rsidR="00A5632C" w:rsidRDefault="00A5632C" w:rsidP="00A5632C">
      <w:pPr>
        <w:pStyle w:val="ParaNum"/>
        <w:numPr>
          <w:ilvl w:val="0"/>
          <w:numId w:val="0"/>
        </w:numPr>
        <w:ind w:left="720"/>
      </w:pPr>
    </w:p>
    <w:p w:rsidR="00A5632C" w:rsidRDefault="00A5632C" w:rsidP="00A5632C">
      <w:pPr>
        <w:pStyle w:val="ParaNum"/>
        <w:numPr>
          <w:ilvl w:val="0"/>
          <w:numId w:val="0"/>
        </w:numPr>
        <w:ind w:left="720"/>
      </w:pPr>
    </w:p>
    <w:p w:rsidR="00A5632C" w:rsidRDefault="00A5632C" w:rsidP="00A5632C">
      <w:pPr>
        <w:pStyle w:val="ParaNum"/>
        <w:numPr>
          <w:ilvl w:val="0"/>
          <w:numId w:val="0"/>
        </w:numPr>
        <w:ind w:left="720"/>
      </w:pPr>
    </w:p>
    <w:p w:rsidR="00A5632C" w:rsidRPr="00A5632C" w:rsidRDefault="00A5632C" w:rsidP="00A5632C">
      <w:r>
        <w:tab/>
      </w:r>
      <w:r>
        <w:tab/>
      </w:r>
      <w:r>
        <w:tab/>
      </w:r>
      <w:r w:rsidR="00540D1E">
        <w:tab/>
      </w:r>
      <w:r w:rsidRPr="00A5632C">
        <w:t xml:space="preserve">Jose </w:t>
      </w:r>
      <w:r w:rsidR="00540D1E">
        <w:t xml:space="preserve">P. </w:t>
      </w:r>
      <w:r w:rsidRPr="00A5632C">
        <w:t>Albuquerque</w:t>
      </w:r>
    </w:p>
    <w:p w:rsidR="00A5632C" w:rsidRPr="00A5632C" w:rsidRDefault="00A5632C" w:rsidP="00A5632C">
      <w:r>
        <w:tab/>
      </w:r>
      <w:r>
        <w:tab/>
      </w:r>
      <w:r w:rsidRPr="00A5632C">
        <w:tab/>
      </w:r>
      <w:r w:rsidR="00540D1E">
        <w:tab/>
      </w:r>
      <w:r w:rsidRPr="00A5632C">
        <w:t>Chief, Satellite Division</w:t>
      </w:r>
    </w:p>
    <w:p w:rsidR="00A5632C" w:rsidRPr="00A5632C" w:rsidRDefault="00A5632C" w:rsidP="00A5632C">
      <w:r>
        <w:tab/>
      </w:r>
      <w:r>
        <w:tab/>
      </w:r>
      <w:r w:rsidRPr="00A5632C">
        <w:tab/>
      </w:r>
      <w:r w:rsidR="00540D1E">
        <w:tab/>
      </w:r>
      <w:r w:rsidRPr="00A5632C">
        <w:t>International Bureau</w:t>
      </w:r>
    </w:p>
    <w:p w:rsidR="000F4C81" w:rsidRPr="00293D67" w:rsidRDefault="000F4C81" w:rsidP="004E1FBE">
      <w:pPr>
        <w:pStyle w:val="ParaNum"/>
        <w:numPr>
          <w:ilvl w:val="0"/>
          <w:numId w:val="0"/>
        </w:numPr>
        <w:ind w:firstLine="720"/>
        <w:jc w:val="left"/>
      </w:pPr>
    </w:p>
    <w:sectPr w:rsidR="000F4C81" w:rsidRPr="00293D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F8" w:rsidRDefault="00AC6BF8">
      <w:r>
        <w:separator/>
      </w:r>
    </w:p>
  </w:endnote>
  <w:endnote w:type="continuationSeparator" w:id="0">
    <w:p w:rsidR="00AC6BF8" w:rsidRDefault="00A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6" w:rsidRDefault="002A0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3D" w:rsidRDefault="008726BB">
    <w:pPr>
      <w:pStyle w:val="Footer"/>
      <w:jc w:val="center"/>
    </w:pPr>
    <w:r>
      <w:rPr>
        <w:rStyle w:val="PageNumber"/>
      </w:rPr>
      <w:fldChar w:fldCharType="begin"/>
    </w:r>
    <w:r>
      <w:rPr>
        <w:rStyle w:val="PageNumber"/>
      </w:rPr>
      <w:instrText xml:space="preserve"> PAGE </w:instrText>
    </w:r>
    <w:r>
      <w:rPr>
        <w:rStyle w:val="PageNumber"/>
      </w:rPr>
      <w:fldChar w:fldCharType="separate"/>
    </w:r>
    <w:r w:rsidR="00E87FE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6" w:rsidRDefault="002A0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F8" w:rsidRDefault="00AC6BF8">
      <w:pPr>
        <w:rPr>
          <w:sz w:val="20"/>
        </w:rPr>
      </w:pPr>
      <w:r>
        <w:rPr>
          <w:sz w:val="20"/>
        </w:rPr>
        <w:separator/>
      </w:r>
    </w:p>
  </w:footnote>
  <w:footnote w:type="continuationSeparator" w:id="0">
    <w:p w:rsidR="00AC6BF8" w:rsidRDefault="00AC6BF8">
      <w:pPr>
        <w:rPr>
          <w:sz w:val="20"/>
        </w:rPr>
      </w:pPr>
      <w:r>
        <w:rPr>
          <w:sz w:val="20"/>
        </w:rPr>
        <w:separator/>
      </w:r>
    </w:p>
    <w:p w:rsidR="00AC6BF8" w:rsidRDefault="00AC6BF8">
      <w:pPr>
        <w:rPr>
          <w:sz w:val="20"/>
        </w:rPr>
      </w:pPr>
      <w:r>
        <w:rPr>
          <w:sz w:val="20"/>
        </w:rPr>
        <w:t>(...continued from previous page)</w:t>
      </w:r>
    </w:p>
  </w:footnote>
  <w:footnote w:type="continuationNotice" w:id="1">
    <w:p w:rsidR="00AC6BF8" w:rsidRDefault="00AC6BF8">
      <w:pPr>
        <w:jc w:val="right"/>
        <w:rPr>
          <w:sz w:val="20"/>
        </w:rPr>
      </w:pPr>
      <w:r>
        <w:rPr>
          <w:sz w:val="20"/>
        </w:rPr>
        <w:t>(continued....)</w:t>
      </w:r>
    </w:p>
  </w:footnote>
  <w:footnote w:id="2">
    <w:p w:rsidR="00293D67" w:rsidRPr="00152E62" w:rsidRDefault="00293D67" w:rsidP="004E1FBE">
      <w:pPr>
        <w:pStyle w:val="FootnoteText"/>
        <w:jc w:val="left"/>
      </w:pPr>
      <w:r>
        <w:rPr>
          <w:rStyle w:val="FootnoteReference"/>
        </w:rPr>
        <w:footnoteRef/>
      </w:r>
      <w:r>
        <w:t xml:space="preserve"> </w:t>
      </w:r>
      <w:r>
        <w:rPr>
          <w:shd w:val="clear" w:color="auto" w:fill="FFFFFF"/>
        </w:rPr>
        <w:t xml:space="preserve">The RB-2 </w:t>
      </w:r>
      <w:r w:rsidR="002045EA">
        <w:rPr>
          <w:shd w:val="clear" w:color="auto" w:fill="FFFFFF"/>
        </w:rPr>
        <w:t>space station</w:t>
      </w:r>
      <w:r>
        <w:rPr>
          <w:shd w:val="clear" w:color="auto" w:fill="FFFFFF"/>
        </w:rPr>
        <w:t xml:space="preserve"> will be carried on DIRECTV 15, a satellite that also includes Ka-band and Direct Broadcast Satellite </w:t>
      </w:r>
      <w:r w:rsidR="002045EA">
        <w:rPr>
          <w:shd w:val="clear" w:color="auto" w:fill="FFFFFF"/>
        </w:rPr>
        <w:t>space stations</w:t>
      </w:r>
      <w:r>
        <w:rPr>
          <w:shd w:val="clear" w:color="auto" w:fill="FFFFFF"/>
        </w:rPr>
        <w:t xml:space="preserve">.  </w:t>
      </w:r>
      <w:r>
        <w:rPr>
          <w:i/>
          <w:shd w:val="clear" w:color="auto" w:fill="FFFFFF"/>
        </w:rPr>
        <w:t xml:space="preserve">See </w:t>
      </w:r>
      <w:r w:rsidRPr="00FD1D7C">
        <w:rPr>
          <w:shd w:val="clear" w:color="auto" w:fill="FFFFFF"/>
        </w:rPr>
        <w:t xml:space="preserve">DIRECTV Enterprises, LLC Application for Authority to Launch and Operate DIRECTV </w:t>
      </w:r>
      <w:r>
        <w:rPr>
          <w:shd w:val="clear" w:color="auto" w:fill="FFFFFF"/>
        </w:rPr>
        <w:t>15</w:t>
      </w:r>
      <w:r w:rsidRPr="00FD1D7C">
        <w:rPr>
          <w:shd w:val="clear" w:color="auto" w:fill="FFFFFF"/>
        </w:rPr>
        <w:t xml:space="preserve"> at </w:t>
      </w:r>
      <w:r>
        <w:rPr>
          <w:shd w:val="clear" w:color="auto" w:fill="FFFFFF"/>
        </w:rPr>
        <w:t>103</w:t>
      </w:r>
      <w:r w:rsidRPr="00FD1D7C">
        <w:rPr>
          <w:shd w:val="clear" w:color="auto" w:fill="FFFFFF"/>
        </w:rPr>
        <w:t xml:space="preserve"> ̊ W.L., </w:t>
      </w:r>
      <w:r w:rsidR="00576B56">
        <w:rPr>
          <w:shd w:val="clear" w:color="auto" w:fill="FFFFFF"/>
        </w:rPr>
        <w:t xml:space="preserve">IBFS File No. </w:t>
      </w:r>
      <w:r w:rsidRPr="00FD1D7C">
        <w:rPr>
          <w:shd w:val="clear" w:color="auto" w:fill="FFFFFF"/>
        </w:rPr>
        <w:t>SAT-LOA-201</w:t>
      </w:r>
      <w:r>
        <w:rPr>
          <w:shd w:val="clear" w:color="auto" w:fill="FFFFFF"/>
        </w:rPr>
        <w:t>4</w:t>
      </w:r>
      <w:r w:rsidRPr="00FD1D7C">
        <w:rPr>
          <w:shd w:val="clear" w:color="auto" w:fill="FFFFFF"/>
        </w:rPr>
        <w:t>0</w:t>
      </w:r>
      <w:r>
        <w:rPr>
          <w:shd w:val="clear" w:color="auto" w:fill="FFFFFF"/>
        </w:rPr>
        <w:t>82</w:t>
      </w:r>
      <w:r w:rsidRPr="00FD1D7C">
        <w:rPr>
          <w:shd w:val="clear" w:color="auto" w:fill="FFFFFF"/>
        </w:rPr>
        <w:t>5-000</w:t>
      </w:r>
      <w:r>
        <w:rPr>
          <w:shd w:val="clear" w:color="auto" w:fill="FFFFFF"/>
        </w:rPr>
        <w:t>94</w:t>
      </w:r>
      <w:r w:rsidRPr="00FD1D7C">
        <w:rPr>
          <w:shd w:val="clear" w:color="auto" w:fill="FFFFFF"/>
        </w:rPr>
        <w:t xml:space="preserve"> (filed </w:t>
      </w:r>
      <w:r>
        <w:rPr>
          <w:shd w:val="clear" w:color="auto" w:fill="FFFFFF"/>
        </w:rPr>
        <w:t>Aug.</w:t>
      </w:r>
      <w:r w:rsidRPr="00FD1D7C">
        <w:rPr>
          <w:shd w:val="clear" w:color="auto" w:fill="FFFFFF"/>
        </w:rPr>
        <w:t xml:space="preserve"> </w:t>
      </w:r>
      <w:r>
        <w:rPr>
          <w:shd w:val="clear" w:color="auto" w:fill="FFFFFF"/>
        </w:rPr>
        <w:t>2</w:t>
      </w:r>
      <w:r w:rsidRPr="00FD1D7C">
        <w:rPr>
          <w:shd w:val="clear" w:color="auto" w:fill="FFFFFF"/>
        </w:rPr>
        <w:t>5, 201</w:t>
      </w:r>
      <w:r>
        <w:rPr>
          <w:shd w:val="clear" w:color="auto" w:fill="FFFFFF"/>
        </w:rPr>
        <w:t>4</w:t>
      </w:r>
      <w:r w:rsidRPr="00FD1D7C">
        <w:rPr>
          <w:shd w:val="clear" w:color="auto" w:fill="FFFFFF"/>
        </w:rPr>
        <w:t>) (</w:t>
      </w:r>
      <w:r w:rsidRPr="00FF350D">
        <w:rPr>
          <w:shd w:val="clear" w:color="auto" w:fill="FFFFFF"/>
        </w:rPr>
        <w:t xml:space="preserve">DIRECTV </w:t>
      </w:r>
      <w:r w:rsidR="00576B56">
        <w:rPr>
          <w:shd w:val="clear" w:color="auto" w:fill="FFFFFF"/>
        </w:rPr>
        <w:t xml:space="preserve">15 </w:t>
      </w:r>
      <w:r w:rsidRPr="00FF350D">
        <w:rPr>
          <w:shd w:val="clear" w:color="auto" w:fill="FFFFFF"/>
        </w:rPr>
        <w:t>Application</w:t>
      </w:r>
      <w:r w:rsidRPr="00FD1D7C">
        <w:rPr>
          <w:shd w:val="clear" w:color="auto" w:fill="FFFFFF"/>
        </w:rPr>
        <w:t>)</w:t>
      </w:r>
      <w:r>
        <w:rPr>
          <w:shd w:val="clear" w:color="auto" w:fill="FFFFFF"/>
        </w:rPr>
        <w:t>.</w:t>
      </w:r>
    </w:p>
  </w:footnote>
  <w:footnote w:id="3">
    <w:p w:rsidR="004446FB" w:rsidRPr="004446FB" w:rsidRDefault="004446FB" w:rsidP="004E1FBE">
      <w:pPr>
        <w:pStyle w:val="FootnoteText"/>
        <w:jc w:val="left"/>
      </w:pPr>
      <w:r>
        <w:rPr>
          <w:rStyle w:val="FootnoteReference"/>
        </w:rPr>
        <w:footnoteRef/>
      </w:r>
      <w:r>
        <w:t xml:space="preserve"> In a separate </w:t>
      </w:r>
      <w:r w:rsidR="00801EEB">
        <w:t xml:space="preserve">order, we also granted DIRECTV’s requests for </w:t>
      </w:r>
      <w:r w:rsidR="002B175B">
        <w:t>various technical changes to the initial RB-2 application</w:t>
      </w:r>
      <w:r>
        <w:t xml:space="preserve">, </w:t>
      </w:r>
      <w:r w:rsidR="00801EEB">
        <w:t xml:space="preserve">including </w:t>
      </w:r>
      <w:r>
        <w:t>DIRECTV</w:t>
      </w:r>
      <w:r w:rsidR="00801EEB">
        <w:t>’s</w:t>
      </w:r>
      <w:r>
        <w:t xml:space="preserve"> request that RB-2 be authorized to operate at </w:t>
      </w:r>
      <w:r w:rsidR="002B175B">
        <w:t xml:space="preserve">the </w:t>
      </w:r>
      <w:r>
        <w:t>102.75° W.L. orbital location</w:t>
      </w:r>
      <w:r w:rsidR="00576B56">
        <w:t xml:space="preserve"> instead of 102.825° W.L</w:t>
      </w:r>
      <w:r>
        <w:t xml:space="preserve">.  </w:t>
      </w:r>
      <w:r>
        <w:rPr>
          <w:i/>
        </w:rPr>
        <w:t>See</w:t>
      </w:r>
      <w:r>
        <w:t xml:space="preserve"> </w:t>
      </w:r>
      <w:r w:rsidR="001D668D" w:rsidRPr="001A4EDA">
        <w:rPr>
          <w:i/>
        </w:rPr>
        <w:t>DIRECTV Enterprises, LLC</w:t>
      </w:r>
      <w:r w:rsidR="001D668D">
        <w:t>, IBFS File No. SAT-MOD-20140612-00066 (grant stamp, May 14, 2015);</w:t>
      </w:r>
    </w:p>
  </w:footnote>
  <w:footnote w:id="4">
    <w:p w:rsidR="00293D67" w:rsidRDefault="00293D67" w:rsidP="004E1FBE">
      <w:pPr>
        <w:pStyle w:val="FootnoteText"/>
        <w:jc w:val="left"/>
      </w:pPr>
      <w:r>
        <w:rPr>
          <w:rStyle w:val="FootnoteReference"/>
        </w:rPr>
        <w:footnoteRef/>
      </w:r>
      <w:r>
        <w:t xml:space="preserve"> </w:t>
      </w:r>
      <w:r>
        <w:rPr>
          <w:i/>
          <w:iCs/>
        </w:rPr>
        <w:t xml:space="preserve">See </w:t>
      </w:r>
      <w:r w:rsidRPr="00FF350D">
        <w:rPr>
          <w:i/>
          <w:iCs/>
        </w:rPr>
        <w:t>DIRECTV Enterprises, LLC, Application for Authorization to Launch and Operate DIRECTV RB-2</w:t>
      </w:r>
      <w:r>
        <w:rPr>
          <w:iCs/>
        </w:rPr>
        <w:t>, Order and Authorization, DA 09-1624, 24 FCC Rcd 9393, 9406 ¶ 37 (Int’l Bur. 2009)</w:t>
      </w:r>
      <w:r w:rsidR="00F67336">
        <w:rPr>
          <w:iCs/>
        </w:rPr>
        <w:t xml:space="preserve"> (</w:t>
      </w:r>
      <w:r w:rsidR="00F67336">
        <w:rPr>
          <w:i/>
          <w:iCs/>
        </w:rPr>
        <w:t>RB-2</w:t>
      </w:r>
      <w:r w:rsidR="00E00296">
        <w:rPr>
          <w:i/>
          <w:iCs/>
        </w:rPr>
        <w:t xml:space="preserve"> Order</w:t>
      </w:r>
      <w:r w:rsidR="00F67336">
        <w:rPr>
          <w:iCs/>
        </w:rPr>
        <w:t>)</w:t>
      </w:r>
      <w:r>
        <w:rPr>
          <w:iCs/>
        </w:rPr>
        <w:t>.</w:t>
      </w:r>
      <w:r w:rsidR="00F1629D">
        <w:rPr>
          <w:iCs/>
        </w:rPr>
        <w:t xml:space="preserve">  These milestone deadline</w:t>
      </w:r>
      <w:r w:rsidR="00257008">
        <w:rPr>
          <w:iCs/>
        </w:rPr>
        <w:t>s</w:t>
      </w:r>
      <w:r w:rsidR="00F1629D">
        <w:rPr>
          <w:iCs/>
        </w:rPr>
        <w:t xml:space="preserve"> </w:t>
      </w:r>
      <w:r w:rsidR="00257008">
        <w:rPr>
          <w:iCs/>
        </w:rPr>
        <w:t>match</w:t>
      </w:r>
      <w:r w:rsidR="00F1629D">
        <w:rPr>
          <w:iCs/>
        </w:rPr>
        <w:t xml:space="preserve"> the requirements of Section 25.1</w:t>
      </w:r>
      <w:r w:rsidR="00257008">
        <w:rPr>
          <w:iCs/>
        </w:rPr>
        <w:t>64 of the Commission’s rules, 47 C.F.R. § 25.164.</w:t>
      </w:r>
    </w:p>
  </w:footnote>
  <w:footnote w:id="5">
    <w:p w:rsidR="00257008" w:rsidRDefault="00257008">
      <w:pPr>
        <w:pStyle w:val="FootnoteText"/>
      </w:pPr>
      <w:r>
        <w:rPr>
          <w:rStyle w:val="FootnoteReference"/>
        </w:rPr>
        <w:footnoteRef/>
      </w:r>
      <w:r>
        <w:t xml:space="preserve"> </w:t>
      </w:r>
      <w:r>
        <w:rPr>
          <w:iCs/>
        </w:rPr>
        <w:t>47 C.F.R. § 25.165.</w:t>
      </w:r>
    </w:p>
  </w:footnote>
  <w:footnote w:id="6">
    <w:p w:rsidR="00425DD0" w:rsidRDefault="00425DD0">
      <w:pPr>
        <w:pStyle w:val="FootnoteText"/>
      </w:pPr>
      <w:r>
        <w:rPr>
          <w:rStyle w:val="FootnoteReference"/>
        </w:rPr>
        <w:footnoteRef/>
      </w:r>
      <w:r>
        <w:t xml:space="preserve"> </w:t>
      </w:r>
      <w:r w:rsidR="000D7C1B">
        <w:rPr>
          <w:i/>
          <w:iCs/>
        </w:rPr>
        <w:t xml:space="preserve">See </w:t>
      </w:r>
      <w:r w:rsidR="000D7C1B">
        <w:t xml:space="preserve">IBFS File Nos. SAT-LOA-20060908-00100, SAT-AMD-20080114-00014, and SAT-AMD-20080321-00077: Letter from William M. Wiltshire to Marlene H. Dortch, Secretary, FCC (dated July 26, 2010) (contract submission); Letter from William M. Wiltshire to Marlene H. Dortch, Secretary, FCC (dated July 27, 2011) (submission of amended contract); Letter from William M. Wiltshire to Marlene H. Dortch, Secretary, FCC (July 27, 2011) (CDR package submission); and Letter from William M. Wiltshire to Marlene H. Dortch, Secretary, FCC (dated July 27, 2012) (commence construction submission). </w:t>
      </w:r>
      <w:r w:rsidR="00AF5EB7">
        <w:t xml:space="preserve"> We address</w:t>
      </w:r>
      <w:r w:rsidR="001D668D">
        <w:t xml:space="preserve"> these milestone showings in this</w:t>
      </w:r>
      <w:r w:rsidR="00E87FEF">
        <w:t xml:space="preserve"> O</w:t>
      </w:r>
      <w:r w:rsidR="001D668D">
        <w:t>rder.</w:t>
      </w:r>
    </w:p>
  </w:footnote>
  <w:footnote w:id="7">
    <w:p w:rsidR="00293D67" w:rsidRDefault="00293D67" w:rsidP="004E1FBE">
      <w:pPr>
        <w:pStyle w:val="FootnoteText"/>
        <w:jc w:val="left"/>
      </w:pPr>
      <w:r>
        <w:rPr>
          <w:rStyle w:val="FootnoteReference"/>
        </w:rPr>
        <w:footnoteRef/>
      </w:r>
      <w:r>
        <w:t xml:space="preserve"> </w:t>
      </w:r>
      <w:r>
        <w:rPr>
          <w:i/>
          <w:iCs/>
        </w:rPr>
        <w:t xml:space="preserve">See </w:t>
      </w:r>
      <w:r w:rsidR="000D7C1B">
        <w:t xml:space="preserve">DIRECTV Application Exhibit A.  </w:t>
      </w:r>
      <w:r>
        <w:t xml:space="preserve"> </w:t>
      </w:r>
    </w:p>
  </w:footnote>
  <w:footnote w:id="8">
    <w:p w:rsidR="00293D67" w:rsidRDefault="00293D67" w:rsidP="004E1FBE">
      <w:pPr>
        <w:pStyle w:val="FootnoteText"/>
        <w:jc w:val="left"/>
      </w:pPr>
      <w:r>
        <w:rPr>
          <w:rStyle w:val="FootnoteReference"/>
        </w:rPr>
        <w:footnoteRef/>
      </w:r>
      <w:r>
        <w:t xml:space="preserve"> </w:t>
      </w:r>
      <w:r w:rsidRPr="00FF350D">
        <w:rPr>
          <w:shd w:val="clear" w:color="auto" w:fill="FFFFFF"/>
        </w:rPr>
        <w:t>DIRECTV</w:t>
      </w:r>
      <w:r w:rsidR="00425DD0">
        <w:rPr>
          <w:shd w:val="clear" w:color="auto" w:fill="FFFFFF"/>
        </w:rPr>
        <w:t xml:space="preserve"> </w:t>
      </w:r>
      <w:r w:rsidRPr="00FF350D">
        <w:rPr>
          <w:shd w:val="clear" w:color="auto" w:fill="FFFFFF"/>
        </w:rPr>
        <w:t>Application</w:t>
      </w:r>
      <w:r>
        <w:t xml:space="preserve"> at 2-3.</w:t>
      </w:r>
    </w:p>
  </w:footnote>
  <w:footnote w:id="9">
    <w:p w:rsidR="00576B56" w:rsidRDefault="00576B56">
      <w:pPr>
        <w:pStyle w:val="FootnoteText"/>
      </w:pPr>
      <w:r>
        <w:rPr>
          <w:rStyle w:val="FootnoteReference"/>
        </w:rPr>
        <w:footnoteRef/>
      </w:r>
      <w:r>
        <w:t xml:space="preserve"> </w:t>
      </w:r>
      <w:r w:rsidR="00B416FD">
        <w:rPr>
          <w:i/>
        </w:rPr>
        <w:t xml:space="preserve">Id. </w:t>
      </w:r>
      <w:r w:rsidR="00B416FD">
        <w:t>at 3.</w:t>
      </w:r>
    </w:p>
  </w:footnote>
  <w:footnote w:id="10">
    <w:p w:rsidR="00293D67" w:rsidRPr="008414D3" w:rsidRDefault="00293D67" w:rsidP="004E1FBE">
      <w:pPr>
        <w:pStyle w:val="FootnoteText"/>
        <w:jc w:val="left"/>
      </w:pPr>
      <w:r>
        <w:rPr>
          <w:rStyle w:val="FootnoteReference"/>
        </w:rPr>
        <w:footnoteRef/>
      </w:r>
      <w:r>
        <w:t xml:space="preserve"> </w:t>
      </w:r>
      <w:r>
        <w:rPr>
          <w:i/>
        </w:rPr>
        <w:t>Id</w:t>
      </w:r>
      <w:r>
        <w:t>. at 4.</w:t>
      </w:r>
      <w:r w:rsidR="003D177A">
        <w:t xml:space="preserve">  DIRECTV state</w:t>
      </w:r>
      <w:r w:rsidR="00FF5BF7">
        <w:t>s</w:t>
      </w:r>
      <w:r w:rsidR="003D177A">
        <w:t xml:space="preserve"> that it ha</w:t>
      </w:r>
      <w:r w:rsidR="00FF5BF7">
        <w:t>s</w:t>
      </w:r>
      <w:r w:rsidR="003D177A">
        <w:t xml:space="preserve"> made substantial progress concerning </w:t>
      </w:r>
      <w:r w:rsidR="003D177A" w:rsidRPr="005837F5">
        <w:t xml:space="preserve">in-orbit test, </w:t>
      </w:r>
      <w:r w:rsidR="003D177A">
        <w:t xml:space="preserve">telemetry, tracking, and command </w:t>
      </w:r>
      <w:r w:rsidR="003D177A" w:rsidRPr="005837F5">
        <w:t>and ground communications infrastructure, a</w:t>
      </w:r>
      <w:r w:rsidR="003D177A">
        <w:t xml:space="preserve">s well as </w:t>
      </w:r>
      <w:r w:rsidR="00682A71">
        <w:t xml:space="preserve">progress in </w:t>
      </w:r>
      <w:r w:rsidR="003D177A" w:rsidRPr="005837F5">
        <w:t>the development of new consumer equipment capable of receiving and processing the 17/24 GHz signals</w:t>
      </w:r>
      <w:r w:rsidR="003D177A">
        <w:t>.</w:t>
      </w:r>
      <w:r w:rsidR="008C45F3">
        <w:t xml:space="preserve">  </w:t>
      </w:r>
      <w:r w:rsidR="008C45F3" w:rsidRPr="004E1FBE">
        <w:rPr>
          <w:i/>
        </w:rPr>
        <w:t>Id.</w:t>
      </w:r>
    </w:p>
  </w:footnote>
  <w:footnote w:id="11">
    <w:p w:rsidR="00293D67" w:rsidRDefault="00293D67" w:rsidP="004E1FBE">
      <w:pPr>
        <w:pStyle w:val="FootnoteText"/>
        <w:jc w:val="left"/>
      </w:pPr>
      <w:r>
        <w:rPr>
          <w:rStyle w:val="FootnoteReference"/>
        </w:rPr>
        <w:footnoteRef/>
      </w:r>
      <w:r>
        <w:t xml:space="preserve"> </w:t>
      </w:r>
      <w:r>
        <w:rPr>
          <w:i/>
        </w:rPr>
        <w:t>Id.</w:t>
      </w:r>
      <w:r>
        <w:t>at 5.</w:t>
      </w:r>
      <w:r w:rsidR="002440FB">
        <w:t xml:space="preserve">  </w:t>
      </w:r>
    </w:p>
  </w:footnote>
  <w:footnote w:id="12">
    <w:p w:rsidR="00293D67" w:rsidRDefault="00293D67" w:rsidP="004E1FBE">
      <w:pPr>
        <w:pStyle w:val="FootnoteText"/>
        <w:jc w:val="left"/>
      </w:pPr>
      <w:r>
        <w:rPr>
          <w:rStyle w:val="FootnoteReference"/>
        </w:rPr>
        <w:footnoteRef/>
      </w:r>
      <w:r>
        <w:t xml:space="preserve"> </w:t>
      </w:r>
      <w:r w:rsidR="00C11B4F">
        <w:t>DIRECTV state</w:t>
      </w:r>
      <w:r w:rsidR="00225FD0">
        <w:t xml:space="preserve">s </w:t>
      </w:r>
      <w:r w:rsidR="00C11B4F">
        <w:t>that r</w:t>
      </w:r>
      <w:r>
        <w:t>equiring that</w:t>
      </w:r>
      <w:r w:rsidRPr="005837F5">
        <w:t xml:space="preserve"> each rocket launch two satellites at a time</w:t>
      </w:r>
      <w:r>
        <w:t xml:space="preserve"> can </w:t>
      </w:r>
      <w:r w:rsidRPr="005837F5">
        <w:t>make it difficult to find two satellites ready to launch at the same time and whose combined weight can be supported by the Ariane 5 rocket</w:t>
      </w:r>
      <w:r>
        <w:t xml:space="preserve">.  </w:t>
      </w:r>
      <w:r w:rsidR="00860BE9">
        <w:rPr>
          <w:i/>
        </w:rPr>
        <w:t>Id.</w:t>
      </w:r>
      <w:r w:rsidR="00860BE9">
        <w:t xml:space="preserve"> </w:t>
      </w:r>
      <w:r>
        <w:t>at 5.</w:t>
      </w:r>
    </w:p>
  </w:footnote>
  <w:footnote w:id="13">
    <w:p w:rsidR="00576B56" w:rsidRDefault="00576B56" w:rsidP="004E1FBE">
      <w:pPr>
        <w:pStyle w:val="FootnoteText"/>
      </w:pPr>
      <w:r>
        <w:rPr>
          <w:rStyle w:val="FootnoteReference"/>
        </w:rPr>
        <w:footnoteRef/>
      </w:r>
      <w:r>
        <w:t xml:space="preserve"> </w:t>
      </w:r>
      <w:r w:rsidR="00B416FD">
        <w:rPr>
          <w:i/>
        </w:rPr>
        <w:t>Id.</w:t>
      </w:r>
      <w:r w:rsidR="00B416FD">
        <w:t xml:space="preserve"> at 6-7.</w:t>
      </w:r>
    </w:p>
  </w:footnote>
  <w:footnote w:id="14">
    <w:p w:rsidR="002E0338" w:rsidRDefault="002E0338" w:rsidP="00E00296">
      <w:pPr>
        <w:pStyle w:val="FootnoteText"/>
        <w:jc w:val="left"/>
      </w:pPr>
      <w:r>
        <w:rPr>
          <w:rStyle w:val="FootnoteReference"/>
        </w:rPr>
        <w:footnoteRef/>
      </w:r>
      <w:r>
        <w:t xml:space="preserve"> </w:t>
      </w:r>
      <w:r w:rsidR="00D23F47">
        <w:t xml:space="preserve">In its original application for milestone extension, filed on June 24, 2014, DIRECTV requested a nine-month extension, up to and including April 27, 2015. </w:t>
      </w:r>
      <w:r w:rsidR="00FF5BF7">
        <w:t xml:space="preserve"> </w:t>
      </w:r>
      <w:r w:rsidR="00D23F47">
        <w:t xml:space="preserve">DIRECTV Application at 1.   </w:t>
      </w:r>
      <w:r>
        <w:t>On February 27, 2015,</w:t>
      </w:r>
      <w:r w:rsidR="00D23F47">
        <w:t xml:space="preserve"> however,</w:t>
      </w:r>
      <w:r>
        <w:t xml:space="preserve"> DIRECTV informed the Commission that, although it has maintained its place in the Arianespace launch queue, the scheduled launch date is now May 20, 2015.  Consequently, DIRECTV </w:t>
      </w:r>
      <w:r w:rsidR="008E0D3D">
        <w:t xml:space="preserve">requested </w:t>
      </w:r>
      <w:r>
        <w:t xml:space="preserve">that the launch and operate milestone be extended to July 15, 2015.  </w:t>
      </w:r>
      <w:r>
        <w:rPr>
          <w:i/>
        </w:rPr>
        <w:t xml:space="preserve">See </w:t>
      </w:r>
      <w:r>
        <w:t>Letter from William M. Wiltshire to Marlene H. Dortch, Secretary, FCC (dated February 27, 2015).</w:t>
      </w:r>
      <w:r w:rsidR="00D4574C">
        <w:t xml:space="preserve">  Due to a delay</w:t>
      </w:r>
      <w:r w:rsidR="00E00296">
        <w:t xml:space="preserve"> in the </w:t>
      </w:r>
      <w:r w:rsidR="00D4574C">
        <w:t>launch of the satellite ahead of DIRECTV in the Ariane</w:t>
      </w:r>
      <w:r w:rsidR="004C6A97">
        <w:t>space</w:t>
      </w:r>
      <w:r w:rsidR="00D4574C">
        <w:t xml:space="preserve"> launch queue, </w:t>
      </w:r>
      <w:r w:rsidR="008E0D3D">
        <w:t xml:space="preserve">the launch of RB-2 has been postponed </w:t>
      </w:r>
      <w:r w:rsidR="00D4574C">
        <w:t>until May 27, 2015</w:t>
      </w:r>
      <w:r w:rsidR="004C6A97">
        <w:t>. Consequently</w:t>
      </w:r>
      <w:r w:rsidR="00D4574C">
        <w:t xml:space="preserve">, DIRECTV requests </w:t>
      </w:r>
      <w:r w:rsidR="00FF5BF7">
        <w:t xml:space="preserve">that </w:t>
      </w:r>
      <w:r w:rsidR="00D4574C">
        <w:t xml:space="preserve">the </w:t>
      </w:r>
      <w:r w:rsidR="000316B8">
        <w:t>“</w:t>
      </w:r>
      <w:r w:rsidR="00D4574C">
        <w:t xml:space="preserve">launch and </w:t>
      </w:r>
      <w:r w:rsidR="000316B8">
        <w:t xml:space="preserve">begin </w:t>
      </w:r>
      <w:r w:rsidR="00D4574C">
        <w:t>operat</w:t>
      </w:r>
      <w:r w:rsidR="000316B8">
        <w:t>ions”</w:t>
      </w:r>
      <w:r w:rsidR="00D4574C">
        <w:t xml:space="preserve"> milestone </w:t>
      </w:r>
      <w:r w:rsidR="00FF5BF7">
        <w:t>be extended to</w:t>
      </w:r>
      <w:r w:rsidR="00D4574C">
        <w:t xml:space="preserve"> July 31, 2015. </w:t>
      </w:r>
      <w:r w:rsidR="00FF5BF7">
        <w:t xml:space="preserve"> </w:t>
      </w:r>
      <w:r w:rsidR="00D4574C" w:rsidRPr="00D4574C">
        <w:t xml:space="preserve">Letter from William M. Wiltshire to Marlene H. Dortch, Secretary, FCC (dated </w:t>
      </w:r>
      <w:r w:rsidR="00D4574C">
        <w:t>May 5</w:t>
      </w:r>
      <w:r w:rsidR="00D4574C" w:rsidRPr="00D4574C">
        <w:t>, 2015).</w:t>
      </w:r>
    </w:p>
  </w:footnote>
  <w:footnote w:id="15">
    <w:p w:rsidR="00293D67" w:rsidRDefault="00293D67" w:rsidP="004E1FBE">
      <w:pPr>
        <w:pStyle w:val="FootnoteText"/>
        <w:jc w:val="left"/>
      </w:pPr>
      <w:r>
        <w:rPr>
          <w:rStyle w:val="FootnoteReference"/>
        </w:rPr>
        <w:footnoteRef/>
      </w:r>
      <w:r>
        <w:t xml:space="preserve"> Petition to Deny of SES Americom, Inc. and Ciel Satellite Limited Partnership (Sept. 2, 2014) (</w:t>
      </w:r>
      <w:r w:rsidRPr="00FF350D">
        <w:t>SES Petition</w:t>
      </w:r>
      <w:r>
        <w:t>).</w:t>
      </w:r>
    </w:p>
  </w:footnote>
  <w:footnote w:id="16">
    <w:p w:rsidR="00293D67" w:rsidRDefault="00293D67" w:rsidP="004E1FBE">
      <w:pPr>
        <w:pStyle w:val="FootnoteText"/>
        <w:jc w:val="left"/>
      </w:pPr>
      <w:r>
        <w:rPr>
          <w:rStyle w:val="FootnoteReference"/>
        </w:rPr>
        <w:footnoteRef/>
      </w:r>
      <w:r>
        <w:t xml:space="preserve"> </w:t>
      </w:r>
      <w:r w:rsidR="00B416FD">
        <w:rPr>
          <w:i/>
        </w:rPr>
        <w:t>Id.</w:t>
      </w:r>
      <w:r w:rsidR="00B416FD">
        <w:t xml:space="preserve"> at 19.</w:t>
      </w:r>
    </w:p>
  </w:footnote>
  <w:footnote w:id="17">
    <w:p w:rsidR="00293D67" w:rsidRPr="00E13597" w:rsidRDefault="00293D67" w:rsidP="004E1FBE">
      <w:pPr>
        <w:pStyle w:val="FootnoteText"/>
        <w:jc w:val="left"/>
      </w:pPr>
      <w:r>
        <w:rPr>
          <w:rStyle w:val="FootnoteReference"/>
        </w:rPr>
        <w:footnoteRef/>
      </w:r>
      <w:r>
        <w:t xml:space="preserve"> Petition to Condition of DISH Operating LLC (Sept. 2, 2014) (</w:t>
      </w:r>
      <w:r w:rsidRPr="00FF350D">
        <w:t>DISH Petition</w:t>
      </w:r>
      <w:r>
        <w:t>).</w:t>
      </w:r>
    </w:p>
  </w:footnote>
  <w:footnote w:id="18">
    <w:p w:rsidR="00293D67" w:rsidRDefault="00293D67" w:rsidP="004E1FBE">
      <w:pPr>
        <w:pStyle w:val="FootnoteText"/>
        <w:jc w:val="left"/>
      </w:pPr>
      <w:r>
        <w:rPr>
          <w:rStyle w:val="FootnoteReference"/>
        </w:rPr>
        <w:footnoteRef/>
      </w:r>
      <w:r>
        <w:t xml:space="preserve"> </w:t>
      </w:r>
      <w:r w:rsidR="0094222D">
        <w:rPr>
          <w:shd w:val="clear" w:color="auto" w:fill="FFFFFF"/>
        </w:rPr>
        <w:t xml:space="preserve">The operational parameters regarding RB-2 will be addressed in </w:t>
      </w:r>
      <w:r w:rsidR="000F7104">
        <w:rPr>
          <w:shd w:val="clear" w:color="auto" w:fill="FFFFFF"/>
        </w:rPr>
        <w:t xml:space="preserve">a separate </w:t>
      </w:r>
      <w:r w:rsidR="00540D1E">
        <w:rPr>
          <w:shd w:val="clear" w:color="auto" w:fill="FFFFFF"/>
        </w:rPr>
        <w:t>Order.</w:t>
      </w:r>
      <w:r w:rsidR="000F7104">
        <w:rPr>
          <w:shd w:val="clear" w:color="auto" w:fill="FFFFFF"/>
        </w:rPr>
        <w:t xml:space="preserve">  </w:t>
      </w:r>
      <w:r w:rsidR="000F7104">
        <w:rPr>
          <w:i/>
          <w:shd w:val="clear" w:color="auto" w:fill="FFFFFF"/>
        </w:rPr>
        <w:t xml:space="preserve">See </w:t>
      </w:r>
      <w:r w:rsidR="000F7104">
        <w:rPr>
          <w:shd w:val="clear" w:color="auto" w:fill="FFFFFF"/>
        </w:rPr>
        <w:t xml:space="preserve">n. 2, </w:t>
      </w:r>
      <w:r w:rsidR="000F7104">
        <w:rPr>
          <w:i/>
          <w:shd w:val="clear" w:color="auto" w:fill="FFFFFF"/>
        </w:rPr>
        <w:t>supra.</w:t>
      </w:r>
    </w:p>
  </w:footnote>
  <w:footnote w:id="19">
    <w:p w:rsidR="00293D67" w:rsidRDefault="00293D67" w:rsidP="004E1FBE">
      <w:pPr>
        <w:pStyle w:val="FootnoteText"/>
        <w:jc w:val="left"/>
      </w:pPr>
      <w:r>
        <w:rPr>
          <w:rStyle w:val="FootnoteReference"/>
        </w:rPr>
        <w:footnoteRef/>
      </w:r>
      <w:r>
        <w:t xml:space="preserve"> </w:t>
      </w:r>
      <w:r>
        <w:rPr>
          <w:i/>
          <w:iCs/>
          <w:color w:val="000000"/>
        </w:rPr>
        <w:t>See</w:t>
      </w:r>
      <w:r>
        <w:rPr>
          <w:color w:val="000000"/>
        </w:rPr>
        <w:t xml:space="preserve"> Section 1.3 of the Commission's rules, </w:t>
      </w:r>
      <w:hyperlink r:id="rId1" w:history="1">
        <w:r w:rsidRPr="00E13597">
          <w:t>47 C.F.R. § 1.3 (2001)</w:t>
        </w:r>
      </w:hyperlink>
      <w:r w:rsidRPr="00E13597">
        <w:t>.</w:t>
      </w:r>
      <w:r w:rsidRPr="00E13597">
        <w:rPr>
          <w:i/>
          <w:iCs/>
        </w:rPr>
        <w:t xml:space="preserve">See also </w:t>
      </w:r>
      <w:hyperlink r:id="rId2" w:history="1">
        <w:r w:rsidRPr="00E13597">
          <w:rPr>
            <w:i/>
            <w:iCs/>
          </w:rPr>
          <w:t>WAIT Radio v. FCC</w:t>
        </w:r>
      </w:hyperlink>
      <w:hyperlink r:id="rId3" w:history="1">
        <w:r w:rsidRPr="00E13597">
          <w:t>, 418 F.2d 1153 (D.C. Cir. 1969)</w:t>
        </w:r>
      </w:hyperlink>
      <w:r>
        <w:rPr>
          <w:color w:val="000000"/>
        </w:rPr>
        <w:t xml:space="preserve"> (“</w:t>
      </w:r>
      <w:r>
        <w:rPr>
          <w:i/>
          <w:iCs/>
          <w:color w:val="000000"/>
        </w:rPr>
        <w:t>WAIT Radio”</w:t>
      </w:r>
      <w:r>
        <w:rPr>
          <w:color w:val="000000"/>
        </w:rPr>
        <w:t>);</w:t>
      </w:r>
      <w:r w:rsidR="006D0098">
        <w:rPr>
          <w:color w:val="000000"/>
        </w:rPr>
        <w:t xml:space="preserve"> </w:t>
      </w:r>
      <w:r>
        <w:rPr>
          <w:i/>
          <w:iCs/>
          <w:color w:val="000000"/>
        </w:rPr>
        <w:t>Northeast Cellular Tel. Co. v. FCC</w:t>
      </w:r>
      <w:r>
        <w:rPr>
          <w:color w:val="000000"/>
        </w:rPr>
        <w:t>, 897 F.2d 1166 (D.C. Cir. 1990) (“</w:t>
      </w:r>
      <w:r>
        <w:rPr>
          <w:i/>
          <w:iCs/>
          <w:color w:val="000000"/>
        </w:rPr>
        <w:t>Northeast Cellular”</w:t>
      </w:r>
      <w:r>
        <w:rPr>
          <w:color w:val="000000"/>
        </w:rPr>
        <w:t>).</w:t>
      </w:r>
    </w:p>
  </w:footnote>
  <w:footnote w:id="20">
    <w:p w:rsidR="00293D67" w:rsidRDefault="00293D67" w:rsidP="004E1FBE">
      <w:pPr>
        <w:pStyle w:val="FootnoteText"/>
        <w:jc w:val="left"/>
      </w:pPr>
      <w:r>
        <w:rPr>
          <w:rStyle w:val="FootnoteReference"/>
        </w:rPr>
        <w:footnoteRef/>
      </w:r>
      <w:r>
        <w:t xml:space="preserve"> </w:t>
      </w:r>
      <w:r>
        <w:rPr>
          <w:i/>
          <w:iCs/>
          <w:color w:val="000000"/>
        </w:rPr>
        <w:t>Northeast Cellular</w:t>
      </w:r>
      <w:r>
        <w:rPr>
          <w:color w:val="000000"/>
        </w:rPr>
        <w:t>, 897 F.2d at 1166.</w:t>
      </w:r>
    </w:p>
  </w:footnote>
  <w:footnote w:id="21">
    <w:p w:rsidR="00293D67" w:rsidRDefault="00293D67" w:rsidP="004E1FBE">
      <w:pPr>
        <w:pStyle w:val="FootnoteText"/>
        <w:jc w:val="left"/>
      </w:pPr>
      <w:r>
        <w:rPr>
          <w:rStyle w:val="FootnoteReference"/>
        </w:rPr>
        <w:footnoteRef/>
      </w:r>
      <w:r>
        <w:t xml:space="preserve"> </w:t>
      </w:r>
      <w:hyperlink r:id="rId4" w:history="1">
        <w:r w:rsidRPr="00A83407">
          <w:rPr>
            <w:i/>
            <w:iCs/>
          </w:rPr>
          <w:t>WAIT Radio</w:t>
        </w:r>
      </w:hyperlink>
      <w:hyperlink r:id="rId5" w:history="1">
        <w:r w:rsidRPr="00A83407">
          <w:t>, 418 F.2d at 1157</w:t>
        </w:r>
      </w:hyperlink>
      <w:r>
        <w:rPr>
          <w:color w:val="0000FF"/>
        </w:rPr>
        <w:t>.</w:t>
      </w:r>
    </w:p>
  </w:footnote>
  <w:footnote w:id="22">
    <w:p w:rsidR="00576B56" w:rsidRPr="00FE38CA" w:rsidRDefault="00576B56" w:rsidP="004E1FBE">
      <w:pPr>
        <w:pStyle w:val="FootnoteText"/>
        <w:jc w:val="left"/>
      </w:pPr>
      <w:r>
        <w:rPr>
          <w:rStyle w:val="FootnoteReference"/>
        </w:rPr>
        <w:footnoteRef/>
      </w:r>
      <w:r>
        <w:t xml:space="preserve"> </w:t>
      </w:r>
      <w:r>
        <w:rPr>
          <w:i/>
        </w:rPr>
        <w:t>TerreStar Networks, Inc. Request for Milestone Extension</w:t>
      </w:r>
      <w:r>
        <w:t>, Memorandum Opinion and Order, 22 FCC Rcd 17698, 17699-17770, ¶ 6 (</w:t>
      </w:r>
      <w:r w:rsidR="000F4C81">
        <w:t xml:space="preserve">Int’l Bur. rel. </w:t>
      </w:r>
      <w:r>
        <w:t>Oct. 3, 2007) (</w:t>
      </w:r>
      <w:r>
        <w:rPr>
          <w:i/>
        </w:rPr>
        <w:t>TerreStar</w:t>
      </w:r>
      <w:r>
        <w:t>).</w:t>
      </w:r>
    </w:p>
  </w:footnote>
  <w:footnote w:id="23">
    <w:p w:rsidR="0080387D" w:rsidRDefault="0080387D" w:rsidP="004E1FBE">
      <w:pPr>
        <w:pStyle w:val="FootnoteText"/>
        <w:jc w:val="left"/>
      </w:pPr>
      <w:r>
        <w:rPr>
          <w:rStyle w:val="FootnoteReference"/>
        </w:rPr>
        <w:footnoteRef/>
      </w:r>
      <w:r>
        <w:t xml:space="preserve"> </w:t>
      </w:r>
      <w:r w:rsidRPr="001A4EDA">
        <w:rPr>
          <w:i/>
        </w:rPr>
        <w:t>Mission Update - The mission pace continues: DIRECTV-15 arrives for Arianespace’s heavy-lift Ariane 5 flight in May</w:t>
      </w:r>
      <w:r>
        <w:t xml:space="preserve">, available at </w:t>
      </w:r>
      <w:hyperlink r:id="rId6" w:history="1">
        <w:r w:rsidRPr="00943128">
          <w:rPr>
            <w:rStyle w:val="Hyperlink"/>
          </w:rPr>
          <w:t>http://www.arianespace.com/news-mission-update/2015/1275.asp</w:t>
        </w:r>
      </w:hyperlink>
      <w:r>
        <w:t xml:space="preserve"> (dated Apr. 1, 2015).</w:t>
      </w:r>
    </w:p>
  </w:footnote>
  <w:footnote w:id="24">
    <w:p w:rsidR="0080387D" w:rsidRDefault="0080387D" w:rsidP="004E1FBE">
      <w:pPr>
        <w:pStyle w:val="FootnoteText"/>
        <w:jc w:val="left"/>
      </w:pPr>
      <w:r>
        <w:rPr>
          <w:rStyle w:val="FootnoteReference"/>
        </w:rPr>
        <w:footnoteRef/>
      </w:r>
      <w:r>
        <w:t xml:space="preserve"> </w:t>
      </w:r>
      <w:r w:rsidRPr="001A4EDA">
        <w:rPr>
          <w:i/>
        </w:rPr>
        <w:t>See, e.g.,</w:t>
      </w:r>
      <w:r>
        <w:t xml:space="preserve"> </w:t>
      </w:r>
      <w:r w:rsidRPr="001A4EDA">
        <w:rPr>
          <w:i/>
        </w:rPr>
        <w:t>DIRECTV Enterprises, LLC</w:t>
      </w:r>
      <w:r>
        <w:t xml:space="preserve">, IBFS File No. SAT-MOD-20140624-00077 (grant stamp, Nov. 5, 2014); </w:t>
      </w:r>
      <w:r w:rsidRPr="001A4EDA">
        <w:rPr>
          <w:i/>
        </w:rPr>
        <w:t>Orbcomm License Corp.</w:t>
      </w:r>
      <w:r>
        <w:t xml:space="preserve">, IBFS File Nos. SAT-MOD-20111021-00207, SAT-AMD-20140116-00006 (grant stamp, Mar. 26, 2014); </w:t>
      </w:r>
      <w:r w:rsidRPr="00FF350D">
        <w:rPr>
          <w:i/>
        </w:rPr>
        <w:t>EchoStar Satellite Corporation Application for Modification of Authorization to Construct, Launch, and Operate a Ku-band Satellite System in the Fixed-Satellite Service</w:t>
      </w:r>
      <w:r>
        <w:t>, Order and Authorization, DA 03-2560, 18 FCC Rcd 15875, 15877-78, ¶ 9 (Int’l Bur. 2003).</w:t>
      </w:r>
    </w:p>
  </w:footnote>
  <w:footnote w:id="25">
    <w:p w:rsidR="00210ECF" w:rsidRPr="003043EA" w:rsidRDefault="00210ECF" w:rsidP="004E1FBE">
      <w:pPr>
        <w:pStyle w:val="FootnoteText"/>
        <w:jc w:val="left"/>
      </w:pPr>
      <w:r>
        <w:rPr>
          <w:rStyle w:val="FootnoteReference"/>
        </w:rPr>
        <w:footnoteRef/>
      </w:r>
      <w:r>
        <w:t xml:space="preserve"> </w:t>
      </w:r>
      <w:r w:rsidR="000F4C81" w:rsidRPr="004E1FBE">
        <w:t>SES Petition</w:t>
      </w:r>
      <w:r>
        <w:t xml:space="preserve"> </w:t>
      </w:r>
      <w:r w:rsidR="000F4C81">
        <w:t xml:space="preserve">at </w:t>
      </w:r>
      <w:r>
        <w:t>21.</w:t>
      </w:r>
    </w:p>
  </w:footnote>
  <w:footnote w:id="26">
    <w:p w:rsidR="009F5210" w:rsidRPr="009F49D2" w:rsidRDefault="009F5210" w:rsidP="009F5210">
      <w:pPr>
        <w:pStyle w:val="FootnoteText"/>
      </w:pPr>
      <w:r>
        <w:rPr>
          <w:rStyle w:val="FootnoteReference"/>
        </w:rPr>
        <w:footnoteRef/>
      </w:r>
      <w:r>
        <w:t xml:space="preserve">  </w:t>
      </w:r>
      <w:r w:rsidR="000F4C81" w:rsidRPr="004E1FBE">
        <w:rPr>
          <w:i/>
        </w:rPr>
        <w:t>Id.</w:t>
      </w:r>
      <w:r>
        <w:rPr>
          <w:i/>
        </w:rPr>
        <w:t xml:space="preserve"> </w:t>
      </w:r>
      <w:r>
        <w:t>at 16.</w:t>
      </w:r>
    </w:p>
  </w:footnote>
  <w:footnote w:id="27">
    <w:p w:rsidR="00C76E3F" w:rsidRDefault="00C76E3F">
      <w:pPr>
        <w:pStyle w:val="FootnoteText"/>
      </w:pPr>
      <w:r>
        <w:rPr>
          <w:rStyle w:val="FootnoteReference"/>
        </w:rPr>
        <w:footnoteRef/>
      </w:r>
      <w:r>
        <w:t xml:space="preserve"> </w:t>
      </w:r>
      <w:r>
        <w:rPr>
          <w:i/>
        </w:rPr>
        <w:t>See RB-2</w:t>
      </w:r>
      <w:r>
        <w:t xml:space="preserve">, </w:t>
      </w:r>
      <w:r>
        <w:rPr>
          <w:iCs/>
        </w:rPr>
        <w:t>24 FCC Rcd at 9407, ¶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96" w:rsidRDefault="002A0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3D" w:rsidRDefault="008726BB">
    <w:pPr>
      <w:pStyle w:val="Header"/>
      <w:tabs>
        <w:tab w:val="clear" w:pos="4320"/>
        <w:tab w:val="clear" w:pos="8640"/>
        <w:tab w:val="center" w:pos="4680"/>
        <w:tab w:val="right" w:pos="9360"/>
      </w:tabs>
      <w:rPr>
        <w:b/>
      </w:rPr>
    </w:pPr>
    <w:r>
      <w:rPr>
        <w:b/>
      </w:rPr>
      <w:tab/>
      <w:t>Federal Communications Commission</w:t>
    </w:r>
    <w:r>
      <w:rPr>
        <w:b/>
      </w:rPr>
      <w:tab/>
    </w:r>
    <w:r w:rsidR="00425DD0">
      <w:rPr>
        <w:b/>
      </w:rPr>
      <w:t>DA 15</w:t>
    </w:r>
    <w:r>
      <w:rPr>
        <w:b/>
      </w:rPr>
      <w:t>-</w:t>
    </w:r>
    <w:r w:rsidR="00E87FEF">
      <w:rPr>
        <w:b/>
      </w:rPr>
      <w:t>586</w:t>
    </w:r>
    <w:r>
      <w:rPr>
        <w:b/>
      </w:rPr>
      <w:t xml:space="preserve"> </w:t>
    </w:r>
  </w:p>
  <w:p w:rsidR="00EE593D" w:rsidRDefault="00FD035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911D0CE" wp14:editId="2B84375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E593D" w:rsidRDefault="00EE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3D" w:rsidRDefault="008726BB">
    <w:pPr>
      <w:pStyle w:val="Header"/>
      <w:tabs>
        <w:tab w:val="clear" w:pos="4320"/>
        <w:tab w:val="clear" w:pos="8640"/>
        <w:tab w:val="center" w:pos="4680"/>
        <w:tab w:val="right" w:pos="9360"/>
      </w:tabs>
      <w:rPr>
        <w:b/>
      </w:rPr>
    </w:pPr>
    <w:r>
      <w:rPr>
        <w:b/>
      </w:rPr>
      <w:tab/>
      <w:t>Federal Communications Commission</w:t>
    </w:r>
    <w:r>
      <w:rPr>
        <w:b/>
      </w:rPr>
      <w:tab/>
    </w:r>
    <w:r w:rsidR="00425DD0">
      <w:rPr>
        <w:b/>
      </w:rPr>
      <w:t>DA 15</w:t>
    </w:r>
    <w:r>
      <w:rPr>
        <w:b/>
      </w:rPr>
      <w:t>-</w:t>
    </w:r>
    <w:r w:rsidR="00540D1E">
      <w:rPr>
        <w:b/>
      </w:rPr>
      <w:t>586</w:t>
    </w:r>
    <w:r>
      <w:rPr>
        <w:b/>
      </w:rPr>
      <w:t xml:space="preserve"> </w:t>
    </w:r>
  </w:p>
  <w:p w:rsidR="00EE593D" w:rsidRDefault="00FD035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7E06CBB"/>
    <w:multiLevelType w:val="multilevel"/>
    <w:tmpl w:val="550ADB6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val="0"/>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E55CB834"/>
    <w:lvl w:ilvl="0">
      <w:start w:val="1"/>
      <w:numFmt w:val="upperRoman"/>
      <w:pStyle w:val="Heading1"/>
      <w:lvlText w:val="%1."/>
      <w:lvlJc w:val="left"/>
      <w:pPr>
        <w:tabs>
          <w:tab w:val="num" w:pos="720"/>
        </w:tabs>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8796076C"/>
    <w:lvl w:ilvl="0">
      <w:start w:val="1"/>
      <w:numFmt w:val="decimal"/>
      <w:lvlText w:val="%1."/>
      <w:lvlJc w:val="left"/>
      <w:pPr>
        <w:tabs>
          <w:tab w:val="num" w:pos="4140"/>
        </w:tabs>
        <w:ind w:left="3060" w:firstLine="720"/>
      </w:pPr>
      <w:rPr>
        <w:color w:val="auto"/>
        <w:vertAlign w:val="baseline"/>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3"/>
  </w:num>
  <w:num w:numId="4">
    <w:abstractNumId w:val="17"/>
  </w:num>
  <w:num w:numId="5">
    <w:abstractNumId w:val="5"/>
  </w:num>
  <w:num w:numId="6">
    <w:abstractNumId w:val="20"/>
  </w:num>
  <w:num w:numId="7">
    <w:abstractNumId w:val="13"/>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6"/>
  </w:num>
  <w:num w:numId="22">
    <w:abstractNumId w:val="4"/>
  </w:num>
  <w:num w:numId="23">
    <w:abstractNumId w:val="15"/>
  </w:num>
  <w:num w:numId="24">
    <w:abstractNumId w:val="21"/>
  </w:num>
  <w:num w:numId="25">
    <w:abstractNumId w:val="12"/>
  </w:num>
  <w:num w:numId="26">
    <w:abstractNumId w:val="12"/>
  </w:num>
  <w:num w:numId="27">
    <w:abstractNumId w:val="12"/>
  </w:num>
  <w:num w:numId="28">
    <w:abstractNumId w:val="12"/>
  </w:num>
  <w:num w:numId="29">
    <w:abstractNumId w:val="17"/>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5F"/>
    <w:rsid w:val="00011EA4"/>
    <w:rsid w:val="000316B8"/>
    <w:rsid w:val="00037C5F"/>
    <w:rsid w:val="00042BA7"/>
    <w:rsid w:val="00075665"/>
    <w:rsid w:val="000D7C1B"/>
    <w:rsid w:val="000F4C81"/>
    <w:rsid w:val="000F7104"/>
    <w:rsid w:val="00137DBC"/>
    <w:rsid w:val="001A4EDA"/>
    <w:rsid w:val="001A78ED"/>
    <w:rsid w:val="001B4B53"/>
    <w:rsid w:val="001D668D"/>
    <w:rsid w:val="002045EA"/>
    <w:rsid w:val="00210ECF"/>
    <w:rsid w:val="00225FD0"/>
    <w:rsid w:val="002440FB"/>
    <w:rsid w:val="00257008"/>
    <w:rsid w:val="00293D67"/>
    <w:rsid w:val="002A0A96"/>
    <w:rsid w:val="002B175B"/>
    <w:rsid w:val="002C23B8"/>
    <w:rsid w:val="002E0338"/>
    <w:rsid w:val="00333206"/>
    <w:rsid w:val="00337CFE"/>
    <w:rsid w:val="003D0E8E"/>
    <w:rsid w:val="003D177A"/>
    <w:rsid w:val="003D1A76"/>
    <w:rsid w:val="003F4F28"/>
    <w:rsid w:val="00414A69"/>
    <w:rsid w:val="00425DD0"/>
    <w:rsid w:val="00443C20"/>
    <w:rsid w:val="004446FB"/>
    <w:rsid w:val="0045454E"/>
    <w:rsid w:val="00496F4E"/>
    <w:rsid w:val="004C6A97"/>
    <w:rsid w:val="004E1FBE"/>
    <w:rsid w:val="00540D1E"/>
    <w:rsid w:val="00543542"/>
    <w:rsid w:val="00546183"/>
    <w:rsid w:val="00576B56"/>
    <w:rsid w:val="005C7652"/>
    <w:rsid w:val="00626D1F"/>
    <w:rsid w:val="006606D0"/>
    <w:rsid w:val="00673ABA"/>
    <w:rsid w:val="0068210A"/>
    <w:rsid w:val="00682A71"/>
    <w:rsid w:val="00693D07"/>
    <w:rsid w:val="006B3298"/>
    <w:rsid w:val="006D0098"/>
    <w:rsid w:val="006E3B8F"/>
    <w:rsid w:val="006F5AB6"/>
    <w:rsid w:val="00751875"/>
    <w:rsid w:val="007B7698"/>
    <w:rsid w:val="007E2DFB"/>
    <w:rsid w:val="00801EEB"/>
    <w:rsid w:val="0080387D"/>
    <w:rsid w:val="008567EA"/>
    <w:rsid w:val="00860BE9"/>
    <w:rsid w:val="008726BB"/>
    <w:rsid w:val="008C45F3"/>
    <w:rsid w:val="008E0D3D"/>
    <w:rsid w:val="00901112"/>
    <w:rsid w:val="00915410"/>
    <w:rsid w:val="0094222D"/>
    <w:rsid w:val="00952B82"/>
    <w:rsid w:val="00977346"/>
    <w:rsid w:val="009A66AF"/>
    <w:rsid w:val="009C0BA7"/>
    <w:rsid w:val="009D38AF"/>
    <w:rsid w:val="009F5210"/>
    <w:rsid w:val="00A5632C"/>
    <w:rsid w:val="00A65F5A"/>
    <w:rsid w:val="00A92547"/>
    <w:rsid w:val="00AB1B48"/>
    <w:rsid w:val="00AC6BF8"/>
    <w:rsid w:val="00AF5EB7"/>
    <w:rsid w:val="00AF63AB"/>
    <w:rsid w:val="00B416FD"/>
    <w:rsid w:val="00B61CB9"/>
    <w:rsid w:val="00BB2803"/>
    <w:rsid w:val="00C11B4F"/>
    <w:rsid w:val="00C76E3F"/>
    <w:rsid w:val="00C80003"/>
    <w:rsid w:val="00C877DC"/>
    <w:rsid w:val="00D1673D"/>
    <w:rsid w:val="00D23F47"/>
    <w:rsid w:val="00D43484"/>
    <w:rsid w:val="00D4574C"/>
    <w:rsid w:val="00D705DF"/>
    <w:rsid w:val="00DB69FF"/>
    <w:rsid w:val="00DE3984"/>
    <w:rsid w:val="00DF5542"/>
    <w:rsid w:val="00E00296"/>
    <w:rsid w:val="00E5099D"/>
    <w:rsid w:val="00E740DE"/>
    <w:rsid w:val="00E87FEF"/>
    <w:rsid w:val="00EB644E"/>
    <w:rsid w:val="00EE593D"/>
    <w:rsid w:val="00F1383F"/>
    <w:rsid w:val="00F1629D"/>
    <w:rsid w:val="00F67336"/>
    <w:rsid w:val="00F91F88"/>
    <w:rsid w:val="00FD035F"/>
    <w:rsid w:val="00FD43E4"/>
    <w:rsid w:val="00FF3BAD"/>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left" w:pos="1440"/>
      </w:tabs>
      <w:spacing w:after="220"/>
      <w:jc w:val="both"/>
    </w:pPr>
  </w:style>
  <w:style w:type="paragraph" w:styleId="FootnoteText">
    <w:name w:val="footnote text"/>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uiPriority w:val="99"/>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link w:val="FootnoteText"/>
    <w:uiPriority w:val="99"/>
    <w:rsid w:val="00293D67"/>
  </w:style>
  <w:style w:type="paragraph" w:styleId="BalloonText">
    <w:name w:val="Balloon Text"/>
    <w:basedOn w:val="Normal"/>
    <w:link w:val="BalloonTextChar"/>
    <w:uiPriority w:val="99"/>
    <w:semiHidden/>
    <w:unhideWhenUsed/>
    <w:rsid w:val="00576B56"/>
    <w:rPr>
      <w:rFonts w:ascii="Tahoma" w:hAnsi="Tahoma" w:cs="Tahoma"/>
      <w:sz w:val="16"/>
      <w:szCs w:val="16"/>
    </w:rPr>
  </w:style>
  <w:style w:type="character" w:customStyle="1" w:styleId="BalloonTextChar">
    <w:name w:val="Balloon Text Char"/>
    <w:basedOn w:val="DefaultParagraphFont"/>
    <w:link w:val="BalloonText"/>
    <w:uiPriority w:val="99"/>
    <w:semiHidden/>
    <w:rsid w:val="00576B56"/>
    <w:rPr>
      <w:rFonts w:ascii="Tahoma" w:hAnsi="Tahoma" w:cs="Tahoma"/>
      <w:sz w:val="16"/>
      <w:szCs w:val="16"/>
    </w:rPr>
  </w:style>
  <w:style w:type="character" w:styleId="CommentReference">
    <w:name w:val="annotation reference"/>
    <w:basedOn w:val="DefaultParagraphFont"/>
    <w:uiPriority w:val="99"/>
    <w:semiHidden/>
    <w:unhideWhenUsed/>
    <w:rsid w:val="00EB644E"/>
    <w:rPr>
      <w:sz w:val="16"/>
      <w:szCs w:val="16"/>
    </w:rPr>
  </w:style>
  <w:style w:type="paragraph" w:styleId="CommentText">
    <w:name w:val="annotation text"/>
    <w:basedOn w:val="Normal"/>
    <w:link w:val="CommentTextChar"/>
    <w:uiPriority w:val="99"/>
    <w:semiHidden/>
    <w:unhideWhenUsed/>
    <w:rsid w:val="00EB644E"/>
    <w:rPr>
      <w:sz w:val="20"/>
    </w:rPr>
  </w:style>
  <w:style w:type="character" w:customStyle="1" w:styleId="CommentTextChar">
    <w:name w:val="Comment Text Char"/>
    <w:basedOn w:val="DefaultParagraphFont"/>
    <w:link w:val="CommentText"/>
    <w:uiPriority w:val="99"/>
    <w:semiHidden/>
    <w:rsid w:val="00EB644E"/>
  </w:style>
  <w:style w:type="paragraph" w:styleId="CommentSubject">
    <w:name w:val="annotation subject"/>
    <w:basedOn w:val="CommentText"/>
    <w:next w:val="CommentText"/>
    <w:link w:val="CommentSubjectChar"/>
    <w:uiPriority w:val="99"/>
    <w:semiHidden/>
    <w:unhideWhenUsed/>
    <w:rsid w:val="00EB644E"/>
    <w:rPr>
      <w:b/>
      <w:bCs/>
    </w:rPr>
  </w:style>
  <w:style w:type="character" w:customStyle="1" w:styleId="CommentSubjectChar">
    <w:name w:val="Comment Subject Char"/>
    <w:basedOn w:val="CommentTextChar"/>
    <w:link w:val="CommentSubject"/>
    <w:uiPriority w:val="99"/>
    <w:semiHidden/>
    <w:rsid w:val="00EB644E"/>
    <w:rPr>
      <w:b/>
      <w:bCs/>
    </w:rPr>
  </w:style>
  <w:style w:type="character" w:styleId="Hyperlink">
    <w:name w:val="Hyperlink"/>
    <w:basedOn w:val="DefaultParagraphFont"/>
    <w:uiPriority w:val="99"/>
    <w:unhideWhenUsed/>
    <w:rsid w:val="0080387D"/>
    <w:rPr>
      <w:color w:val="0000FF" w:themeColor="hyperlink"/>
      <w:u w:val="single"/>
    </w:rPr>
  </w:style>
  <w:style w:type="character" w:customStyle="1" w:styleId="ParaNumChar1">
    <w:name w:val="ParaNum Char1"/>
    <w:link w:val="ParaNum"/>
    <w:locked/>
    <w:rsid w:val="00A5632C"/>
    <w:rPr>
      <w:sz w:val="22"/>
    </w:rPr>
  </w:style>
  <w:style w:type="paragraph" w:styleId="Revision">
    <w:name w:val="Revision"/>
    <w:hidden/>
    <w:uiPriority w:val="99"/>
    <w:semiHidden/>
    <w:rsid w:val="00E002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left" w:pos="1440"/>
      </w:tabs>
      <w:spacing w:after="220"/>
      <w:jc w:val="both"/>
    </w:pPr>
  </w:style>
  <w:style w:type="paragraph" w:styleId="FootnoteText">
    <w:name w:val="footnote text"/>
    <w:basedOn w:val="Normal"/>
    <w:link w:val="FootnoteTextChar"/>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uiPriority w:val="99"/>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link w:val="FootnoteText"/>
    <w:uiPriority w:val="99"/>
    <w:rsid w:val="00293D67"/>
  </w:style>
  <w:style w:type="paragraph" w:styleId="BalloonText">
    <w:name w:val="Balloon Text"/>
    <w:basedOn w:val="Normal"/>
    <w:link w:val="BalloonTextChar"/>
    <w:uiPriority w:val="99"/>
    <w:semiHidden/>
    <w:unhideWhenUsed/>
    <w:rsid w:val="00576B56"/>
    <w:rPr>
      <w:rFonts w:ascii="Tahoma" w:hAnsi="Tahoma" w:cs="Tahoma"/>
      <w:sz w:val="16"/>
      <w:szCs w:val="16"/>
    </w:rPr>
  </w:style>
  <w:style w:type="character" w:customStyle="1" w:styleId="BalloonTextChar">
    <w:name w:val="Balloon Text Char"/>
    <w:basedOn w:val="DefaultParagraphFont"/>
    <w:link w:val="BalloonText"/>
    <w:uiPriority w:val="99"/>
    <w:semiHidden/>
    <w:rsid w:val="00576B56"/>
    <w:rPr>
      <w:rFonts w:ascii="Tahoma" w:hAnsi="Tahoma" w:cs="Tahoma"/>
      <w:sz w:val="16"/>
      <w:szCs w:val="16"/>
    </w:rPr>
  </w:style>
  <w:style w:type="character" w:styleId="CommentReference">
    <w:name w:val="annotation reference"/>
    <w:basedOn w:val="DefaultParagraphFont"/>
    <w:uiPriority w:val="99"/>
    <w:semiHidden/>
    <w:unhideWhenUsed/>
    <w:rsid w:val="00EB644E"/>
    <w:rPr>
      <w:sz w:val="16"/>
      <w:szCs w:val="16"/>
    </w:rPr>
  </w:style>
  <w:style w:type="paragraph" w:styleId="CommentText">
    <w:name w:val="annotation text"/>
    <w:basedOn w:val="Normal"/>
    <w:link w:val="CommentTextChar"/>
    <w:uiPriority w:val="99"/>
    <w:semiHidden/>
    <w:unhideWhenUsed/>
    <w:rsid w:val="00EB644E"/>
    <w:rPr>
      <w:sz w:val="20"/>
    </w:rPr>
  </w:style>
  <w:style w:type="character" w:customStyle="1" w:styleId="CommentTextChar">
    <w:name w:val="Comment Text Char"/>
    <w:basedOn w:val="DefaultParagraphFont"/>
    <w:link w:val="CommentText"/>
    <w:uiPriority w:val="99"/>
    <w:semiHidden/>
    <w:rsid w:val="00EB644E"/>
  </w:style>
  <w:style w:type="paragraph" w:styleId="CommentSubject">
    <w:name w:val="annotation subject"/>
    <w:basedOn w:val="CommentText"/>
    <w:next w:val="CommentText"/>
    <w:link w:val="CommentSubjectChar"/>
    <w:uiPriority w:val="99"/>
    <w:semiHidden/>
    <w:unhideWhenUsed/>
    <w:rsid w:val="00EB644E"/>
    <w:rPr>
      <w:b/>
      <w:bCs/>
    </w:rPr>
  </w:style>
  <w:style w:type="character" w:customStyle="1" w:styleId="CommentSubjectChar">
    <w:name w:val="Comment Subject Char"/>
    <w:basedOn w:val="CommentTextChar"/>
    <w:link w:val="CommentSubject"/>
    <w:uiPriority w:val="99"/>
    <w:semiHidden/>
    <w:rsid w:val="00EB644E"/>
    <w:rPr>
      <w:b/>
      <w:bCs/>
    </w:rPr>
  </w:style>
  <w:style w:type="character" w:styleId="Hyperlink">
    <w:name w:val="Hyperlink"/>
    <w:basedOn w:val="DefaultParagraphFont"/>
    <w:uiPriority w:val="99"/>
    <w:unhideWhenUsed/>
    <w:rsid w:val="0080387D"/>
    <w:rPr>
      <w:color w:val="0000FF" w:themeColor="hyperlink"/>
      <w:u w:val="single"/>
    </w:rPr>
  </w:style>
  <w:style w:type="character" w:customStyle="1" w:styleId="ParaNumChar1">
    <w:name w:val="ParaNum Char1"/>
    <w:link w:val="ParaNum"/>
    <w:locked/>
    <w:rsid w:val="00A5632C"/>
    <w:rPr>
      <w:sz w:val="22"/>
    </w:rPr>
  </w:style>
  <w:style w:type="paragraph" w:styleId="Revision">
    <w:name w:val="Revision"/>
    <w:hidden/>
    <w:uiPriority w:val="99"/>
    <w:semiHidden/>
    <w:rsid w:val="00E002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350&amp;FindType=Y&amp;SerialNum=1969121124" TargetMode="External"/><Relationship Id="rId2" Type="http://schemas.openxmlformats.org/officeDocument/2006/relationships/hyperlink" Target="http://www.westlaw.com/Find/Default.wl?rs=dfa1.0&amp;vr=2.0&amp;DB=350&amp;FindType=Y&amp;SerialNum=1969121124" TargetMode="External"/><Relationship Id="rId1" Type="http://schemas.openxmlformats.org/officeDocument/2006/relationships/hyperlink" Target="http://www.westlaw.com/Find/Default.wl?rs=dfa1.0&amp;vr=2.0&amp;DB=1000547&amp;DocName=47CFRS1.3&amp;FindType=L" TargetMode="External"/><Relationship Id="rId6" Type="http://schemas.openxmlformats.org/officeDocument/2006/relationships/hyperlink" Target="http://www.arianespace.com/news-mission-update/2015/1275.asp" TargetMode="External"/><Relationship Id="rId5" Type="http://schemas.openxmlformats.org/officeDocument/2006/relationships/hyperlink" Target="http://www.westlaw.com/Find/Default.wl?rs=dfa1.0&amp;vr=2.0&amp;DB=350&amp;FindType=Y&amp;ReferencePositionType=S&amp;SerialNum=1969121124&amp;ReferencePosition=1157" TargetMode="External"/><Relationship Id="rId4" Type="http://schemas.openxmlformats.org/officeDocument/2006/relationships/hyperlink" Target="http://www.westlaw.com/Find/Default.wl?rs=dfa1.0&amp;vr=2.0&amp;DB=350&amp;FindType=Y&amp;ReferencePositionType=S&amp;SerialNum=1969121124&amp;ReferencePosition=1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Share\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1418</Words>
  <Characters>7673</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9111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2015-05-14T18:28:00Z</cp:lastPrinted>
  <dcterms:created xsi:type="dcterms:W3CDTF">2015-05-14T19:43:00Z</dcterms:created>
  <dcterms:modified xsi:type="dcterms:W3CDTF">2015-05-14T19:43:00Z</dcterms:modified>
  <cp:category> </cp:category>
  <cp:contentStatus> </cp:contentStatus>
</cp:coreProperties>
</file>