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3D" w:rsidRDefault="007D6E3D">
      <w:pPr>
        <w:pStyle w:val="StyleBoldCentered"/>
      </w:pPr>
      <w:bookmarkStart w:id="0" w:name="_GoBack"/>
      <w:bookmarkEnd w:id="0"/>
      <w:r>
        <w:rPr>
          <w:caps w:val="0"/>
        </w:rPr>
        <w:t>Before the</w:t>
      </w:r>
    </w:p>
    <w:p w:rsidR="007D6E3D" w:rsidRDefault="007D6E3D">
      <w:pPr>
        <w:pStyle w:val="StyleBoldCentered"/>
      </w:pPr>
      <w:r>
        <w:rPr>
          <w:caps w:val="0"/>
        </w:rPr>
        <w:t>Federal Communications Commission</w:t>
      </w:r>
    </w:p>
    <w:p w:rsidR="007D6E3D" w:rsidRDefault="007D6E3D">
      <w:pPr>
        <w:pStyle w:val="StyleBoldCentered"/>
      </w:pPr>
      <w:r>
        <w:rPr>
          <w:caps w:val="0"/>
        </w:rPr>
        <w:t>Washington, D.C. 20554</w:t>
      </w:r>
    </w:p>
    <w:p w:rsidR="007D6E3D" w:rsidRDefault="007D6E3D"/>
    <w:p w:rsidR="007D6E3D" w:rsidRDefault="007D6E3D"/>
    <w:p w:rsidR="007D6E3D" w:rsidRDefault="007D6E3D">
      <w:pPr>
        <w:sectPr w:rsidR="007D6E3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docGrid w:linePitch="299"/>
        </w:sectPr>
      </w:pPr>
    </w:p>
    <w:tbl>
      <w:tblPr>
        <w:tblW w:w="18252" w:type="dxa"/>
        <w:tblLayout w:type="fixed"/>
        <w:tblLook w:val="0000" w:firstRow="0" w:lastRow="0" w:firstColumn="0" w:lastColumn="0" w:noHBand="0" w:noVBand="0"/>
      </w:tblPr>
      <w:tblGrid>
        <w:gridCol w:w="4698"/>
        <w:gridCol w:w="4608"/>
        <w:gridCol w:w="4698"/>
        <w:gridCol w:w="4248"/>
      </w:tblGrid>
      <w:tr w:rsidR="007D6E3D">
        <w:trPr>
          <w:trHeight w:val="2250"/>
        </w:trPr>
        <w:tc>
          <w:tcPr>
            <w:tcW w:w="4698" w:type="dxa"/>
          </w:tcPr>
          <w:p w:rsidR="007D6E3D" w:rsidRDefault="007D6E3D">
            <w:r>
              <w:lastRenderedPageBreak/>
              <w:t>In the Matter of</w:t>
            </w:r>
          </w:p>
          <w:p w:rsidR="007D6E3D" w:rsidRDefault="007D6E3D"/>
          <w:p w:rsidR="008D1A8C" w:rsidRPr="00F45417" w:rsidRDefault="008D1A8C" w:rsidP="008D1A8C">
            <w:r w:rsidRPr="00F45417">
              <w:t xml:space="preserve">Structure and Practices of the Video Relay Service Program </w:t>
            </w:r>
          </w:p>
          <w:p w:rsidR="007D6E3D" w:rsidRDefault="007D6E3D"/>
          <w:p w:rsidR="007D6E3D" w:rsidRDefault="007D6E3D">
            <w:r>
              <w:t>Telecommunications Relay Services and Speech-to-Speech Services for Individuals with Hearing and Speech Disabilities</w:t>
            </w:r>
          </w:p>
          <w:p w:rsidR="007D6E3D" w:rsidRDefault="007D6E3D"/>
          <w:p w:rsidR="007D6E3D" w:rsidRDefault="007D6E3D">
            <w:pPr>
              <w:jc w:val="center"/>
              <w:rPr>
                <w:b/>
              </w:rPr>
            </w:pPr>
          </w:p>
        </w:tc>
        <w:tc>
          <w:tcPr>
            <w:tcW w:w="4608" w:type="dxa"/>
          </w:tcPr>
          <w:p w:rsidR="007D6E3D" w:rsidRDefault="007D6E3D">
            <w:pPr>
              <w:tabs>
                <w:tab w:val="center" w:pos="4680"/>
              </w:tabs>
              <w:suppressAutoHyphens/>
              <w:rPr>
                <w:b/>
              </w:rPr>
            </w:pPr>
            <w:r>
              <w:rPr>
                <w:b/>
              </w:rPr>
              <w:t>)</w:t>
            </w:r>
          </w:p>
          <w:p w:rsidR="007D6E3D" w:rsidRDefault="007D6E3D">
            <w:pPr>
              <w:tabs>
                <w:tab w:val="center" w:pos="4680"/>
              </w:tabs>
              <w:suppressAutoHyphens/>
              <w:rPr>
                <w:b/>
              </w:rPr>
            </w:pPr>
            <w:r>
              <w:rPr>
                <w:b/>
              </w:rPr>
              <w:t>)</w:t>
            </w:r>
          </w:p>
          <w:p w:rsidR="007D6E3D" w:rsidRDefault="007D6E3D">
            <w:pPr>
              <w:tabs>
                <w:tab w:val="center" w:pos="4680"/>
              </w:tabs>
              <w:suppressAutoHyphens/>
            </w:pPr>
            <w:r>
              <w:rPr>
                <w:b/>
              </w:rPr>
              <w:t>)</w:t>
            </w:r>
            <w:r w:rsidR="008D1A8C">
              <w:t xml:space="preserve">      CG Docket No. </w:t>
            </w:r>
            <w:r w:rsidR="009D7F52">
              <w:t>10-51</w:t>
            </w:r>
          </w:p>
          <w:p w:rsidR="007D6E3D" w:rsidRDefault="007D6E3D">
            <w:r>
              <w:rPr>
                <w:b/>
              </w:rPr>
              <w:t>)</w:t>
            </w:r>
          </w:p>
          <w:p w:rsidR="007D6E3D" w:rsidRDefault="007D6E3D">
            <w:pPr>
              <w:tabs>
                <w:tab w:val="center" w:pos="4680"/>
              </w:tabs>
              <w:suppressAutoHyphens/>
              <w:rPr>
                <w:b/>
                <w:bCs/>
              </w:rPr>
            </w:pPr>
            <w:r>
              <w:rPr>
                <w:b/>
                <w:bCs/>
              </w:rPr>
              <w:t>)</w:t>
            </w:r>
          </w:p>
          <w:p w:rsidR="007D6E3D" w:rsidRDefault="007D6E3D">
            <w:pPr>
              <w:tabs>
                <w:tab w:val="center" w:pos="4680"/>
              </w:tabs>
              <w:suppressAutoHyphens/>
              <w:rPr>
                <w:b/>
                <w:bCs/>
              </w:rPr>
            </w:pPr>
            <w:r>
              <w:rPr>
                <w:b/>
                <w:bCs/>
              </w:rPr>
              <w:t>)</w:t>
            </w:r>
          </w:p>
          <w:p w:rsidR="007D6E3D" w:rsidRDefault="007D6E3D">
            <w:pPr>
              <w:tabs>
                <w:tab w:val="center" w:pos="4680"/>
              </w:tabs>
              <w:suppressAutoHyphens/>
            </w:pPr>
            <w:r>
              <w:rPr>
                <w:b/>
                <w:bCs/>
              </w:rPr>
              <w:t>)</w:t>
            </w:r>
            <w:r>
              <w:t xml:space="preserve">      CG Docket No. 03-123</w:t>
            </w:r>
          </w:p>
          <w:p w:rsidR="007D6E3D" w:rsidRDefault="007D6E3D">
            <w:pPr>
              <w:tabs>
                <w:tab w:val="center" w:pos="4680"/>
              </w:tabs>
              <w:suppressAutoHyphens/>
              <w:rPr>
                <w:b/>
                <w:bCs/>
              </w:rPr>
            </w:pPr>
            <w:r>
              <w:rPr>
                <w:b/>
                <w:bCs/>
              </w:rPr>
              <w:t>)</w:t>
            </w:r>
          </w:p>
          <w:p w:rsidR="007D6E3D" w:rsidRDefault="007D6E3D">
            <w:pPr>
              <w:tabs>
                <w:tab w:val="center" w:pos="4680"/>
              </w:tabs>
              <w:suppressAutoHyphens/>
              <w:rPr>
                <w:b/>
              </w:rPr>
            </w:pPr>
            <w:r>
              <w:rPr>
                <w:b/>
                <w:bCs/>
              </w:rPr>
              <w:t>)</w:t>
            </w:r>
          </w:p>
        </w:tc>
        <w:tc>
          <w:tcPr>
            <w:tcW w:w="4698" w:type="dxa"/>
          </w:tcPr>
          <w:p w:rsidR="007D6E3D" w:rsidRDefault="007D6E3D">
            <w:pPr>
              <w:tabs>
                <w:tab w:val="center" w:pos="4680"/>
              </w:tabs>
              <w:suppressAutoHyphens/>
              <w:rPr>
                <w:b/>
                <w:spacing w:val="-2"/>
              </w:rPr>
            </w:pPr>
          </w:p>
        </w:tc>
        <w:tc>
          <w:tcPr>
            <w:tcW w:w="4248" w:type="dxa"/>
          </w:tcPr>
          <w:p w:rsidR="007D6E3D" w:rsidRDefault="007D6E3D">
            <w:pPr>
              <w:tabs>
                <w:tab w:val="center" w:pos="4680"/>
              </w:tabs>
              <w:suppressAutoHyphens/>
            </w:pPr>
          </w:p>
          <w:p w:rsidR="007D6E3D" w:rsidRPr="00C633C3" w:rsidRDefault="007D6E3D" w:rsidP="007D6E3D">
            <w:pPr>
              <w:pStyle w:val="TOAHeading"/>
              <w:tabs>
                <w:tab w:val="clear" w:pos="9360"/>
                <w:tab w:val="center" w:pos="4680"/>
              </w:tabs>
              <w:rPr>
                <w:b/>
                <w:spacing w:val="-2"/>
              </w:rPr>
            </w:pPr>
          </w:p>
          <w:p w:rsidR="007D6E3D" w:rsidRDefault="007D6E3D">
            <w:pPr>
              <w:tabs>
                <w:tab w:val="center" w:pos="4680"/>
              </w:tabs>
              <w:suppressAutoHyphens/>
            </w:pPr>
            <w:r>
              <w:t>CG Docket No. 10-213</w:t>
            </w:r>
          </w:p>
        </w:tc>
      </w:tr>
    </w:tbl>
    <w:p w:rsidR="007D6E3D" w:rsidRDefault="007D6E3D">
      <w:pPr>
        <w:tabs>
          <w:tab w:val="left" w:pos="-720"/>
        </w:tabs>
        <w:suppressAutoHyphens/>
        <w:rPr>
          <w:spacing w:val="-2"/>
        </w:rPr>
        <w:sectPr w:rsidR="007D6E3D">
          <w:endnotePr>
            <w:numFmt w:val="decimal"/>
          </w:endnotePr>
          <w:type w:val="continuous"/>
          <w:pgSz w:w="12240" w:h="15840"/>
          <w:pgMar w:top="1440" w:right="1440" w:bottom="1440" w:left="1440" w:header="720" w:footer="720" w:gutter="0"/>
          <w:pgNumType w:start="1"/>
          <w:cols w:space="720"/>
          <w:noEndnote/>
          <w:titlePg/>
          <w:docGrid w:linePitch="299"/>
        </w:sectPr>
      </w:pPr>
    </w:p>
    <w:p w:rsidR="007D6E3D" w:rsidRDefault="007D6E3D">
      <w:pPr>
        <w:jc w:val="center"/>
        <w:rPr>
          <w:b/>
          <w:bCs/>
        </w:rPr>
      </w:pPr>
      <w:r>
        <w:rPr>
          <w:b/>
          <w:bCs/>
        </w:rPr>
        <w:lastRenderedPageBreak/>
        <w:t>ORDER</w:t>
      </w:r>
    </w:p>
    <w:p w:rsidR="007D6E3D" w:rsidRDefault="007D6E3D">
      <w:pPr>
        <w:tabs>
          <w:tab w:val="left" w:pos="-720"/>
        </w:tabs>
        <w:suppressAutoHyphens/>
        <w:rPr>
          <w:spacing w:val="-2"/>
        </w:rPr>
      </w:pPr>
    </w:p>
    <w:p w:rsidR="007D6E3D" w:rsidRDefault="007D6E3D">
      <w:pPr>
        <w:tabs>
          <w:tab w:val="left" w:pos="720"/>
          <w:tab w:val="left" w:pos="5760"/>
        </w:tabs>
        <w:suppressAutoHyphens/>
        <w:spacing w:line="227" w:lineRule="auto"/>
      </w:pPr>
      <w:r>
        <w:rPr>
          <w:b/>
        </w:rPr>
        <w:t xml:space="preserve">Adopted:  </w:t>
      </w:r>
      <w:r w:rsidR="000F5FB3">
        <w:rPr>
          <w:b/>
        </w:rPr>
        <w:t>May 14. 2015</w:t>
      </w:r>
      <w:r>
        <w:rPr>
          <w:b/>
        </w:rPr>
        <w:tab/>
        <w:t xml:space="preserve">Released:  </w:t>
      </w:r>
      <w:r w:rsidR="000F5FB3">
        <w:rPr>
          <w:b/>
        </w:rPr>
        <w:t>May 15, 2015</w:t>
      </w:r>
    </w:p>
    <w:p w:rsidR="007D6E3D" w:rsidRDefault="007D6E3D"/>
    <w:p w:rsidR="007D6E3D" w:rsidRDefault="007D6E3D">
      <w:pPr>
        <w:rPr>
          <w:spacing w:val="-2"/>
        </w:rPr>
      </w:pPr>
      <w:r>
        <w:t xml:space="preserve">By the </w:t>
      </w:r>
      <w:r>
        <w:rPr>
          <w:spacing w:val="-2"/>
        </w:rPr>
        <w:t>Acting Chief, Consumer and Governmental Affairs Bureau:</w:t>
      </w:r>
    </w:p>
    <w:p w:rsidR="007D6E3D" w:rsidRDefault="007D6E3D">
      <w:pPr>
        <w:rPr>
          <w:spacing w:val="-2"/>
        </w:rPr>
      </w:pPr>
    </w:p>
    <w:p w:rsidR="007D6E3D" w:rsidRDefault="007D6E3D" w:rsidP="007762D5">
      <w:pPr>
        <w:pStyle w:val="Heading1"/>
      </w:pPr>
      <w:r>
        <w:t>INTRODUCTION</w:t>
      </w:r>
    </w:p>
    <w:p w:rsidR="007D6E3D" w:rsidRPr="005F4E64" w:rsidRDefault="007D6E3D" w:rsidP="007D6E3D">
      <w:pPr>
        <w:pStyle w:val="ParaNum"/>
        <w:tabs>
          <w:tab w:val="left" w:pos="720"/>
        </w:tabs>
      </w:pPr>
      <w:r>
        <w:t>In this Order, the Consumer and Governmental Affairs Bureau (CGB) of the Federal Communications Commission (FCC or Commission)</w:t>
      </w:r>
      <w:r w:rsidR="000014EA">
        <w:t>, on its own motion,</w:t>
      </w:r>
      <w:r>
        <w:t xml:space="preserve"> </w:t>
      </w:r>
      <w:r w:rsidR="00272F16">
        <w:t>grants a temporary</w:t>
      </w:r>
      <w:r w:rsidR="00E90D4E">
        <w:t>, limited</w:t>
      </w:r>
      <w:r w:rsidR="00272F16">
        <w:t xml:space="preserve"> waiver of </w:t>
      </w:r>
      <w:r>
        <w:t xml:space="preserve">the requirement for providers of </w:t>
      </w:r>
      <w:r w:rsidR="005356E3">
        <w:t>Video Relay Service (VRS)</w:t>
      </w:r>
      <w:r w:rsidRPr="00FF4D17">
        <w:t xml:space="preserve"> </w:t>
      </w:r>
      <w:r>
        <w:t xml:space="preserve">to </w:t>
      </w:r>
      <w:r w:rsidRPr="00FF4D17">
        <w:t xml:space="preserve">obtain from each </w:t>
      </w:r>
      <w:r>
        <w:t>new and existing user</w:t>
      </w:r>
      <w:r w:rsidRPr="00FF4D17">
        <w:t xml:space="preserve"> the</w:t>
      </w:r>
      <w:r>
        <w:t xml:space="preserve"> </w:t>
      </w:r>
      <w:r w:rsidRPr="00FF4D17">
        <w:t xml:space="preserve">last four digits of the </w:t>
      </w:r>
      <w:r>
        <w:t>user</w:t>
      </w:r>
      <w:r w:rsidRPr="00FF4D17">
        <w:t xml:space="preserve">’s </w:t>
      </w:r>
      <w:r>
        <w:t>S</w:t>
      </w:r>
      <w:r w:rsidRPr="00FF4D17">
        <w:t xml:space="preserve">ocial </w:t>
      </w:r>
      <w:r>
        <w:t>S</w:t>
      </w:r>
      <w:r w:rsidRPr="00FF4D17">
        <w:t>ecurity number</w:t>
      </w:r>
      <w:r w:rsidR="00B02BD9">
        <w:t xml:space="preserve"> or a Tribal identification number</w:t>
      </w:r>
      <w:r>
        <w:t xml:space="preserve"> </w:t>
      </w:r>
      <w:r w:rsidRPr="00FF4D17">
        <w:t xml:space="preserve">as part of the </w:t>
      </w:r>
      <w:r w:rsidR="00272F16">
        <w:t>VRS</w:t>
      </w:r>
      <w:r>
        <w:t xml:space="preserve"> user </w:t>
      </w:r>
      <w:r w:rsidRPr="00FF4D17">
        <w:t>registration process</w:t>
      </w:r>
      <w:r w:rsidR="007F3DD6">
        <w:t xml:space="preserve"> </w:t>
      </w:r>
      <w:r>
        <w:t xml:space="preserve">(Social Security Number Rule) in those instances where the user does not have a </w:t>
      </w:r>
      <w:r w:rsidR="00AD4961">
        <w:t>S</w:t>
      </w:r>
      <w:r>
        <w:t xml:space="preserve">ocial </w:t>
      </w:r>
      <w:r w:rsidR="00AD4961">
        <w:t>S</w:t>
      </w:r>
      <w:r>
        <w:t>ecurity</w:t>
      </w:r>
      <w:r w:rsidR="001679EA">
        <w:t xml:space="preserve"> or Tribal identification</w:t>
      </w:r>
      <w:r>
        <w:t xml:space="preserve"> number.   Th</w:t>
      </w:r>
      <w:r w:rsidR="00AD4961">
        <w:t xml:space="preserve">is </w:t>
      </w:r>
      <w:r>
        <w:t>waiver of the Social Security Number Rule</w:t>
      </w:r>
      <w:r w:rsidR="0063415B">
        <w:t>, granted for a limited period of time,</w:t>
      </w:r>
      <w:r>
        <w:t xml:space="preserve"> will become effective upon release of this Order and will remain in effect until such time </w:t>
      </w:r>
      <w:r w:rsidR="00F5366D">
        <w:t xml:space="preserve">as </w:t>
      </w:r>
      <w:r>
        <w:t xml:space="preserve">the Commission takes final action on </w:t>
      </w:r>
      <w:r w:rsidR="005356E3">
        <w:t xml:space="preserve">VRS </w:t>
      </w:r>
      <w:r>
        <w:t>registration procedures pursuant t</w:t>
      </w:r>
      <w:r w:rsidR="005356E3">
        <w:t>o its open rulemakings on VRS</w:t>
      </w:r>
      <w:r>
        <w:t xml:space="preserve"> matters.</w:t>
      </w:r>
    </w:p>
    <w:p w:rsidR="007D6E3D" w:rsidRDefault="007D6E3D" w:rsidP="007D6E3D">
      <w:pPr>
        <w:pStyle w:val="Heading1"/>
      </w:pPr>
      <w:r>
        <w:t>background</w:t>
      </w:r>
    </w:p>
    <w:p w:rsidR="00101E12" w:rsidRDefault="00946BAE" w:rsidP="00101E12">
      <w:pPr>
        <w:pStyle w:val="ParaNum"/>
        <w:keepNext/>
        <w:tabs>
          <w:tab w:val="left" w:pos="720"/>
        </w:tabs>
      </w:pPr>
      <w:r>
        <w:t xml:space="preserve">In 2013, the Commission adopted a report and order to ensure that the VRS </w:t>
      </w:r>
      <w:r w:rsidR="004A7686">
        <w:t>p</w:t>
      </w:r>
      <w:r w:rsidR="00B0076C">
        <w:t>rogram</w:t>
      </w:r>
      <w:r w:rsidR="008A4FB6">
        <w:rPr>
          <w:rStyle w:val="FootnoteReference"/>
        </w:rPr>
        <w:footnoteReference w:id="2"/>
      </w:r>
      <w:r w:rsidR="00B0076C">
        <w:t xml:space="preserve"> is as immune as possible </w:t>
      </w:r>
      <w:r w:rsidR="00B0076C" w:rsidRPr="00F45417">
        <w:t>from the waste, fraud, and abuse that threaten the long-term viability of the program as it currently operates</w:t>
      </w:r>
      <w:r w:rsidR="00B0076C">
        <w:t>.”</w:t>
      </w:r>
      <w:r w:rsidR="00B0076C">
        <w:rPr>
          <w:rStyle w:val="FootnoteReference"/>
        </w:rPr>
        <w:footnoteReference w:id="3"/>
      </w:r>
      <w:r w:rsidR="00D34884">
        <w:t xml:space="preserve">  To accomplish this goal, the Commission ordered</w:t>
      </w:r>
      <w:r w:rsidR="00A249E1">
        <w:t>, among other things,</w:t>
      </w:r>
      <w:r w:rsidR="009066D6">
        <w:t xml:space="preserve"> the creation of the</w:t>
      </w:r>
      <w:r w:rsidR="00D34884">
        <w:t xml:space="preserve"> TRS User Registration Database (TRS-</w:t>
      </w:r>
      <w:r w:rsidR="00E90D4E">
        <w:t>URD</w:t>
      </w:r>
      <w:r w:rsidR="00D34884">
        <w:t xml:space="preserve">).  Once this database is </w:t>
      </w:r>
      <w:r w:rsidR="001E2E95">
        <w:lastRenderedPageBreak/>
        <w:t>operational</w:t>
      </w:r>
      <w:r w:rsidR="00D34884">
        <w:t xml:space="preserve">, VRS providers </w:t>
      </w:r>
      <w:r w:rsidR="00F02FAC">
        <w:t xml:space="preserve">must </w:t>
      </w:r>
      <w:r w:rsidR="005E4837">
        <w:t xml:space="preserve">populate it with </w:t>
      </w:r>
      <w:r w:rsidR="001E2E95">
        <w:t xml:space="preserve">certain </w:t>
      </w:r>
      <w:r w:rsidR="005E4837">
        <w:t xml:space="preserve">information </w:t>
      </w:r>
      <w:r w:rsidR="001E2E95">
        <w:t xml:space="preserve">that identifies </w:t>
      </w:r>
      <w:r w:rsidR="005E4837">
        <w:t>their consumers</w:t>
      </w:r>
      <w:r w:rsidR="00101E12">
        <w:t>,</w:t>
      </w:r>
      <w:r w:rsidR="0000078C">
        <w:rPr>
          <w:rStyle w:val="FootnoteReference"/>
        </w:rPr>
        <w:footnoteReference w:id="4"/>
      </w:r>
      <w:r w:rsidR="00101E12">
        <w:t xml:space="preserve"> and t</w:t>
      </w:r>
      <w:r w:rsidR="009066D6">
        <w:t xml:space="preserve">he TRS-URD administrator </w:t>
      </w:r>
      <w:r w:rsidR="004316BA">
        <w:t xml:space="preserve">will then </w:t>
      </w:r>
      <w:r w:rsidR="009066D6">
        <w:t>verify the submitted data</w:t>
      </w:r>
      <w:r w:rsidR="00101E12">
        <w:t xml:space="preserve"> </w:t>
      </w:r>
      <w:r w:rsidR="009066D6">
        <w:t xml:space="preserve">to </w:t>
      </w:r>
      <w:r w:rsidR="00770FFB">
        <w:t xml:space="preserve">confirm </w:t>
      </w:r>
      <w:r w:rsidR="00E97712">
        <w:t xml:space="preserve">the identity of </w:t>
      </w:r>
      <w:r w:rsidR="004316BA">
        <w:t xml:space="preserve">those </w:t>
      </w:r>
      <w:r w:rsidR="00E97712">
        <w:t>users</w:t>
      </w:r>
      <w:r w:rsidR="009066D6">
        <w:t>.</w:t>
      </w:r>
      <w:r w:rsidR="0000078C">
        <w:rPr>
          <w:rStyle w:val="FootnoteReference"/>
        </w:rPr>
        <w:footnoteReference w:id="5"/>
      </w:r>
      <w:r w:rsidR="00A278D7">
        <w:t xml:space="preserve">  </w:t>
      </w:r>
      <w:r w:rsidR="00380C16">
        <w:t xml:space="preserve">Under the </w:t>
      </w:r>
      <w:r w:rsidR="00380C16" w:rsidRPr="008A4FB6">
        <w:rPr>
          <w:i/>
        </w:rPr>
        <w:t>VRS Reform Order</w:t>
      </w:r>
      <w:r w:rsidR="005022E7">
        <w:t xml:space="preserve">, </w:t>
      </w:r>
      <w:r w:rsidR="00380C16">
        <w:t>consumer</w:t>
      </w:r>
      <w:r w:rsidR="005022E7">
        <w:t>s must provide to their VRS providers,</w:t>
      </w:r>
      <w:r w:rsidR="00380C16">
        <w:t xml:space="preserve"> a</w:t>
      </w:r>
      <w:r w:rsidR="00380C16" w:rsidRPr="00380C16">
        <w:t>mong</w:t>
      </w:r>
      <w:r w:rsidR="00380C16">
        <w:t xml:space="preserve"> other pieces of information</w:t>
      </w:r>
      <w:r w:rsidR="005022E7">
        <w:t xml:space="preserve"> necessary to verify their identity</w:t>
      </w:r>
      <w:r w:rsidR="00380C16">
        <w:t xml:space="preserve">, the last </w:t>
      </w:r>
      <w:r w:rsidR="00123988">
        <w:t>four</w:t>
      </w:r>
      <w:r w:rsidR="00380C16">
        <w:t xml:space="preserve"> digits of </w:t>
      </w:r>
      <w:r w:rsidR="005022E7">
        <w:t xml:space="preserve">their </w:t>
      </w:r>
      <w:r w:rsidR="00E65F50">
        <w:t>Social Security</w:t>
      </w:r>
      <w:r w:rsidR="005022E7">
        <w:t xml:space="preserve"> numbers.</w:t>
      </w:r>
      <w:r w:rsidR="005022E7">
        <w:rPr>
          <w:rStyle w:val="FootnoteReference"/>
        </w:rPr>
        <w:footnoteReference w:id="6"/>
      </w:r>
      <w:r w:rsidR="005022E7">
        <w:t xml:space="preserve">  </w:t>
      </w:r>
      <w:r w:rsidR="00101E12">
        <w:t xml:space="preserve"> F</w:t>
      </w:r>
      <w:r w:rsidR="00137C03" w:rsidRPr="00F45417">
        <w:t xml:space="preserve">or consumers living on Tribal lands who lack a Social Security number, </w:t>
      </w:r>
      <w:r w:rsidR="00101E12">
        <w:t xml:space="preserve">the Commission allows </w:t>
      </w:r>
      <w:r w:rsidR="00137C03" w:rsidRPr="00F45417">
        <w:t xml:space="preserve">an official Tribal identification card number </w:t>
      </w:r>
      <w:r w:rsidR="00101E12">
        <w:t xml:space="preserve">to </w:t>
      </w:r>
      <w:r w:rsidR="00137C03" w:rsidRPr="00F45417">
        <w:t xml:space="preserve">be provided </w:t>
      </w:r>
      <w:r w:rsidR="00137C03">
        <w:t xml:space="preserve">to the VRS provider </w:t>
      </w:r>
      <w:r w:rsidR="00137C03" w:rsidRPr="00F45417">
        <w:t>in lieu of th</w:t>
      </w:r>
      <w:r w:rsidR="00101E12">
        <w:t xml:space="preserve">is </w:t>
      </w:r>
      <w:r w:rsidR="00137C03" w:rsidRPr="00F45417">
        <w:t xml:space="preserve">Social Security </w:t>
      </w:r>
      <w:r w:rsidR="00101E12">
        <w:t>data</w:t>
      </w:r>
      <w:r w:rsidR="00137C03" w:rsidRPr="00F45417">
        <w:t>.</w:t>
      </w:r>
      <w:r w:rsidR="00137C03">
        <w:rPr>
          <w:rStyle w:val="FootnoteReference"/>
        </w:rPr>
        <w:footnoteReference w:id="7"/>
      </w:r>
      <w:r w:rsidR="00137C03" w:rsidRPr="00F45417">
        <w:t xml:space="preserve">  </w:t>
      </w:r>
      <w:r w:rsidR="00101E12">
        <w:t xml:space="preserve"> Once the TRS-URD is operational, VRS providers will provide this information to this database for verification so that these consumers may make VRS calls that are compensable from the TRS Fund.</w:t>
      </w:r>
      <w:r w:rsidR="00101E12">
        <w:rPr>
          <w:rStyle w:val="FootnoteReference"/>
        </w:rPr>
        <w:footnoteReference w:id="8"/>
      </w:r>
      <w:r w:rsidR="00101E12">
        <w:t xml:space="preserve">  </w:t>
      </w:r>
    </w:p>
    <w:p w:rsidR="00272F16" w:rsidRDefault="00B03267" w:rsidP="00101E12">
      <w:pPr>
        <w:pStyle w:val="ParaNum"/>
        <w:keepNext/>
        <w:tabs>
          <w:tab w:val="left" w:pos="720"/>
        </w:tabs>
      </w:pPr>
      <w:r>
        <w:t xml:space="preserve">In </w:t>
      </w:r>
      <w:r w:rsidR="00660D05">
        <w:t xml:space="preserve">a recent order </w:t>
      </w:r>
      <w:r w:rsidR="00DB5B78">
        <w:t xml:space="preserve">the </w:t>
      </w:r>
      <w:r w:rsidR="00660D05">
        <w:t xml:space="preserve">Bureau </w:t>
      </w:r>
      <w:r w:rsidR="00BB4D6A">
        <w:t>waive</w:t>
      </w:r>
      <w:r w:rsidR="00A53055">
        <w:t>d</w:t>
      </w:r>
      <w:r w:rsidR="00123988">
        <w:t>,</w:t>
      </w:r>
      <w:r w:rsidR="00A53055">
        <w:t xml:space="preserve"> in part</w:t>
      </w:r>
      <w:r w:rsidR="00123988">
        <w:t>,</w:t>
      </w:r>
      <w:r w:rsidR="00A53055">
        <w:t xml:space="preserve"> </w:t>
      </w:r>
      <w:r w:rsidR="00CF6F0D">
        <w:t xml:space="preserve">a requirement for all </w:t>
      </w:r>
      <w:r w:rsidR="00A53055">
        <w:t>Internet Protocol Captioned Telephone Service (IP CTS)</w:t>
      </w:r>
      <w:r w:rsidR="00A53055">
        <w:rPr>
          <w:rStyle w:val="FootnoteReference"/>
        </w:rPr>
        <w:footnoteReference w:id="9"/>
      </w:r>
      <w:r w:rsidR="00CF6F0D">
        <w:t xml:space="preserve"> providers to obtain from each user the last four digits of the </w:t>
      </w:r>
      <w:r w:rsidR="00660D05">
        <w:t xml:space="preserve">user’s </w:t>
      </w:r>
      <w:r w:rsidR="00CF6F0D">
        <w:t>Social Security number as part of the user registration process.</w:t>
      </w:r>
      <w:r w:rsidR="00272F16">
        <w:rPr>
          <w:rStyle w:val="FootnoteReference"/>
        </w:rPr>
        <w:footnoteReference w:id="10"/>
      </w:r>
      <w:r w:rsidR="00137C03">
        <w:t xml:space="preserve"> </w:t>
      </w:r>
      <w:r>
        <w:t xml:space="preserve"> </w:t>
      </w:r>
      <w:r w:rsidR="00EC6982">
        <w:t>R</w:t>
      </w:r>
      <w:r>
        <w:t>ecogniz</w:t>
      </w:r>
      <w:r w:rsidR="00EC6982">
        <w:t>ing</w:t>
      </w:r>
      <w:r>
        <w:t xml:space="preserve"> that </w:t>
      </w:r>
      <w:r w:rsidR="00660D05">
        <w:t>s</w:t>
      </w:r>
      <w:r>
        <w:t>ection 225(b)(1) of the</w:t>
      </w:r>
      <w:r w:rsidR="00EC6982">
        <w:t xml:space="preserve"> Communications</w:t>
      </w:r>
      <w:r>
        <w:t xml:space="preserve"> Act</w:t>
      </w:r>
      <w:r w:rsidR="00EC6982">
        <w:t xml:space="preserve"> of 1934, as amended (the Act)</w:t>
      </w:r>
      <w:r w:rsidR="00660D05">
        <w:t>,</w:t>
      </w:r>
      <w:r w:rsidR="00EC6982">
        <w:t xml:space="preserve"> </w:t>
      </w:r>
      <w:r w:rsidR="00A53055">
        <w:t xml:space="preserve">requires </w:t>
      </w:r>
      <w:r w:rsidR="00EC6982">
        <w:t xml:space="preserve">TRS </w:t>
      </w:r>
      <w:r w:rsidR="00A53055">
        <w:t xml:space="preserve">to be </w:t>
      </w:r>
      <w:r w:rsidR="00EC6982">
        <w:t>available to individuals “with hearing and speech disabilities in the United States</w:t>
      </w:r>
      <w:r>
        <w:t>,</w:t>
      </w:r>
      <w:r w:rsidR="00EC6982">
        <w:t>”</w:t>
      </w:r>
      <w:r>
        <w:rPr>
          <w:rStyle w:val="FootnoteReference"/>
        </w:rPr>
        <w:footnoteReference w:id="11"/>
      </w:r>
      <w:r>
        <w:t xml:space="preserve"> </w:t>
      </w:r>
      <w:r w:rsidR="00EC6982">
        <w:t>the Commission found that a segment of eligible individuals</w:t>
      </w:r>
      <w:r w:rsidR="00A53055">
        <w:t xml:space="preserve"> without Social Security numbers</w:t>
      </w:r>
      <w:r w:rsidR="00EC6982">
        <w:t xml:space="preserve">, </w:t>
      </w:r>
      <w:r>
        <w:t>including “</w:t>
      </w:r>
      <w:r w:rsidRPr="00E90679">
        <w:t>foreign student</w:t>
      </w:r>
      <w:r>
        <w:t>s studying in the United States[]</w:t>
      </w:r>
      <w:r w:rsidRPr="00E90679">
        <w:t xml:space="preserve"> </w:t>
      </w:r>
      <w:r>
        <w:t xml:space="preserve">and residents of other countries who are visiting </w:t>
      </w:r>
      <w:r w:rsidRPr="00E90679">
        <w:t>the United States</w:t>
      </w:r>
      <w:r>
        <w:t xml:space="preserve"> or who have temporary visas</w:t>
      </w:r>
      <w:r w:rsidRPr="00E90679">
        <w:t xml:space="preserve"> for tourism, medic</w:t>
      </w:r>
      <w:r>
        <w:t xml:space="preserve">al treatment, or other purposes,” would </w:t>
      </w:r>
      <w:r w:rsidR="00A53055">
        <w:t>be denied TRS were a waiver of this requirement not granted</w:t>
      </w:r>
      <w:r>
        <w:t>.</w:t>
      </w:r>
      <w:r>
        <w:rPr>
          <w:rStyle w:val="FootnoteReference"/>
        </w:rPr>
        <w:footnoteReference w:id="12"/>
      </w:r>
      <w:r>
        <w:t xml:space="preserve">  </w:t>
      </w:r>
      <w:r w:rsidR="00A53055">
        <w:t xml:space="preserve">Accordingly, </w:t>
      </w:r>
      <w:r w:rsidR="00B733F4">
        <w:t>t</w:t>
      </w:r>
      <w:r>
        <w:t>he Commission</w:t>
      </w:r>
      <w:r w:rsidR="004F73D8">
        <w:t xml:space="preserve"> temporarily</w:t>
      </w:r>
      <w:r>
        <w:t xml:space="preserve"> waived the requirement </w:t>
      </w:r>
      <w:r w:rsidR="00660D05">
        <w:t xml:space="preserve">to </w:t>
      </w:r>
      <w:r w:rsidR="005C2075">
        <w:t>collect S</w:t>
      </w:r>
      <w:r>
        <w:t xml:space="preserve">ocial </w:t>
      </w:r>
      <w:r w:rsidR="005C2075">
        <w:t>S</w:t>
      </w:r>
      <w:r>
        <w:t xml:space="preserve">ecurity numbers </w:t>
      </w:r>
      <w:r w:rsidR="005C2075">
        <w:t>with respect to</w:t>
      </w:r>
      <w:r w:rsidR="00660D05">
        <w:t xml:space="preserve"> those individuals who lack Social Security numbers </w:t>
      </w:r>
      <w:r>
        <w:t xml:space="preserve">and </w:t>
      </w:r>
      <w:r w:rsidR="00660D05">
        <w:t>who are able</w:t>
      </w:r>
      <w:r>
        <w:t xml:space="preserve"> to provide alternative forms of identification for verification purposes.</w:t>
      </w:r>
      <w:r>
        <w:rPr>
          <w:rStyle w:val="FootnoteReference"/>
        </w:rPr>
        <w:footnoteReference w:id="13"/>
      </w:r>
      <w:r w:rsidR="00272F16">
        <w:t xml:space="preserve">  </w:t>
      </w:r>
    </w:p>
    <w:p w:rsidR="00B03267" w:rsidRDefault="00272F16" w:rsidP="00272F16">
      <w:pPr>
        <w:pStyle w:val="ParaNum"/>
        <w:tabs>
          <w:tab w:val="left" w:pos="720"/>
        </w:tabs>
      </w:pPr>
      <w:r>
        <w:t xml:space="preserve">For the reasons set forth below, on our own motion, we likewise grant a temporary waiver of this requirement for VRS users who do not have </w:t>
      </w:r>
      <w:r w:rsidR="005C2075">
        <w:t xml:space="preserve">Social Security or Tribal identification </w:t>
      </w:r>
      <w:r>
        <w:lastRenderedPageBreak/>
        <w:t xml:space="preserve">numbers until such time that the Commission takes further action on VRS TRS-URD registration and verification procedures pursuant to its open rulemakings on VRS matters.  We condition such waiver on a requirement </w:t>
      </w:r>
      <w:r w:rsidR="005C2075">
        <w:t xml:space="preserve">that </w:t>
      </w:r>
      <w:r>
        <w:t xml:space="preserve">providers obtain other information or documentation, specified below, to verify the identity of the user in lieu of the last four digits of </w:t>
      </w:r>
      <w:r w:rsidR="00A53055">
        <w:t xml:space="preserve">the individual’s </w:t>
      </w:r>
      <w:r>
        <w:t>Social Security number</w:t>
      </w:r>
      <w:r w:rsidR="00E65F50">
        <w:t>.</w:t>
      </w:r>
    </w:p>
    <w:p w:rsidR="007D6E3D" w:rsidRDefault="00272F16" w:rsidP="00272F16">
      <w:pPr>
        <w:pStyle w:val="ParaNum"/>
        <w:numPr>
          <w:ilvl w:val="0"/>
          <w:numId w:val="0"/>
        </w:numPr>
        <w:tabs>
          <w:tab w:val="left" w:pos="720"/>
        </w:tabs>
      </w:pPr>
      <w:r>
        <w:rPr>
          <w:b/>
        </w:rPr>
        <w:t>II.</w:t>
      </w:r>
      <w:r>
        <w:rPr>
          <w:b/>
        </w:rPr>
        <w:tab/>
      </w:r>
      <w:r w:rsidR="007D6E3D" w:rsidRPr="00272F16">
        <w:rPr>
          <w:b/>
        </w:rPr>
        <w:t>DISCUSSION</w:t>
      </w:r>
    </w:p>
    <w:p w:rsidR="007D6E3D" w:rsidRDefault="007D6E3D">
      <w:pPr>
        <w:pStyle w:val="Heading2"/>
      </w:pPr>
      <w:r>
        <w:t>Waiver Standard</w:t>
      </w:r>
    </w:p>
    <w:p w:rsidR="007D6E3D" w:rsidRDefault="007D6E3D" w:rsidP="007D6E3D">
      <w:pPr>
        <w:pStyle w:val="ParaNum"/>
        <w:tabs>
          <w:tab w:val="left" w:pos="720"/>
        </w:tabs>
      </w:pPr>
      <w:r>
        <w:t>The Commission’s rules may be waived for good cause shown.</w:t>
      </w:r>
      <w:r>
        <w:rPr>
          <w:vertAlign w:val="superscript"/>
        </w:rPr>
        <w:footnoteReference w:id="14"/>
      </w:r>
      <w:r>
        <w:t xml:space="preserve">  The Commission may exercise its discretion to waive a rule where the particular facts make strict compliance inconsistent with the public interest.</w:t>
      </w:r>
      <w:r>
        <w:rPr>
          <w:vertAlign w:val="superscript"/>
        </w:rPr>
        <w:footnoteReference w:id="15"/>
      </w:r>
      <w:r>
        <w:rPr>
          <w:vertAlign w:val="superscript"/>
        </w:rPr>
        <w:t xml:space="preserve">   </w:t>
      </w:r>
      <w:r>
        <w:t>In addition, the Commission may take into account considerations of hardship, equity, or more effective implementation of overall policy on an individual basis.</w:t>
      </w:r>
      <w:r>
        <w:rPr>
          <w:vertAlign w:val="superscript"/>
        </w:rPr>
        <w:footnoteReference w:id="16"/>
      </w:r>
      <w:r>
        <w:t xml:space="preserve">  Waiver of the Commission’s rules is appropriate only if special circumstances warrant a deviation from the general rule and such a deviation will serve the public interest.</w:t>
      </w:r>
      <w:r>
        <w:rPr>
          <w:vertAlign w:val="superscript"/>
        </w:rPr>
        <w:footnoteReference w:id="17"/>
      </w:r>
      <w:r>
        <w:t xml:space="preserve">  </w:t>
      </w:r>
    </w:p>
    <w:p w:rsidR="007D6E3D" w:rsidRDefault="00A278D7">
      <w:pPr>
        <w:pStyle w:val="Heading2"/>
      </w:pPr>
      <w:r>
        <w:t>Application of Waiver Standard</w:t>
      </w:r>
    </w:p>
    <w:p w:rsidR="007D6E3D" w:rsidRDefault="007D6E3D" w:rsidP="007D6E3D">
      <w:pPr>
        <w:pStyle w:val="ParaNum"/>
        <w:tabs>
          <w:tab w:val="left" w:pos="720"/>
        </w:tabs>
      </w:pPr>
      <w:r>
        <w:t xml:space="preserve">We </w:t>
      </w:r>
      <w:r w:rsidR="00272F16">
        <w:t xml:space="preserve">find </w:t>
      </w:r>
      <w:r>
        <w:t xml:space="preserve">good cause </w:t>
      </w:r>
      <w:r w:rsidR="00E07992">
        <w:t xml:space="preserve">for the Commission </w:t>
      </w:r>
      <w:r>
        <w:t xml:space="preserve">to temporarily waive the Social Security Number Rule as this rule applies to </w:t>
      </w:r>
      <w:r w:rsidR="00272F16">
        <w:t>VRS</w:t>
      </w:r>
      <w:r>
        <w:t xml:space="preserve"> users who do not have Social Security numbers.  We apply this </w:t>
      </w:r>
      <w:r w:rsidR="004F73D8">
        <w:t xml:space="preserve">temporary </w:t>
      </w:r>
      <w:r>
        <w:t xml:space="preserve">waiver to </w:t>
      </w:r>
      <w:r w:rsidR="00A278D7">
        <w:t xml:space="preserve">all </w:t>
      </w:r>
      <w:r w:rsidR="00272F16">
        <w:t>VRS providers</w:t>
      </w:r>
      <w:r w:rsidR="00A278D7">
        <w:t xml:space="preserve"> under the conditions set forth below.</w:t>
      </w:r>
    </w:p>
    <w:p w:rsidR="007D6E3D" w:rsidRPr="00543061" w:rsidRDefault="007D6E3D" w:rsidP="005C2075">
      <w:pPr>
        <w:pStyle w:val="ParaNum"/>
      </w:pPr>
      <w:r w:rsidRPr="00E90679">
        <w:t>S</w:t>
      </w:r>
      <w:r w:rsidRPr="002C4B43">
        <w:t>ection 225</w:t>
      </w:r>
      <w:r w:rsidRPr="00E90679">
        <w:t>(b)(1)</w:t>
      </w:r>
      <w:r w:rsidRPr="002C4B43">
        <w:t xml:space="preserve"> </w:t>
      </w:r>
      <w:r w:rsidRPr="00E90679">
        <w:t xml:space="preserve">of the </w:t>
      </w:r>
      <w:r w:rsidR="00E07992">
        <w:t>Act</w:t>
      </w:r>
      <w:r w:rsidRPr="00E90679">
        <w:t xml:space="preserve"> states that in order to fulfill the purposes of section 151 of the Act “</w:t>
      </w:r>
      <w:r>
        <w:t xml:space="preserve">to make available to </w:t>
      </w:r>
      <w:r w:rsidRPr="00E90679">
        <w:rPr>
          <w:i/>
        </w:rPr>
        <w:t>all</w:t>
      </w:r>
      <w:r>
        <w:t xml:space="preserve"> </w:t>
      </w:r>
      <w:r w:rsidRPr="00E90679">
        <w:rPr>
          <w:i/>
        </w:rPr>
        <w:t>individuals in the United States</w:t>
      </w:r>
      <w:r>
        <w:t xml:space="preserve"> a rapid, efficient nationwide communication service</w:t>
      </w:r>
      <w:r w:rsidRPr="00E90679">
        <w:t>,</w:t>
      </w:r>
      <w:r w:rsidR="00BB7024">
        <w:t xml:space="preserve"> and to increase the utility of the telephone system of the Nation,</w:t>
      </w:r>
      <w:r w:rsidRPr="00E90679">
        <w:t>”</w:t>
      </w:r>
      <w:r>
        <w:rPr>
          <w:rStyle w:val="FootnoteReference"/>
        </w:rPr>
        <w:footnoteReference w:id="18"/>
      </w:r>
      <w:r w:rsidRPr="00E90679">
        <w:t xml:space="preserve"> </w:t>
      </w:r>
      <w:r>
        <w:t>t</w:t>
      </w:r>
      <w:r w:rsidRPr="002C4B43">
        <w:t>he Commission</w:t>
      </w:r>
      <w:r w:rsidRPr="00E90679">
        <w:t xml:space="preserve"> must</w:t>
      </w:r>
      <w:r w:rsidRPr="002C4B43">
        <w:t xml:space="preserve"> make TRS available, to the extent possible and in the most efficient manner, to people with hearing and speech disabilities “in the United States</w:t>
      </w:r>
      <w:r w:rsidRPr="00E90679">
        <w:t>.</w:t>
      </w:r>
      <w:r w:rsidRPr="002C4B43">
        <w:t>”</w:t>
      </w:r>
      <w:r w:rsidRPr="002C4B43">
        <w:rPr>
          <w:sz w:val="20"/>
          <w:vertAlign w:val="superscript"/>
        </w:rPr>
        <w:footnoteReference w:id="19"/>
      </w:r>
      <w:r w:rsidRPr="00E90679">
        <w:t xml:space="preserve">  At the time that it adopted this section, Congress explained that </w:t>
      </w:r>
      <w:r w:rsidR="00157E88">
        <w:t>“[</w:t>
      </w:r>
      <w:r w:rsidRPr="00E90679">
        <w:t>g</w:t>
      </w:r>
      <w:r w:rsidR="00157E88">
        <w:t>]</w:t>
      </w:r>
      <w:r w:rsidRPr="00E90679">
        <w:t>iven the pervasiveness of the telephone for both commercial and personal matters, the inability to utilize the telephone system fully has enormous impact on an individual’s ability to integrate effectively in today’s society.”</w:t>
      </w:r>
      <w:r w:rsidRPr="00896CB2">
        <w:rPr>
          <w:rStyle w:val="FootnoteReference"/>
        </w:rPr>
        <w:footnoteReference w:id="20"/>
      </w:r>
      <w:r w:rsidRPr="00E90679">
        <w:t xml:space="preserve">  </w:t>
      </w:r>
      <w:r>
        <w:t>We find that l</w:t>
      </w:r>
      <w:r w:rsidRPr="00E90679">
        <w:t xml:space="preserve">imiting the use of the telephone to only </w:t>
      </w:r>
      <w:r w:rsidR="00272F16">
        <w:t>VRS users</w:t>
      </w:r>
      <w:r w:rsidRPr="00E90679">
        <w:t xml:space="preserve"> in the United States with Social Security</w:t>
      </w:r>
      <w:r w:rsidR="00CA7C21">
        <w:t xml:space="preserve"> or Tribal identification</w:t>
      </w:r>
      <w:r w:rsidRPr="00E90679">
        <w:t xml:space="preserve"> numbers would deny </w:t>
      </w:r>
      <w:r w:rsidR="00B733F4">
        <w:t xml:space="preserve">access to </w:t>
      </w:r>
      <w:r>
        <w:t xml:space="preserve">this form of </w:t>
      </w:r>
      <w:r w:rsidRPr="00E90679">
        <w:t>TRS to a segment of individuals with hearing and speech disabilities who are in the United States</w:t>
      </w:r>
      <w:r w:rsidR="00B733F4">
        <w:t xml:space="preserve"> and who are therefore among the intended beneficiaries of TRS</w:t>
      </w:r>
      <w:r w:rsidRPr="00E90679">
        <w:t>.  This category of individuals could include</w:t>
      </w:r>
      <w:r>
        <w:t xml:space="preserve">, </w:t>
      </w:r>
      <w:r w:rsidR="005C2075">
        <w:t>without limitation</w:t>
      </w:r>
      <w:r>
        <w:t>,</w:t>
      </w:r>
      <w:r w:rsidRPr="00E90679">
        <w:t xml:space="preserve"> foreign students studying in the United States </w:t>
      </w:r>
      <w:r w:rsidR="008459B8">
        <w:t xml:space="preserve">and </w:t>
      </w:r>
      <w:r w:rsidR="000F5F04">
        <w:t xml:space="preserve">residents of other countries who are visiting </w:t>
      </w:r>
      <w:r w:rsidRPr="00E90679">
        <w:t>the United States</w:t>
      </w:r>
      <w:r>
        <w:t xml:space="preserve"> </w:t>
      </w:r>
      <w:r w:rsidR="000F5F04">
        <w:t xml:space="preserve">or who have </w:t>
      </w:r>
      <w:r>
        <w:t>temporary visas</w:t>
      </w:r>
      <w:r w:rsidRPr="00E90679">
        <w:t xml:space="preserve"> for tourism, medical treatment, or other purposes.  Depriving </w:t>
      </w:r>
      <w:r w:rsidR="00E95594">
        <w:t>such</w:t>
      </w:r>
      <w:r w:rsidR="00E95594" w:rsidRPr="00E90679">
        <w:t xml:space="preserve"> </w:t>
      </w:r>
      <w:r w:rsidRPr="00E90679">
        <w:t xml:space="preserve">individuals of access to </w:t>
      </w:r>
      <w:r w:rsidR="00272F16">
        <w:t>VRS</w:t>
      </w:r>
      <w:r w:rsidRPr="00E90679">
        <w:t xml:space="preserve"> would place a</w:t>
      </w:r>
      <w:r w:rsidR="005111EC">
        <w:t>n unnecessary</w:t>
      </w:r>
      <w:r w:rsidRPr="00E90679">
        <w:t xml:space="preserve"> hardship on these individuals if they are otherwise eligible to use this service and are “in the United States.”  We therefore conclude that good cause </w:t>
      </w:r>
      <w:r w:rsidR="00A278D7">
        <w:t xml:space="preserve">exists </w:t>
      </w:r>
      <w:r w:rsidRPr="00E90679">
        <w:t xml:space="preserve">to temporarily waive the Social Security Number Rule for new and existing </w:t>
      </w:r>
      <w:r w:rsidR="00272F16">
        <w:t>VRS</w:t>
      </w:r>
      <w:r w:rsidRPr="00E90679">
        <w:t xml:space="preserve"> users who do not have Social Security</w:t>
      </w:r>
      <w:r w:rsidR="005429BB">
        <w:t xml:space="preserve"> or Tribal identification</w:t>
      </w:r>
      <w:r w:rsidRPr="00E90679">
        <w:t xml:space="preserve"> numbers because strict compliance with this </w:t>
      </w:r>
      <w:r w:rsidR="00E95594">
        <w:t>r</w:t>
      </w:r>
      <w:r w:rsidRPr="00E90679">
        <w:t>ule, as applied to this category of individuals</w:t>
      </w:r>
      <w:r>
        <w:t>,</w:t>
      </w:r>
      <w:r w:rsidRPr="00E90679">
        <w:t xml:space="preserve"> would be inconsistent with the public interest</w:t>
      </w:r>
      <w:r>
        <w:t xml:space="preserve"> and the language of section 225(b)(1)</w:t>
      </w:r>
      <w:r w:rsidRPr="00E90679">
        <w:t xml:space="preserve">.  </w:t>
      </w:r>
    </w:p>
    <w:p w:rsidR="007D6E3D" w:rsidRPr="0037539E" w:rsidRDefault="009D2408" w:rsidP="007D6E3D">
      <w:pPr>
        <w:pStyle w:val="ParaNum"/>
      </w:pPr>
      <w:r>
        <w:t>W</w:t>
      </w:r>
      <w:r w:rsidR="007D6E3D">
        <w:t xml:space="preserve">e condition the grant of this waiver on </w:t>
      </w:r>
      <w:r w:rsidR="00461C45">
        <w:t>a requirement that</w:t>
      </w:r>
      <w:r w:rsidR="007D6E3D">
        <w:t xml:space="preserve"> </w:t>
      </w:r>
      <w:r>
        <w:t>VRS</w:t>
      </w:r>
      <w:r w:rsidR="007D6E3D">
        <w:t xml:space="preserve"> providers obtain</w:t>
      </w:r>
      <w:r w:rsidR="005111EC">
        <w:t xml:space="preserve"> a </w:t>
      </w:r>
      <w:r w:rsidR="007D6E3D">
        <w:t xml:space="preserve"> </w:t>
      </w:r>
      <w:r w:rsidR="004316BA">
        <w:t xml:space="preserve">physical or electronic </w:t>
      </w:r>
      <w:r w:rsidR="005111EC">
        <w:t xml:space="preserve">copy </w:t>
      </w:r>
      <w:r w:rsidR="004316BA">
        <w:t xml:space="preserve">of at least one of the following documents confirming the identity of an individual </w:t>
      </w:r>
      <w:r w:rsidR="007D6E3D">
        <w:t>who do</w:t>
      </w:r>
      <w:r w:rsidR="004316BA">
        <w:t>es</w:t>
      </w:r>
      <w:r w:rsidR="007D6E3D">
        <w:t xml:space="preserve"> not have Social Security</w:t>
      </w:r>
      <w:r w:rsidR="00C90E40">
        <w:t xml:space="preserve"> or Tribal identification</w:t>
      </w:r>
      <w:r w:rsidR="007D6E3D">
        <w:t xml:space="preserve"> numbers for the purpose of registering for </w:t>
      </w:r>
      <w:r>
        <w:t>VRS</w:t>
      </w:r>
      <w:r w:rsidR="007D6E3D">
        <w:t xml:space="preserve">: </w:t>
      </w:r>
    </w:p>
    <w:p w:rsidR="007D6E3D" w:rsidRDefault="007D6E3D" w:rsidP="007D6E3D">
      <w:pPr>
        <w:numPr>
          <w:ilvl w:val="0"/>
          <w:numId w:val="20"/>
        </w:numPr>
        <w:ind w:left="1440" w:hanging="720"/>
      </w:pPr>
      <w:r>
        <w:t xml:space="preserve">an unexpired driver’s license; </w:t>
      </w:r>
    </w:p>
    <w:p w:rsidR="007D6E3D" w:rsidRDefault="007D6E3D" w:rsidP="007D6E3D">
      <w:pPr>
        <w:numPr>
          <w:ilvl w:val="0"/>
          <w:numId w:val="20"/>
        </w:numPr>
        <w:ind w:left="1440" w:hanging="720"/>
      </w:pPr>
      <w:r>
        <w:t xml:space="preserve">a birth certificate; </w:t>
      </w:r>
    </w:p>
    <w:p w:rsidR="007D6E3D" w:rsidRDefault="007D6E3D" w:rsidP="007D6E3D">
      <w:pPr>
        <w:numPr>
          <w:ilvl w:val="0"/>
          <w:numId w:val="20"/>
        </w:numPr>
        <w:ind w:left="1440" w:hanging="720"/>
      </w:pPr>
      <w:r>
        <w:t xml:space="preserve">a current income statement from an employer, paycheck stub, or W-2; </w:t>
      </w:r>
    </w:p>
    <w:p w:rsidR="007D6E3D" w:rsidRDefault="007D6E3D" w:rsidP="007D6E3D">
      <w:pPr>
        <w:numPr>
          <w:ilvl w:val="0"/>
          <w:numId w:val="20"/>
        </w:numPr>
        <w:ind w:left="1440" w:hanging="720"/>
      </w:pPr>
      <w:r>
        <w:t xml:space="preserve">the prior year’s state, federal or Tribal tax return; </w:t>
      </w:r>
    </w:p>
    <w:p w:rsidR="007D6E3D" w:rsidRDefault="007D6E3D" w:rsidP="007D6E3D">
      <w:pPr>
        <w:numPr>
          <w:ilvl w:val="0"/>
          <w:numId w:val="20"/>
        </w:numPr>
        <w:ind w:left="1440" w:hanging="720"/>
      </w:pPr>
      <w:r>
        <w:t xml:space="preserve">a Certificate of Naturalization or Certificate of U.S. Citizenship; </w:t>
      </w:r>
    </w:p>
    <w:p w:rsidR="007D6E3D" w:rsidRDefault="007D6E3D" w:rsidP="007D6E3D">
      <w:pPr>
        <w:numPr>
          <w:ilvl w:val="0"/>
          <w:numId w:val="20"/>
        </w:numPr>
        <w:ind w:left="1440" w:hanging="720"/>
      </w:pPr>
      <w:r>
        <w:t xml:space="preserve">an unexpired Permanent Resident Card or unexpired Permanent Resident Alien Card; </w:t>
      </w:r>
    </w:p>
    <w:p w:rsidR="007D6E3D" w:rsidRDefault="007D6E3D" w:rsidP="007D6E3D">
      <w:pPr>
        <w:numPr>
          <w:ilvl w:val="0"/>
          <w:numId w:val="20"/>
        </w:numPr>
        <w:ind w:left="1440" w:hanging="720"/>
      </w:pPr>
      <w:r>
        <w:t xml:space="preserve">an unexpired United States government, military, or state issued ID; </w:t>
      </w:r>
    </w:p>
    <w:p w:rsidR="007D6E3D" w:rsidRDefault="007D6E3D" w:rsidP="007D6E3D">
      <w:pPr>
        <w:numPr>
          <w:ilvl w:val="0"/>
          <w:numId w:val="20"/>
        </w:numPr>
        <w:ind w:left="1440" w:hanging="720"/>
      </w:pPr>
      <w:r>
        <w:t xml:space="preserve">an employer provided work ID or employee ID; </w:t>
      </w:r>
    </w:p>
    <w:p w:rsidR="007D6E3D" w:rsidRDefault="007D6E3D" w:rsidP="007D6E3D">
      <w:pPr>
        <w:numPr>
          <w:ilvl w:val="0"/>
          <w:numId w:val="20"/>
        </w:numPr>
        <w:ind w:left="1440" w:hanging="720"/>
      </w:pPr>
      <w:r>
        <w:t xml:space="preserve">an unexpired passport; </w:t>
      </w:r>
    </w:p>
    <w:p w:rsidR="007D6E3D" w:rsidRDefault="007D6E3D" w:rsidP="007D6E3D">
      <w:pPr>
        <w:numPr>
          <w:ilvl w:val="0"/>
          <w:numId w:val="20"/>
        </w:numPr>
        <w:ind w:left="1080"/>
      </w:pPr>
      <w:r>
        <w:t xml:space="preserve">an unexpired health insurance card; </w:t>
      </w:r>
    </w:p>
    <w:p w:rsidR="007D6E3D" w:rsidRDefault="007D6E3D" w:rsidP="007D6E3D">
      <w:pPr>
        <w:numPr>
          <w:ilvl w:val="0"/>
          <w:numId w:val="20"/>
        </w:numPr>
        <w:ind w:left="1080"/>
      </w:pPr>
      <w:r>
        <w:t xml:space="preserve">military discharge documentation; </w:t>
      </w:r>
    </w:p>
    <w:p w:rsidR="007D6E3D" w:rsidRDefault="007D6E3D" w:rsidP="007D6E3D">
      <w:pPr>
        <w:numPr>
          <w:ilvl w:val="0"/>
          <w:numId w:val="20"/>
        </w:numPr>
        <w:ind w:left="1440" w:hanging="720"/>
      </w:pPr>
      <w:r>
        <w:t xml:space="preserve">government assistance program documents which include the individual’s name and date of birth; and </w:t>
      </w:r>
    </w:p>
    <w:p w:rsidR="007D6E3D" w:rsidRDefault="004F73D8" w:rsidP="007D6E3D">
      <w:pPr>
        <w:numPr>
          <w:ilvl w:val="0"/>
          <w:numId w:val="20"/>
        </w:numPr>
        <w:spacing w:after="120"/>
        <w:ind w:left="1080"/>
      </w:pPr>
      <w:r>
        <w:t>an unemployment/worker’s compensation statement of benefits.</w:t>
      </w:r>
      <w:r>
        <w:rPr>
          <w:rStyle w:val="FootnoteReference"/>
        </w:rPr>
        <w:footnoteReference w:id="21"/>
      </w:r>
      <w:r>
        <w:t xml:space="preserve">  </w:t>
      </w:r>
    </w:p>
    <w:p w:rsidR="007D6E3D" w:rsidRDefault="008E0D95" w:rsidP="000E72BD">
      <w:pPr>
        <w:pStyle w:val="ParaNum"/>
      </w:pPr>
      <w:r>
        <w:t xml:space="preserve">In addition, </w:t>
      </w:r>
      <w:r w:rsidR="000E72BD">
        <w:t xml:space="preserve">for </w:t>
      </w:r>
      <w:r w:rsidR="003B3DFD">
        <w:t>those</w:t>
      </w:r>
      <w:r>
        <w:t xml:space="preserve"> </w:t>
      </w:r>
      <w:r w:rsidR="009D2408">
        <w:t>VRS</w:t>
      </w:r>
      <w:r>
        <w:t xml:space="preserve"> consumers who cannot provide either the last four digits of a Social Security </w:t>
      </w:r>
      <w:r w:rsidR="00B02BD9">
        <w:t>n</w:t>
      </w:r>
      <w:r>
        <w:t>umber or a Tribal identification number</w:t>
      </w:r>
      <w:r w:rsidR="000E72BD">
        <w:t xml:space="preserve">, we require, as a condition of the waiver, that </w:t>
      </w:r>
      <w:r w:rsidR="0074716E">
        <w:t xml:space="preserve">each </w:t>
      </w:r>
      <w:r w:rsidR="000E72BD">
        <w:t>provider</w:t>
      </w:r>
      <w:r w:rsidR="009D2408">
        <w:t xml:space="preserve"> </w:t>
      </w:r>
      <w:r w:rsidR="002F5BF8">
        <w:t xml:space="preserve">collect information showing </w:t>
      </w:r>
      <w:r w:rsidR="009D2408">
        <w:t>that such VRS consumers</w:t>
      </w:r>
      <w:r w:rsidR="00591217">
        <w:t xml:space="preserve"> are </w:t>
      </w:r>
      <w:r w:rsidR="00514BFF">
        <w:t xml:space="preserve">residing </w:t>
      </w:r>
      <w:r w:rsidR="00591217">
        <w:t>in the United States.</w:t>
      </w:r>
      <w:r w:rsidR="00591217">
        <w:rPr>
          <w:rStyle w:val="FootnoteReference"/>
        </w:rPr>
        <w:footnoteReference w:id="22"/>
      </w:r>
      <w:r w:rsidR="009D2408">
        <w:t xml:space="preserve">  To clarify, such documentation is in addition to the documentation required above to verify the user’s identity.  Where a document is included in both lists, however, the same document may be used for both purposes</w:t>
      </w:r>
      <w:r w:rsidR="004F73D8">
        <w:t>:</w:t>
      </w:r>
    </w:p>
    <w:p w:rsidR="007D6E3D" w:rsidRDefault="007D6E3D" w:rsidP="007D6E3D">
      <w:pPr>
        <w:numPr>
          <w:ilvl w:val="0"/>
          <w:numId w:val="22"/>
        </w:numPr>
        <w:ind w:left="1440" w:hanging="720"/>
      </w:pPr>
      <w:r>
        <w:t xml:space="preserve">an unexpired driver’s license; </w:t>
      </w:r>
    </w:p>
    <w:p w:rsidR="007D6E3D" w:rsidRDefault="007D6E3D" w:rsidP="007D6E3D">
      <w:pPr>
        <w:numPr>
          <w:ilvl w:val="0"/>
          <w:numId w:val="22"/>
        </w:numPr>
        <w:ind w:left="1440" w:hanging="720"/>
      </w:pPr>
      <w:r>
        <w:t xml:space="preserve">a utility bill; </w:t>
      </w:r>
    </w:p>
    <w:p w:rsidR="007D6E3D" w:rsidRDefault="007D6E3D" w:rsidP="007D6E3D">
      <w:pPr>
        <w:numPr>
          <w:ilvl w:val="0"/>
          <w:numId w:val="22"/>
        </w:numPr>
        <w:ind w:left="1440" w:hanging="720"/>
      </w:pPr>
      <w:r>
        <w:t xml:space="preserve">a current income statement from an employer, paycheck stub, or W-2; </w:t>
      </w:r>
    </w:p>
    <w:p w:rsidR="007D6E3D" w:rsidRDefault="007D6E3D" w:rsidP="007D6E3D">
      <w:pPr>
        <w:numPr>
          <w:ilvl w:val="0"/>
          <w:numId w:val="22"/>
        </w:numPr>
        <w:ind w:left="1440" w:hanging="720"/>
      </w:pPr>
      <w:r>
        <w:t>the prior year’s state, federal</w:t>
      </w:r>
      <w:r w:rsidR="002F5BF8">
        <w:t>,</w:t>
      </w:r>
      <w:r>
        <w:t xml:space="preserve"> or Tribal tax return; </w:t>
      </w:r>
    </w:p>
    <w:p w:rsidR="007D6E3D" w:rsidRDefault="007D6E3D" w:rsidP="007D6E3D">
      <w:pPr>
        <w:numPr>
          <w:ilvl w:val="0"/>
          <w:numId w:val="22"/>
        </w:numPr>
        <w:ind w:left="1440" w:hanging="720"/>
      </w:pPr>
      <w:r>
        <w:t>a current mortgage or lease statement;</w:t>
      </w:r>
      <w:r w:rsidRPr="002155AA">
        <w:rPr>
          <w:rStyle w:val="FootnoteReference"/>
        </w:rPr>
        <w:footnoteReference w:id="23"/>
      </w:r>
      <w:r>
        <w:t xml:space="preserve"> </w:t>
      </w:r>
    </w:p>
    <w:p w:rsidR="007D6E3D" w:rsidRDefault="007D6E3D" w:rsidP="007D6E3D">
      <w:pPr>
        <w:numPr>
          <w:ilvl w:val="0"/>
          <w:numId w:val="22"/>
        </w:numPr>
        <w:ind w:left="1440" w:hanging="720"/>
      </w:pPr>
      <w:r>
        <w:t xml:space="preserve">an unexpired United States government or state issued ID; </w:t>
      </w:r>
    </w:p>
    <w:p w:rsidR="007D6E3D" w:rsidRDefault="007D6E3D" w:rsidP="007D6E3D">
      <w:pPr>
        <w:numPr>
          <w:ilvl w:val="0"/>
          <w:numId w:val="22"/>
        </w:numPr>
        <w:ind w:left="1440" w:hanging="720"/>
      </w:pPr>
      <w:r>
        <w:t xml:space="preserve">government assistance program documents which include the name and address of the individual; </w:t>
      </w:r>
    </w:p>
    <w:p w:rsidR="007D6E3D" w:rsidRDefault="007D6E3D" w:rsidP="007D6E3D">
      <w:pPr>
        <w:numPr>
          <w:ilvl w:val="0"/>
          <w:numId w:val="22"/>
        </w:numPr>
        <w:ind w:left="1440" w:hanging="720"/>
      </w:pPr>
      <w:r>
        <w:t xml:space="preserve">a retirement/pension statement of benefits; and </w:t>
      </w:r>
    </w:p>
    <w:p w:rsidR="007D6E3D" w:rsidRDefault="007D6E3D" w:rsidP="007D6E3D">
      <w:pPr>
        <w:numPr>
          <w:ilvl w:val="0"/>
          <w:numId w:val="22"/>
        </w:numPr>
        <w:spacing w:after="120"/>
        <w:ind w:left="1440" w:hanging="720"/>
      </w:pPr>
      <w:r>
        <w:t>an unemployment/workers’ compensation statement of benefits.</w:t>
      </w:r>
      <w:r>
        <w:rPr>
          <w:rStyle w:val="FootnoteReference"/>
        </w:rPr>
        <w:footnoteReference w:id="24"/>
      </w:r>
    </w:p>
    <w:p w:rsidR="007D6E3D" w:rsidRPr="008C40FE" w:rsidRDefault="007D6E3D" w:rsidP="007D6E3D">
      <w:pPr>
        <w:pStyle w:val="ParaNum"/>
        <w:tabs>
          <w:tab w:val="left" w:pos="720"/>
          <w:tab w:val="num" w:pos="990"/>
        </w:tabs>
      </w:pPr>
      <w:r>
        <w:t xml:space="preserve">We </w:t>
      </w:r>
      <w:r w:rsidR="009D2408">
        <w:t>will not make</w:t>
      </w:r>
      <w:r>
        <w:t xml:space="preserve"> the waiver granted by this order permanent</w:t>
      </w:r>
      <w:r w:rsidR="009D2408">
        <w:t xml:space="preserve"> at this time</w:t>
      </w:r>
      <w:r>
        <w:t xml:space="preserve">.  The Commission has </w:t>
      </w:r>
      <w:r w:rsidR="009D2408">
        <w:t>an open rulemaking proceeding</w:t>
      </w:r>
      <w:r>
        <w:t xml:space="preserve"> on the registration requirements for </w:t>
      </w:r>
      <w:r w:rsidR="00082D7B">
        <w:t xml:space="preserve">iTRS </w:t>
      </w:r>
      <w:r w:rsidR="009D2408">
        <w:t>users</w:t>
      </w:r>
      <w:r w:rsidR="006438D7">
        <w:t xml:space="preserve"> </w:t>
      </w:r>
      <w:r w:rsidR="00082D7B">
        <w:t>and on the types</w:t>
      </w:r>
      <w:r w:rsidR="004316BA">
        <w:t xml:space="preserve"> </w:t>
      </w:r>
      <w:r w:rsidR="00082D7B">
        <w:t xml:space="preserve">of information that should be submitted to </w:t>
      </w:r>
      <w:r>
        <w:t>the TRS-URD.</w:t>
      </w:r>
      <w:r>
        <w:rPr>
          <w:rStyle w:val="FootnoteReference"/>
        </w:rPr>
        <w:footnoteReference w:id="25"/>
      </w:r>
      <w:r w:rsidRPr="004100DA">
        <w:t xml:space="preserve"> </w:t>
      </w:r>
      <w:r w:rsidR="009D2408">
        <w:t xml:space="preserve"> This rulemaking</w:t>
      </w:r>
      <w:r>
        <w:t xml:space="preserve"> will allow the Commission to determine the extent to which </w:t>
      </w:r>
      <w:r w:rsidR="009D2408">
        <w:t>VRS consumers’</w:t>
      </w:r>
      <w:r>
        <w:t xml:space="preserve"> Social Security</w:t>
      </w:r>
      <w:r w:rsidR="00ED1997">
        <w:t xml:space="preserve"> or Tribal identification</w:t>
      </w:r>
      <w:r>
        <w:t xml:space="preserve"> numbers will be required in the future, including the extent to which they will be used by the TRS-URD to verify such users.  Accordingly, we grant a temporary waiver only until such time </w:t>
      </w:r>
      <w:r w:rsidR="00B20980">
        <w:t xml:space="preserve">as </w:t>
      </w:r>
      <w:r>
        <w:t xml:space="preserve">the Commission takes final action on </w:t>
      </w:r>
      <w:r w:rsidR="009D2408">
        <w:t>VRS consumer registration</w:t>
      </w:r>
      <w:r>
        <w:t xml:space="preserve"> and verification procedures pursuant to its open rulemaking proceedings on such matters. </w:t>
      </w:r>
    </w:p>
    <w:p w:rsidR="007D6E3D" w:rsidRPr="008C59F4" w:rsidRDefault="007D6E3D" w:rsidP="007D6E3D">
      <w:pPr>
        <w:pStyle w:val="ParaNum"/>
        <w:tabs>
          <w:tab w:val="left" w:pos="720"/>
          <w:tab w:val="num" w:pos="990"/>
        </w:tabs>
      </w:pPr>
      <w:r>
        <w:t xml:space="preserve">In summary, we find good cause to temporarily waive the Social Security Number Rule as it applies to </w:t>
      </w:r>
      <w:r w:rsidR="009D2408">
        <w:t>VRS</w:t>
      </w:r>
      <w:r>
        <w:t xml:space="preserve"> users who do not have Social Security</w:t>
      </w:r>
      <w:r w:rsidR="004E5913">
        <w:t xml:space="preserve"> or Tribal identification</w:t>
      </w:r>
      <w:r>
        <w:t xml:space="preserve"> numbers, because </w:t>
      </w:r>
      <w:r w:rsidR="002F5BF8">
        <w:t>without</w:t>
      </w:r>
      <w:r>
        <w:t xml:space="preserve"> the requested waiver</w:t>
      </w:r>
      <w:r w:rsidR="002F5BF8">
        <w:t>,</w:t>
      </w:r>
      <w:r>
        <w:t xml:space="preserve"> </w:t>
      </w:r>
      <w:r w:rsidR="009D2408">
        <w:t>VRS</w:t>
      </w:r>
      <w:r>
        <w:t xml:space="preserve"> </w:t>
      </w:r>
      <w:r w:rsidR="002F5BF8">
        <w:t xml:space="preserve">would be unavailable </w:t>
      </w:r>
      <w:r>
        <w:t xml:space="preserve">to several classes of individuals who are eligible </w:t>
      </w:r>
      <w:r w:rsidR="002F5BF8">
        <w:t>to use it</w:t>
      </w:r>
      <w:r w:rsidR="00B620BE">
        <w:t>.  This waiver is conditioned on the provider</w:t>
      </w:r>
      <w:r w:rsidR="002F5BF8">
        <w:t>’</w:t>
      </w:r>
      <w:r w:rsidR="00B620BE">
        <w:t xml:space="preserve">s </w:t>
      </w:r>
      <w:r w:rsidR="002F5BF8">
        <w:t xml:space="preserve">collection </w:t>
      </w:r>
      <w:r w:rsidR="00B620BE">
        <w:t>of alternative</w:t>
      </w:r>
      <w:r>
        <w:t xml:space="preserve"> documentation </w:t>
      </w:r>
      <w:r w:rsidR="002F5BF8">
        <w:t xml:space="preserve">as </w:t>
      </w:r>
      <w:r w:rsidR="00B620BE">
        <w:t>listed above, which will</w:t>
      </w:r>
      <w:r>
        <w:t xml:space="preserve"> </w:t>
      </w:r>
      <w:r w:rsidR="002F5BF8">
        <w:t xml:space="preserve">limit </w:t>
      </w:r>
      <w:r w:rsidR="004316BA">
        <w:t>the</w:t>
      </w:r>
      <w:r w:rsidR="002F5BF8">
        <w:t xml:space="preserve"> </w:t>
      </w:r>
      <w:r>
        <w:t>risk of fraud, waste</w:t>
      </w:r>
      <w:r w:rsidR="002F5BF8">
        <w:t>,</w:t>
      </w:r>
      <w:r>
        <w:t xml:space="preserve"> and abuse</w:t>
      </w:r>
      <w:r w:rsidR="004316BA">
        <w:t xml:space="preserve"> in the VRS program</w:t>
      </w:r>
      <w:r w:rsidR="004A5168">
        <w:t>.</w:t>
      </w:r>
      <w:r>
        <w:t xml:space="preserve">     </w:t>
      </w:r>
    </w:p>
    <w:p w:rsidR="007D6E3D" w:rsidRDefault="007D6E3D" w:rsidP="00E65F50">
      <w:pPr>
        <w:pStyle w:val="Heading1"/>
        <w:keepLines/>
      </w:pPr>
      <w:r>
        <w:t>Ordering clauses</w:t>
      </w:r>
    </w:p>
    <w:p w:rsidR="00B620BE" w:rsidRDefault="007D6E3D" w:rsidP="00E65F50">
      <w:pPr>
        <w:pStyle w:val="ParaNum"/>
        <w:keepNext/>
        <w:keepLines/>
        <w:tabs>
          <w:tab w:val="left" w:pos="720"/>
        </w:tabs>
      </w:pPr>
      <w:r>
        <w:t>Accordingly, IT IS ORDERED that, pursuant to the authority contained in sections 4(i) and 4(j) and 225 of the Communications Act of 1934, as amended, 47 U.S.C. §§ 154(i), 154(j) and 225, and sections 0.141, 0.361 and 1.3 of the Commission’s rules, 47 C.F.R. §§ 0.141, 0.361 and 1.3, this Order IS ADOPTED.</w:t>
      </w:r>
    </w:p>
    <w:p w:rsidR="007D6E3D" w:rsidRDefault="007D6E3D" w:rsidP="00E65F50">
      <w:pPr>
        <w:pStyle w:val="ParaNum"/>
        <w:keepNext/>
        <w:keepLines/>
        <w:tabs>
          <w:tab w:val="left" w:pos="720"/>
        </w:tabs>
      </w:pPr>
      <w:r>
        <w:t>IT IS FURTHER ORDERED that this Order SHALL BE EFFECTIVE upon release.</w:t>
      </w:r>
    </w:p>
    <w:p w:rsidR="007D6E3D" w:rsidRDefault="007D6E3D" w:rsidP="00E65F50">
      <w:pPr>
        <w:keepNext/>
        <w:keepLines/>
      </w:pPr>
    </w:p>
    <w:p w:rsidR="007D6E3D" w:rsidRDefault="007D6E3D" w:rsidP="00E65F50">
      <w:pPr>
        <w:keepNext/>
        <w:keepLines/>
        <w:ind w:left="3600" w:firstLine="720"/>
      </w:pPr>
      <w:r>
        <w:t>FEDERAL COMMUNICATIONS COMMISSION</w:t>
      </w:r>
    </w:p>
    <w:p w:rsidR="007D6E3D" w:rsidRDefault="007D6E3D" w:rsidP="00E65F50">
      <w:pPr>
        <w:keepNext/>
        <w:keepLines/>
      </w:pPr>
    </w:p>
    <w:p w:rsidR="007D6E3D" w:rsidRDefault="007D6E3D" w:rsidP="00E65F50">
      <w:pPr>
        <w:keepNext/>
        <w:keepLines/>
      </w:pPr>
    </w:p>
    <w:p w:rsidR="007D6E3D" w:rsidRDefault="007D6E3D" w:rsidP="00E65F50">
      <w:pPr>
        <w:keepNext/>
        <w:keepLines/>
      </w:pPr>
    </w:p>
    <w:p w:rsidR="007D6E3D" w:rsidRDefault="007D6E3D" w:rsidP="00E65F50">
      <w:pPr>
        <w:keepNext/>
        <w:keepLines/>
        <w:ind w:left="3600" w:firstLine="720"/>
      </w:pPr>
      <w:r>
        <w:t>Kris Anne Monteith</w:t>
      </w:r>
    </w:p>
    <w:p w:rsidR="007D6E3D" w:rsidRDefault="007D6E3D" w:rsidP="00E65F50">
      <w:pPr>
        <w:keepNext/>
        <w:keepLines/>
        <w:ind w:left="3600" w:firstLine="720"/>
      </w:pPr>
      <w:r>
        <w:t>Acting Chief</w:t>
      </w:r>
    </w:p>
    <w:p w:rsidR="007D6E3D" w:rsidRDefault="007D6E3D" w:rsidP="00E65F50">
      <w:pPr>
        <w:keepNext/>
        <w:keepLines/>
        <w:ind w:left="3600" w:firstLine="720"/>
        <w:rPr>
          <w:color w:val="000000"/>
        </w:rPr>
      </w:pPr>
      <w:r>
        <w:t>Consumer and Governmental Affairs Bureau</w:t>
      </w:r>
    </w:p>
    <w:sectPr w:rsidR="007D6E3D" w:rsidSect="007D6E3D">
      <w:endnotePr>
        <w:numFmt w:val="decimal"/>
      </w:endnotePr>
      <w:type w:val="continuous"/>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C6" w:rsidRDefault="00E80CC6">
      <w:pPr>
        <w:spacing w:line="20" w:lineRule="exact"/>
      </w:pPr>
    </w:p>
    <w:p w:rsidR="00E80CC6" w:rsidRDefault="00E80CC6"/>
  </w:endnote>
  <w:endnote w:type="continuationSeparator" w:id="0">
    <w:p w:rsidR="00E80CC6" w:rsidRDefault="00E80CC6">
      <w:r>
        <w:t xml:space="preserve"> </w:t>
      </w:r>
    </w:p>
    <w:p w:rsidR="00E80CC6" w:rsidRDefault="00E80CC6"/>
  </w:endnote>
  <w:endnote w:type="continuationNotice" w:id="1">
    <w:p w:rsidR="00E80CC6" w:rsidRDefault="00E80CC6">
      <w:r>
        <w:t xml:space="preserve"> </w:t>
      </w:r>
    </w:p>
    <w:p w:rsidR="00E80CC6" w:rsidRDefault="00E80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D" w:rsidRDefault="007D6E3D">
    <w:pPr>
      <w:pStyle w:val="Footer"/>
      <w:framePr w:wrap="around" w:vAnchor="text" w:hAnchor="margin" w:xAlign="center" w:y="1"/>
    </w:pPr>
    <w:r>
      <w:fldChar w:fldCharType="begin"/>
    </w:r>
    <w:r>
      <w:instrText xml:space="preserve">PAGE  </w:instrText>
    </w:r>
    <w:r>
      <w:fldChar w:fldCharType="end"/>
    </w:r>
  </w:p>
  <w:p w:rsidR="007D6E3D" w:rsidRDefault="007D6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D" w:rsidRDefault="007D6E3D">
    <w:pPr>
      <w:pStyle w:val="Footer"/>
      <w:framePr w:wrap="around" w:vAnchor="text" w:hAnchor="margin" w:xAlign="center" w:y="1"/>
    </w:pPr>
    <w:r>
      <w:fldChar w:fldCharType="begin"/>
    </w:r>
    <w:r>
      <w:instrText xml:space="preserve">PAGE  </w:instrText>
    </w:r>
    <w:r>
      <w:fldChar w:fldCharType="separate"/>
    </w:r>
    <w:r w:rsidR="00195D7E">
      <w:rPr>
        <w:noProof/>
      </w:rPr>
      <w:t>2</w:t>
    </w:r>
    <w:r>
      <w:fldChar w:fldCharType="end"/>
    </w:r>
  </w:p>
  <w:p w:rsidR="007D6E3D" w:rsidRDefault="007D6E3D">
    <w:pPr>
      <w:spacing w:before="140" w:line="100" w:lineRule="exact"/>
      <w:rPr>
        <w:sz w:val="10"/>
      </w:rPr>
    </w:pPr>
  </w:p>
  <w:p w:rsidR="007D6E3D" w:rsidRDefault="007D6E3D">
    <w:pPr>
      <w:suppressAutoHyphens/>
      <w:spacing w:line="227" w:lineRule="auto"/>
    </w:pPr>
  </w:p>
  <w:p w:rsidR="007D6E3D" w:rsidRDefault="007D6E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D" w:rsidRDefault="007D6E3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C6" w:rsidRDefault="00E80CC6">
      <w:r>
        <w:separator/>
      </w:r>
    </w:p>
  </w:footnote>
  <w:footnote w:type="continuationSeparator" w:id="0">
    <w:p w:rsidR="00E80CC6" w:rsidRDefault="00E80CC6">
      <w:pPr>
        <w:rPr>
          <w:sz w:val="20"/>
        </w:rPr>
      </w:pPr>
      <w:r>
        <w:rPr>
          <w:sz w:val="20"/>
        </w:rPr>
        <w:t xml:space="preserve">(Continued from previous page)  </w:t>
      </w:r>
      <w:r>
        <w:rPr>
          <w:sz w:val="20"/>
        </w:rPr>
        <w:separator/>
      </w:r>
    </w:p>
  </w:footnote>
  <w:footnote w:type="continuationNotice" w:id="1">
    <w:p w:rsidR="00E80CC6" w:rsidRDefault="00E80CC6">
      <w:pPr>
        <w:rPr>
          <w:sz w:val="20"/>
        </w:rPr>
      </w:pPr>
      <w:r>
        <w:rPr>
          <w:sz w:val="20"/>
        </w:rPr>
        <w:t>(continued…)</w:t>
      </w:r>
    </w:p>
    <w:p w:rsidR="00E80CC6" w:rsidRDefault="00E80CC6"/>
  </w:footnote>
  <w:footnote w:id="2">
    <w:p w:rsidR="008A4FB6" w:rsidRDefault="008A4FB6">
      <w:pPr>
        <w:pStyle w:val="FootnoteText"/>
      </w:pPr>
      <w:r>
        <w:rPr>
          <w:rStyle w:val="FootnoteReference"/>
        </w:rPr>
        <w:footnoteRef/>
      </w:r>
      <w:r>
        <w:t xml:space="preserve"> </w:t>
      </w:r>
      <w:r w:rsidRPr="008A4FB6">
        <w:t xml:space="preserve">Under Title IV of the ADA, the Commission must ensure that telecommunications relay services (TRS) “are available, to the extent possible and in the most efficient manner” to persons in the United States who are deaf, hard of hearing, deaf-blind, or who have speech disabilities.  47 U.S.C. § 225(b)(1); </w:t>
      </w:r>
      <w:r w:rsidRPr="008A4FB6">
        <w:rPr>
          <w:i/>
        </w:rPr>
        <w:t>see also</w:t>
      </w:r>
      <w:r w:rsidRPr="008A4FB6">
        <w:t xml:space="preserve"> </w:t>
      </w:r>
      <w:r w:rsidRPr="008A4FB6">
        <w:rPr>
          <w:i/>
        </w:rPr>
        <w:t>id</w:t>
      </w:r>
      <w:r w:rsidRPr="008A4FB6">
        <w:t xml:space="preserve">., § 225(a)(3).  VRS is a type of TRS that allows persons with hearing or speech disabilities to use American Sign Language (ASL) to communicate in near real time through a communications assistant (CA), via video over a broadband Internet connection.  </w:t>
      </w:r>
      <w:r w:rsidRPr="008A4FB6">
        <w:rPr>
          <w:i/>
        </w:rPr>
        <w:t>See</w:t>
      </w:r>
      <w:r w:rsidRPr="008A4FB6">
        <w:t xml:space="preserve"> 47 C.F.R. § 64.601(a)(27).</w:t>
      </w:r>
    </w:p>
  </w:footnote>
  <w:footnote w:id="3">
    <w:p w:rsidR="00B0076C" w:rsidRPr="0000078C" w:rsidRDefault="00B0076C" w:rsidP="005E4837">
      <w:pPr>
        <w:spacing w:after="120"/>
      </w:pPr>
      <w:r w:rsidRPr="005E4837">
        <w:rPr>
          <w:rStyle w:val="FootnoteReference"/>
        </w:rPr>
        <w:footnoteRef/>
      </w:r>
      <w:r w:rsidRPr="005E4837">
        <w:rPr>
          <w:sz w:val="20"/>
        </w:rPr>
        <w:t xml:space="preserve"> </w:t>
      </w:r>
      <w:r w:rsidRPr="005E4837">
        <w:rPr>
          <w:i/>
          <w:sz w:val="20"/>
        </w:rPr>
        <w:t>Structure and Practices of the Video Relay Service Program</w:t>
      </w:r>
      <w:r w:rsidRPr="005E4837">
        <w:rPr>
          <w:sz w:val="20"/>
        </w:rPr>
        <w:t xml:space="preserve">, Report and Order and Further Notice of Proposed Rulemaking, </w:t>
      </w:r>
      <w:r w:rsidRPr="005E4837">
        <w:rPr>
          <w:color w:val="000000"/>
          <w:sz w:val="20"/>
        </w:rPr>
        <w:t>28 FCC Rcd 8618, 864</w:t>
      </w:r>
      <w:r w:rsidR="0077651F">
        <w:rPr>
          <w:color w:val="000000"/>
          <w:sz w:val="20"/>
        </w:rPr>
        <w:t>8</w:t>
      </w:r>
      <w:r w:rsidR="00BB1657">
        <w:rPr>
          <w:color w:val="000000"/>
          <w:sz w:val="20"/>
        </w:rPr>
        <w:t>,</w:t>
      </w:r>
      <w:r w:rsidRPr="005E4837">
        <w:rPr>
          <w:color w:val="000000"/>
          <w:sz w:val="20"/>
        </w:rPr>
        <w:t xml:space="preserve"> ¶</w:t>
      </w:r>
      <w:r w:rsidR="00D34884" w:rsidRPr="005E4837">
        <w:rPr>
          <w:color w:val="000000"/>
          <w:sz w:val="20"/>
        </w:rPr>
        <w:t xml:space="preserve"> 63</w:t>
      </w:r>
      <w:r w:rsidR="00A278D7">
        <w:rPr>
          <w:color w:val="000000"/>
          <w:sz w:val="20"/>
        </w:rPr>
        <w:t xml:space="preserve"> (2013) </w:t>
      </w:r>
      <w:r w:rsidRPr="005E4837">
        <w:rPr>
          <w:color w:val="000000"/>
          <w:sz w:val="20"/>
        </w:rPr>
        <w:t>(</w:t>
      </w:r>
      <w:r w:rsidRPr="005E4837">
        <w:rPr>
          <w:i/>
          <w:color w:val="000000"/>
          <w:sz w:val="20"/>
        </w:rPr>
        <w:t>VRS Reform Order</w:t>
      </w:r>
      <w:r w:rsidRPr="005E4837">
        <w:rPr>
          <w:color w:val="000000"/>
          <w:sz w:val="20"/>
        </w:rPr>
        <w:t>)</w:t>
      </w:r>
      <w:r w:rsidR="00BB1657">
        <w:rPr>
          <w:color w:val="000000"/>
          <w:sz w:val="20"/>
        </w:rPr>
        <w:t xml:space="preserve">; </w:t>
      </w:r>
      <w:r w:rsidR="00BB1657" w:rsidRPr="00BB1657">
        <w:rPr>
          <w:i/>
          <w:color w:val="000000"/>
          <w:sz w:val="20"/>
        </w:rPr>
        <w:t>see also id</w:t>
      </w:r>
      <w:r w:rsidR="00BB1657">
        <w:rPr>
          <w:color w:val="000000"/>
          <w:sz w:val="20"/>
        </w:rPr>
        <w:t xml:space="preserve">., ¶ 64 </w:t>
      </w:r>
      <w:r w:rsidR="00A278D7">
        <w:rPr>
          <w:iCs/>
          <w:sz w:val="20"/>
        </w:rPr>
        <w:t xml:space="preserve"> </w:t>
      </w:r>
      <w:r w:rsidR="0000078C" w:rsidRPr="005E4837">
        <w:rPr>
          <w:iCs/>
          <w:sz w:val="20"/>
        </w:rPr>
        <w:t xml:space="preserve">(“Unlawful VRS provider </w:t>
      </w:r>
      <w:r w:rsidR="0000078C" w:rsidRPr="005E4837">
        <w:rPr>
          <w:sz w:val="20"/>
        </w:rPr>
        <w:t xml:space="preserve">practices </w:t>
      </w:r>
      <w:r w:rsidR="008A4FB6">
        <w:rPr>
          <w:sz w:val="20"/>
        </w:rPr>
        <w:t xml:space="preserve">. . . </w:t>
      </w:r>
      <w:r w:rsidR="0000078C" w:rsidRPr="005E4837">
        <w:rPr>
          <w:sz w:val="20"/>
        </w:rPr>
        <w:t>undermine the key goals of Congress in enacting section 225.  VRS provider practices that result in waste, fraud, and abuse threaten the sustainability of the TRS Fund and are directly linked to the efficiency and effectiveness of the TRS Fund support mechanisms upon which VRS providers rely for compensation.”).</w:t>
      </w:r>
      <w:r w:rsidR="00101E12">
        <w:rPr>
          <w:sz w:val="20"/>
        </w:rPr>
        <w:t xml:space="preserve">  </w:t>
      </w:r>
    </w:p>
  </w:footnote>
  <w:footnote w:id="4">
    <w:p w:rsidR="0000078C" w:rsidRPr="0000078C" w:rsidRDefault="0000078C">
      <w:pPr>
        <w:pStyle w:val="FootnoteText"/>
      </w:pPr>
      <w:r>
        <w:rPr>
          <w:rStyle w:val="FootnoteReference"/>
        </w:rPr>
        <w:footnoteRef/>
      </w:r>
      <w:r>
        <w:t xml:space="preserve"> </w:t>
      </w:r>
      <w:r w:rsidR="00BB1657">
        <w:rPr>
          <w:i/>
        </w:rPr>
        <w:t>Id.</w:t>
      </w:r>
      <w:r w:rsidRPr="00B0076C">
        <w:rPr>
          <w:color w:val="000000"/>
        </w:rPr>
        <w:t xml:space="preserve"> </w:t>
      </w:r>
      <w:r w:rsidR="00A278D7">
        <w:t>at 8650</w:t>
      </w:r>
      <w:r w:rsidR="00BB1657">
        <w:t>,</w:t>
      </w:r>
      <w:r>
        <w:t xml:space="preserve"> </w:t>
      </w:r>
      <w:r w:rsidR="005E4837">
        <w:t>¶ 70 (</w:t>
      </w:r>
      <w:r w:rsidR="001E2E95">
        <w:t xml:space="preserve">requiring </w:t>
      </w:r>
      <w:r w:rsidR="005E4837">
        <w:t>information such as name, address, and date of birth).</w:t>
      </w:r>
    </w:p>
  </w:footnote>
  <w:footnote w:id="5">
    <w:p w:rsidR="0000078C" w:rsidRPr="00380C16" w:rsidRDefault="0000078C">
      <w:pPr>
        <w:pStyle w:val="FootnoteText"/>
        <w:rPr>
          <w:b/>
        </w:rPr>
      </w:pPr>
      <w:r>
        <w:rPr>
          <w:rStyle w:val="FootnoteReference"/>
        </w:rPr>
        <w:footnoteRef/>
      </w:r>
      <w:r>
        <w:t xml:space="preserve"> </w:t>
      </w:r>
      <w:r w:rsidR="00BB1657" w:rsidRPr="00BB1657">
        <w:rPr>
          <w:i/>
        </w:rPr>
        <w:t xml:space="preserve">Id. </w:t>
      </w:r>
      <w:r w:rsidR="00A278D7">
        <w:t xml:space="preserve">at </w:t>
      </w:r>
      <w:r w:rsidR="00F876CB" w:rsidRPr="00F876CB">
        <w:t>8647, ¶ 62 (“The creation of a centralized TRS-URD will facilitate Commission efforts to reduce waste, fraud, and abuse and improve our ability to efficiently manage the program.”)</w:t>
      </w:r>
      <w:r w:rsidR="00F876CB">
        <w:t xml:space="preserve">, </w:t>
      </w:r>
      <w:r w:rsidR="00A278D7">
        <w:t>8654,</w:t>
      </w:r>
      <w:r>
        <w:t xml:space="preserve"> ¶ 80 (requiring </w:t>
      </w:r>
      <w:r w:rsidR="007E11AE">
        <w:t>“</w:t>
      </w:r>
      <w:r>
        <w:t>a written self-certification that the user has a hearing or speech disability that makes them eligible to use VRS”</w:t>
      </w:r>
      <w:r w:rsidR="009066D6">
        <w:t xml:space="preserve">); </w:t>
      </w:r>
      <w:r w:rsidR="009066D6">
        <w:rPr>
          <w:i/>
        </w:rPr>
        <w:t xml:space="preserve">see </w:t>
      </w:r>
      <w:r w:rsidR="00F876CB">
        <w:rPr>
          <w:i/>
        </w:rPr>
        <w:t xml:space="preserve">also </w:t>
      </w:r>
      <w:r w:rsidR="009066D6">
        <w:rPr>
          <w:i/>
        </w:rPr>
        <w:t>id.</w:t>
      </w:r>
      <w:r w:rsidR="009066D6">
        <w:t xml:space="preserve"> at </w:t>
      </w:r>
      <w:r w:rsidR="00A278D7">
        <w:t xml:space="preserve">8656, ¶ </w:t>
      </w:r>
      <w:r w:rsidR="009066D6">
        <w:t>86 (the establishment of verification criteria will be determined by the FCC’s Office of Managing Director).</w:t>
      </w:r>
      <w:r w:rsidR="00F02FAC">
        <w:t xml:space="preserve"> </w:t>
      </w:r>
      <w:r w:rsidR="00E97712">
        <w:t xml:space="preserve"> </w:t>
      </w:r>
    </w:p>
  </w:footnote>
  <w:footnote w:id="6">
    <w:p w:rsidR="005022E7" w:rsidRDefault="005022E7">
      <w:pPr>
        <w:pStyle w:val="FootnoteText"/>
      </w:pPr>
      <w:r>
        <w:rPr>
          <w:rStyle w:val="FootnoteReference"/>
        </w:rPr>
        <w:footnoteRef/>
      </w:r>
      <w:r>
        <w:t xml:space="preserve"> </w:t>
      </w:r>
      <w:r>
        <w:rPr>
          <w:i/>
        </w:rPr>
        <w:t xml:space="preserve">See </w:t>
      </w:r>
      <w:r w:rsidR="00BB1657">
        <w:rPr>
          <w:i/>
        </w:rPr>
        <w:t>id.</w:t>
      </w:r>
      <w:r w:rsidR="002C35CC">
        <w:t xml:space="preserve"> at </w:t>
      </w:r>
      <w:r w:rsidR="00A278D7">
        <w:t>8650,</w:t>
      </w:r>
      <w:r w:rsidR="002C35CC">
        <w:t xml:space="preserve"> ¶ 70</w:t>
      </w:r>
      <w:r w:rsidR="00137C03">
        <w:t>.</w:t>
      </w:r>
    </w:p>
  </w:footnote>
  <w:footnote w:id="7">
    <w:p w:rsidR="00137C03" w:rsidRDefault="00137C03">
      <w:pPr>
        <w:pStyle w:val="FootnoteText"/>
      </w:pPr>
      <w:r>
        <w:rPr>
          <w:rStyle w:val="FootnoteReference"/>
        </w:rPr>
        <w:footnoteRef/>
      </w:r>
      <w:r>
        <w:t xml:space="preserve"> </w:t>
      </w:r>
      <w:r w:rsidR="00BB1657">
        <w:rPr>
          <w:i/>
        </w:rPr>
        <w:t>Id.</w:t>
      </w:r>
      <w:r w:rsidR="004F73D8">
        <w:t>,</w:t>
      </w:r>
      <w:r>
        <w:t xml:space="preserve"> n.170.</w:t>
      </w:r>
    </w:p>
  </w:footnote>
  <w:footnote w:id="8">
    <w:p w:rsidR="00101E12" w:rsidRDefault="00101E12" w:rsidP="00101E12">
      <w:pPr>
        <w:pStyle w:val="FootnoteText"/>
      </w:pPr>
      <w:r>
        <w:rPr>
          <w:rStyle w:val="FootnoteReference"/>
        </w:rPr>
        <w:footnoteRef/>
      </w:r>
      <w:r>
        <w:t xml:space="preserve"> VRS providers must provide consumers’ information to the TRS-URD within 60 days after notice “from the Commission that the TRS-URD is ready to accept such information.”  </w:t>
      </w:r>
      <w:r w:rsidR="00BB1657">
        <w:rPr>
          <w:i/>
        </w:rPr>
        <w:t>Id.</w:t>
      </w:r>
      <w:r>
        <w:t xml:space="preserve"> at 8651, ¶ 71</w:t>
      </w:r>
      <w:r w:rsidR="00BB1657">
        <w:t xml:space="preserve">; </w:t>
      </w:r>
      <w:r w:rsidR="00BB1657" w:rsidRPr="00BB1657">
        <w:rPr>
          <w:i/>
        </w:rPr>
        <w:t>see also</w:t>
      </w:r>
      <w:r>
        <w:t xml:space="preserve"> </w:t>
      </w:r>
      <w:r>
        <w:rPr>
          <w:i/>
        </w:rPr>
        <w:t>id.</w:t>
      </w:r>
      <w:r>
        <w:t xml:space="preserve"> at 8656, ¶ 86 (“VRS providers shall not register individuals that do not pass the identification verification check conducted through the TRS-URD, and shall not seek compensation for calls placed by such individuals.”).</w:t>
      </w:r>
    </w:p>
  </w:footnote>
  <w:footnote w:id="9">
    <w:p w:rsidR="00A53055" w:rsidRDefault="00A53055" w:rsidP="00A53055">
      <w:pPr>
        <w:pStyle w:val="FootnoteText"/>
      </w:pPr>
      <w:r>
        <w:rPr>
          <w:rStyle w:val="FootnoteReference"/>
        </w:rPr>
        <w:footnoteRef/>
      </w:r>
      <w:r>
        <w:t xml:space="preserve"> Captioned Telephone Service (</w:t>
      </w:r>
      <w:r w:rsidRPr="003E71D4">
        <w:t>CTS</w:t>
      </w:r>
      <w:r>
        <w:t>)</w:t>
      </w:r>
      <w:r w:rsidRPr="003E71D4">
        <w:t xml:space="preserve"> is a type of telecommunications relay service (TRS) that permits people who can speak, but who have difficulty hearing over the telephone, to simultaneously listen to the other party and read captions of what that party is saying.  Generally, IP CTS uses a connection via the public switched telephone network (PSTN) or voice over Internet Protocol (VoIP) for the voice portion of the call, while the connection carrying the captions between the relay service provider and the relay service user occurs via the Internet.  </w:t>
      </w:r>
      <w:r w:rsidRPr="00414C99">
        <w:t>47</w:t>
      </w:r>
      <w:r w:rsidRPr="003E71D4">
        <w:t xml:space="preserve"> C.F.R. § 64.601(a)(16);</w:t>
      </w:r>
      <w:r w:rsidRPr="003E71D4">
        <w:rPr>
          <w:i/>
          <w:snapToGrid w:val="0"/>
          <w:kern w:val="28"/>
          <w:sz w:val="22"/>
        </w:rPr>
        <w:t xml:space="preserve"> </w:t>
      </w:r>
      <w:r w:rsidRPr="003E71D4">
        <w:rPr>
          <w:i/>
        </w:rPr>
        <w:t>Telecommunications Relay Services and Speech-to-Speech Services for Individuals with Hearing and Speech Disabilities</w:t>
      </w:r>
      <w:r w:rsidRPr="003E71D4">
        <w:t>, CG Docket No. 03-123, Declaratory Ruling, 22 FCC Rcd 379, 385, ¶ 14 (2007)</w:t>
      </w:r>
      <w:r>
        <w:t>.</w:t>
      </w:r>
    </w:p>
  </w:footnote>
  <w:footnote w:id="10">
    <w:p w:rsidR="00272F16" w:rsidRPr="00272F16" w:rsidRDefault="00272F16">
      <w:pPr>
        <w:pStyle w:val="FootnoteText"/>
      </w:pPr>
      <w:r>
        <w:rPr>
          <w:rStyle w:val="FootnoteReference"/>
        </w:rPr>
        <w:footnoteRef/>
      </w:r>
      <w:r>
        <w:t xml:space="preserve"> </w:t>
      </w:r>
      <w:r w:rsidR="002C5587" w:rsidRPr="00137C03">
        <w:rPr>
          <w:i/>
        </w:rPr>
        <w:t>Misuse of Internet Protocol (IP) Captioned Telephone Service</w:t>
      </w:r>
      <w:r w:rsidR="002C5587" w:rsidRPr="00137C03">
        <w:t>, C</w:t>
      </w:r>
      <w:r w:rsidR="00B733F4">
        <w:t>G</w:t>
      </w:r>
      <w:r w:rsidR="002C5587" w:rsidRPr="00137C03">
        <w:t xml:space="preserve"> Docket No</w:t>
      </w:r>
      <w:r w:rsidR="00B733F4">
        <w:t>s</w:t>
      </w:r>
      <w:r w:rsidR="002C5587" w:rsidRPr="00137C03">
        <w:t xml:space="preserve">. 13-24, </w:t>
      </w:r>
      <w:r w:rsidR="00B733F4">
        <w:t xml:space="preserve">03-123, </w:t>
      </w:r>
      <w:r w:rsidR="002C5587" w:rsidRPr="00137C03">
        <w:t>Order, DA 15-173</w:t>
      </w:r>
      <w:r w:rsidR="002C5587">
        <w:t>, ¶¶ 1, 11</w:t>
      </w:r>
      <w:r w:rsidR="002C5587" w:rsidRPr="00137C03">
        <w:t xml:space="preserve"> (CGB</w:t>
      </w:r>
      <w:r w:rsidR="00B733F4">
        <w:t>, rel. Feb. 6,</w:t>
      </w:r>
      <w:r w:rsidR="002C5587" w:rsidRPr="00137C03">
        <w:t xml:space="preserve"> 2015)</w:t>
      </w:r>
      <w:r w:rsidR="002C5587">
        <w:t xml:space="preserve"> (</w:t>
      </w:r>
      <w:r w:rsidR="002C5587">
        <w:rPr>
          <w:i/>
        </w:rPr>
        <w:t>IP CTS Social Security Waiver Order</w:t>
      </w:r>
      <w:r w:rsidR="002C5587">
        <w:t>)</w:t>
      </w:r>
      <w:r>
        <w:t xml:space="preserve">.  </w:t>
      </w:r>
    </w:p>
  </w:footnote>
  <w:footnote w:id="11">
    <w:p w:rsidR="00B03267" w:rsidRDefault="00B03267">
      <w:pPr>
        <w:pStyle w:val="FootnoteText"/>
      </w:pPr>
      <w:r>
        <w:rPr>
          <w:rStyle w:val="FootnoteReference"/>
        </w:rPr>
        <w:footnoteRef/>
      </w:r>
      <w:r>
        <w:t xml:space="preserve"> 47 U.S.C. </w:t>
      </w:r>
      <w:r w:rsidR="00FB09C9">
        <w:t xml:space="preserve">§ </w:t>
      </w:r>
      <w:r>
        <w:t>225(b)(1).</w:t>
      </w:r>
    </w:p>
  </w:footnote>
  <w:footnote w:id="12">
    <w:p w:rsidR="00B03267" w:rsidRPr="00B03267" w:rsidRDefault="00B03267">
      <w:pPr>
        <w:pStyle w:val="FootnoteText"/>
      </w:pPr>
      <w:r>
        <w:rPr>
          <w:rStyle w:val="FootnoteReference"/>
        </w:rPr>
        <w:footnoteRef/>
      </w:r>
      <w:r>
        <w:t xml:space="preserve"> </w:t>
      </w:r>
      <w:r>
        <w:rPr>
          <w:i/>
        </w:rPr>
        <w:t>IP</w:t>
      </w:r>
      <w:r w:rsidR="00FB09C9">
        <w:rPr>
          <w:i/>
        </w:rPr>
        <w:t xml:space="preserve"> </w:t>
      </w:r>
      <w:r>
        <w:rPr>
          <w:i/>
        </w:rPr>
        <w:t>CTS Social Security Waiver Order</w:t>
      </w:r>
      <w:r>
        <w:t>, ¶ 11.</w:t>
      </w:r>
    </w:p>
  </w:footnote>
  <w:footnote w:id="13">
    <w:p w:rsidR="00B03267" w:rsidRPr="00B03267" w:rsidRDefault="00B03267">
      <w:pPr>
        <w:pStyle w:val="FootnoteText"/>
      </w:pPr>
      <w:r>
        <w:rPr>
          <w:rStyle w:val="FootnoteReference"/>
        </w:rPr>
        <w:footnoteRef/>
      </w:r>
      <w:r>
        <w:t xml:space="preserve"> </w:t>
      </w:r>
      <w:r w:rsidR="00BB1657">
        <w:rPr>
          <w:i/>
        </w:rPr>
        <w:t>Id.</w:t>
      </w:r>
      <w:r>
        <w:rPr>
          <w:i/>
        </w:rPr>
        <w:t xml:space="preserve">, </w:t>
      </w:r>
      <w:r>
        <w:t>¶¶</w:t>
      </w:r>
      <w:r w:rsidR="002C5587">
        <w:t xml:space="preserve"> </w:t>
      </w:r>
      <w:r>
        <w:t>11, 13-14.</w:t>
      </w:r>
    </w:p>
  </w:footnote>
  <w:footnote w:id="14">
    <w:p w:rsidR="007D6E3D" w:rsidRDefault="007D6E3D" w:rsidP="007D6E3D">
      <w:pPr>
        <w:pStyle w:val="FootnoteText"/>
      </w:pPr>
      <w:r>
        <w:rPr>
          <w:rStyle w:val="FootnoteReference"/>
        </w:rPr>
        <w:footnoteRef/>
      </w:r>
      <w:r>
        <w:t xml:space="preserve"> 47 C.F.R. § 1.3.</w:t>
      </w:r>
    </w:p>
  </w:footnote>
  <w:footnote w:id="15">
    <w:p w:rsidR="007D6E3D" w:rsidRDefault="007D6E3D" w:rsidP="007D6E3D">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16">
    <w:p w:rsidR="007D6E3D" w:rsidRDefault="007D6E3D" w:rsidP="007D6E3D">
      <w:pPr>
        <w:pStyle w:val="FootnoteText"/>
      </w:pPr>
      <w:r>
        <w:rPr>
          <w:rStyle w:val="FootnoteReference"/>
        </w:rPr>
        <w:footnoteRef/>
      </w:r>
      <w:r>
        <w:rPr>
          <w:i/>
        </w:rPr>
        <w:t xml:space="preserve"> WAIT Radio v. FCC</w:t>
      </w:r>
      <w:r>
        <w:t>,</w:t>
      </w:r>
      <w:r>
        <w:rPr>
          <w:i/>
        </w:rPr>
        <w:t xml:space="preserve"> </w:t>
      </w:r>
      <w:r>
        <w:t>418 F.2d 1153, 1159 (D.C. Cir. 1969) (</w:t>
      </w:r>
      <w:r>
        <w:rPr>
          <w:i/>
        </w:rPr>
        <w:t>WAIT Radio</w:t>
      </w:r>
      <w:r>
        <w:t xml:space="preserve">); </w:t>
      </w:r>
      <w:r>
        <w:rPr>
          <w:i/>
        </w:rPr>
        <w:t>Northeast Cellular</w:t>
      </w:r>
      <w:r>
        <w:t>,</w:t>
      </w:r>
      <w:r>
        <w:rPr>
          <w:i/>
        </w:rPr>
        <w:t xml:space="preserve"> </w:t>
      </w:r>
      <w:r>
        <w:t>897 F.2d at 1166.</w:t>
      </w:r>
    </w:p>
  </w:footnote>
  <w:footnote w:id="17">
    <w:p w:rsidR="007D6E3D" w:rsidRDefault="007D6E3D" w:rsidP="007D6E3D">
      <w:pPr>
        <w:pStyle w:val="FootnoteText"/>
      </w:pPr>
      <w:r>
        <w:rPr>
          <w:rStyle w:val="FootnoteReference"/>
        </w:rPr>
        <w:footnoteRef/>
      </w:r>
      <w:r>
        <w:t xml:space="preserve"> </w:t>
      </w:r>
      <w:r>
        <w:rPr>
          <w:i/>
        </w:rPr>
        <w:t>Id</w:t>
      </w:r>
      <w:r>
        <w:t>.</w:t>
      </w:r>
    </w:p>
  </w:footnote>
  <w:footnote w:id="18">
    <w:p w:rsidR="007D6E3D" w:rsidRPr="003402F1" w:rsidRDefault="007D6E3D" w:rsidP="007D6E3D">
      <w:pPr>
        <w:pStyle w:val="FootnoteText"/>
      </w:pPr>
      <w:r>
        <w:rPr>
          <w:rStyle w:val="FootnoteReference"/>
        </w:rPr>
        <w:footnoteRef/>
      </w:r>
      <w:r>
        <w:t xml:space="preserve"> 47 U.S.C. § 225(b)(1) (emphasis added); </w:t>
      </w:r>
      <w:r>
        <w:rPr>
          <w:i/>
        </w:rPr>
        <w:t>see also</w:t>
      </w:r>
      <w:r w:rsidR="001F73D1">
        <w:rPr>
          <w:i/>
        </w:rPr>
        <w:t xml:space="preserve"> </w:t>
      </w:r>
      <w:r w:rsidR="00B213E9">
        <w:rPr>
          <w:i/>
        </w:rPr>
        <w:t>id.</w:t>
      </w:r>
      <w:r w:rsidR="00BB1657">
        <w:rPr>
          <w:i/>
        </w:rPr>
        <w:t>,</w:t>
      </w:r>
      <w:r>
        <w:t xml:space="preserve"> § 151.</w:t>
      </w:r>
    </w:p>
  </w:footnote>
  <w:footnote w:id="19">
    <w:p w:rsidR="007D6E3D" w:rsidRPr="006C5291" w:rsidRDefault="007D6E3D" w:rsidP="007D6E3D">
      <w:pPr>
        <w:pStyle w:val="FootnoteText"/>
      </w:pPr>
      <w:r w:rsidRPr="006C5291">
        <w:rPr>
          <w:rStyle w:val="FootnoteReference"/>
        </w:rPr>
        <w:footnoteRef/>
      </w:r>
      <w:r w:rsidRPr="006C5291">
        <w:t xml:space="preserve"> </w:t>
      </w:r>
      <w:r w:rsidR="00B213E9">
        <w:rPr>
          <w:i/>
        </w:rPr>
        <w:t xml:space="preserve">Id. </w:t>
      </w:r>
      <w:r w:rsidRPr="006C5291">
        <w:t>§ 225</w:t>
      </w:r>
      <w:r>
        <w:t>(b)(1)</w:t>
      </w:r>
      <w:r w:rsidRPr="006C5291">
        <w:t>.</w:t>
      </w:r>
    </w:p>
  </w:footnote>
  <w:footnote w:id="20">
    <w:p w:rsidR="007D6E3D" w:rsidRDefault="007D6E3D" w:rsidP="007D6E3D">
      <w:pPr>
        <w:pStyle w:val="FootnoteText"/>
      </w:pPr>
      <w:r>
        <w:rPr>
          <w:rStyle w:val="FootnoteReference"/>
        </w:rPr>
        <w:footnoteRef/>
      </w:r>
      <w:r>
        <w:t xml:space="preserve"> S. Rep. No. 116, 101</w:t>
      </w:r>
      <w:r w:rsidRPr="0094030D">
        <w:rPr>
          <w:vertAlign w:val="superscript"/>
        </w:rPr>
        <w:t>st</w:t>
      </w:r>
      <w:r>
        <w:t xml:space="preserve"> Cong., 1</w:t>
      </w:r>
      <w:r w:rsidRPr="0094030D">
        <w:rPr>
          <w:vertAlign w:val="superscript"/>
        </w:rPr>
        <w:t>st</w:t>
      </w:r>
      <w:r>
        <w:t xml:space="preserve"> Sess. 77 (1989).</w:t>
      </w:r>
    </w:p>
  </w:footnote>
  <w:footnote w:id="21">
    <w:p w:rsidR="004F73D8" w:rsidRDefault="004F73D8" w:rsidP="007D6E3D">
      <w:pPr>
        <w:pStyle w:val="FootnoteText"/>
      </w:pPr>
      <w:r>
        <w:rPr>
          <w:rStyle w:val="FootnoteReference"/>
        </w:rPr>
        <w:footnoteRef/>
      </w:r>
      <w:r>
        <w:t xml:space="preserve"> </w:t>
      </w:r>
      <w:r w:rsidRPr="00CE7FF2">
        <w:t xml:space="preserve">All of these documents are accepted to verify </w:t>
      </w:r>
      <w:r w:rsidRPr="00B91C1C">
        <w:rPr>
          <w:i/>
        </w:rPr>
        <w:t>the identity</w:t>
      </w:r>
      <w:r w:rsidRPr="00CE7FF2">
        <w:t xml:space="preserve"> of </w:t>
      </w:r>
      <w:r w:rsidRPr="00171C2A">
        <w:t>Lifeline subscribers</w:t>
      </w:r>
      <w:r w:rsidRPr="00CE7FF2">
        <w:t xml:space="preserve"> who otherwise cannot be verified </w:t>
      </w:r>
      <w:r>
        <w:t>by</w:t>
      </w:r>
      <w:r w:rsidRPr="00CE7FF2">
        <w:t xml:space="preserve"> the N</w:t>
      </w:r>
      <w:r w:rsidRPr="00171C2A">
        <w:t xml:space="preserve">ational </w:t>
      </w:r>
      <w:r w:rsidRPr="00CE7FF2">
        <w:t>L</w:t>
      </w:r>
      <w:r w:rsidRPr="00171C2A">
        <w:t xml:space="preserve">ifeline </w:t>
      </w:r>
      <w:r w:rsidRPr="00CE7FF2">
        <w:t>A</w:t>
      </w:r>
      <w:r w:rsidRPr="00171C2A">
        <w:t xml:space="preserve">ccountability </w:t>
      </w:r>
      <w:r w:rsidRPr="00CE7FF2">
        <w:t>D</w:t>
      </w:r>
      <w:r w:rsidRPr="00171C2A">
        <w:t>atabase</w:t>
      </w:r>
      <w:r>
        <w:t xml:space="preserve"> (NLAD)</w:t>
      </w:r>
      <w:r w:rsidRPr="00CE7FF2">
        <w:t>.</w:t>
      </w:r>
      <w:r>
        <w:t xml:space="preserve">  </w:t>
      </w:r>
      <w:r>
        <w:rPr>
          <w:i/>
        </w:rPr>
        <w:t xml:space="preserve">See </w:t>
      </w:r>
      <w:r w:rsidR="00267B30">
        <w:t>Universal Service Administrative Company (</w:t>
      </w:r>
      <w:r>
        <w:t>USAC</w:t>
      </w:r>
      <w:r w:rsidR="00267B30">
        <w:t>)</w:t>
      </w:r>
      <w:r>
        <w:t>, NLAD Dispute Resolution – Lifeline Program, &lt;</w:t>
      </w:r>
      <w:r w:rsidRPr="00F455BD">
        <w:t>http://usac.org/li/tools/nlad/nlad-dispute-resolution.aspx</w:t>
      </w:r>
      <w:r w:rsidRPr="00B213E9">
        <w:rPr>
          <w:rStyle w:val="Hyperlink"/>
          <w:color w:val="auto"/>
          <w:u w:val="none"/>
        </w:rPr>
        <w:t>&gt;</w:t>
      </w:r>
      <w:r>
        <w:t xml:space="preserve"> (last visited Jan. 7, 2015).  We conclude that, based on their use in the Lifeline program, these documents will assist in the verification of VRS users who cannot provide the last four digits of a Social Security number.</w:t>
      </w:r>
    </w:p>
  </w:footnote>
  <w:footnote w:id="22">
    <w:p w:rsidR="00591217" w:rsidRPr="00591217" w:rsidRDefault="00591217">
      <w:pPr>
        <w:pStyle w:val="FootnoteText"/>
      </w:pPr>
      <w:r>
        <w:rPr>
          <w:rStyle w:val="FootnoteReference"/>
        </w:rPr>
        <w:footnoteRef/>
      </w:r>
      <w:r>
        <w:t xml:space="preserve"> </w:t>
      </w:r>
      <w:r>
        <w:rPr>
          <w:i/>
        </w:rPr>
        <w:t>See</w:t>
      </w:r>
      <w:r>
        <w:t xml:space="preserve"> 47 U.S.C. § 225(b)(1) (requiring the Commission </w:t>
      </w:r>
      <w:r w:rsidR="00BB1657">
        <w:t xml:space="preserve">to </w:t>
      </w:r>
      <w:r>
        <w:t xml:space="preserve">ensure that TRS is available to individuals </w:t>
      </w:r>
      <w:r w:rsidR="009A7833">
        <w:t>“</w:t>
      </w:r>
      <w:r>
        <w:t>in the United States”</w:t>
      </w:r>
      <w:r w:rsidR="00D70E54" w:rsidRPr="00D70E54">
        <w:rPr>
          <w:snapToGrid w:val="0"/>
          <w:kern w:val="28"/>
          <w:sz w:val="22"/>
        </w:rPr>
        <w:t xml:space="preserve"> </w:t>
      </w:r>
      <w:r w:rsidR="00D70E54" w:rsidRPr="00D70E54">
        <w:t>who are deaf, hard of hearing, deaf-blind or have speech disabilities</w:t>
      </w:r>
      <w:r>
        <w:t>).</w:t>
      </w:r>
      <w:r w:rsidR="009D2408">
        <w:t xml:space="preserve">  </w:t>
      </w:r>
    </w:p>
  </w:footnote>
  <w:footnote w:id="23">
    <w:p w:rsidR="007D6E3D" w:rsidRDefault="007D6E3D" w:rsidP="007D6E3D">
      <w:pPr>
        <w:pStyle w:val="FootnoteText"/>
      </w:pPr>
      <w:r>
        <w:rPr>
          <w:rStyle w:val="FootnoteReference"/>
        </w:rPr>
        <w:footnoteRef/>
      </w:r>
      <w:r>
        <w:t xml:space="preserve"> This may include an agreement </w:t>
      </w:r>
      <w:r w:rsidR="004805E5">
        <w:t xml:space="preserve">that </w:t>
      </w:r>
      <w:r w:rsidR="00267B30">
        <w:t>enable</w:t>
      </w:r>
      <w:r w:rsidR="004805E5">
        <w:t>s residence</w:t>
      </w:r>
      <w:r>
        <w:t xml:space="preserve"> in a school dormitory. </w:t>
      </w:r>
    </w:p>
  </w:footnote>
  <w:footnote w:id="24">
    <w:p w:rsidR="007D6E3D" w:rsidRDefault="007D6E3D" w:rsidP="007D6E3D">
      <w:pPr>
        <w:pStyle w:val="FootnoteText"/>
      </w:pPr>
      <w:r>
        <w:rPr>
          <w:rStyle w:val="FootnoteReference"/>
        </w:rPr>
        <w:footnoteRef/>
      </w:r>
      <w:r>
        <w:t xml:space="preserve"> </w:t>
      </w:r>
      <w:r w:rsidRPr="00171C2A">
        <w:t xml:space="preserve">All of these documents are accepted to verify </w:t>
      </w:r>
      <w:r w:rsidRPr="0070169F">
        <w:rPr>
          <w:i/>
        </w:rPr>
        <w:t>the address</w:t>
      </w:r>
      <w:r w:rsidRPr="00171C2A">
        <w:t xml:space="preserve"> of Lifeline subscribers whose addresses otherwise cannot be verified by the NLAD.</w:t>
      </w:r>
      <w:r>
        <w:t xml:space="preserve">  </w:t>
      </w:r>
      <w:r>
        <w:rPr>
          <w:i/>
        </w:rPr>
        <w:t xml:space="preserve">See </w:t>
      </w:r>
      <w:r>
        <w:t xml:space="preserve">USAC, NLAD Dispute Resolution – Lifeline Program, </w:t>
      </w:r>
      <w:r w:rsidR="00876F28">
        <w:t>&lt;</w:t>
      </w:r>
      <w:r w:rsidR="00876F28" w:rsidRPr="00157E88">
        <w:t>http://usac.org/li/tools/nlad/nlad-dispute-resolution.aspx</w:t>
      </w:r>
      <w:r w:rsidR="00876F28" w:rsidRPr="00B213E9">
        <w:rPr>
          <w:rStyle w:val="Hyperlink"/>
          <w:color w:val="auto"/>
          <w:u w:val="none"/>
        </w:rPr>
        <w:t>&gt;</w:t>
      </w:r>
      <w:r>
        <w:t xml:space="preserve"> (last visited Jan. 7, 2015).  We conclude that, based on their use in the Lifeline program, these documents will assist in the verification of </w:t>
      </w:r>
      <w:r w:rsidR="00A278D7">
        <w:t>VRS</w:t>
      </w:r>
      <w:r>
        <w:t xml:space="preserve"> users who do not provide the last four digits of their Social Security numbers.</w:t>
      </w:r>
    </w:p>
  </w:footnote>
  <w:footnote w:id="25">
    <w:p w:rsidR="007D6E3D" w:rsidRPr="00044F47" w:rsidRDefault="007D6E3D" w:rsidP="007D6E3D">
      <w:pPr>
        <w:pStyle w:val="FootnoteText"/>
      </w:pPr>
      <w:r>
        <w:rPr>
          <w:rStyle w:val="FootnoteReference"/>
        </w:rPr>
        <w:footnoteRef/>
      </w:r>
      <w:r>
        <w:t xml:space="preserve"> </w:t>
      </w:r>
      <w:r w:rsidR="009D2408">
        <w:rPr>
          <w:i/>
        </w:rPr>
        <w:t>VRS Reform Order,</w:t>
      </w:r>
      <w:r w:rsidR="009D2408">
        <w:t xml:space="preserve"> </w:t>
      </w:r>
      <w:r w:rsidR="009D2408" w:rsidRPr="00B0076C">
        <w:rPr>
          <w:color w:val="000000"/>
        </w:rPr>
        <w:t xml:space="preserve">28 FCC Rcd </w:t>
      </w:r>
      <w:r w:rsidR="009D2408">
        <w:t xml:space="preserve">at </w:t>
      </w:r>
      <w:r w:rsidR="004F73D8">
        <w:t>8650,</w:t>
      </w:r>
      <w:r w:rsidR="009D2408">
        <w:t xml:space="preserve"> ¶ 70 (requiring providers to provide </w:t>
      </w:r>
      <w:r w:rsidR="004F73D8">
        <w:t xml:space="preserve">identifying </w:t>
      </w:r>
      <w:r w:rsidR="009D2408">
        <w:t>information</w:t>
      </w:r>
      <w:r w:rsidR="004F73D8">
        <w:t>, including</w:t>
      </w:r>
      <w:r w:rsidR="009D2408">
        <w:t xml:space="preserve"> </w:t>
      </w:r>
      <w:r w:rsidR="004F73D8">
        <w:t>a consumer’s</w:t>
      </w:r>
      <w:r w:rsidR="009D2408">
        <w:t xml:space="preserve"> name, address, and date of birth)</w:t>
      </w:r>
      <w:r w:rsidR="00082D7B">
        <w:t>, 8714-15, ¶¶ 250-55 (seeking comment on possible modifications of iTRS registration requirements in connection with expanded use of the TRS-URD to maintain information regarding other forms of iTRS)</w:t>
      </w:r>
      <w:r w:rsidR="009D240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7C" w:rsidRDefault="00184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D" w:rsidRDefault="007D6E3D">
    <w:pPr>
      <w:pStyle w:val="Header"/>
      <w:pBdr>
        <w:bottom w:val="single" w:sz="12" w:space="1" w:color="auto"/>
      </w:pBdr>
      <w:rPr>
        <w:b w:val="0"/>
      </w:rPr>
    </w:pPr>
    <w:r>
      <w:tab/>
      <w:t>Federal Communications Commission</w:t>
    </w:r>
    <w:r>
      <w:tab/>
      <w:t xml:space="preserve">DA </w:t>
    </w:r>
    <w:r w:rsidR="000F5FB3">
      <w:t>15-589</w:t>
    </w:r>
  </w:p>
  <w:p w:rsidR="007D6E3D" w:rsidRDefault="0038648D">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396B5241" wp14:editId="653F5B9B">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6E3D" w:rsidRDefault="007D6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7D6E3D" w:rsidRDefault="007D6E3D"/>
                </w:txbxContent>
              </v:textbox>
              <w10:wrap anchorx="margin"/>
            </v:rect>
          </w:pict>
        </mc:Fallback>
      </mc:AlternateContent>
    </w:r>
  </w:p>
  <w:p w:rsidR="007D6E3D" w:rsidRDefault="007D6E3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D" w:rsidRDefault="007D6E3D">
    <w:pPr>
      <w:pStyle w:val="Header"/>
      <w:pBdr>
        <w:bottom w:val="single" w:sz="12" w:space="1" w:color="auto"/>
      </w:pBdr>
      <w:rPr>
        <w:b w:val="0"/>
      </w:rPr>
    </w:pPr>
    <w:r>
      <w:tab/>
      <w:t>Federal Communications Commission</w:t>
    </w:r>
    <w:r>
      <w:tab/>
    </w:r>
    <w:r w:rsidRPr="00561C66">
      <w:rPr>
        <w:spacing w:val="-2"/>
      </w:rPr>
      <w:t>DA 1</w:t>
    </w:r>
    <w:r w:rsidR="00B13488" w:rsidRPr="00561C66">
      <w:rPr>
        <w:spacing w:val="-2"/>
      </w:rPr>
      <w:t>5</w:t>
    </w:r>
    <w:r w:rsidRPr="00561C66">
      <w:rPr>
        <w:spacing w:val="-2"/>
      </w:rPr>
      <w:t>-</w:t>
    </w:r>
    <w:r w:rsidR="000F5FB3">
      <w:rPr>
        <w:spacing w:val="-2"/>
      </w:rPr>
      <w:t>589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9E3BAD"/>
    <w:multiLevelType w:val="hybridMultilevel"/>
    <w:tmpl w:val="499E8B2E"/>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5DB61D0"/>
    <w:multiLevelType w:val="hybridMultilevel"/>
    <w:tmpl w:val="70DE96EA"/>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62FF8"/>
    <w:multiLevelType w:val="multilevel"/>
    <w:tmpl w:val="624A31A8"/>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403040D8"/>
    <w:multiLevelType w:val="hybridMultilevel"/>
    <w:tmpl w:val="BBE25D54"/>
    <w:lvl w:ilvl="0" w:tplc="C2D87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742CD"/>
    <w:multiLevelType w:val="hybridMultilevel"/>
    <w:tmpl w:val="FEF6E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AA60A6"/>
    <w:multiLevelType w:val="hybridMultilevel"/>
    <w:tmpl w:val="0C463004"/>
    <w:lvl w:ilvl="0" w:tplc="1C84704A">
      <w:start w:val="1"/>
      <w:numFmt w:val="bullet"/>
      <w:lvlText w:val=""/>
      <w:lvlJc w:val="left"/>
      <w:pPr>
        <w:tabs>
          <w:tab w:val="num" w:pos="1560"/>
        </w:tabs>
        <w:ind w:left="1560" w:hanging="360"/>
      </w:pPr>
      <w:rPr>
        <w:rFonts w:ascii="Symbol" w:hAnsi="Symbol" w:hint="default"/>
      </w:rPr>
    </w:lvl>
    <w:lvl w:ilvl="1" w:tplc="44B2D444" w:tentative="1">
      <w:start w:val="1"/>
      <w:numFmt w:val="bullet"/>
      <w:lvlText w:val="o"/>
      <w:lvlJc w:val="left"/>
      <w:pPr>
        <w:tabs>
          <w:tab w:val="num" w:pos="2280"/>
        </w:tabs>
        <w:ind w:left="2280" w:hanging="360"/>
      </w:pPr>
      <w:rPr>
        <w:rFonts w:ascii="Courier New" w:hAnsi="Courier New" w:cs="Symbol" w:hint="default"/>
      </w:rPr>
    </w:lvl>
    <w:lvl w:ilvl="2" w:tplc="D9868658" w:tentative="1">
      <w:start w:val="1"/>
      <w:numFmt w:val="bullet"/>
      <w:lvlText w:val=""/>
      <w:lvlJc w:val="left"/>
      <w:pPr>
        <w:tabs>
          <w:tab w:val="num" w:pos="3000"/>
        </w:tabs>
        <w:ind w:left="3000" w:hanging="360"/>
      </w:pPr>
      <w:rPr>
        <w:rFonts w:ascii="Wingdings" w:hAnsi="Wingdings" w:hint="default"/>
      </w:rPr>
    </w:lvl>
    <w:lvl w:ilvl="3" w:tplc="7D8C035C" w:tentative="1">
      <w:start w:val="1"/>
      <w:numFmt w:val="bullet"/>
      <w:lvlText w:val=""/>
      <w:lvlJc w:val="left"/>
      <w:pPr>
        <w:tabs>
          <w:tab w:val="num" w:pos="3720"/>
        </w:tabs>
        <w:ind w:left="3720" w:hanging="360"/>
      </w:pPr>
      <w:rPr>
        <w:rFonts w:ascii="Symbol" w:hAnsi="Symbol" w:hint="default"/>
      </w:rPr>
    </w:lvl>
    <w:lvl w:ilvl="4" w:tplc="1C98388C" w:tentative="1">
      <w:start w:val="1"/>
      <w:numFmt w:val="bullet"/>
      <w:lvlText w:val="o"/>
      <w:lvlJc w:val="left"/>
      <w:pPr>
        <w:tabs>
          <w:tab w:val="num" w:pos="4440"/>
        </w:tabs>
        <w:ind w:left="4440" w:hanging="360"/>
      </w:pPr>
      <w:rPr>
        <w:rFonts w:ascii="Courier New" w:hAnsi="Courier New" w:cs="Symbol" w:hint="default"/>
      </w:rPr>
    </w:lvl>
    <w:lvl w:ilvl="5" w:tplc="A954757C" w:tentative="1">
      <w:start w:val="1"/>
      <w:numFmt w:val="bullet"/>
      <w:lvlText w:val=""/>
      <w:lvlJc w:val="left"/>
      <w:pPr>
        <w:tabs>
          <w:tab w:val="num" w:pos="5160"/>
        </w:tabs>
        <w:ind w:left="5160" w:hanging="360"/>
      </w:pPr>
      <w:rPr>
        <w:rFonts w:ascii="Wingdings" w:hAnsi="Wingdings" w:hint="default"/>
      </w:rPr>
    </w:lvl>
    <w:lvl w:ilvl="6" w:tplc="922643BE" w:tentative="1">
      <w:start w:val="1"/>
      <w:numFmt w:val="bullet"/>
      <w:lvlText w:val=""/>
      <w:lvlJc w:val="left"/>
      <w:pPr>
        <w:tabs>
          <w:tab w:val="num" w:pos="5880"/>
        </w:tabs>
        <w:ind w:left="5880" w:hanging="360"/>
      </w:pPr>
      <w:rPr>
        <w:rFonts w:ascii="Symbol" w:hAnsi="Symbol" w:hint="default"/>
      </w:rPr>
    </w:lvl>
    <w:lvl w:ilvl="7" w:tplc="6464E1D0" w:tentative="1">
      <w:start w:val="1"/>
      <w:numFmt w:val="bullet"/>
      <w:lvlText w:val="o"/>
      <w:lvlJc w:val="left"/>
      <w:pPr>
        <w:tabs>
          <w:tab w:val="num" w:pos="6600"/>
        </w:tabs>
        <w:ind w:left="6600" w:hanging="360"/>
      </w:pPr>
      <w:rPr>
        <w:rFonts w:ascii="Courier New" w:hAnsi="Courier New" w:cs="Symbol" w:hint="default"/>
      </w:rPr>
    </w:lvl>
    <w:lvl w:ilvl="8" w:tplc="AA7CC6B4" w:tentative="1">
      <w:start w:val="1"/>
      <w:numFmt w:val="bullet"/>
      <w:lvlText w:val=""/>
      <w:lvlJc w:val="left"/>
      <w:pPr>
        <w:tabs>
          <w:tab w:val="num" w:pos="7320"/>
        </w:tabs>
        <w:ind w:left="732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2"/>
  </w:num>
  <w:num w:numId="3">
    <w:abstractNumId w:val="5"/>
  </w:num>
  <w:num w:numId="4">
    <w:abstractNumId w:val="11"/>
  </w:num>
  <w:num w:numId="5">
    <w:abstractNumId w:val="4"/>
  </w:num>
  <w:num w:numId="6">
    <w:abstractNumId w:val="0"/>
  </w:num>
  <w:num w:numId="7">
    <w:abstractNumId w:val="10"/>
  </w:num>
  <w:num w:numId="8">
    <w:abstractNumId w:val="2"/>
  </w:num>
  <w:num w:numId="9">
    <w:abstractNumId w:val="5"/>
  </w:num>
  <w:num w:numId="10">
    <w:abstractNumId w:val="7"/>
  </w:num>
  <w:num w:numId="11">
    <w:abstractNumId w:val="12"/>
    <w:lvlOverride w:ilvl="0">
      <w:startOverride w:val="1"/>
    </w:lvlOverride>
  </w:num>
  <w:num w:numId="12">
    <w:abstractNumId w:val="9"/>
  </w:num>
  <w:num w:numId="13">
    <w:abstractNumId w:val="12"/>
  </w:num>
  <w:num w:numId="14">
    <w:abstractNumId w:val="12"/>
  </w:num>
  <w:num w:numId="15">
    <w:abstractNumId w:val="12"/>
    <w:lvlOverride w:ilvl="0">
      <w:startOverride w:val="1"/>
    </w:lvlOverride>
  </w:num>
  <w:num w:numId="16">
    <w:abstractNumId w:val="12"/>
  </w:num>
  <w:num w:numId="17">
    <w:abstractNumId w:val="12"/>
  </w:num>
  <w:num w:numId="18">
    <w:abstractNumId w:val="12"/>
  </w:num>
  <w:num w:numId="19">
    <w:abstractNumId w:val="12"/>
  </w:num>
  <w:num w:numId="20">
    <w:abstractNumId w:val="6"/>
  </w:num>
  <w:num w:numId="21">
    <w:abstractNumId w:val="12"/>
    <w:lvlOverride w:ilvl="0">
      <w:startOverride w:val="1"/>
    </w:lvlOverride>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B6"/>
    <w:rsid w:val="0000078C"/>
    <w:rsid w:val="000014EA"/>
    <w:rsid w:val="0003239E"/>
    <w:rsid w:val="00035820"/>
    <w:rsid w:val="000411A4"/>
    <w:rsid w:val="000451FB"/>
    <w:rsid w:val="000516D6"/>
    <w:rsid w:val="00065A4E"/>
    <w:rsid w:val="000755E2"/>
    <w:rsid w:val="00082D7B"/>
    <w:rsid w:val="0009690B"/>
    <w:rsid w:val="000A17FF"/>
    <w:rsid w:val="000C6B9F"/>
    <w:rsid w:val="000D1808"/>
    <w:rsid w:val="000E10D5"/>
    <w:rsid w:val="000E51EC"/>
    <w:rsid w:val="000E72BD"/>
    <w:rsid w:val="000E73E9"/>
    <w:rsid w:val="000F391B"/>
    <w:rsid w:val="000F5F04"/>
    <w:rsid w:val="000F5FB3"/>
    <w:rsid w:val="00101E12"/>
    <w:rsid w:val="00104F0D"/>
    <w:rsid w:val="00123988"/>
    <w:rsid w:val="00137C03"/>
    <w:rsid w:val="001449C2"/>
    <w:rsid w:val="00150EDD"/>
    <w:rsid w:val="0015589D"/>
    <w:rsid w:val="00157E88"/>
    <w:rsid w:val="001679EA"/>
    <w:rsid w:val="0017244B"/>
    <w:rsid w:val="0017685D"/>
    <w:rsid w:val="0018407C"/>
    <w:rsid w:val="00195D7E"/>
    <w:rsid w:val="001B0CFC"/>
    <w:rsid w:val="001B3805"/>
    <w:rsid w:val="001B5D41"/>
    <w:rsid w:val="001C1BC4"/>
    <w:rsid w:val="001C7ECE"/>
    <w:rsid w:val="001D572E"/>
    <w:rsid w:val="001E2E95"/>
    <w:rsid w:val="001F73D1"/>
    <w:rsid w:val="00267B30"/>
    <w:rsid w:val="00272F16"/>
    <w:rsid w:val="0029639B"/>
    <w:rsid w:val="002B6B45"/>
    <w:rsid w:val="002B7BCE"/>
    <w:rsid w:val="002C02DD"/>
    <w:rsid w:val="002C35CC"/>
    <w:rsid w:val="002C5587"/>
    <w:rsid w:val="002D1FEB"/>
    <w:rsid w:val="002D3671"/>
    <w:rsid w:val="002D4F9A"/>
    <w:rsid w:val="002D5197"/>
    <w:rsid w:val="002E10F3"/>
    <w:rsid w:val="002E293B"/>
    <w:rsid w:val="002F03D5"/>
    <w:rsid w:val="002F0D5D"/>
    <w:rsid w:val="002F5BF8"/>
    <w:rsid w:val="00304D26"/>
    <w:rsid w:val="00330876"/>
    <w:rsid w:val="0033295A"/>
    <w:rsid w:val="00334643"/>
    <w:rsid w:val="003415AB"/>
    <w:rsid w:val="003434D6"/>
    <w:rsid w:val="00344531"/>
    <w:rsid w:val="00345D1D"/>
    <w:rsid w:val="00354075"/>
    <w:rsid w:val="003540DD"/>
    <w:rsid w:val="00355757"/>
    <w:rsid w:val="0036528E"/>
    <w:rsid w:val="00380C16"/>
    <w:rsid w:val="00384838"/>
    <w:rsid w:val="0038648D"/>
    <w:rsid w:val="00387156"/>
    <w:rsid w:val="003914DB"/>
    <w:rsid w:val="003917E7"/>
    <w:rsid w:val="003A2776"/>
    <w:rsid w:val="003A43B9"/>
    <w:rsid w:val="003A53DF"/>
    <w:rsid w:val="003B3DFD"/>
    <w:rsid w:val="003E6D34"/>
    <w:rsid w:val="00420353"/>
    <w:rsid w:val="00425723"/>
    <w:rsid w:val="004316BA"/>
    <w:rsid w:val="004564CA"/>
    <w:rsid w:val="00461C45"/>
    <w:rsid w:val="00473D97"/>
    <w:rsid w:val="00473E6D"/>
    <w:rsid w:val="00474A02"/>
    <w:rsid w:val="0047574A"/>
    <w:rsid w:val="004805E5"/>
    <w:rsid w:val="00484208"/>
    <w:rsid w:val="004A5168"/>
    <w:rsid w:val="004A7686"/>
    <w:rsid w:val="004B4B0F"/>
    <w:rsid w:val="004C1971"/>
    <w:rsid w:val="004E5913"/>
    <w:rsid w:val="004F73D8"/>
    <w:rsid w:val="005003A3"/>
    <w:rsid w:val="005022E7"/>
    <w:rsid w:val="005111EC"/>
    <w:rsid w:val="005138B5"/>
    <w:rsid w:val="00514BFF"/>
    <w:rsid w:val="00514EBB"/>
    <w:rsid w:val="0052009F"/>
    <w:rsid w:val="00523523"/>
    <w:rsid w:val="00523C58"/>
    <w:rsid w:val="005356E3"/>
    <w:rsid w:val="005363D7"/>
    <w:rsid w:val="005429BB"/>
    <w:rsid w:val="00543751"/>
    <w:rsid w:val="00552F31"/>
    <w:rsid w:val="00555568"/>
    <w:rsid w:val="00561C66"/>
    <w:rsid w:val="00565253"/>
    <w:rsid w:val="00583B23"/>
    <w:rsid w:val="0058740B"/>
    <w:rsid w:val="00591217"/>
    <w:rsid w:val="00593632"/>
    <w:rsid w:val="005B2198"/>
    <w:rsid w:val="005C2075"/>
    <w:rsid w:val="005E4837"/>
    <w:rsid w:val="006140BE"/>
    <w:rsid w:val="006325B7"/>
    <w:rsid w:val="0063415B"/>
    <w:rsid w:val="0063704D"/>
    <w:rsid w:val="0063741E"/>
    <w:rsid w:val="006438D7"/>
    <w:rsid w:val="00660D05"/>
    <w:rsid w:val="00662F2E"/>
    <w:rsid w:val="006756FD"/>
    <w:rsid w:val="006B3033"/>
    <w:rsid w:val="006E30BB"/>
    <w:rsid w:val="006F2934"/>
    <w:rsid w:val="0070169F"/>
    <w:rsid w:val="00730DCA"/>
    <w:rsid w:val="00734E59"/>
    <w:rsid w:val="00736A29"/>
    <w:rsid w:val="0074716E"/>
    <w:rsid w:val="0075497F"/>
    <w:rsid w:val="00770FFB"/>
    <w:rsid w:val="00773378"/>
    <w:rsid w:val="00773C0B"/>
    <w:rsid w:val="007762D5"/>
    <w:rsid w:val="0077651F"/>
    <w:rsid w:val="007C0035"/>
    <w:rsid w:val="007D39DC"/>
    <w:rsid w:val="007D6E3D"/>
    <w:rsid w:val="007E11AE"/>
    <w:rsid w:val="007E6FBA"/>
    <w:rsid w:val="007F3DD6"/>
    <w:rsid w:val="008005DA"/>
    <w:rsid w:val="00806605"/>
    <w:rsid w:val="00807C57"/>
    <w:rsid w:val="00844541"/>
    <w:rsid w:val="008459B8"/>
    <w:rsid w:val="0085783B"/>
    <w:rsid w:val="0086249E"/>
    <w:rsid w:val="00873FD4"/>
    <w:rsid w:val="00876F28"/>
    <w:rsid w:val="008873F6"/>
    <w:rsid w:val="008A4FB6"/>
    <w:rsid w:val="008C05F0"/>
    <w:rsid w:val="008D1A8C"/>
    <w:rsid w:val="008E0D95"/>
    <w:rsid w:val="008E1916"/>
    <w:rsid w:val="008F1FD6"/>
    <w:rsid w:val="008F3288"/>
    <w:rsid w:val="008F7567"/>
    <w:rsid w:val="009020C6"/>
    <w:rsid w:val="009066D6"/>
    <w:rsid w:val="00907C36"/>
    <w:rsid w:val="00917AE2"/>
    <w:rsid w:val="009222CA"/>
    <w:rsid w:val="00937450"/>
    <w:rsid w:val="00946BAE"/>
    <w:rsid w:val="0097034C"/>
    <w:rsid w:val="00992878"/>
    <w:rsid w:val="009948C3"/>
    <w:rsid w:val="009A7833"/>
    <w:rsid w:val="009A7B10"/>
    <w:rsid w:val="009B0B4D"/>
    <w:rsid w:val="009B2047"/>
    <w:rsid w:val="009D2408"/>
    <w:rsid w:val="009D2EC2"/>
    <w:rsid w:val="009D39FC"/>
    <w:rsid w:val="009D7F52"/>
    <w:rsid w:val="009F1504"/>
    <w:rsid w:val="009F44E0"/>
    <w:rsid w:val="00A049FA"/>
    <w:rsid w:val="00A07F9F"/>
    <w:rsid w:val="00A249E1"/>
    <w:rsid w:val="00A278D7"/>
    <w:rsid w:val="00A422B3"/>
    <w:rsid w:val="00A47839"/>
    <w:rsid w:val="00A51621"/>
    <w:rsid w:val="00A516FB"/>
    <w:rsid w:val="00A53055"/>
    <w:rsid w:val="00A541D5"/>
    <w:rsid w:val="00A554E4"/>
    <w:rsid w:val="00A66B1C"/>
    <w:rsid w:val="00A8208F"/>
    <w:rsid w:val="00A9104F"/>
    <w:rsid w:val="00AA50EC"/>
    <w:rsid w:val="00AB2342"/>
    <w:rsid w:val="00AB4D08"/>
    <w:rsid w:val="00AC0728"/>
    <w:rsid w:val="00AC1BEE"/>
    <w:rsid w:val="00AC3B93"/>
    <w:rsid w:val="00AD4961"/>
    <w:rsid w:val="00AF05CE"/>
    <w:rsid w:val="00B0076C"/>
    <w:rsid w:val="00B02BD9"/>
    <w:rsid w:val="00B03267"/>
    <w:rsid w:val="00B10225"/>
    <w:rsid w:val="00B13488"/>
    <w:rsid w:val="00B14C75"/>
    <w:rsid w:val="00B15B5D"/>
    <w:rsid w:val="00B20980"/>
    <w:rsid w:val="00B213E9"/>
    <w:rsid w:val="00B24992"/>
    <w:rsid w:val="00B2574A"/>
    <w:rsid w:val="00B2724E"/>
    <w:rsid w:val="00B30FC2"/>
    <w:rsid w:val="00B33BC2"/>
    <w:rsid w:val="00B55352"/>
    <w:rsid w:val="00B620BE"/>
    <w:rsid w:val="00B733F4"/>
    <w:rsid w:val="00B76AE0"/>
    <w:rsid w:val="00B83FDA"/>
    <w:rsid w:val="00B91C1C"/>
    <w:rsid w:val="00BB1657"/>
    <w:rsid w:val="00BB4D6A"/>
    <w:rsid w:val="00BB5062"/>
    <w:rsid w:val="00BB7024"/>
    <w:rsid w:val="00BB71DA"/>
    <w:rsid w:val="00BB7A6F"/>
    <w:rsid w:val="00BD50F4"/>
    <w:rsid w:val="00C01E02"/>
    <w:rsid w:val="00C157E6"/>
    <w:rsid w:val="00C22EA7"/>
    <w:rsid w:val="00C30F8A"/>
    <w:rsid w:val="00C55080"/>
    <w:rsid w:val="00C64B2C"/>
    <w:rsid w:val="00C66E39"/>
    <w:rsid w:val="00C90E40"/>
    <w:rsid w:val="00CA72B0"/>
    <w:rsid w:val="00CA7C21"/>
    <w:rsid w:val="00CC0B43"/>
    <w:rsid w:val="00CC6674"/>
    <w:rsid w:val="00CD2957"/>
    <w:rsid w:val="00CD4547"/>
    <w:rsid w:val="00CF0ADC"/>
    <w:rsid w:val="00CF0C86"/>
    <w:rsid w:val="00CF1938"/>
    <w:rsid w:val="00CF6F0D"/>
    <w:rsid w:val="00D34884"/>
    <w:rsid w:val="00D43BA5"/>
    <w:rsid w:val="00D53CE0"/>
    <w:rsid w:val="00D5671E"/>
    <w:rsid w:val="00D70E54"/>
    <w:rsid w:val="00D71D77"/>
    <w:rsid w:val="00DB05B5"/>
    <w:rsid w:val="00DB331E"/>
    <w:rsid w:val="00DB5B78"/>
    <w:rsid w:val="00DB6164"/>
    <w:rsid w:val="00DF086B"/>
    <w:rsid w:val="00DF17E0"/>
    <w:rsid w:val="00DF542D"/>
    <w:rsid w:val="00E07992"/>
    <w:rsid w:val="00E101BB"/>
    <w:rsid w:val="00E11D39"/>
    <w:rsid w:val="00E15BC8"/>
    <w:rsid w:val="00E23D6B"/>
    <w:rsid w:val="00E24889"/>
    <w:rsid w:val="00E30007"/>
    <w:rsid w:val="00E32FCE"/>
    <w:rsid w:val="00E65F50"/>
    <w:rsid w:val="00E80CC6"/>
    <w:rsid w:val="00E82514"/>
    <w:rsid w:val="00E90D4E"/>
    <w:rsid w:val="00E95594"/>
    <w:rsid w:val="00E97712"/>
    <w:rsid w:val="00EC1359"/>
    <w:rsid w:val="00EC43CE"/>
    <w:rsid w:val="00EC6982"/>
    <w:rsid w:val="00ED1997"/>
    <w:rsid w:val="00ED2800"/>
    <w:rsid w:val="00EE4413"/>
    <w:rsid w:val="00EE7FA3"/>
    <w:rsid w:val="00EF0CC5"/>
    <w:rsid w:val="00EF5EC6"/>
    <w:rsid w:val="00F02FAC"/>
    <w:rsid w:val="00F0324D"/>
    <w:rsid w:val="00F055C9"/>
    <w:rsid w:val="00F203A8"/>
    <w:rsid w:val="00F2402C"/>
    <w:rsid w:val="00F331D3"/>
    <w:rsid w:val="00F455BD"/>
    <w:rsid w:val="00F52AFD"/>
    <w:rsid w:val="00F5366D"/>
    <w:rsid w:val="00F77C56"/>
    <w:rsid w:val="00F876CB"/>
    <w:rsid w:val="00F911A6"/>
    <w:rsid w:val="00F942D1"/>
    <w:rsid w:val="00FB09C9"/>
    <w:rsid w:val="00FD7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95D7E"/>
    <w:pPr>
      <w:widowControl w:val="0"/>
    </w:pPr>
    <w:rPr>
      <w:snapToGrid w:val="0"/>
      <w:kern w:val="28"/>
      <w:sz w:val="22"/>
    </w:rPr>
  </w:style>
  <w:style w:type="paragraph" w:styleId="Heading1">
    <w:name w:val="heading 1"/>
    <w:basedOn w:val="Normal"/>
    <w:next w:val="ParaNum"/>
    <w:qFormat/>
    <w:rsid w:val="00195D7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95D7E"/>
    <w:pPr>
      <w:keepNext/>
      <w:numPr>
        <w:ilvl w:val="1"/>
        <w:numId w:val="3"/>
      </w:numPr>
      <w:spacing w:after="120"/>
      <w:outlineLvl w:val="1"/>
    </w:pPr>
    <w:rPr>
      <w:b/>
    </w:rPr>
  </w:style>
  <w:style w:type="paragraph" w:styleId="Heading3">
    <w:name w:val="heading 3"/>
    <w:basedOn w:val="Normal"/>
    <w:next w:val="ParaNum"/>
    <w:qFormat/>
    <w:rsid w:val="00195D7E"/>
    <w:pPr>
      <w:keepNext/>
      <w:numPr>
        <w:ilvl w:val="2"/>
        <w:numId w:val="3"/>
      </w:numPr>
      <w:tabs>
        <w:tab w:val="left" w:pos="2160"/>
      </w:tabs>
      <w:spacing w:after="120"/>
      <w:outlineLvl w:val="2"/>
    </w:pPr>
    <w:rPr>
      <w:b/>
    </w:rPr>
  </w:style>
  <w:style w:type="paragraph" w:styleId="Heading4">
    <w:name w:val="heading 4"/>
    <w:basedOn w:val="Normal"/>
    <w:next w:val="ParaNum"/>
    <w:qFormat/>
    <w:rsid w:val="00195D7E"/>
    <w:pPr>
      <w:keepNext/>
      <w:numPr>
        <w:ilvl w:val="3"/>
        <w:numId w:val="3"/>
      </w:numPr>
      <w:tabs>
        <w:tab w:val="left" w:pos="2880"/>
      </w:tabs>
      <w:spacing w:after="120"/>
      <w:outlineLvl w:val="3"/>
    </w:pPr>
    <w:rPr>
      <w:b/>
    </w:rPr>
  </w:style>
  <w:style w:type="paragraph" w:styleId="Heading5">
    <w:name w:val="heading 5"/>
    <w:basedOn w:val="Normal"/>
    <w:next w:val="ParaNum"/>
    <w:qFormat/>
    <w:rsid w:val="00195D7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95D7E"/>
    <w:pPr>
      <w:numPr>
        <w:ilvl w:val="5"/>
        <w:numId w:val="3"/>
      </w:numPr>
      <w:tabs>
        <w:tab w:val="left" w:pos="4320"/>
      </w:tabs>
      <w:spacing w:after="120"/>
      <w:outlineLvl w:val="5"/>
    </w:pPr>
    <w:rPr>
      <w:b/>
    </w:rPr>
  </w:style>
  <w:style w:type="paragraph" w:styleId="Heading7">
    <w:name w:val="heading 7"/>
    <w:basedOn w:val="Normal"/>
    <w:next w:val="ParaNum"/>
    <w:qFormat/>
    <w:rsid w:val="00195D7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95D7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95D7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95D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5D7E"/>
  </w:style>
  <w:style w:type="paragraph" w:styleId="BalloonText">
    <w:name w:val="Balloon Text"/>
    <w:basedOn w:val="Normal"/>
    <w:link w:val="BalloonTextChar1"/>
    <w:semiHidden/>
    <w:rsid w:val="004763F9"/>
    <w:rPr>
      <w:rFonts w:ascii="Tahoma" w:hAnsi="Tahoma" w:cs="Tahoma"/>
      <w:snapToGrid/>
      <w:sz w:val="16"/>
      <w:szCs w:val="16"/>
    </w:rPr>
  </w:style>
  <w:style w:type="character" w:customStyle="1" w:styleId="BalloonTextChar">
    <w:name w:val="Balloon Text Char"/>
    <w:uiPriority w:val="99"/>
    <w:semiHidden/>
    <w:rsid w:val="0023783C"/>
    <w:rPr>
      <w:rFonts w:ascii="Lucida Grande" w:hAnsi="Lucida Grande"/>
      <w:sz w:val="18"/>
      <w:szCs w:val="18"/>
    </w:rPr>
  </w:style>
  <w:style w:type="paragraph" w:customStyle="1" w:styleId="ParaNum">
    <w:name w:val="ParaNum"/>
    <w:basedOn w:val="Normal"/>
    <w:link w:val="ParaNumChar1"/>
    <w:rsid w:val="00195D7E"/>
    <w:pPr>
      <w:numPr>
        <w:numId w:val="2"/>
      </w:numPr>
      <w:tabs>
        <w:tab w:val="clear" w:pos="1080"/>
        <w:tab w:val="num" w:pos="1440"/>
      </w:tabs>
      <w:spacing w:after="120"/>
    </w:pPr>
  </w:style>
  <w:style w:type="paragraph" w:styleId="EndnoteText">
    <w:name w:val="endnote text"/>
    <w:basedOn w:val="Normal"/>
    <w:semiHidden/>
    <w:rsid w:val="00195D7E"/>
    <w:rPr>
      <w:sz w:val="20"/>
    </w:rPr>
  </w:style>
  <w:style w:type="character" w:styleId="EndnoteReference">
    <w:name w:val="endnote reference"/>
    <w:semiHidden/>
    <w:rsid w:val="00195D7E"/>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195D7E"/>
    <w:pPr>
      <w:spacing w:after="120"/>
    </w:pPr>
  </w:style>
  <w:style w:type="character" w:styleId="FootnoteReference">
    <w:name w:val="footnote reference"/>
    <w:aliases w:val="Appel note de bas de p,Style 12,(NECG) Footnote Reference,Style 124,Style 13,fr,o,Style 3,FR,Style 17,Style 6,Footnote Reference/,Style 4"/>
    <w:rsid w:val="00195D7E"/>
    <w:rPr>
      <w:rFonts w:ascii="Times New Roman" w:hAnsi="Times New Roman"/>
      <w:dstrike w:val="0"/>
      <w:color w:val="auto"/>
      <w:sz w:val="20"/>
      <w:vertAlign w:val="superscript"/>
    </w:rPr>
  </w:style>
  <w:style w:type="paragraph" w:styleId="TOC1">
    <w:name w:val="toc 1"/>
    <w:basedOn w:val="Normal"/>
    <w:next w:val="Normal"/>
    <w:semiHidden/>
    <w:rsid w:val="00195D7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95D7E"/>
    <w:pPr>
      <w:tabs>
        <w:tab w:val="left" w:pos="720"/>
        <w:tab w:val="right" w:leader="dot" w:pos="9360"/>
      </w:tabs>
      <w:suppressAutoHyphens/>
      <w:ind w:left="720" w:right="720" w:hanging="360"/>
    </w:pPr>
    <w:rPr>
      <w:noProof/>
    </w:rPr>
  </w:style>
  <w:style w:type="paragraph" w:styleId="TOC3">
    <w:name w:val="toc 3"/>
    <w:basedOn w:val="Normal"/>
    <w:next w:val="Normal"/>
    <w:semiHidden/>
    <w:rsid w:val="00195D7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95D7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95D7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95D7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95D7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95D7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95D7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95D7E"/>
    <w:pPr>
      <w:tabs>
        <w:tab w:val="right" w:pos="9360"/>
      </w:tabs>
      <w:suppressAutoHyphens/>
    </w:pPr>
  </w:style>
  <w:style w:type="character" w:customStyle="1" w:styleId="EquationCaption">
    <w:name w:val="_Equation Caption"/>
    <w:rsid w:val="00195D7E"/>
  </w:style>
  <w:style w:type="paragraph" w:styleId="Header">
    <w:name w:val="header"/>
    <w:basedOn w:val="Normal"/>
    <w:autoRedefine/>
    <w:rsid w:val="00195D7E"/>
    <w:pPr>
      <w:tabs>
        <w:tab w:val="center" w:pos="4680"/>
        <w:tab w:val="right" w:pos="9360"/>
      </w:tabs>
    </w:pPr>
    <w:rPr>
      <w:b/>
    </w:rPr>
  </w:style>
  <w:style w:type="paragraph" w:styleId="Footer">
    <w:name w:val="footer"/>
    <w:basedOn w:val="Normal"/>
    <w:rsid w:val="00195D7E"/>
    <w:pPr>
      <w:tabs>
        <w:tab w:val="center" w:pos="4320"/>
        <w:tab w:val="right" w:pos="8640"/>
      </w:tabs>
    </w:pPr>
  </w:style>
  <w:style w:type="character" w:styleId="PageNumber">
    <w:name w:val="page number"/>
    <w:basedOn w:val="DefaultParagraphFont"/>
    <w:rsid w:val="00195D7E"/>
  </w:style>
  <w:style w:type="paragraph" w:styleId="BlockText">
    <w:name w:val="Block Text"/>
    <w:basedOn w:val="Normal"/>
    <w:rsid w:val="00195D7E"/>
    <w:pPr>
      <w:spacing w:after="240"/>
      <w:ind w:left="1440" w:right="1440"/>
    </w:pPr>
  </w:style>
  <w:style w:type="paragraph" w:customStyle="1" w:styleId="Paratitle">
    <w:name w:val="Para title"/>
    <w:basedOn w:val="Normal"/>
    <w:rsid w:val="00195D7E"/>
    <w:pPr>
      <w:tabs>
        <w:tab w:val="center" w:pos="9270"/>
      </w:tabs>
      <w:spacing w:after="240"/>
    </w:pPr>
    <w:rPr>
      <w:spacing w:val="-2"/>
    </w:rPr>
  </w:style>
  <w:style w:type="paragraph" w:customStyle="1" w:styleId="Bullet">
    <w:name w:val="Bullet"/>
    <w:basedOn w:val="Normal"/>
    <w:rsid w:val="00195D7E"/>
    <w:pPr>
      <w:tabs>
        <w:tab w:val="left" w:pos="2160"/>
      </w:tabs>
      <w:spacing w:after="220"/>
      <w:ind w:left="2160" w:hanging="720"/>
    </w:pPr>
  </w:style>
  <w:style w:type="paragraph" w:customStyle="1" w:styleId="TableFormat">
    <w:name w:val="TableFormat"/>
    <w:basedOn w:val="Bullet"/>
    <w:rsid w:val="00195D7E"/>
    <w:pPr>
      <w:tabs>
        <w:tab w:val="clear" w:pos="2160"/>
        <w:tab w:val="left" w:pos="5040"/>
      </w:tabs>
      <w:ind w:left="5040" w:hanging="3600"/>
    </w:pPr>
  </w:style>
  <w:style w:type="paragraph" w:customStyle="1" w:styleId="TOCTitle">
    <w:name w:val="TOC Title"/>
    <w:basedOn w:val="Normal"/>
    <w:rsid w:val="00195D7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95D7E"/>
    <w:pPr>
      <w:jc w:val="center"/>
    </w:pPr>
    <w:rPr>
      <w:rFonts w:ascii="Times New Roman Bold" w:hAnsi="Times New Roman Bold"/>
      <w:b/>
      <w:bCs/>
      <w:caps/>
      <w:szCs w:val="22"/>
    </w:rPr>
  </w:style>
  <w:style w:type="character" w:styleId="Hyperlink">
    <w:name w:val="Hyperlink"/>
    <w:rsid w:val="00195D7E"/>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4763F9"/>
  </w:style>
  <w:style w:type="character" w:customStyle="1" w:styleId="BalloonTextChar1">
    <w:name w:val="Balloon Text Char1"/>
    <w:link w:val="BalloonText"/>
    <w:semiHidden/>
    <w:locked/>
    <w:rsid w:val="004763F9"/>
    <w:rPr>
      <w:rFonts w:ascii="Tahoma" w:hAnsi="Tahoma" w:cs="Tahoma"/>
      <w:sz w:val="16"/>
      <w:szCs w:val="16"/>
      <w:lang w:val="en-US" w:eastAsia="en-US" w:bidi="ar-SA"/>
    </w:rPr>
  </w:style>
  <w:style w:type="character" w:styleId="CommentReference">
    <w:name w:val="annotation reference"/>
    <w:rsid w:val="004763F9"/>
    <w:rPr>
      <w:rFonts w:cs="Times New Roman"/>
      <w:sz w:val="16"/>
      <w:szCs w:val="16"/>
    </w:rPr>
  </w:style>
  <w:style w:type="paragraph" w:styleId="CommentText">
    <w:name w:val="annotation text"/>
    <w:basedOn w:val="Normal"/>
    <w:link w:val="CommentTextChar"/>
    <w:rsid w:val="004763F9"/>
    <w:rPr>
      <w:snapToGrid/>
      <w:sz w:val="20"/>
    </w:rPr>
  </w:style>
  <w:style w:type="character" w:customStyle="1" w:styleId="CommentTextChar">
    <w:name w:val="Comment Text Char"/>
    <w:link w:val="CommentText"/>
    <w:locked/>
    <w:rsid w:val="004763F9"/>
    <w:rPr>
      <w:lang w:val="en-US" w:eastAsia="en-US" w:bidi="ar-SA"/>
    </w:rPr>
  </w:style>
  <w:style w:type="paragraph" w:styleId="CommentSubject">
    <w:name w:val="annotation subject"/>
    <w:basedOn w:val="CommentText"/>
    <w:next w:val="CommentText"/>
    <w:semiHidden/>
    <w:rsid w:val="004763F9"/>
    <w:rPr>
      <w:b/>
      <w:bCs/>
      <w:snapToGrid w:val="0"/>
    </w:rPr>
  </w:style>
  <w:style w:type="paragraph" w:customStyle="1" w:styleId="Default">
    <w:name w:val="Default"/>
    <w:rsid w:val="004763F9"/>
    <w:pPr>
      <w:autoSpaceDE w:val="0"/>
      <w:autoSpaceDN w:val="0"/>
      <w:adjustRightInd w:val="0"/>
    </w:pPr>
    <w:rPr>
      <w:color w:val="000000"/>
      <w:sz w:val="24"/>
      <w:szCs w:val="24"/>
    </w:rPr>
  </w:style>
  <w:style w:type="character" w:customStyle="1" w:styleId="ParaNumChar1">
    <w:name w:val="ParaNum Char1"/>
    <w:link w:val="ParaNum"/>
    <w:rsid w:val="004763F9"/>
    <w:rPr>
      <w:snapToGrid w:val="0"/>
      <w:kern w:val="28"/>
      <w:sz w:val="22"/>
    </w:rPr>
  </w:style>
  <w:style w:type="paragraph" w:customStyle="1" w:styleId="ColorfulShading-Accent11">
    <w:name w:val="Colorful Shading - Accent 11"/>
    <w:hidden/>
    <w:uiPriority w:val="99"/>
    <w:semiHidden/>
    <w:rsid w:val="004763F9"/>
    <w:rPr>
      <w:snapToGrid w:val="0"/>
      <w:kern w:val="28"/>
      <w:sz w:val="22"/>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4763F9"/>
  </w:style>
  <w:style w:type="paragraph" w:customStyle="1" w:styleId="ColorfulList-Accent11">
    <w:name w:val="Colorful List - Accent 11"/>
    <w:basedOn w:val="Normal"/>
    <w:uiPriority w:val="34"/>
    <w:qFormat/>
    <w:rsid w:val="004763F9"/>
    <w:pPr>
      <w:ind w:left="720"/>
      <w:contextualSpacing/>
    </w:pPr>
  </w:style>
  <w:style w:type="paragraph" w:customStyle="1" w:styleId="ColorfulShading-Accent12">
    <w:name w:val="Colorful Shading - Accent 12"/>
    <w:hidden/>
    <w:uiPriority w:val="99"/>
    <w:semiHidden/>
    <w:rsid w:val="007F171F"/>
    <w:rPr>
      <w:sz w:val="22"/>
    </w:rPr>
  </w:style>
  <w:style w:type="paragraph" w:styleId="Revision">
    <w:name w:val="Revision"/>
    <w:hidden/>
    <w:uiPriority w:val="71"/>
    <w:rsid w:val="004A516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95D7E"/>
    <w:pPr>
      <w:widowControl w:val="0"/>
    </w:pPr>
    <w:rPr>
      <w:snapToGrid w:val="0"/>
      <w:kern w:val="28"/>
      <w:sz w:val="22"/>
    </w:rPr>
  </w:style>
  <w:style w:type="paragraph" w:styleId="Heading1">
    <w:name w:val="heading 1"/>
    <w:basedOn w:val="Normal"/>
    <w:next w:val="ParaNum"/>
    <w:qFormat/>
    <w:rsid w:val="00195D7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95D7E"/>
    <w:pPr>
      <w:keepNext/>
      <w:numPr>
        <w:ilvl w:val="1"/>
        <w:numId w:val="3"/>
      </w:numPr>
      <w:spacing w:after="120"/>
      <w:outlineLvl w:val="1"/>
    </w:pPr>
    <w:rPr>
      <w:b/>
    </w:rPr>
  </w:style>
  <w:style w:type="paragraph" w:styleId="Heading3">
    <w:name w:val="heading 3"/>
    <w:basedOn w:val="Normal"/>
    <w:next w:val="ParaNum"/>
    <w:qFormat/>
    <w:rsid w:val="00195D7E"/>
    <w:pPr>
      <w:keepNext/>
      <w:numPr>
        <w:ilvl w:val="2"/>
        <w:numId w:val="3"/>
      </w:numPr>
      <w:tabs>
        <w:tab w:val="left" w:pos="2160"/>
      </w:tabs>
      <w:spacing w:after="120"/>
      <w:outlineLvl w:val="2"/>
    </w:pPr>
    <w:rPr>
      <w:b/>
    </w:rPr>
  </w:style>
  <w:style w:type="paragraph" w:styleId="Heading4">
    <w:name w:val="heading 4"/>
    <w:basedOn w:val="Normal"/>
    <w:next w:val="ParaNum"/>
    <w:qFormat/>
    <w:rsid w:val="00195D7E"/>
    <w:pPr>
      <w:keepNext/>
      <w:numPr>
        <w:ilvl w:val="3"/>
        <w:numId w:val="3"/>
      </w:numPr>
      <w:tabs>
        <w:tab w:val="left" w:pos="2880"/>
      </w:tabs>
      <w:spacing w:after="120"/>
      <w:outlineLvl w:val="3"/>
    </w:pPr>
    <w:rPr>
      <w:b/>
    </w:rPr>
  </w:style>
  <w:style w:type="paragraph" w:styleId="Heading5">
    <w:name w:val="heading 5"/>
    <w:basedOn w:val="Normal"/>
    <w:next w:val="ParaNum"/>
    <w:qFormat/>
    <w:rsid w:val="00195D7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95D7E"/>
    <w:pPr>
      <w:numPr>
        <w:ilvl w:val="5"/>
        <w:numId w:val="3"/>
      </w:numPr>
      <w:tabs>
        <w:tab w:val="left" w:pos="4320"/>
      </w:tabs>
      <w:spacing w:after="120"/>
      <w:outlineLvl w:val="5"/>
    </w:pPr>
    <w:rPr>
      <w:b/>
    </w:rPr>
  </w:style>
  <w:style w:type="paragraph" w:styleId="Heading7">
    <w:name w:val="heading 7"/>
    <w:basedOn w:val="Normal"/>
    <w:next w:val="ParaNum"/>
    <w:qFormat/>
    <w:rsid w:val="00195D7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95D7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95D7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95D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5D7E"/>
  </w:style>
  <w:style w:type="paragraph" w:styleId="BalloonText">
    <w:name w:val="Balloon Text"/>
    <w:basedOn w:val="Normal"/>
    <w:link w:val="BalloonTextChar1"/>
    <w:semiHidden/>
    <w:rsid w:val="004763F9"/>
    <w:rPr>
      <w:rFonts w:ascii="Tahoma" w:hAnsi="Tahoma" w:cs="Tahoma"/>
      <w:snapToGrid/>
      <w:sz w:val="16"/>
      <w:szCs w:val="16"/>
    </w:rPr>
  </w:style>
  <w:style w:type="character" w:customStyle="1" w:styleId="BalloonTextChar">
    <w:name w:val="Balloon Text Char"/>
    <w:uiPriority w:val="99"/>
    <w:semiHidden/>
    <w:rsid w:val="0023783C"/>
    <w:rPr>
      <w:rFonts w:ascii="Lucida Grande" w:hAnsi="Lucida Grande"/>
      <w:sz w:val="18"/>
      <w:szCs w:val="18"/>
    </w:rPr>
  </w:style>
  <w:style w:type="paragraph" w:customStyle="1" w:styleId="ParaNum">
    <w:name w:val="ParaNum"/>
    <w:basedOn w:val="Normal"/>
    <w:link w:val="ParaNumChar1"/>
    <w:rsid w:val="00195D7E"/>
    <w:pPr>
      <w:numPr>
        <w:numId w:val="2"/>
      </w:numPr>
      <w:tabs>
        <w:tab w:val="clear" w:pos="1080"/>
        <w:tab w:val="num" w:pos="1440"/>
      </w:tabs>
      <w:spacing w:after="120"/>
    </w:pPr>
  </w:style>
  <w:style w:type="paragraph" w:styleId="EndnoteText">
    <w:name w:val="endnote text"/>
    <w:basedOn w:val="Normal"/>
    <w:semiHidden/>
    <w:rsid w:val="00195D7E"/>
    <w:rPr>
      <w:sz w:val="20"/>
    </w:rPr>
  </w:style>
  <w:style w:type="character" w:styleId="EndnoteReference">
    <w:name w:val="endnote reference"/>
    <w:semiHidden/>
    <w:rsid w:val="00195D7E"/>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195D7E"/>
    <w:pPr>
      <w:spacing w:after="120"/>
    </w:pPr>
  </w:style>
  <w:style w:type="character" w:styleId="FootnoteReference">
    <w:name w:val="footnote reference"/>
    <w:aliases w:val="Appel note de bas de p,Style 12,(NECG) Footnote Reference,Style 124,Style 13,fr,o,Style 3,FR,Style 17,Style 6,Footnote Reference/,Style 4"/>
    <w:rsid w:val="00195D7E"/>
    <w:rPr>
      <w:rFonts w:ascii="Times New Roman" w:hAnsi="Times New Roman"/>
      <w:dstrike w:val="0"/>
      <w:color w:val="auto"/>
      <w:sz w:val="20"/>
      <w:vertAlign w:val="superscript"/>
    </w:rPr>
  </w:style>
  <w:style w:type="paragraph" w:styleId="TOC1">
    <w:name w:val="toc 1"/>
    <w:basedOn w:val="Normal"/>
    <w:next w:val="Normal"/>
    <w:semiHidden/>
    <w:rsid w:val="00195D7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95D7E"/>
    <w:pPr>
      <w:tabs>
        <w:tab w:val="left" w:pos="720"/>
        <w:tab w:val="right" w:leader="dot" w:pos="9360"/>
      </w:tabs>
      <w:suppressAutoHyphens/>
      <w:ind w:left="720" w:right="720" w:hanging="360"/>
    </w:pPr>
    <w:rPr>
      <w:noProof/>
    </w:rPr>
  </w:style>
  <w:style w:type="paragraph" w:styleId="TOC3">
    <w:name w:val="toc 3"/>
    <w:basedOn w:val="Normal"/>
    <w:next w:val="Normal"/>
    <w:semiHidden/>
    <w:rsid w:val="00195D7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95D7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95D7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95D7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95D7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95D7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95D7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95D7E"/>
    <w:pPr>
      <w:tabs>
        <w:tab w:val="right" w:pos="9360"/>
      </w:tabs>
      <w:suppressAutoHyphens/>
    </w:pPr>
  </w:style>
  <w:style w:type="character" w:customStyle="1" w:styleId="EquationCaption">
    <w:name w:val="_Equation Caption"/>
    <w:rsid w:val="00195D7E"/>
  </w:style>
  <w:style w:type="paragraph" w:styleId="Header">
    <w:name w:val="header"/>
    <w:basedOn w:val="Normal"/>
    <w:autoRedefine/>
    <w:rsid w:val="00195D7E"/>
    <w:pPr>
      <w:tabs>
        <w:tab w:val="center" w:pos="4680"/>
        <w:tab w:val="right" w:pos="9360"/>
      </w:tabs>
    </w:pPr>
    <w:rPr>
      <w:b/>
    </w:rPr>
  </w:style>
  <w:style w:type="paragraph" w:styleId="Footer">
    <w:name w:val="footer"/>
    <w:basedOn w:val="Normal"/>
    <w:rsid w:val="00195D7E"/>
    <w:pPr>
      <w:tabs>
        <w:tab w:val="center" w:pos="4320"/>
        <w:tab w:val="right" w:pos="8640"/>
      </w:tabs>
    </w:pPr>
  </w:style>
  <w:style w:type="character" w:styleId="PageNumber">
    <w:name w:val="page number"/>
    <w:basedOn w:val="DefaultParagraphFont"/>
    <w:rsid w:val="00195D7E"/>
  </w:style>
  <w:style w:type="paragraph" w:styleId="BlockText">
    <w:name w:val="Block Text"/>
    <w:basedOn w:val="Normal"/>
    <w:rsid w:val="00195D7E"/>
    <w:pPr>
      <w:spacing w:after="240"/>
      <w:ind w:left="1440" w:right="1440"/>
    </w:pPr>
  </w:style>
  <w:style w:type="paragraph" w:customStyle="1" w:styleId="Paratitle">
    <w:name w:val="Para title"/>
    <w:basedOn w:val="Normal"/>
    <w:rsid w:val="00195D7E"/>
    <w:pPr>
      <w:tabs>
        <w:tab w:val="center" w:pos="9270"/>
      </w:tabs>
      <w:spacing w:after="240"/>
    </w:pPr>
    <w:rPr>
      <w:spacing w:val="-2"/>
    </w:rPr>
  </w:style>
  <w:style w:type="paragraph" w:customStyle="1" w:styleId="Bullet">
    <w:name w:val="Bullet"/>
    <w:basedOn w:val="Normal"/>
    <w:rsid w:val="00195D7E"/>
    <w:pPr>
      <w:tabs>
        <w:tab w:val="left" w:pos="2160"/>
      </w:tabs>
      <w:spacing w:after="220"/>
      <w:ind w:left="2160" w:hanging="720"/>
    </w:pPr>
  </w:style>
  <w:style w:type="paragraph" w:customStyle="1" w:styleId="TableFormat">
    <w:name w:val="TableFormat"/>
    <w:basedOn w:val="Bullet"/>
    <w:rsid w:val="00195D7E"/>
    <w:pPr>
      <w:tabs>
        <w:tab w:val="clear" w:pos="2160"/>
        <w:tab w:val="left" w:pos="5040"/>
      </w:tabs>
      <w:ind w:left="5040" w:hanging="3600"/>
    </w:pPr>
  </w:style>
  <w:style w:type="paragraph" w:customStyle="1" w:styleId="TOCTitle">
    <w:name w:val="TOC Title"/>
    <w:basedOn w:val="Normal"/>
    <w:rsid w:val="00195D7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95D7E"/>
    <w:pPr>
      <w:jc w:val="center"/>
    </w:pPr>
    <w:rPr>
      <w:rFonts w:ascii="Times New Roman Bold" w:hAnsi="Times New Roman Bold"/>
      <w:b/>
      <w:bCs/>
      <w:caps/>
      <w:szCs w:val="22"/>
    </w:rPr>
  </w:style>
  <w:style w:type="character" w:styleId="Hyperlink">
    <w:name w:val="Hyperlink"/>
    <w:rsid w:val="00195D7E"/>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4763F9"/>
  </w:style>
  <w:style w:type="character" w:customStyle="1" w:styleId="BalloonTextChar1">
    <w:name w:val="Balloon Text Char1"/>
    <w:link w:val="BalloonText"/>
    <w:semiHidden/>
    <w:locked/>
    <w:rsid w:val="004763F9"/>
    <w:rPr>
      <w:rFonts w:ascii="Tahoma" w:hAnsi="Tahoma" w:cs="Tahoma"/>
      <w:sz w:val="16"/>
      <w:szCs w:val="16"/>
      <w:lang w:val="en-US" w:eastAsia="en-US" w:bidi="ar-SA"/>
    </w:rPr>
  </w:style>
  <w:style w:type="character" w:styleId="CommentReference">
    <w:name w:val="annotation reference"/>
    <w:rsid w:val="004763F9"/>
    <w:rPr>
      <w:rFonts w:cs="Times New Roman"/>
      <w:sz w:val="16"/>
      <w:szCs w:val="16"/>
    </w:rPr>
  </w:style>
  <w:style w:type="paragraph" w:styleId="CommentText">
    <w:name w:val="annotation text"/>
    <w:basedOn w:val="Normal"/>
    <w:link w:val="CommentTextChar"/>
    <w:rsid w:val="004763F9"/>
    <w:rPr>
      <w:snapToGrid/>
      <w:sz w:val="20"/>
    </w:rPr>
  </w:style>
  <w:style w:type="character" w:customStyle="1" w:styleId="CommentTextChar">
    <w:name w:val="Comment Text Char"/>
    <w:link w:val="CommentText"/>
    <w:locked/>
    <w:rsid w:val="004763F9"/>
    <w:rPr>
      <w:lang w:val="en-US" w:eastAsia="en-US" w:bidi="ar-SA"/>
    </w:rPr>
  </w:style>
  <w:style w:type="paragraph" w:styleId="CommentSubject">
    <w:name w:val="annotation subject"/>
    <w:basedOn w:val="CommentText"/>
    <w:next w:val="CommentText"/>
    <w:semiHidden/>
    <w:rsid w:val="004763F9"/>
    <w:rPr>
      <w:b/>
      <w:bCs/>
      <w:snapToGrid w:val="0"/>
    </w:rPr>
  </w:style>
  <w:style w:type="paragraph" w:customStyle="1" w:styleId="Default">
    <w:name w:val="Default"/>
    <w:rsid w:val="004763F9"/>
    <w:pPr>
      <w:autoSpaceDE w:val="0"/>
      <w:autoSpaceDN w:val="0"/>
      <w:adjustRightInd w:val="0"/>
    </w:pPr>
    <w:rPr>
      <w:color w:val="000000"/>
      <w:sz w:val="24"/>
      <w:szCs w:val="24"/>
    </w:rPr>
  </w:style>
  <w:style w:type="character" w:customStyle="1" w:styleId="ParaNumChar1">
    <w:name w:val="ParaNum Char1"/>
    <w:link w:val="ParaNum"/>
    <w:rsid w:val="004763F9"/>
    <w:rPr>
      <w:snapToGrid w:val="0"/>
      <w:kern w:val="28"/>
      <w:sz w:val="22"/>
    </w:rPr>
  </w:style>
  <w:style w:type="paragraph" w:customStyle="1" w:styleId="ColorfulShading-Accent11">
    <w:name w:val="Colorful Shading - Accent 11"/>
    <w:hidden/>
    <w:uiPriority w:val="99"/>
    <w:semiHidden/>
    <w:rsid w:val="004763F9"/>
    <w:rPr>
      <w:snapToGrid w:val="0"/>
      <w:kern w:val="28"/>
      <w:sz w:val="22"/>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4763F9"/>
  </w:style>
  <w:style w:type="paragraph" w:customStyle="1" w:styleId="ColorfulList-Accent11">
    <w:name w:val="Colorful List - Accent 11"/>
    <w:basedOn w:val="Normal"/>
    <w:uiPriority w:val="34"/>
    <w:qFormat/>
    <w:rsid w:val="004763F9"/>
    <w:pPr>
      <w:ind w:left="720"/>
      <w:contextualSpacing/>
    </w:pPr>
  </w:style>
  <w:style w:type="paragraph" w:customStyle="1" w:styleId="ColorfulShading-Accent12">
    <w:name w:val="Colorful Shading - Accent 12"/>
    <w:hidden/>
    <w:uiPriority w:val="99"/>
    <w:semiHidden/>
    <w:rsid w:val="007F171F"/>
    <w:rPr>
      <w:sz w:val="22"/>
    </w:rPr>
  </w:style>
  <w:style w:type="paragraph" w:styleId="Revision">
    <w:name w:val="Revision"/>
    <w:hidden/>
    <w:uiPriority w:val="71"/>
    <w:rsid w:val="004A516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5281">
      <w:bodyDiv w:val="1"/>
      <w:marLeft w:val="0"/>
      <w:marRight w:val="0"/>
      <w:marTop w:val="0"/>
      <w:marBottom w:val="0"/>
      <w:divBdr>
        <w:top w:val="none" w:sz="0" w:space="0" w:color="auto"/>
        <w:left w:val="none" w:sz="0" w:space="0" w:color="auto"/>
        <w:bottom w:val="none" w:sz="0" w:space="0" w:color="auto"/>
        <w:right w:val="none" w:sz="0" w:space="0" w:color="auto"/>
      </w:divBdr>
    </w:div>
    <w:div w:id="1386222973">
      <w:bodyDiv w:val="1"/>
      <w:marLeft w:val="0"/>
      <w:marRight w:val="0"/>
      <w:marTop w:val="0"/>
      <w:marBottom w:val="0"/>
      <w:divBdr>
        <w:top w:val="none" w:sz="0" w:space="0" w:color="auto"/>
        <w:left w:val="none" w:sz="0" w:space="0" w:color="auto"/>
        <w:bottom w:val="none" w:sz="0" w:space="0" w:color="auto"/>
        <w:right w:val="none" w:sz="0" w:space="0" w:color="auto"/>
      </w:divBdr>
      <w:divsChild>
        <w:div w:id="1333679506">
          <w:marLeft w:val="0"/>
          <w:marRight w:val="0"/>
          <w:marTop w:val="0"/>
          <w:marBottom w:val="0"/>
          <w:divBdr>
            <w:top w:val="none" w:sz="0" w:space="0" w:color="auto"/>
            <w:left w:val="none" w:sz="0" w:space="0" w:color="auto"/>
            <w:bottom w:val="none" w:sz="0" w:space="0" w:color="auto"/>
            <w:right w:val="none" w:sz="0" w:space="0" w:color="auto"/>
          </w:divBdr>
          <w:divsChild>
            <w:div w:id="1479880022">
              <w:marLeft w:val="0"/>
              <w:marRight w:val="0"/>
              <w:marTop w:val="0"/>
              <w:marBottom w:val="0"/>
              <w:divBdr>
                <w:top w:val="none" w:sz="0" w:space="0" w:color="auto"/>
                <w:left w:val="none" w:sz="0" w:space="0" w:color="auto"/>
                <w:bottom w:val="none" w:sz="0" w:space="0" w:color="auto"/>
                <w:right w:val="none" w:sz="0" w:space="0" w:color="auto"/>
              </w:divBdr>
              <w:divsChild>
                <w:div w:id="2089303684">
                  <w:marLeft w:val="0"/>
                  <w:marRight w:val="0"/>
                  <w:marTop w:val="0"/>
                  <w:marBottom w:val="0"/>
                  <w:divBdr>
                    <w:top w:val="none" w:sz="0" w:space="0" w:color="auto"/>
                    <w:left w:val="none" w:sz="0" w:space="0" w:color="auto"/>
                    <w:bottom w:val="none" w:sz="0" w:space="0" w:color="auto"/>
                    <w:right w:val="none" w:sz="0" w:space="0" w:color="auto"/>
                  </w:divBdr>
                  <w:divsChild>
                    <w:div w:id="268705974">
                      <w:marLeft w:val="0"/>
                      <w:marRight w:val="0"/>
                      <w:marTop w:val="173"/>
                      <w:marBottom w:val="0"/>
                      <w:divBdr>
                        <w:top w:val="none" w:sz="0" w:space="0" w:color="auto"/>
                        <w:left w:val="none" w:sz="0" w:space="0" w:color="auto"/>
                        <w:bottom w:val="none" w:sz="0" w:space="0" w:color="auto"/>
                        <w:right w:val="none" w:sz="0" w:space="0" w:color="auto"/>
                      </w:divBdr>
                      <w:divsChild>
                        <w:div w:id="17905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1700</Words>
  <Characters>9061</Characters>
  <Application>Microsoft Office Word</Application>
  <DocSecurity>0</DocSecurity>
  <Lines>168</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10774</CharactersWithSpaces>
  <SharedDoc>false</SharedDoc>
  <HyperlinkBase> </HyperlinkBase>
  <HLinks>
    <vt:vector size="18" baseType="variant">
      <vt:variant>
        <vt:i4>3211389</vt:i4>
      </vt:variant>
      <vt:variant>
        <vt:i4>6</vt:i4>
      </vt:variant>
      <vt:variant>
        <vt:i4>0</vt:i4>
      </vt:variant>
      <vt:variant>
        <vt:i4>5</vt:i4>
      </vt:variant>
      <vt:variant>
        <vt:lpwstr>http://usac.org/li/tools/nlad/nlad-dispute-resolution.aspx</vt:lpwstr>
      </vt:variant>
      <vt:variant>
        <vt:lpwstr/>
      </vt:variant>
      <vt:variant>
        <vt:i4>3211389</vt:i4>
      </vt:variant>
      <vt:variant>
        <vt:i4>3</vt:i4>
      </vt:variant>
      <vt:variant>
        <vt:i4>0</vt:i4>
      </vt:variant>
      <vt:variant>
        <vt:i4>5</vt:i4>
      </vt:variant>
      <vt:variant>
        <vt:lpwstr>http://usac.org/li/tools/nlad/nlad-dispute-resolution.aspx</vt:lpwstr>
      </vt:variant>
      <vt:variant>
        <vt:lpwstr/>
      </vt:variant>
      <vt:variant>
        <vt:i4>3211389</vt:i4>
      </vt:variant>
      <vt:variant>
        <vt:i4>0</vt:i4>
      </vt:variant>
      <vt:variant>
        <vt:i4>0</vt:i4>
      </vt:variant>
      <vt:variant>
        <vt:i4>5</vt:i4>
      </vt:variant>
      <vt:variant>
        <vt:lpwstr>http://usac.org/li/tools/nlad/nlad-dispute-resolution.aspx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2015-05-15T13:17:00Z</cp:lastPrinted>
  <dcterms:created xsi:type="dcterms:W3CDTF">2015-05-18T16:27:00Z</dcterms:created>
  <dcterms:modified xsi:type="dcterms:W3CDTF">2015-05-18T16:27:00Z</dcterms:modified>
  <cp:category> </cp:category>
  <cp:contentStatus> </cp:contentStatus>
</cp:coreProperties>
</file>