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DC" w:rsidRDefault="00155C6A" w:rsidP="00155C6A">
      <w:pPr>
        <w:suppressAutoHyphens/>
        <w:spacing w:after="120"/>
        <w:ind w:left="7920"/>
        <w:jc w:val="right"/>
        <w:rPr>
          <w:b/>
          <w:szCs w:val="22"/>
        </w:rPr>
      </w:pPr>
      <w:bookmarkStart w:id="0" w:name="_GoBack"/>
      <w:bookmarkEnd w:id="0"/>
      <w:r>
        <w:rPr>
          <w:b/>
          <w:szCs w:val="22"/>
        </w:rPr>
        <w:t>D</w:t>
      </w:r>
      <w:r w:rsidR="00833570">
        <w:rPr>
          <w:b/>
          <w:szCs w:val="22"/>
        </w:rPr>
        <w:t xml:space="preserve">A </w:t>
      </w:r>
      <w:r w:rsidR="004D6228">
        <w:rPr>
          <w:b/>
          <w:szCs w:val="22"/>
        </w:rPr>
        <w:t>15</w:t>
      </w:r>
      <w:r w:rsidR="001B482C">
        <w:rPr>
          <w:b/>
          <w:szCs w:val="22"/>
        </w:rPr>
        <w:t>-</w:t>
      </w:r>
      <w:r w:rsidR="00846BC7">
        <w:rPr>
          <w:b/>
          <w:szCs w:val="22"/>
        </w:rPr>
        <w:t>590</w:t>
      </w:r>
    </w:p>
    <w:p w:rsidR="009A09DC" w:rsidRDefault="00141621">
      <w:pPr>
        <w:suppressAutoHyphens/>
        <w:spacing w:after="240"/>
        <w:ind w:left="720"/>
        <w:jc w:val="right"/>
        <w:rPr>
          <w:b/>
          <w:szCs w:val="22"/>
        </w:rPr>
      </w:pPr>
      <w:r>
        <w:rPr>
          <w:b/>
          <w:szCs w:val="22"/>
        </w:rPr>
        <w:t xml:space="preserve">Released:  </w:t>
      </w:r>
      <w:r w:rsidR="00772750">
        <w:rPr>
          <w:b/>
          <w:szCs w:val="22"/>
        </w:rPr>
        <w:t>May</w:t>
      </w:r>
      <w:r w:rsidR="001B482C">
        <w:rPr>
          <w:b/>
          <w:szCs w:val="22"/>
        </w:rPr>
        <w:t xml:space="preserve"> </w:t>
      </w:r>
      <w:r w:rsidR="00846BC7">
        <w:rPr>
          <w:b/>
          <w:szCs w:val="22"/>
        </w:rPr>
        <w:t>15</w:t>
      </w:r>
      <w:r w:rsidR="009A09DC">
        <w:rPr>
          <w:b/>
          <w:szCs w:val="22"/>
        </w:rPr>
        <w:t>, 201</w:t>
      </w:r>
      <w:r w:rsidR="004D6228">
        <w:rPr>
          <w:b/>
          <w:szCs w:val="22"/>
        </w:rPr>
        <w:t>5</w:t>
      </w:r>
    </w:p>
    <w:p w:rsidR="00772750" w:rsidRDefault="00772750" w:rsidP="00772750">
      <w:pPr>
        <w:autoSpaceDE w:val="0"/>
        <w:autoSpaceDN w:val="0"/>
        <w:adjustRightInd w:val="0"/>
        <w:jc w:val="center"/>
        <w:rPr>
          <w:b/>
          <w:szCs w:val="22"/>
        </w:rPr>
      </w:pPr>
      <w:r>
        <w:rPr>
          <w:b/>
          <w:szCs w:val="22"/>
        </w:rPr>
        <w:t>PETITION</w:t>
      </w:r>
      <w:r w:rsidR="008700E0" w:rsidRPr="008700E0">
        <w:rPr>
          <w:b/>
          <w:szCs w:val="22"/>
        </w:rPr>
        <w:t xml:space="preserve"> FILED BY</w:t>
      </w:r>
      <w:r>
        <w:rPr>
          <w:b/>
          <w:szCs w:val="22"/>
        </w:rPr>
        <w:t xml:space="preserve"> GRANITE TELECOMMUNICATIONS, LLC FOR</w:t>
      </w:r>
    </w:p>
    <w:p w:rsidR="00772750" w:rsidRDefault="0036262F">
      <w:pPr>
        <w:autoSpaceDE w:val="0"/>
        <w:autoSpaceDN w:val="0"/>
        <w:adjustRightInd w:val="0"/>
        <w:jc w:val="center"/>
        <w:rPr>
          <w:b/>
          <w:szCs w:val="22"/>
        </w:rPr>
      </w:pPr>
      <w:r>
        <w:rPr>
          <w:b/>
          <w:szCs w:val="22"/>
        </w:rPr>
        <w:t xml:space="preserve">DECLARATORY RULING </w:t>
      </w:r>
    </w:p>
    <w:p w:rsidR="004D6228" w:rsidRDefault="004D6228">
      <w:pPr>
        <w:autoSpaceDE w:val="0"/>
        <w:autoSpaceDN w:val="0"/>
        <w:adjustRightInd w:val="0"/>
        <w:jc w:val="center"/>
        <w:rPr>
          <w:b/>
          <w:szCs w:val="22"/>
        </w:rPr>
      </w:pPr>
    </w:p>
    <w:p w:rsidR="009A09DC" w:rsidRDefault="009A09DC">
      <w:pPr>
        <w:suppressAutoHyphens/>
        <w:spacing w:after="240"/>
        <w:jc w:val="center"/>
        <w:rPr>
          <w:b/>
          <w:caps/>
          <w:szCs w:val="22"/>
        </w:rPr>
      </w:pPr>
      <w:r>
        <w:rPr>
          <w:b/>
          <w:caps/>
          <w:szCs w:val="22"/>
        </w:rPr>
        <w:t>Pleading Cycle Established</w:t>
      </w:r>
    </w:p>
    <w:p w:rsidR="009A09DC" w:rsidRDefault="00141621">
      <w:pPr>
        <w:suppressAutoHyphens/>
        <w:spacing w:after="240"/>
        <w:jc w:val="center"/>
        <w:rPr>
          <w:b/>
          <w:szCs w:val="22"/>
        </w:rPr>
      </w:pPr>
      <w:r>
        <w:rPr>
          <w:b/>
          <w:szCs w:val="22"/>
        </w:rPr>
        <w:t>WC Docket No. 1</w:t>
      </w:r>
      <w:r w:rsidR="004D6228">
        <w:rPr>
          <w:b/>
          <w:szCs w:val="22"/>
        </w:rPr>
        <w:t>5</w:t>
      </w:r>
      <w:r>
        <w:rPr>
          <w:b/>
          <w:szCs w:val="22"/>
        </w:rPr>
        <w:t>-</w:t>
      </w:r>
      <w:r w:rsidR="00772750">
        <w:rPr>
          <w:b/>
          <w:szCs w:val="22"/>
        </w:rPr>
        <w:t>114</w:t>
      </w:r>
    </w:p>
    <w:p w:rsidR="009A09DC" w:rsidRDefault="00141621">
      <w:pPr>
        <w:suppressAutoHyphens/>
        <w:rPr>
          <w:b/>
          <w:szCs w:val="22"/>
        </w:rPr>
      </w:pPr>
      <w:r>
        <w:rPr>
          <w:b/>
          <w:szCs w:val="22"/>
        </w:rPr>
        <w:t>Comments</w:t>
      </w:r>
      <w:r w:rsidR="00772750">
        <w:rPr>
          <w:b/>
          <w:szCs w:val="22"/>
        </w:rPr>
        <w:t>/Petition</w:t>
      </w:r>
      <w:r w:rsidR="0018534D">
        <w:rPr>
          <w:b/>
          <w:szCs w:val="22"/>
        </w:rPr>
        <w:t>s</w:t>
      </w:r>
      <w:r w:rsidR="009025EC">
        <w:rPr>
          <w:b/>
          <w:szCs w:val="22"/>
        </w:rPr>
        <w:t xml:space="preserve"> Due:</w:t>
      </w:r>
      <w:r w:rsidR="00527C66">
        <w:rPr>
          <w:b/>
          <w:szCs w:val="22"/>
        </w:rPr>
        <w:t xml:space="preserve"> </w:t>
      </w:r>
      <w:r w:rsidR="00772750">
        <w:rPr>
          <w:b/>
          <w:szCs w:val="22"/>
        </w:rPr>
        <w:t xml:space="preserve"> </w:t>
      </w:r>
      <w:r w:rsidR="00752476">
        <w:rPr>
          <w:b/>
          <w:szCs w:val="22"/>
        </w:rPr>
        <w:t>June 15</w:t>
      </w:r>
      <w:r w:rsidR="009A09DC">
        <w:rPr>
          <w:b/>
          <w:szCs w:val="22"/>
        </w:rPr>
        <w:t>, 201</w:t>
      </w:r>
      <w:r w:rsidR="004D6228">
        <w:rPr>
          <w:b/>
          <w:szCs w:val="22"/>
        </w:rPr>
        <w:t>5</w:t>
      </w:r>
      <w:r w:rsidR="00BA64CE">
        <w:rPr>
          <w:b/>
          <w:szCs w:val="22"/>
        </w:rPr>
        <w:t xml:space="preserve"> </w:t>
      </w:r>
    </w:p>
    <w:p w:rsidR="009A09DC" w:rsidRPr="00155C6A" w:rsidRDefault="00A00CAE" w:rsidP="00155C6A">
      <w:pPr>
        <w:suppressAutoHyphens/>
        <w:spacing w:after="240"/>
        <w:rPr>
          <w:b/>
          <w:szCs w:val="22"/>
        </w:rPr>
      </w:pPr>
      <w:r>
        <w:rPr>
          <w:b/>
          <w:szCs w:val="22"/>
        </w:rPr>
        <w:t>Replies</w:t>
      </w:r>
      <w:r w:rsidR="0018534D">
        <w:rPr>
          <w:b/>
          <w:szCs w:val="22"/>
        </w:rPr>
        <w:t>/Oppositions</w:t>
      </w:r>
      <w:r w:rsidR="00141621">
        <w:rPr>
          <w:b/>
          <w:szCs w:val="22"/>
        </w:rPr>
        <w:t xml:space="preserve"> Due:  </w:t>
      </w:r>
      <w:r w:rsidR="00752476">
        <w:rPr>
          <w:b/>
          <w:szCs w:val="22"/>
        </w:rPr>
        <w:t>June 30</w:t>
      </w:r>
      <w:r w:rsidR="00823F70">
        <w:rPr>
          <w:b/>
          <w:szCs w:val="22"/>
        </w:rPr>
        <w:t>,</w:t>
      </w:r>
      <w:r w:rsidR="00992A0A">
        <w:rPr>
          <w:b/>
          <w:szCs w:val="22"/>
        </w:rPr>
        <w:t xml:space="preserve"> 201</w:t>
      </w:r>
      <w:r w:rsidR="004D6228">
        <w:rPr>
          <w:b/>
          <w:szCs w:val="22"/>
        </w:rPr>
        <w:t>5</w:t>
      </w:r>
      <w:r w:rsidR="00BA64CE">
        <w:rPr>
          <w:b/>
          <w:szCs w:val="22"/>
        </w:rPr>
        <w:t xml:space="preserve"> </w:t>
      </w:r>
    </w:p>
    <w:p w:rsidR="0018534D" w:rsidRPr="00155C6A" w:rsidRDefault="004A0A62" w:rsidP="00155C6A">
      <w:pPr>
        <w:spacing w:after="120"/>
        <w:ind w:firstLine="720"/>
        <w:rPr>
          <w:szCs w:val="22"/>
        </w:rPr>
      </w:pPr>
      <w:r>
        <w:t>On May 4</w:t>
      </w:r>
      <w:r w:rsidR="00772750">
        <w:t xml:space="preserve">, 2015, Granite Telecommunications, LLC (Granite) </w:t>
      </w:r>
      <w:r w:rsidR="001B0273">
        <w:t>filed a</w:t>
      </w:r>
      <w:r w:rsidR="00772750">
        <w:t xml:space="preserve"> petition for declaratory ruling</w:t>
      </w:r>
      <w:r w:rsidR="001B0273">
        <w:rPr>
          <w:rStyle w:val="FootnoteReference"/>
          <w:sz w:val="20"/>
        </w:rPr>
        <w:footnoteReference w:id="1"/>
      </w:r>
      <w:r w:rsidR="001B0273">
        <w:t xml:space="preserve"> pursuan</w:t>
      </w:r>
      <w:r>
        <w:t>t to section 1.2(a) of the Commission’s rules</w:t>
      </w:r>
      <w:r w:rsidR="0046161D">
        <w:t>,</w:t>
      </w:r>
      <w:r w:rsidR="001B0273" w:rsidRPr="007D5822">
        <w:rPr>
          <w:sz w:val="20"/>
          <w:szCs w:val="22"/>
          <w:vertAlign w:val="superscript"/>
        </w:rPr>
        <w:footnoteReference w:id="2"/>
      </w:r>
      <w:r w:rsidR="00DD150A">
        <w:t xml:space="preserve"> seeking </w:t>
      </w:r>
      <w:bookmarkStart w:id="1" w:name="SearchTerm"/>
      <w:r w:rsidR="007D5822">
        <w:rPr>
          <w:szCs w:val="22"/>
        </w:rPr>
        <w:t xml:space="preserve">a declaratory ruling “clarifying the manner in which the prohibition on unreasonable discrimination in </w:t>
      </w:r>
      <w:r w:rsidR="003614E3">
        <w:rPr>
          <w:szCs w:val="22"/>
        </w:rPr>
        <w:t>s</w:t>
      </w:r>
      <w:r w:rsidR="007D5822">
        <w:rPr>
          <w:szCs w:val="22"/>
        </w:rPr>
        <w:t xml:space="preserve">ection 202(a) of the Act and the prohibition on unjust and unreasonable practices in </w:t>
      </w:r>
      <w:r w:rsidR="003614E3">
        <w:rPr>
          <w:szCs w:val="22"/>
        </w:rPr>
        <w:t>s</w:t>
      </w:r>
      <w:r w:rsidR="007D5822">
        <w:rPr>
          <w:szCs w:val="22"/>
        </w:rPr>
        <w:t>ection 201(b) apply to the separation, combination, and commingling of</w:t>
      </w:r>
      <w:r w:rsidR="0086200A">
        <w:rPr>
          <w:szCs w:val="22"/>
        </w:rPr>
        <w:t>” unbundled network elements (</w:t>
      </w:r>
      <w:r w:rsidR="007D5822">
        <w:rPr>
          <w:szCs w:val="22"/>
        </w:rPr>
        <w:t>UNEs</w:t>
      </w:r>
      <w:r w:rsidR="0086200A">
        <w:rPr>
          <w:szCs w:val="22"/>
        </w:rPr>
        <w:t>) by Bell Operating Companies (BOCs).</w:t>
      </w:r>
      <w:r w:rsidR="007D5822" w:rsidRPr="00E37838">
        <w:rPr>
          <w:rStyle w:val="FootnoteReference"/>
          <w:sz w:val="20"/>
          <w:szCs w:val="22"/>
        </w:rPr>
        <w:footnoteReference w:id="3"/>
      </w:r>
      <w:r w:rsidR="007D5822">
        <w:rPr>
          <w:szCs w:val="22"/>
        </w:rPr>
        <w:t xml:space="preserve">  Specifically, Granite requests that the Commission issue a ruling </w:t>
      </w:r>
      <w:r w:rsidR="007057B8">
        <w:rPr>
          <w:szCs w:val="22"/>
        </w:rPr>
        <w:t xml:space="preserve">that </w:t>
      </w:r>
      <w:r w:rsidR="007057B8">
        <w:t xml:space="preserve">BOCs have the following obligations:  (1) not to separate </w:t>
      </w:r>
      <w:r w:rsidR="00B66DED">
        <w:t>UNEs</w:t>
      </w:r>
      <w:r w:rsidR="007057B8">
        <w:t xml:space="preserve"> provisioned pursuant to section 271(c)(2)(B)(iv)-(vi) of the Telecommunications Act of 1996, as amended (the Act); (2) to combine such UNEs; and (3) to commingle such UNEs with other wholesale services.  </w:t>
      </w:r>
      <w:bookmarkEnd w:id="1"/>
      <w:r w:rsidR="003867A1">
        <w:rPr>
          <w:color w:val="000000"/>
          <w:szCs w:val="19"/>
        </w:rPr>
        <w:tab/>
      </w:r>
      <w:r w:rsidR="00A644E1">
        <w:rPr>
          <w:color w:val="000000"/>
          <w:szCs w:val="19"/>
        </w:rPr>
        <w:tab/>
      </w:r>
      <w:r w:rsidR="00C66274">
        <w:rPr>
          <w:color w:val="000000"/>
          <w:szCs w:val="19"/>
        </w:rPr>
        <w:tab/>
      </w:r>
      <w:r w:rsidR="00155C6A">
        <w:rPr>
          <w:color w:val="000000"/>
          <w:szCs w:val="19"/>
        </w:rPr>
        <w:tab/>
      </w:r>
    </w:p>
    <w:p w:rsidR="00E324C8" w:rsidRPr="00E324C8" w:rsidRDefault="00E324C8" w:rsidP="00155C6A">
      <w:pPr>
        <w:keepNext/>
        <w:spacing w:after="120"/>
        <w:ind w:right="720"/>
        <w:rPr>
          <w:szCs w:val="22"/>
        </w:rPr>
      </w:pPr>
      <w:r w:rsidRPr="00E324C8">
        <w:rPr>
          <w:b/>
          <w:szCs w:val="22"/>
          <w:u w:val="single"/>
        </w:rPr>
        <w:t>GENERAL INFORMATION</w:t>
      </w:r>
    </w:p>
    <w:p w:rsidR="00E324C8" w:rsidRPr="00E324C8" w:rsidRDefault="00E324C8" w:rsidP="00155C6A">
      <w:pPr>
        <w:autoSpaceDE w:val="0"/>
        <w:autoSpaceDN w:val="0"/>
        <w:adjustRightInd w:val="0"/>
        <w:spacing w:after="120"/>
        <w:ind w:firstLine="720"/>
      </w:pPr>
      <w:r w:rsidRPr="00E324C8">
        <w:rPr>
          <w:szCs w:val="22"/>
        </w:rPr>
        <w:t xml:space="preserve">Interested parties may file comments </w:t>
      </w:r>
      <w:r w:rsidRPr="00E324C8">
        <w:rPr>
          <w:b/>
          <w:szCs w:val="22"/>
        </w:rPr>
        <w:t>on or before</w:t>
      </w:r>
      <w:r w:rsidR="00752476">
        <w:rPr>
          <w:b/>
          <w:szCs w:val="22"/>
        </w:rPr>
        <w:t xml:space="preserve"> June 15</w:t>
      </w:r>
      <w:r w:rsidRPr="00E324C8">
        <w:rPr>
          <w:b/>
          <w:szCs w:val="22"/>
        </w:rPr>
        <w:t>, 201</w:t>
      </w:r>
      <w:r w:rsidR="00CC2745">
        <w:rPr>
          <w:b/>
          <w:szCs w:val="22"/>
        </w:rPr>
        <w:t>5</w:t>
      </w:r>
      <w:r w:rsidRPr="00E324C8">
        <w:rPr>
          <w:b/>
          <w:szCs w:val="22"/>
        </w:rPr>
        <w:t>,</w:t>
      </w:r>
      <w:r w:rsidRPr="00E324C8">
        <w:rPr>
          <w:szCs w:val="22"/>
        </w:rPr>
        <w:t xml:space="preserve"> and reply comments </w:t>
      </w:r>
      <w:r w:rsidRPr="00E324C8">
        <w:rPr>
          <w:b/>
          <w:szCs w:val="22"/>
        </w:rPr>
        <w:t>on or before</w:t>
      </w:r>
      <w:r w:rsidR="00752476">
        <w:rPr>
          <w:b/>
          <w:szCs w:val="22"/>
        </w:rPr>
        <w:t xml:space="preserve"> June 30</w:t>
      </w:r>
      <w:r w:rsidRPr="00E324C8">
        <w:rPr>
          <w:b/>
          <w:szCs w:val="22"/>
        </w:rPr>
        <w:t>, 201</w:t>
      </w:r>
      <w:r w:rsidR="00CC2745">
        <w:rPr>
          <w:b/>
          <w:szCs w:val="22"/>
        </w:rPr>
        <w:t>5</w:t>
      </w:r>
      <w:r w:rsidRPr="00E324C8">
        <w:rPr>
          <w:b/>
          <w:szCs w:val="22"/>
        </w:rPr>
        <w:t>.</w:t>
      </w:r>
      <w:r w:rsidRPr="00E324C8">
        <w:rPr>
          <w:szCs w:val="22"/>
        </w:rPr>
        <w:t xml:space="preserve">  </w:t>
      </w:r>
      <w:r w:rsidR="00FE09DF">
        <w:rPr>
          <w:szCs w:val="22"/>
        </w:rPr>
        <w:t xml:space="preserve">All pleadings should reference </w:t>
      </w:r>
      <w:r w:rsidR="00FE09DF">
        <w:rPr>
          <w:b/>
          <w:szCs w:val="22"/>
        </w:rPr>
        <w:t xml:space="preserve">WC Docket No. 15-114.  </w:t>
      </w:r>
      <w:r w:rsidRPr="00E324C8">
        <w:t xml:space="preserve">Comments may be filed using the Commission’s Electronic Comment Filing System (ECFS).  </w:t>
      </w:r>
      <w:r w:rsidRPr="00E324C8">
        <w:rPr>
          <w:i/>
        </w:rPr>
        <w:t>See Electronic Filing of Documents in Rulemaking Proceedings</w:t>
      </w:r>
      <w:r w:rsidRPr="00E324C8">
        <w:t>, 63 FR 24121 (1998).</w:t>
      </w:r>
    </w:p>
    <w:p w:rsidR="00E324C8" w:rsidRPr="00E324C8" w:rsidRDefault="00E324C8" w:rsidP="00155C6A">
      <w:pPr>
        <w:numPr>
          <w:ilvl w:val="0"/>
          <w:numId w:val="17"/>
        </w:numPr>
        <w:spacing w:after="120"/>
      </w:pPr>
      <w:r w:rsidRPr="00E324C8">
        <w:t xml:space="preserve">Electronic Filers:  Comments may be filed electronically using the Internet by accessing the ECFS:  </w:t>
      </w:r>
      <w:hyperlink r:id="rId8" w:history="1">
        <w:r w:rsidR="009C4E37" w:rsidRPr="009C4E37">
          <w:rPr>
            <w:rStyle w:val="Hyperlink"/>
          </w:rPr>
          <w:t>http://apps.fcc.gov/ecfs/</w:t>
        </w:r>
      </w:hyperlink>
      <w:r w:rsidRPr="00E324C8">
        <w:t xml:space="preserve">.  </w:t>
      </w:r>
    </w:p>
    <w:p w:rsidR="00E324C8" w:rsidRPr="00E324C8" w:rsidRDefault="00E324C8" w:rsidP="00155C6A">
      <w:pPr>
        <w:numPr>
          <w:ilvl w:val="0"/>
          <w:numId w:val="15"/>
        </w:numPr>
        <w:spacing w:after="120"/>
      </w:pPr>
      <w:r w:rsidRPr="00E324C8">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324C8" w:rsidRPr="00E324C8" w:rsidRDefault="00E324C8" w:rsidP="00155C6A">
      <w:pPr>
        <w:spacing w:after="120"/>
        <w:ind w:left="720"/>
      </w:pPr>
      <w:r w:rsidRPr="00E324C8">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E324C8" w:rsidRPr="00E324C8" w:rsidRDefault="00E324C8" w:rsidP="00155C6A">
      <w:pPr>
        <w:numPr>
          <w:ilvl w:val="0"/>
          <w:numId w:val="16"/>
        </w:numPr>
        <w:spacing w:after="120"/>
      </w:pPr>
      <w:r w:rsidRPr="00E324C8">
        <w:t>All hand-delivered or messenger-delivered paper filings for the Commission’s Secretary must be delivered to FCC Headquarters at 445 12</w:t>
      </w:r>
      <w:r w:rsidRPr="00E324C8">
        <w:rPr>
          <w:vertAlign w:val="superscript"/>
        </w:rPr>
        <w:t>th</w:t>
      </w:r>
      <w:r w:rsidRPr="00E324C8">
        <w:t xml:space="preserve"> St., SW, Room TW-A325, Washington, DC 20554.  The filing hours are 8:00 a.m. to 7:00 p.m.  All hand deliveries must be held together with rubber bands or fasteners.  Any envelopes and boxes must be disposed of </w:t>
      </w:r>
      <w:r w:rsidRPr="00E324C8">
        <w:rPr>
          <w:u w:val="single"/>
        </w:rPr>
        <w:t>before</w:t>
      </w:r>
      <w:r w:rsidRPr="00E324C8">
        <w:t xml:space="preserve"> entering the building.  </w:t>
      </w:r>
    </w:p>
    <w:p w:rsidR="00E324C8" w:rsidRPr="00E324C8" w:rsidRDefault="00E324C8" w:rsidP="00155C6A">
      <w:pPr>
        <w:numPr>
          <w:ilvl w:val="0"/>
          <w:numId w:val="16"/>
        </w:numPr>
        <w:spacing w:after="120"/>
      </w:pPr>
      <w:r w:rsidRPr="00E324C8">
        <w:t>Commercial overnight mail (other than U.S. Postal Service Express Mail and Priority Mail) must be sent to 9300 East Hampton Drive, Capitol Heights, MD  20743.</w:t>
      </w:r>
    </w:p>
    <w:p w:rsidR="00E324C8" w:rsidRPr="00E324C8" w:rsidRDefault="00E324C8" w:rsidP="00155C6A">
      <w:pPr>
        <w:numPr>
          <w:ilvl w:val="0"/>
          <w:numId w:val="16"/>
        </w:numPr>
        <w:spacing w:after="120"/>
      </w:pPr>
      <w:r w:rsidRPr="00E324C8">
        <w:t>U.S. Postal Service first-class, Express, and Priority mail must be addressed to 445 12</w:t>
      </w:r>
      <w:r w:rsidRPr="00E324C8">
        <w:rPr>
          <w:vertAlign w:val="superscript"/>
        </w:rPr>
        <w:t>th</w:t>
      </w:r>
      <w:r w:rsidRPr="00E324C8">
        <w:t xml:space="preserve"> Street, SW, Washington DC  20554.</w:t>
      </w:r>
    </w:p>
    <w:p w:rsidR="002B7106" w:rsidRPr="00155C6A" w:rsidRDefault="00E324C8" w:rsidP="00155C6A">
      <w:pPr>
        <w:spacing w:after="120"/>
        <w:ind w:firstLine="720"/>
      </w:pPr>
      <w:r w:rsidRPr="00E324C8">
        <w:t xml:space="preserve">People with Disabilities:  To request materials in accessible formats for people with disabilities (braille, large print, electronic files, audio format), send an e-mail to </w:t>
      </w:r>
      <w:hyperlink r:id="rId9" w:history="1">
        <w:r w:rsidRPr="00E324C8">
          <w:rPr>
            <w:color w:val="0000FF"/>
            <w:u w:val="single"/>
          </w:rPr>
          <w:t>fcc504@fcc.gov</w:t>
        </w:r>
      </w:hyperlink>
      <w:r w:rsidRPr="00E324C8">
        <w:t xml:space="preserve"> or call the Consumer &amp; Governmental Affairs Bureau at 202-418-0530 (voice), 202-418-0432 (tty).</w:t>
      </w:r>
    </w:p>
    <w:p w:rsidR="00E324C8" w:rsidRPr="00E324C8" w:rsidRDefault="00E324C8" w:rsidP="00155C6A">
      <w:pPr>
        <w:spacing w:after="120"/>
        <w:rPr>
          <w:szCs w:val="22"/>
        </w:rPr>
      </w:pPr>
      <w:r w:rsidRPr="00E324C8">
        <w:rPr>
          <w:b/>
          <w:szCs w:val="22"/>
        </w:rPr>
        <w:t>In addition, provide one copy of each pleading to each of the following</w:t>
      </w:r>
      <w:r w:rsidRPr="00E324C8">
        <w:rPr>
          <w:szCs w:val="22"/>
        </w:rPr>
        <w:t>:</w:t>
      </w:r>
    </w:p>
    <w:p w:rsidR="00E324C8" w:rsidRPr="00E324C8" w:rsidRDefault="00E324C8" w:rsidP="00E324C8">
      <w:pPr>
        <w:numPr>
          <w:ilvl w:val="0"/>
          <w:numId w:val="14"/>
        </w:numPr>
        <w:spacing w:after="120"/>
        <w:rPr>
          <w:szCs w:val="22"/>
        </w:rPr>
      </w:pPr>
      <w:r w:rsidRPr="00E324C8">
        <w:rPr>
          <w:szCs w:val="22"/>
        </w:rPr>
        <w:t>The Commission’s duplicating contractor, Best Copy and Printing, Inc</w:t>
      </w:r>
      <w:r w:rsidRPr="00866DDC">
        <w:rPr>
          <w:szCs w:val="22"/>
        </w:rPr>
        <w:t xml:space="preserve">., </w:t>
      </w:r>
      <w:hyperlink r:id="rId10" w:history="1">
        <w:r w:rsidRPr="00866DDC">
          <w:rPr>
            <w:rStyle w:val="Hyperlink"/>
            <w:szCs w:val="22"/>
          </w:rPr>
          <w:t>fcc@bcpiweb.com</w:t>
        </w:r>
      </w:hyperlink>
      <w:r w:rsidRPr="00E324C8">
        <w:rPr>
          <w:szCs w:val="22"/>
        </w:rPr>
        <w:t>; phone: (202) 488-5300; facsimile:  (202) 488-5563;</w:t>
      </w:r>
    </w:p>
    <w:p w:rsidR="007D5822" w:rsidRPr="00155C6A" w:rsidRDefault="004A0A62" w:rsidP="00155C6A">
      <w:pPr>
        <w:numPr>
          <w:ilvl w:val="0"/>
          <w:numId w:val="14"/>
        </w:numPr>
        <w:spacing w:after="120"/>
        <w:rPr>
          <w:szCs w:val="22"/>
        </w:rPr>
      </w:pPr>
      <w:r>
        <w:rPr>
          <w:szCs w:val="22"/>
        </w:rPr>
        <w:t>Alex</w:t>
      </w:r>
      <w:r w:rsidR="0018534D">
        <w:rPr>
          <w:szCs w:val="22"/>
        </w:rPr>
        <w:t xml:space="preserve"> Johns</w:t>
      </w:r>
      <w:r w:rsidR="00E324C8" w:rsidRPr="00E324C8">
        <w:rPr>
          <w:szCs w:val="22"/>
        </w:rPr>
        <w:t xml:space="preserve">, Competition Policy Division, Wireline Competition Bureau, </w:t>
      </w:r>
      <w:hyperlink r:id="rId11" w:history="1">
        <w:r w:rsidRPr="00AB1819">
          <w:rPr>
            <w:rStyle w:val="Hyperlink"/>
            <w:szCs w:val="22"/>
          </w:rPr>
          <w:t>alexis.johns@fcc.gov</w:t>
        </w:r>
      </w:hyperlink>
      <w:r w:rsidR="00E324C8" w:rsidRPr="00E324C8">
        <w:rPr>
          <w:szCs w:val="22"/>
        </w:rPr>
        <w:t xml:space="preserve"> or (202) 418-1413 (facsimile)</w:t>
      </w:r>
      <w:r w:rsidR="00E324C8" w:rsidRPr="004A0A62">
        <w:rPr>
          <w:szCs w:val="22"/>
        </w:rPr>
        <w:t>.</w:t>
      </w:r>
    </w:p>
    <w:p w:rsidR="00E94399" w:rsidRDefault="00E324C8" w:rsidP="00155C6A">
      <w:pPr>
        <w:spacing w:after="120"/>
        <w:ind w:firstLine="720"/>
      </w:pPr>
      <w:r w:rsidRPr="00E324C8">
        <w:t xml:space="preserve">The proceeding in this Notice shall be treated as a “permit-but-disclose” proceeding in accordance with the Commission’s </w:t>
      </w:r>
      <w:r w:rsidRPr="00E324C8">
        <w:rPr>
          <w:i/>
          <w:iCs/>
        </w:rPr>
        <w:t xml:space="preserve">ex parte </w:t>
      </w:r>
      <w:r w:rsidRPr="00E324C8">
        <w:t>rules.</w:t>
      </w:r>
      <w:r w:rsidRPr="007D5822">
        <w:rPr>
          <w:sz w:val="20"/>
          <w:vertAlign w:val="superscript"/>
        </w:rPr>
        <w:footnoteReference w:id="4"/>
      </w:r>
      <w:r w:rsidRPr="00E324C8">
        <w:t xml:space="preserve">  Persons making </w:t>
      </w:r>
      <w:r w:rsidRPr="00E324C8">
        <w:rPr>
          <w:i/>
        </w:rPr>
        <w:t xml:space="preserve">ex parte </w:t>
      </w:r>
      <w:r w:rsidRPr="00E324C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324C8">
        <w:rPr>
          <w:i/>
          <w:iCs/>
        </w:rPr>
        <w:t xml:space="preserve">ex parte </w:t>
      </w:r>
      <w:r w:rsidRPr="00E324C8">
        <w:t>presentations are reminded that memoranda summarizing the presentation must (1)</w:t>
      </w:r>
      <w:r w:rsidR="004A0A62">
        <w:t> </w:t>
      </w:r>
      <w:r w:rsidRPr="00E324C8">
        <w:t xml:space="preserve">list all persons attending or otherwise participating in the meeting at which the </w:t>
      </w:r>
      <w:r w:rsidRPr="00E324C8">
        <w:rPr>
          <w:i/>
          <w:iCs/>
        </w:rPr>
        <w:t xml:space="preserve">ex parte </w:t>
      </w:r>
      <w:r w:rsidR="004A0A62">
        <w:t>presentation was made, and (2) </w:t>
      </w:r>
      <w:r w:rsidRPr="00E324C8">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324C8">
        <w:rPr>
          <w:i/>
          <w:iCs/>
        </w:rPr>
        <w:t xml:space="preserve">ex parte </w:t>
      </w:r>
      <w:r w:rsidRPr="00E324C8">
        <w:t xml:space="preserve">meetings are deemed to be written </w:t>
      </w:r>
      <w:r w:rsidRPr="00E324C8">
        <w:rPr>
          <w:i/>
          <w:iCs/>
        </w:rPr>
        <w:t>ex parte</w:t>
      </w:r>
      <w:r w:rsidRPr="00E324C8">
        <w:t xml:space="preserve"> presentations and must be filed consistent with rule 1.1206(b), 47 C.F.R. §</w:t>
      </w:r>
      <w:r w:rsidR="00E37838">
        <w:t> </w:t>
      </w:r>
      <w:r w:rsidRPr="00E324C8">
        <w:t xml:space="preserve">1.1206(b).  Participants in this proceeding should familiarize themselves with the Commission’s </w:t>
      </w:r>
      <w:r w:rsidRPr="00E324C8">
        <w:rPr>
          <w:i/>
          <w:iCs/>
        </w:rPr>
        <w:t xml:space="preserve">ex parte </w:t>
      </w:r>
      <w:r w:rsidRPr="00E324C8">
        <w:t>rules.</w:t>
      </w:r>
    </w:p>
    <w:p w:rsidR="00E37838" w:rsidRDefault="00E94399" w:rsidP="00155C6A">
      <w:pPr>
        <w:spacing w:after="120"/>
        <w:ind w:firstLine="720"/>
        <w:rPr>
          <w:szCs w:val="22"/>
        </w:rPr>
      </w:pPr>
      <w:r w:rsidRPr="00BC56B5">
        <w:rPr>
          <w:spacing w:val="-2"/>
          <w:szCs w:val="22"/>
        </w:rPr>
        <w:t xml:space="preserve">To allow the Commission to consider fully all substantive issues regarding the </w:t>
      </w:r>
      <w:r w:rsidR="004A0A62">
        <w:rPr>
          <w:spacing w:val="-2"/>
          <w:szCs w:val="22"/>
        </w:rPr>
        <w:t>Peti</w:t>
      </w:r>
      <w:r w:rsidRPr="00BC56B5">
        <w:rPr>
          <w:spacing w:val="-2"/>
          <w:szCs w:val="22"/>
        </w:rPr>
        <w:t xml:space="preserve">tion in as timely and efficient a manner as possible, </w:t>
      </w:r>
      <w:r w:rsidRPr="00BC56B5">
        <w:rPr>
          <w:szCs w:val="22"/>
        </w:rPr>
        <w:t>petitioners and commenters should raise all issues in their initial filings.  New issues may not be raised in responses or replies.</w:t>
      </w:r>
      <w:r w:rsidRPr="007D5822">
        <w:rPr>
          <w:sz w:val="20"/>
          <w:szCs w:val="22"/>
          <w:vertAlign w:val="superscript"/>
        </w:rPr>
        <w:footnoteReference w:id="5"/>
      </w:r>
      <w:r w:rsidRPr="00BC56B5">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324C8" w:rsidRPr="00E324C8" w:rsidRDefault="00E324C8" w:rsidP="00E37838">
      <w:pPr>
        <w:spacing w:after="240"/>
        <w:ind w:firstLine="720"/>
        <w:rPr>
          <w:szCs w:val="22"/>
        </w:rPr>
      </w:pPr>
      <w:r w:rsidRPr="00E324C8">
        <w:rPr>
          <w:szCs w:val="22"/>
        </w:rPr>
        <w:lastRenderedPageBreak/>
        <w:t>For further infor</w:t>
      </w:r>
      <w:r w:rsidR="0018534D">
        <w:rPr>
          <w:szCs w:val="22"/>
        </w:rPr>
        <w:t xml:space="preserve">mation, please contact </w:t>
      </w:r>
      <w:r w:rsidR="004A0A62">
        <w:rPr>
          <w:szCs w:val="22"/>
        </w:rPr>
        <w:t>Alex</w:t>
      </w:r>
      <w:r w:rsidR="0018534D">
        <w:rPr>
          <w:szCs w:val="22"/>
        </w:rPr>
        <w:t xml:space="preserve"> Johns</w:t>
      </w:r>
      <w:r w:rsidRPr="00E324C8">
        <w:rPr>
          <w:szCs w:val="22"/>
        </w:rPr>
        <w:t>, Wireline Competiti</w:t>
      </w:r>
      <w:r w:rsidR="004A0A62">
        <w:rPr>
          <w:szCs w:val="22"/>
        </w:rPr>
        <w:t>on Bureau, (202) 418-1167</w:t>
      </w:r>
      <w:r w:rsidRPr="00E324C8">
        <w:rPr>
          <w:szCs w:val="22"/>
        </w:rPr>
        <w:t>.</w:t>
      </w:r>
    </w:p>
    <w:p w:rsidR="00E324C8" w:rsidRPr="00E324C8" w:rsidRDefault="00E324C8" w:rsidP="00E324C8">
      <w:pPr>
        <w:ind w:left="720" w:right="720"/>
        <w:rPr>
          <w:szCs w:val="22"/>
        </w:rPr>
      </w:pPr>
    </w:p>
    <w:p w:rsidR="00E324C8" w:rsidRPr="00E324C8" w:rsidRDefault="00E324C8" w:rsidP="00E324C8">
      <w:pPr>
        <w:jc w:val="center"/>
        <w:rPr>
          <w:b/>
          <w:color w:val="000000"/>
          <w:szCs w:val="22"/>
        </w:rPr>
      </w:pPr>
      <w:r w:rsidRPr="00E324C8">
        <w:rPr>
          <w:b/>
          <w:szCs w:val="22"/>
        </w:rPr>
        <w:t>- FCC -</w:t>
      </w:r>
    </w:p>
    <w:p w:rsidR="00E324C8" w:rsidRDefault="00E324C8" w:rsidP="006F1702">
      <w:pPr>
        <w:keepNext/>
        <w:rPr>
          <w:b/>
          <w:color w:val="000000"/>
        </w:rPr>
      </w:pPr>
    </w:p>
    <w:sectPr w:rsidR="00E324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33" w:rsidRDefault="00347B33">
      <w:r>
        <w:separator/>
      </w:r>
    </w:p>
  </w:endnote>
  <w:endnote w:type="continuationSeparator" w:id="0">
    <w:p w:rsidR="00347B33" w:rsidRDefault="0034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38" w:rsidRDefault="00CE7938" w:rsidP="00320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938" w:rsidRDefault="00CE7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38" w:rsidRDefault="00CE7938" w:rsidP="00320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3CB">
      <w:rPr>
        <w:rStyle w:val="PageNumber"/>
        <w:noProof/>
      </w:rPr>
      <w:t>2</w:t>
    </w:r>
    <w:r>
      <w:rPr>
        <w:rStyle w:val="PageNumber"/>
      </w:rPr>
      <w:fldChar w:fldCharType="end"/>
    </w:r>
  </w:p>
  <w:p w:rsidR="00CE7938" w:rsidRDefault="00CE7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C" w:rsidRDefault="0030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33" w:rsidRDefault="00347B33">
      <w:r>
        <w:separator/>
      </w:r>
    </w:p>
  </w:footnote>
  <w:footnote w:type="continuationSeparator" w:id="0">
    <w:p w:rsidR="00347B33" w:rsidRDefault="00347B33">
      <w:r>
        <w:continuationSeparator/>
      </w:r>
    </w:p>
  </w:footnote>
  <w:footnote w:id="1">
    <w:p w:rsidR="00CE7938" w:rsidRPr="00D00751" w:rsidRDefault="00CE7938" w:rsidP="007D5822">
      <w:pPr>
        <w:pStyle w:val="FootnoteText"/>
        <w:spacing w:after="120"/>
        <w:rPr>
          <w:sz w:val="20"/>
        </w:rPr>
      </w:pPr>
      <w:r w:rsidRPr="00D00751">
        <w:rPr>
          <w:rStyle w:val="FootnoteReference"/>
          <w:sz w:val="20"/>
        </w:rPr>
        <w:footnoteRef/>
      </w:r>
      <w:r w:rsidRPr="00D00751">
        <w:rPr>
          <w:sz w:val="20"/>
        </w:rPr>
        <w:t xml:space="preserve"> </w:t>
      </w:r>
      <w:r w:rsidRPr="00D00751">
        <w:rPr>
          <w:i/>
          <w:sz w:val="20"/>
        </w:rPr>
        <w:t>See</w:t>
      </w:r>
      <w:r w:rsidR="00772750">
        <w:rPr>
          <w:i/>
          <w:sz w:val="20"/>
        </w:rPr>
        <w:t xml:space="preserve"> </w:t>
      </w:r>
      <w:r w:rsidR="00772750" w:rsidRPr="00772750">
        <w:rPr>
          <w:sz w:val="20"/>
        </w:rPr>
        <w:t xml:space="preserve">Petition of Granite </w:t>
      </w:r>
      <w:r w:rsidR="00772750" w:rsidRPr="00527C66">
        <w:rPr>
          <w:sz w:val="20"/>
        </w:rPr>
        <w:t>Telecommunications</w:t>
      </w:r>
      <w:r w:rsidR="00155C6A">
        <w:rPr>
          <w:sz w:val="20"/>
        </w:rPr>
        <w:t>,</w:t>
      </w:r>
      <w:r w:rsidR="00772750" w:rsidRPr="00527C66">
        <w:rPr>
          <w:sz w:val="20"/>
        </w:rPr>
        <w:t xml:space="preserve"> LLC, for Declaratory Ruling Regarding the Separation, Combination, and Commingling of Section 271 Unbundled Network Elements,</w:t>
      </w:r>
      <w:r w:rsidR="00E37838" w:rsidRPr="00527C66">
        <w:rPr>
          <w:sz w:val="20"/>
        </w:rPr>
        <w:t xml:space="preserve"> </w:t>
      </w:r>
      <w:r w:rsidR="00772750" w:rsidRPr="00527C66">
        <w:rPr>
          <w:sz w:val="20"/>
        </w:rPr>
        <w:t>WC Docket No. 15-11</w:t>
      </w:r>
      <w:r w:rsidR="00201355" w:rsidRPr="00527C66">
        <w:rPr>
          <w:sz w:val="20"/>
        </w:rPr>
        <w:t>4</w:t>
      </w:r>
      <w:r w:rsidR="00131719" w:rsidRPr="00527C66">
        <w:rPr>
          <w:sz w:val="20"/>
        </w:rPr>
        <w:t xml:space="preserve"> (filed </w:t>
      </w:r>
      <w:r w:rsidR="00772750" w:rsidRPr="00527C66">
        <w:rPr>
          <w:sz w:val="20"/>
        </w:rPr>
        <w:t>May</w:t>
      </w:r>
      <w:r w:rsidR="00201355" w:rsidRPr="00527C66">
        <w:rPr>
          <w:sz w:val="20"/>
        </w:rPr>
        <w:t xml:space="preserve"> 4, 2015</w:t>
      </w:r>
      <w:r w:rsidRPr="00527C66">
        <w:rPr>
          <w:sz w:val="20"/>
        </w:rPr>
        <w:t>)</w:t>
      </w:r>
      <w:r w:rsidR="00527C66" w:rsidRPr="00527C66">
        <w:rPr>
          <w:sz w:val="20"/>
        </w:rPr>
        <w:t xml:space="preserve">, </w:t>
      </w:r>
      <w:hyperlink r:id="rId1" w:history="1">
        <w:r w:rsidR="00527C66" w:rsidRPr="00527C66">
          <w:rPr>
            <w:rStyle w:val="Hyperlink"/>
            <w:sz w:val="20"/>
          </w:rPr>
          <w:t>http://apps.fcc.gov/ecfs/document/view?id=60001046346</w:t>
        </w:r>
      </w:hyperlink>
      <w:r w:rsidR="00772750" w:rsidRPr="00527C66">
        <w:rPr>
          <w:sz w:val="20"/>
        </w:rPr>
        <w:t xml:space="preserve"> (Peti</w:t>
      </w:r>
      <w:r w:rsidR="00125C35" w:rsidRPr="00527C66">
        <w:rPr>
          <w:sz w:val="20"/>
        </w:rPr>
        <w:t>tion)</w:t>
      </w:r>
      <w:r w:rsidR="00772750" w:rsidRPr="00527C66">
        <w:rPr>
          <w:sz w:val="20"/>
        </w:rPr>
        <w:t>.</w:t>
      </w:r>
    </w:p>
  </w:footnote>
  <w:footnote w:id="2">
    <w:p w:rsidR="00CE7938" w:rsidRPr="00D00751" w:rsidRDefault="00CE7938" w:rsidP="007D5822">
      <w:pPr>
        <w:pStyle w:val="FootnoteText"/>
        <w:spacing w:after="120"/>
        <w:rPr>
          <w:sz w:val="20"/>
        </w:rPr>
      </w:pPr>
      <w:r w:rsidRPr="00D00751">
        <w:rPr>
          <w:rStyle w:val="FootnoteReference"/>
          <w:sz w:val="20"/>
        </w:rPr>
        <w:footnoteRef/>
      </w:r>
      <w:r w:rsidR="004A0A62">
        <w:rPr>
          <w:sz w:val="20"/>
        </w:rPr>
        <w:t xml:space="preserve"> 47 </w:t>
      </w:r>
      <w:r w:rsidRPr="00D00751">
        <w:rPr>
          <w:sz w:val="20"/>
        </w:rPr>
        <w:t>C.</w:t>
      </w:r>
      <w:r w:rsidR="004A0A62">
        <w:rPr>
          <w:sz w:val="20"/>
        </w:rPr>
        <w:t>F.R.</w:t>
      </w:r>
      <w:r w:rsidRPr="00D00751">
        <w:rPr>
          <w:sz w:val="20"/>
        </w:rPr>
        <w:t xml:space="preserve"> §</w:t>
      </w:r>
      <w:r w:rsidR="004A0A62">
        <w:rPr>
          <w:sz w:val="20"/>
        </w:rPr>
        <w:t> 1.2(a)</w:t>
      </w:r>
      <w:r w:rsidRPr="00D00751">
        <w:rPr>
          <w:sz w:val="20"/>
        </w:rPr>
        <w:t>.</w:t>
      </w:r>
    </w:p>
  </w:footnote>
  <w:footnote w:id="3">
    <w:p w:rsidR="007D5822" w:rsidRPr="00DE6F6B" w:rsidRDefault="007D5822" w:rsidP="00E37838">
      <w:pPr>
        <w:pStyle w:val="FootnoteText"/>
        <w:spacing w:after="120"/>
        <w:rPr>
          <w:sz w:val="20"/>
        </w:rPr>
      </w:pPr>
      <w:r w:rsidRPr="00DE6F6B">
        <w:rPr>
          <w:rStyle w:val="FootnoteReference"/>
          <w:sz w:val="20"/>
        </w:rPr>
        <w:footnoteRef/>
      </w:r>
      <w:r w:rsidRPr="00DE6F6B">
        <w:rPr>
          <w:sz w:val="20"/>
        </w:rPr>
        <w:t xml:space="preserve"> </w:t>
      </w:r>
      <w:r w:rsidR="007057B8">
        <w:rPr>
          <w:sz w:val="20"/>
        </w:rPr>
        <w:t xml:space="preserve">Petition </w:t>
      </w:r>
      <w:r w:rsidRPr="00DE6F6B">
        <w:rPr>
          <w:sz w:val="20"/>
        </w:rPr>
        <w:t>at 2.</w:t>
      </w:r>
    </w:p>
  </w:footnote>
  <w:footnote w:id="4">
    <w:p w:rsidR="00CE7938" w:rsidRPr="002A410A" w:rsidRDefault="00CE7938" w:rsidP="0055451C">
      <w:pPr>
        <w:pStyle w:val="FootnoteText"/>
        <w:spacing w:after="120"/>
        <w:rPr>
          <w:i/>
          <w:iCs/>
          <w:sz w:val="20"/>
        </w:rPr>
      </w:pPr>
      <w:r w:rsidRPr="002A410A">
        <w:rPr>
          <w:rStyle w:val="FootnoteReference"/>
          <w:sz w:val="20"/>
        </w:rPr>
        <w:footnoteRef/>
      </w:r>
      <w:r w:rsidRPr="002A410A">
        <w:rPr>
          <w:sz w:val="20"/>
        </w:rPr>
        <w:t xml:space="preserve"> 47 C.F.R. §§</w:t>
      </w:r>
      <w:r w:rsidR="00E37838">
        <w:rPr>
          <w:sz w:val="20"/>
        </w:rPr>
        <w:t> </w:t>
      </w:r>
      <w:r w:rsidRPr="002A410A">
        <w:rPr>
          <w:sz w:val="20"/>
        </w:rPr>
        <w:t xml:space="preserve">1.1200 </w:t>
      </w:r>
      <w:r w:rsidRPr="002A410A">
        <w:rPr>
          <w:i/>
          <w:iCs/>
          <w:sz w:val="20"/>
        </w:rPr>
        <w:t>et seq.</w:t>
      </w:r>
    </w:p>
  </w:footnote>
  <w:footnote w:id="5">
    <w:p w:rsidR="00E94399" w:rsidRPr="002A410A" w:rsidRDefault="00E94399" w:rsidP="0055451C">
      <w:pPr>
        <w:pStyle w:val="FootnoteText"/>
        <w:spacing w:after="120"/>
        <w:rPr>
          <w:sz w:val="20"/>
        </w:rPr>
      </w:pPr>
      <w:r w:rsidRPr="002A410A">
        <w:rPr>
          <w:rStyle w:val="FootnoteReference"/>
          <w:sz w:val="20"/>
        </w:rPr>
        <w:footnoteRef/>
      </w:r>
      <w:r w:rsidRPr="002A410A">
        <w:rPr>
          <w:sz w:val="20"/>
        </w:rPr>
        <w:t xml:space="preserve"> </w:t>
      </w:r>
      <w:r w:rsidRPr="002A410A">
        <w:rPr>
          <w:i/>
          <w:sz w:val="20"/>
        </w:rPr>
        <w:t>See</w:t>
      </w:r>
      <w:r w:rsidRPr="002A410A">
        <w:rPr>
          <w:sz w:val="20"/>
        </w:rPr>
        <w:t xml:space="preserve"> 47 C.F.R. §</w:t>
      </w:r>
      <w:r w:rsidR="00E37838">
        <w:rPr>
          <w:sz w:val="20"/>
        </w:rPr>
        <w:t> </w:t>
      </w:r>
      <w:r w:rsidRPr="002A410A">
        <w:rPr>
          <w:sz w:val="20"/>
        </w:rPr>
        <w:t>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C" w:rsidRDefault="00304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C" w:rsidRDefault="00304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38" w:rsidRDefault="007824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3B51B4" wp14:editId="21BA5284">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38">
      <w:rPr>
        <w:rFonts w:ascii="News Gothic MT" w:hAnsi="News Gothic MT"/>
        <w:b/>
        <w:kern w:val="28"/>
        <w:sz w:val="96"/>
      </w:rPr>
      <w:t>PUBLIC NOTICE</w:t>
    </w:r>
  </w:p>
  <w:p w:rsidR="00CE7938" w:rsidRDefault="00155C6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19D842D" wp14:editId="32E47316">
              <wp:simplePos x="0" y="0"/>
              <wp:positionH relativeFrom="column">
                <wp:posOffset>3249295</wp:posOffset>
              </wp:positionH>
              <wp:positionV relativeFrom="paragraph">
                <wp:posOffset>123705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938" w:rsidRDefault="00CE7938">
                          <w:pPr>
                            <w:spacing w:before="40"/>
                            <w:jc w:val="right"/>
                            <w:rPr>
                              <w:rFonts w:ascii="Arial" w:hAnsi="Arial"/>
                              <w:b/>
                              <w:sz w:val="16"/>
                            </w:rPr>
                          </w:pPr>
                          <w:r>
                            <w:rPr>
                              <w:rFonts w:ascii="Arial" w:hAnsi="Arial"/>
                              <w:b/>
                              <w:sz w:val="16"/>
                            </w:rPr>
                            <w:t>News Media Information 202 / 418-0500</w:t>
                          </w:r>
                        </w:p>
                        <w:p w:rsidR="00CE7938" w:rsidRDefault="00CE793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E7938" w:rsidRDefault="00CE7938">
                          <w:pPr>
                            <w:jc w:val="right"/>
                            <w:rPr>
                              <w:rFonts w:ascii="Arial" w:hAnsi="Arial"/>
                              <w:b/>
                              <w:sz w:val="16"/>
                            </w:rPr>
                          </w:pPr>
                          <w:r>
                            <w:rPr>
                              <w:rFonts w:ascii="Arial" w:hAnsi="Arial"/>
                              <w:b/>
                              <w:sz w:val="16"/>
                            </w:rPr>
                            <w:t>TTY: 1-888-835-5322</w:t>
                          </w:r>
                        </w:p>
                        <w:p w:rsidR="00CE7938" w:rsidRDefault="00CE79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85pt;margin-top:9.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PRfwIAAAc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" o:allowincell="f" stroked="f">
              <v:textbox inset=",0,,0">
                <w:txbxContent>
                  <w:p w:rsidR="00CE7938" w:rsidRDefault="00CE7938">
                    <w:pPr>
                      <w:spacing w:before="40"/>
                      <w:jc w:val="right"/>
                      <w:rPr>
                        <w:rFonts w:ascii="Arial" w:hAnsi="Arial"/>
                        <w:b/>
                        <w:sz w:val="16"/>
                      </w:rPr>
                    </w:pPr>
                    <w:r>
                      <w:rPr>
                        <w:rFonts w:ascii="Arial" w:hAnsi="Arial"/>
                        <w:b/>
                        <w:sz w:val="16"/>
                      </w:rPr>
                      <w:t>News Media Information 202 / 418-0500</w:t>
                    </w:r>
                  </w:p>
                  <w:p w:rsidR="00CE7938" w:rsidRDefault="00CE7938">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E7938" w:rsidRDefault="00CE7938">
                    <w:pPr>
                      <w:jc w:val="right"/>
                      <w:rPr>
                        <w:rFonts w:ascii="Arial" w:hAnsi="Arial"/>
                        <w:b/>
                        <w:sz w:val="16"/>
                      </w:rPr>
                    </w:pPr>
                    <w:r>
                      <w:rPr>
                        <w:rFonts w:ascii="Arial" w:hAnsi="Arial"/>
                        <w:b/>
                        <w:sz w:val="16"/>
                      </w:rPr>
                      <w:t>TTY: 1-888-835-5322</w:t>
                    </w:r>
                  </w:p>
                  <w:p w:rsidR="00CE7938" w:rsidRDefault="00CE793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8CA6842" wp14:editId="380E8F55">
              <wp:simplePos x="0" y="0"/>
              <wp:positionH relativeFrom="column">
                <wp:posOffset>0</wp:posOffset>
              </wp:positionH>
              <wp:positionV relativeFrom="paragraph">
                <wp:posOffset>696595</wp:posOffset>
              </wp:positionV>
              <wp:extent cx="5892800" cy="2540"/>
              <wp:effectExtent l="0" t="0" r="1270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85pt" to="464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0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ZzfNZ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3A17E4A" wp14:editId="7576AE2D">
              <wp:simplePos x="0" y="0"/>
              <wp:positionH relativeFrom="column">
                <wp:posOffset>635</wp:posOffset>
              </wp:positionH>
              <wp:positionV relativeFrom="paragraph">
                <wp:posOffset>13335</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938" w:rsidRDefault="00CE7938">
                          <w:pPr>
                            <w:rPr>
                              <w:rFonts w:ascii="Arial" w:hAnsi="Arial"/>
                              <w:b/>
                            </w:rPr>
                          </w:pPr>
                          <w:r>
                            <w:rPr>
                              <w:rFonts w:ascii="Arial" w:hAnsi="Arial"/>
                              <w:b/>
                            </w:rPr>
                            <w:t>Federal Communications Commission</w:t>
                          </w:r>
                        </w:p>
                        <w:p w:rsidR="00CE7938" w:rsidRDefault="00CE793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E7938" w:rsidRDefault="00CE793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5pt;margin-top:1.0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" o:allowincell="f" stroked="f">
              <v:textbox>
                <w:txbxContent>
                  <w:p w:rsidR="00CE7938" w:rsidRDefault="00CE7938">
                    <w:pPr>
                      <w:rPr>
                        <w:rFonts w:ascii="Arial" w:hAnsi="Arial"/>
                        <w:b/>
                      </w:rPr>
                    </w:pPr>
                    <w:r>
                      <w:rPr>
                        <w:rFonts w:ascii="Arial" w:hAnsi="Arial"/>
                        <w:b/>
                      </w:rPr>
                      <w:t>Federal Communications Commission</w:t>
                    </w:r>
                  </w:p>
                  <w:p w:rsidR="00CE7938" w:rsidRDefault="00CE793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E7938" w:rsidRDefault="00CE7938">
                    <w:pPr>
                      <w:rPr>
                        <w:rFonts w:ascii="Arial" w:hAnsi="Arial"/>
                        <w:sz w:val="24"/>
                      </w:rPr>
                    </w:pPr>
                    <w:r>
                      <w:rPr>
                        <w:rFonts w:ascii="Arial" w:hAnsi="Arial"/>
                        <w:b/>
                      </w:rPr>
                      <w:t>Washington, D.C. 20554</w:t>
                    </w:r>
                  </w:p>
                </w:txbxContent>
              </v:textbox>
            </v:shape>
          </w:pict>
        </mc:Fallback>
      </mc:AlternateContent>
    </w:r>
  </w:p>
  <w:p w:rsidR="00CE7938" w:rsidRDefault="00CE793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F4380"/>
    <w:multiLevelType w:val="hybridMultilevel"/>
    <w:tmpl w:val="AA44937A"/>
    <w:lvl w:ilvl="0" w:tplc="894CB8E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21"/>
    <w:rsid w:val="00001987"/>
    <w:rsid w:val="00006A69"/>
    <w:rsid w:val="00032372"/>
    <w:rsid w:val="000333E6"/>
    <w:rsid w:val="00035A8A"/>
    <w:rsid w:val="000567C9"/>
    <w:rsid w:val="00062A1E"/>
    <w:rsid w:val="0007438A"/>
    <w:rsid w:val="00074CEA"/>
    <w:rsid w:val="0008015A"/>
    <w:rsid w:val="00081AA3"/>
    <w:rsid w:val="0008351C"/>
    <w:rsid w:val="000A059D"/>
    <w:rsid w:val="000A3914"/>
    <w:rsid w:val="000B1E2F"/>
    <w:rsid w:val="000B394C"/>
    <w:rsid w:val="000C42CA"/>
    <w:rsid w:val="000C74FD"/>
    <w:rsid w:val="000F7D35"/>
    <w:rsid w:val="00125C35"/>
    <w:rsid w:val="00131719"/>
    <w:rsid w:val="00134815"/>
    <w:rsid w:val="0014078A"/>
    <w:rsid w:val="00141621"/>
    <w:rsid w:val="00144E14"/>
    <w:rsid w:val="00155C6A"/>
    <w:rsid w:val="00157D72"/>
    <w:rsid w:val="001650EB"/>
    <w:rsid w:val="00166172"/>
    <w:rsid w:val="00173126"/>
    <w:rsid w:val="0018534D"/>
    <w:rsid w:val="001A3E1C"/>
    <w:rsid w:val="001A6234"/>
    <w:rsid w:val="001B0273"/>
    <w:rsid w:val="001B482C"/>
    <w:rsid w:val="001B6A4E"/>
    <w:rsid w:val="001B6BD1"/>
    <w:rsid w:val="001C2F95"/>
    <w:rsid w:val="001C67E8"/>
    <w:rsid w:val="001D017F"/>
    <w:rsid w:val="001D6131"/>
    <w:rsid w:val="001F3031"/>
    <w:rsid w:val="002001CF"/>
    <w:rsid w:val="00200482"/>
    <w:rsid w:val="00201355"/>
    <w:rsid w:val="002023EA"/>
    <w:rsid w:val="00204138"/>
    <w:rsid w:val="00213568"/>
    <w:rsid w:val="00220093"/>
    <w:rsid w:val="002225CF"/>
    <w:rsid w:val="00231805"/>
    <w:rsid w:val="00233BD7"/>
    <w:rsid w:val="0024062B"/>
    <w:rsid w:val="002516DC"/>
    <w:rsid w:val="00251F1A"/>
    <w:rsid w:val="00254F9F"/>
    <w:rsid w:val="0025515A"/>
    <w:rsid w:val="002763A2"/>
    <w:rsid w:val="00284E21"/>
    <w:rsid w:val="00290C7D"/>
    <w:rsid w:val="00294077"/>
    <w:rsid w:val="002978CE"/>
    <w:rsid w:val="002A410A"/>
    <w:rsid w:val="002A70CD"/>
    <w:rsid w:val="002A7236"/>
    <w:rsid w:val="002B7106"/>
    <w:rsid w:val="002C314B"/>
    <w:rsid w:val="002C5A83"/>
    <w:rsid w:val="002E19EA"/>
    <w:rsid w:val="00301071"/>
    <w:rsid w:val="0030411C"/>
    <w:rsid w:val="00320623"/>
    <w:rsid w:val="0033757A"/>
    <w:rsid w:val="0034204A"/>
    <w:rsid w:val="00346327"/>
    <w:rsid w:val="00347B33"/>
    <w:rsid w:val="00355E68"/>
    <w:rsid w:val="00360AC0"/>
    <w:rsid w:val="003614E3"/>
    <w:rsid w:val="0036262F"/>
    <w:rsid w:val="00363888"/>
    <w:rsid w:val="00372AAC"/>
    <w:rsid w:val="003743CD"/>
    <w:rsid w:val="00376FCE"/>
    <w:rsid w:val="00385ACC"/>
    <w:rsid w:val="003867A1"/>
    <w:rsid w:val="00390D8D"/>
    <w:rsid w:val="003A1FCF"/>
    <w:rsid w:val="003A31D4"/>
    <w:rsid w:val="003A4D7C"/>
    <w:rsid w:val="003B37CB"/>
    <w:rsid w:val="003C7C1D"/>
    <w:rsid w:val="003C7E81"/>
    <w:rsid w:val="003F1A09"/>
    <w:rsid w:val="003F4A31"/>
    <w:rsid w:val="004048AA"/>
    <w:rsid w:val="004061FF"/>
    <w:rsid w:val="00411D7F"/>
    <w:rsid w:val="00413A9F"/>
    <w:rsid w:val="00433D5C"/>
    <w:rsid w:val="0045005A"/>
    <w:rsid w:val="00452C3F"/>
    <w:rsid w:val="0046161D"/>
    <w:rsid w:val="00487CB4"/>
    <w:rsid w:val="004A0A62"/>
    <w:rsid w:val="004A10C1"/>
    <w:rsid w:val="004A44CB"/>
    <w:rsid w:val="004A48FB"/>
    <w:rsid w:val="004B19CE"/>
    <w:rsid w:val="004B7A2E"/>
    <w:rsid w:val="004B7B25"/>
    <w:rsid w:val="004D6228"/>
    <w:rsid w:val="004E444C"/>
    <w:rsid w:val="00500099"/>
    <w:rsid w:val="00507A08"/>
    <w:rsid w:val="00516170"/>
    <w:rsid w:val="00522045"/>
    <w:rsid w:val="0052481B"/>
    <w:rsid w:val="00527C66"/>
    <w:rsid w:val="00537203"/>
    <w:rsid w:val="00540F16"/>
    <w:rsid w:val="00541FD5"/>
    <w:rsid w:val="0054781E"/>
    <w:rsid w:val="0055451C"/>
    <w:rsid w:val="00555595"/>
    <w:rsid w:val="00560027"/>
    <w:rsid w:val="00565E93"/>
    <w:rsid w:val="005701A3"/>
    <w:rsid w:val="00572FAA"/>
    <w:rsid w:val="00575024"/>
    <w:rsid w:val="00580598"/>
    <w:rsid w:val="005847A6"/>
    <w:rsid w:val="005A36DB"/>
    <w:rsid w:val="005C54C5"/>
    <w:rsid w:val="005D0BB1"/>
    <w:rsid w:val="005E1BA5"/>
    <w:rsid w:val="005E3359"/>
    <w:rsid w:val="005E378B"/>
    <w:rsid w:val="005E4C9E"/>
    <w:rsid w:val="00604265"/>
    <w:rsid w:val="00677A34"/>
    <w:rsid w:val="00681385"/>
    <w:rsid w:val="00683EFB"/>
    <w:rsid w:val="006842EB"/>
    <w:rsid w:val="00686234"/>
    <w:rsid w:val="00696F2E"/>
    <w:rsid w:val="006B0E94"/>
    <w:rsid w:val="006B1225"/>
    <w:rsid w:val="006B347B"/>
    <w:rsid w:val="006E7074"/>
    <w:rsid w:val="006E7E93"/>
    <w:rsid w:val="006F1702"/>
    <w:rsid w:val="006F1F6F"/>
    <w:rsid w:val="006F5926"/>
    <w:rsid w:val="007016DE"/>
    <w:rsid w:val="007057B8"/>
    <w:rsid w:val="0072433F"/>
    <w:rsid w:val="00730339"/>
    <w:rsid w:val="0074247C"/>
    <w:rsid w:val="00747E1C"/>
    <w:rsid w:val="00750B2C"/>
    <w:rsid w:val="00752476"/>
    <w:rsid w:val="0075560F"/>
    <w:rsid w:val="00755B5D"/>
    <w:rsid w:val="0076000B"/>
    <w:rsid w:val="00760070"/>
    <w:rsid w:val="00772750"/>
    <w:rsid w:val="00782443"/>
    <w:rsid w:val="00785FED"/>
    <w:rsid w:val="0078666D"/>
    <w:rsid w:val="007925CE"/>
    <w:rsid w:val="00793D8E"/>
    <w:rsid w:val="007A10C6"/>
    <w:rsid w:val="007B0611"/>
    <w:rsid w:val="007B1DF9"/>
    <w:rsid w:val="007C5D09"/>
    <w:rsid w:val="007D4974"/>
    <w:rsid w:val="007D5822"/>
    <w:rsid w:val="007F53AF"/>
    <w:rsid w:val="00811B79"/>
    <w:rsid w:val="00823F70"/>
    <w:rsid w:val="00833570"/>
    <w:rsid w:val="00836996"/>
    <w:rsid w:val="0083724C"/>
    <w:rsid w:val="00846BC7"/>
    <w:rsid w:val="0084743E"/>
    <w:rsid w:val="0085039D"/>
    <w:rsid w:val="0086200A"/>
    <w:rsid w:val="0086389C"/>
    <w:rsid w:val="00865730"/>
    <w:rsid w:val="00866DDC"/>
    <w:rsid w:val="008673CA"/>
    <w:rsid w:val="008700E0"/>
    <w:rsid w:val="008701B6"/>
    <w:rsid w:val="00894822"/>
    <w:rsid w:val="00894B96"/>
    <w:rsid w:val="008962E2"/>
    <w:rsid w:val="008978A3"/>
    <w:rsid w:val="008B2C03"/>
    <w:rsid w:val="008C033A"/>
    <w:rsid w:val="008C7B80"/>
    <w:rsid w:val="008D12EC"/>
    <w:rsid w:val="008D36FE"/>
    <w:rsid w:val="008F3317"/>
    <w:rsid w:val="009025EC"/>
    <w:rsid w:val="00902659"/>
    <w:rsid w:val="00906B9E"/>
    <w:rsid w:val="00931CA3"/>
    <w:rsid w:val="009361A5"/>
    <w:rsid w:val="00945692"/>
    <w:rsid w:val="00953012"/>
    <w:rsid w:val="00974243"/>
    <w:rsid w:val="0098294A"/>
    <w:rsid w:val="009846CA"/>
    <w:rsid w:val="00992A0A"/>
    <w:rsid w:val="009A09DC"/>
    <w:rsid w:val="009C4E37"/>
    <w:rsid w:val="00A009F6"/>
    <w:rsid w:val="00A00CAE"/>
    <w:rsid w:val="00A06F70"/>
    <w:rsid w:val="00A20CE8"/>
    <w:rsid w:val="00A21D51"/>
    <w:rsid w:val="00A317BD"/>
    <w:rsid w:val="00A40322"/>
    <w:rsid w:val="00A644E1"/>
    <w:rsid w:val="00A73292"/>
    <w:rsid w:val="00A7678F"/>
    <w:rsid w:val="00A85C39"/>
    <w:rsid w:val="00A86E8C"/>
    <w:rsid w:val="00AA537E"/>
    <w:rsid w:val="00AC24B9"/>
    <w:rsid w:val="00AE5520"/>
    <w:rsid w:val="00AE6F50"/>
    <w:rsid w:val="00B02309"/>
    <w:rsid w:val="00B127F3"/>
    <w:rsid w:val="00B20E9F"/>
    <w:rsid w:val="00B2305B"/>
    <w:rsid w:val="00B343C9"/>
    <w:rsid w:val="00B37CBD"/>
    <w:rsid w:val="00B4264E"/>
    <w:rsid w:val="00B516EA"/>
    <w:rsid w:val="00B521E3"/>
    <w:rsid w:val="00B66DED"/>
    <w:rsid w:val="00B74438"/>
    <w:rsid w:val="00B77BD2"/>
    <w:rsid w:val="00BA28A3"/>
    <w:rsid w:val="00BA531A"/>
    <w:rsid w:val="00BA64CE"/>
    <w:rsid w:val="00BC06C7"/>
    <w:rsid w:val="00BC2BD3"/>
    <w:rsid w:val="00BC2D47"/>
    <w:rsid w:val="00BC56B5"/>
    <w:rsid w:val="00BE0773"/>
    <w:rsid w:val="00BE0C9A"/>
    <w:rsid w:val="00BE513B"/>
    <w:rsid w:val="00BF2314"/>
    <w:rsid w:val="00C05BC1"/>
    <w:rsid w:val="00C1029D"/>
    <w:rsid w:val="00C14A8E"/>
    <w:rsid w:val="00C17665"/>
    <w:rsid w:val="00C331F2"/>
    <w:rsid w:val="00C5331B"/>
    <w:rsid w:val="00C553A0"/>
    <w:rsid w:val="00C576AF"/>
    <w:rsid w:val="00C625F9"/>
    <w:rsid w:val="00C651DC"/>
    <w:rsid w:val="00C66274"/>
    <w:rsid w:val="00C66E94"/>
    <w:rsid w:val="00C92F51"/>
    <w:rsid w:val="00CA555B"/>
    <w:rsid w:val="00CB5097"/>
    <w:rsid w:val="00CB5DBB"/>
    <w:rsid w:val="00CC02BE"/>
    <w:rsid w:val="00CC1E6A"/>
    <w:rsid w:val="00CC2745"/>
    <w:rsid w:val="00CC2F03"/>
    <w:rsid w:val="00CC46A5"/>
    <w:rsid w:val="00CE095C"/>
    <w:rsid w:val="00CE4290"/>
    <w:rsid w:val="00CE7083"/>
    <w:rsid w:val="00CE7938"/>
    <w:rsid w:val="00CF322B"/>
    <w:rsid w:val="00CF7586"/>
    <w:rsid w:val="00CF7757"/>
    <w:rsid w:val="00D00751"/>
    <w:rsid w:val="00D04262"/>
    <w:rsid w:val="00D06AD2"/>
    <w:rsid w:val="00D17779"/>
    <w:rsid w:val="00D1798E"/>
    <w:rsid w:val="00D21108"/>
    <w:rsid w:val="00D244F2"/>
    <w:rsid w:val="00D27E8E"/>
    <w:rsid w:val="00D30BEE"/>
    <w:rsid w:val="00D523F2"/>
    <w:rsid w:val="00D54A44"/>
    <w:rsid w:val="00D6242B"/>
    <w:rsid w:val="00D62CDC"/>
    <w:rsid w:val="00D660EB"/>
    <w:rsid w:val="00D671C5"/>
    <w:rsid w:val="00D726B4"/>
    <w:rsid w:val="00D77117"/>
    <w:rsid w:val="00D85197"/>
    <w:rsid w:val="00D91870"/>
    <w:rsid w:val="00D96520"/>
    <w:rsid w:val="00DA0D8B"/>
    <w:rsid w:val="00DA266E"/>
    <w:rsid w:val="00DA4D28"/>
    <w:rsid w:val="00DB0447"/>
    <w:rsid w:val="00DB0E33"/>
    <w:rsid w:val="00DB5768"/>
    <w:rsid w:val="00DB6229"/>
    <w:rsid w:val="00DC04EC"/>
    <w:rsid w:val="00DC3264"/>
    <w:rsid w:val="00DC456F"/>
    <w:rsid w:val="00DD0BAD"/>
    <w:rsid w:val="00DD150A"/>
    <w:rsid w:val="00DE2827"/>
    <w:rsid w:val="00DE6F6B"/>
    <w:rsid w:val="00DF2DE2"/>
    <w:rsid w:val="00DF4C36"/>
    <w:rsid w:val="00E134E1"/>
    <w:rsid w:val="00E1637F"/>
    <w:rsid w:val="00E17656"/>
    <w:rsid w:val="00E176DD"/>
    <w:rsid w:val="00E25909"/>
    <w:rsid w:val="00E26349"/>
    <w:rsid w:val="00E271BD"/>
    <w:rsid w:val="00E324C8"/>
    <w:rsid w:val="00E37838"/>
    <w:rsid w:val="00E43FBA"/>
    <w:rsid w:val="00E449AD"/>
    <w:rsid w:val="00E44DEA"/>
    <w:rsid w:val="00E6344C"/>
    <w:rsid w:val="00E64320"/>
    <w:rsid w:val="00E713CC"/>
    <w:rsid w:val="00E7756F"/>
    <w:rsid w:val="00E823AC"/>
    <w:rsid w:val="00E87BC8"/>
    <w:rsid w:val="00E94399"/>
    <w:rsid w:val="00E977FF"/>
    <w:rsid w:val="00EA1C0B"/>
    <w:rsid w:val="00EC0152"/>
    <w:rsid w:val="00EC5C09"/>
    <w:rsid w:val="00EC5D7E"/>
    <w:rsid w:val="00ED6693"/>
    <w:rsid w:val="00F052A5"/>
    <w:rsid w:val="00F17807"/>
    <w:rsid w:val="00F231B0"/>
    <w:rsid w:val="00F34B70"/>
    <w:rsid w:val="00F36170"/>
    <w:rsid w:val="00F4084F"/>
    <w:rsid w:val="00F473DD"/>
    <w:rsid w:val="00F52704"/>
    <w:rsid w:val="00F530FB"/>
    <w:rsid w:val="00F553CB"/>
    <w:rsid w:val="00F66BFD"/>
    <w:rsid w:val="00F731C4"/>
    <w:rsid w:val="00F74ED0"/>
    <w:rsid w:val="00F75905"/>
    <w:rsid w:val="00F76C33"/>
    <w:rsid w:val="00F8162B"/>
    <w:rsid w:val="00F90CA3"/>
    <w:rsid w:val="00FA1FE5"/>
    <w:rsid w:val="00FB4BEC"/>
    <w:rsid w:val="00FC2FE2"/>
    <w:rsid w:val="00FC513D"/>
    <w:rsid w:val="00FC6462"/>
    <w:rsid w:val="00FE09DF"/>
    <w:rsid w:val="00FE420D"/>
    <w:rsid w:val="00FF23EC"/>
    <w:rsid w:val="00FF38F2"/>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76000B"/>
    <w:rPr>
      <w:sz w:val="22"/>
    </w:rPr>
  </w:style>
  <w:style w:type="character" w:styleId="PageNumber">
    <w:name w:val="page number"/>
    <w:basedOn w:val="DefaultParagraphFont"/>
    <w:rsid w:val="00081AA3"/>
  </w:style>
  <w:style w:type="paragraph" w:styleId="ListParagraph">
    <w:name w:val="List Paragraph"/>
    <w:basedOn w:val="Normal"/>
    <w:uiPriority w:val="34"/>
    <w:qFormat/>
    <w:rsid w:val="00E324C8"/>
    <w:pPr>
      <w:ind w:left="720"/>
    </w:pPr>
  </w:style>
  <w:style w:type="character" w:styleId="CommentReference">
    <w:name w:val="annotation reference"/>
    <w:rsid w:val="00A20CE8"/>
    <w:rPr>
      <w:sz w:val="16"/>
      <w:szCs w:val="16"/>
    </w:rPr>
  </w:style>
  <w:style w:type="paragraph" w:styleId="CommentText">
    <w:name w:val="annotation text"/>
    <w:basedOn w:val="Normal"/>
    <w:link w:val="CommentTextChar"/>
    <w:rsid w:val="00A20CE8"/>
    <w:rPr>
      <w:sz w:val="20"/>
    </w:rPr>
  </w:style>
  <w:style w:type="character" w:customStyle="1" w:styleId="CommentTextChar">
    <w:name w:val="Comment Text Char"/>
    <w:basedOn w:val="DefaultParagraphFont"/>
    <w:link w:val="CommentText"/>
    <w:rsid w:val="00A20CE8"/>
  </w:style>
  <w:style w:type="paragraph" w:styleId="CommentSubject">
    <w:name w:val="annotation subject"/>
    <w:basedOn w:val="CommentText"/>
    <w:next w:val="CommentText"/>
    <w:link w:val="CommentSubjectChar"/>
    <w:rsid w:val="00A20CE8"/>
    <w:rPr>
      <w:b/>
      <w:bCs/>
    </w:rPr>
  </w:style>
  <w:style w:type="character" w:customStyle="1" w:styleId="CommentSubjectChar">
    <w:name w:val="Comment Subject Char"/>
    <w:link w:val="CommentSubject"/>
    <w:rsid w:val="00A20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76000B"/>
    <w:rPr>
      <w:sz w:val="22"/>
    </w:rPr>
  </w:style>
  <w:style w:type="character" w:styleId="PageNumber">
    <w:name w:val="page number"/>
    <w:basedOn w:val="DefaultParagraphFont"/>
    <w:rsid w:val="00081AA3"/>
  </w:style>
  <w:style w:type="paragraph" w:styleId="ListParagraph">
    <w:name w:val="List Paragraph"/>
    <w:basedOn w:val="Normal"/>
    <w:uiPriority w:val="34"/>
    <w:qFormat/>
    <w:rsid w:val="00E324C8"/>
    <w:pPr>
      <w:ind w:left="720"/>
    </w:pPr>
  </w:style>
  <w:style w:type="character" w:styleId="CommentReference">
    <w:name w:val="annotation reference"/>
    <w:rsid w:val="00A20CE8"/>
    <w:rPr>
      <w:sz w:val="16"/>
      <w:szCs w:val="16"/>
    </w:rPr>
  </w:style>
  <w:style w:type="paragraph" w:styleId="CommentText">
    <w:name w:val="annotation text"/>
    <w:basedOn w:val="Normal"/>
    <w:link w:val="CommentTextChar"/>
    <w:rsid w:val="00A20CE8"/>
    <w:rPr>
      <w:sz w:val="20"/>
    </w:rPr>
  </w:style>
  <w:style w:type="character" w:customStyle="1" w:styleId="CommentTextChar">
    <w:name w:val="Comment Text Char"/>
    <w:basedOn w:val="DefaultParagraphFont"/>
    <w:link w:val="CommentText"/>
    <w:rsid w:val="00A20CE8"/>
  </w:style>
  <w:style w:type="paragraph" w:styleId="CommentSubject">
    <w:name w:val="annotation subject"/>
    <w:basedOn w:val="CommentText"/>
    <w:next w:val="CommentText"/>
    <w:link w:val="CommentSubjectChar"/>
    <w:rsid w:val="00A20CE8"/>
    <w:rPr>
      <w:b/>
      <w:bCs/>
    </w:rPr>
  </w:style>
  <w:style w:type="character" w:customStyle="1" w:styleId="CommentSubjectChar">
    <w:name w:val="Comment Subject Char"/>
    <w:link w:val="CommentSubject"/>
    <w:rsid w:val="00A20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is.john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bcpiwe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104634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857</Words>
  <Characters>4803</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5677</CharactersWithSpaces>
  <SharedDoc>false</SharedDoc>
  <HyperlinkBase> </HyperlinkBase>
  <HLinks>
    <vt:vector size="42" baseType="variant">
      <vt:variant>
        <vt:i4>6422640</vt:i4>
      </vt:variant>
      <vt:variant>
        <vt:i4>18</vt:i4>
      </vt:variant>
      <vt:variant>
        <vt:i4>0</vt:i4>
      </vt:variant>
      <vt:variant>
        <vt:i4>5</vt:i4>
      </vt:variant>
      <vt:variant>
        <vt:lpwstr>mailto:</vt:lpwstr>
      </vt:variant>
      <vt:variant>
        <vt:lpwstr/>
      </vt:variant>
      <vt:variant>
        <vt:i4>8126555</vt:i4>
      </vt:variant>
      <vt:variant>
        <vt:i4>15</vt:i4>
      </vt:variant>
      <vt:variant>
        <vt:i4>0</vt:i4>
      </vt:variant>
      <vt:variant>
        <vt:i4>5</vt:i4>
      </vt:variant>
      <vt:variant>
        <vt:lpwstr>mailto:TransactionTeam@fcc.gov</vt:lpwstr>
      </vt:variant>
      <vt:variant>
        <vt:lpwstr/>
      </vt:variant>
      <vt:variant>
        <vt:i4>6684703</vt:i4>
      </vt:variant>
      <vt:variant>
        <vt:i4>12</vt:i4>
      </vt:variant>
      <vt:variant>
        <vt:i4>0</vt:i4>
      </vt:variant>
      <vt:variant>
        <vt:i4>5</vt:i4>
      </vt:variant>
      <vt:variant>
        <vt:lpwstr>mailto:david.krech@fcc.gov</vt:lpwstr>
      </vt:variant>
      <vt:variant>
        <vt:lpwstr/>
      </vt:variant>
      <vt:variant>
        <vt:i4>2293839</vt:i4>
      </vt:variant>
      <vt:variant>
        <vt:i4>9</vt:i4>
      </vt:variant>
      <vt:variant>
        <vt:i4>0</vt:i4>
      </vt:variant>
      <vt:variant>
        <vt:i4>5</vt:i4>
      </vt:variant>
      <vt:variant>
        <vt:lpwstr>mailto:dennis.johnson@fcc.gov</vt:lpwstr>
      </vt:variant>
      <vt:variant>
        <vt:lpwstr/>
      </vt:variant>
      <vt:variant>
        <vt:i4>7209031</vt:i4>
      </vt:variant>
      <vt:variant>
        <vt:i4>6</vt:i4>
      </vt:variant>
      <vt:variant>
        <vt:i4>0</vt:i4>
      </vt:variant>
      <vt:variant>
        <vt:i4>5</vt:i4>
      </vt:variant>
      <vt:variant>
        <vt:lpwstr>mailto:fcc@bcpiweb.com</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2015-05-15T18:35:00Z</dcterms:created>
  <dcterms:modified xsi:type="dcterms:W3CDTF">2015-05-15T18:35:00Z</dcterms:modified>
  <cp:category> </cp:category>
  <cp:contentStatus> </cp:contentStatus>
</cp:coreProperties>
</file>