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504" w:rsidRDefault="004D5504" w:rsidP="004D5504">
      <w:pPr>
        <w:rPr>
          <w:sz w:val="22"/>
          <w:szCs w:val="22"/>
        </w:rPr>
      </w:pPr>
      <w:bookmarkStart w:id="0" w:name="_GoBack"/>
      <w:bookmarkEnd w:id="0"/>
    </w:p>
    <w:p w:rsidR="00624EA1" w:rsidRDefault="005D3989">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DA 15-</w:t>
      </w:r>
      <w:r w:rsidR="007F6D1B">
        <w:rPr>
          <w:sz w:val="22"/>
          <w:szCs w:val="22"/>
        </w:rPr>
        <w:t>593</w:t>
      </w:r>
    </w:p>
    <w:p w:rsidR="00C2515A" w:rsidRDefault="002F2AA8">
      <w:pPr>
        <w:rPr>
          <w:sz w:val="22"/>
          <w:szCs w:val="22"/>
        </w:rPr>
      </w:pPr>
      <w:r>
        <w:rPr>
          <w:sz w:val="22"/>
          <w:szCs w:val="22"/>
        </w:rPr>
        <w:t>Greg Kunkle</w:t>
      </w:r>
    </w:p>
    <w:p w:rsidR="00D35DF9" w:rsidRDefault="002F2AA8">
      <w:pPr>
        <w:rPr>
          <w:sz w:val="22"/>
          <w:szCs w:val="22"/>
        </w:rPr>
      </w:pPr>
      <w:r>
        <w:rPr>
          <w:sz w:val="22"/>
          <w:szCs w:val="22"/>
        </w:rPr>
        <w:t xml:space="preserve">Keller and Heckman </w:t>
      </w:r>
      <w:r w:rsidR="00D35DF9">
        <w:rPr>
          <w:sz w:val="22"/>
          <w:szCs w:val="22"/>
        </w:rPr>
        <w:t>LL</w:t>
      </w:r>
      <w:r>
        <w:rPr>
          <w:sz w:val="22"/>
          <w:szCs w:val="22"/>
        </w:rPr>
        <w:t>P</w:t>
      </w:r>
    </w:p>
    <w:p w:rsidR="00D35DF9" w:rsidRDefault="002F2AA8">
      <w:pPr>
        <w:rPr>
          <w:sz w:val="22"/>
          <w:szCs w:val="22"/>
        </w:rPr>
      </w:pPr>
      <w:r>
        <w:rPr>
          <w:sz w:val="22"/>
          <w:szCs w:val="22"/>
        </w:rPr>
        <w:t>1001 G Street, N.W., Suite 500W</w:t>
      </w:r>
    </w:p>
    <w:p w:rsidR="009D2F26" w:rsidRPr="009D2F26" w:rsidRDefault="00D35DF9">
      <w:pPr>
        <w:rPr>
          <w:sz w:val="22"/>
          <w:szCs w:val="22"/>
          <w:lang w:val="fr-FR"/>
        </w:rPr>
      </w:pPr>
      <w:r>
        <w:rPr>
          <w:sz w:val="22"/>
          <w:szCs w:val="22"/>
          <w:lang w:val="fr-FR"/>
        </w:rPr>
        <w:t>Washington</w:t>
      </w:r>
      <w:r w:rsidR="009D2F26" w:rsidRPr="009D2F26">
        <w:rPr>
          <w:sz w:val="22"/>
          <w:szCs w:val="22"/>
          <w:lang w:val="fr-FR"/>
        </w:rPr>
        <w:t xml:space="preserve">, </w:t>
      </w:r>
      <w:r>
        <w:rPr>
          <w:sz w:val="22"/>
          <w:szCs w:val="22"/>
          <w:lang w:val="fr-FR"/>
        </w:rPr>
        <w:t>DC</w:t>
      </w:r>
      <w:r w:rsidR="009D2F26" w:rsidRPr="009D2F26">
        <w:rPr>
          <w:sz w:val="22"/>
          <w:szCs w:val="22"/>
          <w:lang w:val="fr-FR"/>
        </w:rPr>
        <w:t xml:space="preserve">  </w:t>
      </w:r>
      <w:r>
        <w:rPr>
          <w:sz w:val="22"/>
          <w:szCs w:val="22"/>
          <w:lang w:val="fr-FR"/>
        </w:rPr>
        <w:t>2000</w:t>
      </w:r>
      <w:r w:rsidR="002F2AA8">
        <w:rPr>
          <w:sz w:val="22"/>
          <w:szCs w:val="22"/>
          <w:lang w:val="fr-FR"/>
        </w:rPr>
        <w:t>1</w:t>
      </w:r>
    </w:p>
    <w:p w:rsidR="00C2515A" w:rsidRDefault="00C2515A">
      <w:pPr>
        <w:rPr>
          <w:sz w:val="22"/>
          <w:szCs w:val="22"/>
          <w:lang w:val="fr-FR"/>
        </w:rPr>
      </w:pPr>
    </w:p>
    <w:p w:rsidR="009D2F26" w:rsidRDefault="00E30660" w:rsidP="009D2F26">
      <w:pPr>
        <w:rPr>
          <w:sz w:val="22"/>
          <w:szCs w:val="22"/>
        </w:rPr>
      </w:pPr>
      <w:r w:rsidRPr="009D2F26">
        <w:rPr>
          <w:sz w:val="22"/>
          <w:szCs w:val="22"/>
          <w:lang w:val="fr-FR"/>
        </w:rPr>
        <w:tab/>
      </w:r>
      <w:r w:rsidR="009D2F26" w:rsidRPr="009D2F26">
        <w:rPr>
          <w:sz w:val="22"/>
          <w:szCs w:val="22"/>
        </w:rPr>
        <w:t>R</w:t>
      </w:r>
      <w:r>
        <w:rPr>
          <w:sz w:val="22"/>
          <w:szCs w:val="22"/>
        </w:rPr>
        <w:t>e:</w:t>
      </w:r>
      <w:r>
        <w:rPr>
          <w:sz w:val="22"/>
          <w:szCs w:val="22"/>
        </w:rPr>
        <w:tab/>
      </w:r>
      <w:r w:rsidR="002F2AA8">
        <w:rPr>
          <w:sz w:val="22"/>
          <w:szCs w:val="22"/>
        </w:rPr>
        <w:t>GE MDS, LLC Request for Wavier of Section 90.207(i) of the Commission’s Rules</w:t>
      </w:r>
    </w:p>
    <w:p w:rsidR="00624EA1" w:rsidRDefault="00624EA1">
      <w:pPr>
        <w:rPr>
          <w:sz w:val="22"/>
          <w:szCs w:val="22"/>
        </w:rPr>
      </w:pPr>
    </w:p>
    <w:p w:rsidR="00E30660" w:rsidRDefault="00E30660">
      <w:pPr>
        <w:rPr>
          <w:sz w:val="22"/>
          <w:szCs w:val="22"/>
        </w:rPr>
      </w:pPr>
      <w:r>
        <w:rPr>
          <w:sz w:val="22"/>
          <w:szCs w:val="22"/>
        </w:rPr>
        <w:t>Dear Mr.</w:t>
      </w:r>
      <w:r w:rsidR="009D2F26">
        <w:rPr>
          <w:sz w:val="22"/>
          <w:szCs w:val="22"/>
        </w:rPr>
        <w:t xml:space="preserve"> </w:t>
      </w:r>
      <w:r w:rsidR="002F2AA8">
        <w:rPr>
          <w:sz w:val="22"/>
          <w:szCs w:val="22"/>
        </w:rPr>
        <w:t>Kunkle</w:t>
      </w:r>
      <w:r w:rsidR="009E040D">
        <w:rPr>
          <w:sz w:val="22"/>
          <w:szCs w:val="22"/>
        </w:rPr>
        <w:t>:</w:t>
      </w:r>
    </w:p>
    <w:p w:rsidR="00E30660" w:rsidRDefault="00E30660">
      <w:pPr>
        <w:rPr>
          <w:sz w:val="22"/>
          <w:szCs w:val="22"/>
        </w:rPr>
      </w:pPr>
    </w:p>
    <w:p w:rsidR="00D35DF9" w:rsidRPr="00D35DF9" w:rsidRDefault="00E30660" w:rsidP="00D35DF9">
      <w:pPr>
        <w:spacing w:after="120"/>
        <w:rPr>
          <w:sz w:val="22"/>
          <w:szCs w:val="22"/>
        </w:rPr>
      </w:pPr>
      <w:r>
        <w:rPr>
          <w:sz w:val="22"/>
          <w:szCs w:val="22"/>
        </w:rPr>
        <w:tab/>
      </w:r>
      <w:r w:rsidR="00D35DF9" w:rsidRPr="00D35DF9">
        <w:rPr>
          <w:i/>
          <w:sz w:val="22"/>
          <w:szCs w:val="22"/>
        </w:rPr>
        <w:t xml:space="preserve">Introduction.  </w:t>
      </w:r>
      <w:r w:rsidR="002F2AA8" w:rsidRPr="002F2AA8">
        <w:rPr>
          <w:sz w:val="22"/>
          <w:szCs w:val="22"/>
        </w:rPr>
        <w:t>We have before us a request for waiver of Section 90.207(i) of the Commission’s Rules</w:t>
      </w:r>
      <w:r w:rsidR="002F2AA8" w:rsidRPr="002F2AA8">
        <w:rPr>
          <w:sz w:val="22"/>
          <w:szCs w:val="22"/>
          <w:vertAlign w:val="superscript"/>
        </w:rPr>
        <w:footnoteReference w:id="1"/>
      </w:r>
      <w:r w:rsidR="002F2AA8" w:rsidRPr="002F2AA8">
        <w:rPr>
          <w:sz w:val="22"/>
          <w:szCs w:val="22"/>
        </w:rPr>
        <w:t xml:space="preserve"> filed by GE MDS, LLC (“GE”) to allow use of the D1D emission designator</w:t>
      </w:r>
      <w:r w:rsidR="002F2AA8" w:rsidRPr="002F2AA8">
        <w:rPr>
          <w:sz w:val="22"/>
          <w:szCs w:val="22"/>
          <w:vertAlign w:val="superscript"/>
        </w:rPr>
        <w:footnoteReference w:id="2"/>
      </w:r>
      <w:r w:rsidR="002F2AA8" w:rsidRPr="002F2AA8">
        <w:rPr>
          <w:sz w:val="22"/>
          <w:szCs w:val="22"/>
        </w:rPr>
        <w:t xml:space="preserve"> </w:t>
      </w:r>
      <w:r w:rsidR="0088690C">
        <w:rPr>
          <w:sz w:val="22"/>
          <w:szCs w:val="22"/>
        </w:rPr>
        <w:t xml:space="preserve">by equipment in </w:t>
      </w:r>
      <w:r w:rsidR="0088690C" w:rsidRPr="002F2AA8">
        <w:rPr>
          <w:sz w:val="22"/>
          <w:szCs w:val="22"/>
        </w:rPr>
        <w:t xml:space="preserve">GE’s ORBIT radio platform equipment </w:t>
      </w:r>
      <w:r w:rsidR="002F2AA8" w:rsidRPr="002F2AA8">
        <w:rPr>
          <w:sz w:val="22"/>
          <w:szCs w:val="22"/>
        </w:rPr>
        <w:t>for telemetry operations.</w:t>
      </w:r>
      <w:r w:rsidR="002F2AA8" w:rsidRPr="002F2AA8">
        <w:rPr>
          <w:sz w:val="22"/>
          <w:szCs w:val="22"/>
          <w:vertAlign w:val="superscript"/>
        </w:rPr>
        <w:footnoteReference w:id="3"/>
      </w:r>
      <w:r w:rsidR="002F2AA8" w:rsidRPr="002F2AA8">
        <w:rPr>
          <w:sz w:val="22"/>
          <w:szCs w:val="22"/>
        </w:rPr>
        <w:t xml:space="preserve">  For the reasons discussed herein, we grant GE’s request.  </w:t>
      </w:r>
    </w:p>
    <w:p w:rsidR="00D35DF9" w:rsidRDefault="00D35DF9" w:rsidP="00B610A0">
      <w:pPr>
        <w:spacing w:after="120"/>
        <w:ind w:firstLine="720"/>
        <w:rPr>
          <w:sz w:val="22"/>
          <w:szCs w:val="22"/>
        </w:rPr>
      </w:pPr>
      <w:r w:rsidRPr="00D35DF9">
        <w:rPr>
          <w:i/>
          <w:sz w:val="22"/>
          <w:szCs w:val="22"/>
        </w:rPr>
        <w:t>Background.</w:t>
      </w:r>
      <w:r w:rsidR="00D82B64">
        <w:rPr>
          <w:sz w:val="22"/>
          <w:szCs w:val="22"/>
        </w:rPr>
        <w:t xml:space="preserve">  </w:t>
      </w:r>
      <w:r w:rsidR="002F2AA8" w:rsidRPr="002F2AA8">
        <w:rPr>
          <w:sz w:val="22"/>
          <w:szCs w:val="22"/>
        </w:rPr>
        <w:t>Section 90.207 sets forth the emissions that may be authorized under Part 90 of the Commission’s Rules and references the types of operations in which they may be utilized.</w:t>
      </w:r>
      <w:r w:rsidR="002F2AA8" w:rsidRPr="002F2AA8">
        <w:rPr>
          <w:sz w:val="22"/>
          <w:szCs w:val="22"/>
          <w:vertAlign w:val="superscript"/>
        </w:rPr>
        <w:footnoteReference w:id="4"/>
      </w:r>
      <w:r w:rsidR="002F2AA8" w:rsidRPr="002F2AA8">
        <w:rPr>
          <w:sz w:val="22"/>
          <w:szCs w:val="22"/>
        </w:rPr>
        <w:t xml:space="preserve">  Section 90.207(i) provides, “For telemetry operations, when specifically authorized under this part, only A1D, A2D, F1D, or F2D will be authorized.”</w:t>
      </w:r>
      <w:r w:rsidR="002F2AA8" w:rsidRPr="002F2AA8">
        <w:rPr>
          <w:sz w:val="22"/>
          <w:szCs w:val="22"/>
          <w:vertAlign w:val="superscript"/>
        </w:rPr>
        <w:footnoteReference w:id="5"/>
      </w:r>
      <w:r w:rsidR="002F2AA8" w:rsidRPr="002F2AA8">
        <w:rPr>
          <w:sz w:val="22"/>
          <w:szCs w:val="22"/>
        </w:rPr>
        <w:t xml:space="preserve">  </w:t>
      </w:r>
      <w:bookmarkStart w:id="5" w:name="SR;741"/>
      <w:bookmarkStart w:id="6" w:name="SR;742"/>
      <w:bookmarkEnd w:id="5"/>
      <w:bookmarkEnd w:id="6"/>
    </w:p>
    <w:p w:rsidR="002C4AF0" w:rsidRDefault="002F2AA8" w:rsidP="00025934">
      <w:pPr>
        <w:spacing w:after="120"/>
        <w:ind w:firstLine="720"/>
        <w:rPr>
          <w:sz w:val="22"/>
          <w:szCs w:val="22"/>
        </w:rPr>
      </w:pPr>
      <w:r w:rsidRPr="002F2AA8">
        <w:rPr>
          <w:sz w:val="22"/>
          <w:szCs w:val="22"/>
        </w:rPr>
        <w:t xml:space="preserve">GE, a radio equipment designer/manufacturer, </w:t>
      </w:r>
      <w:r w:rsidR="00DD1F26">
        <w:rPr>
          <w:sz w:val="22"/>
          <w:szCs w:val="22"/>
        </w:rPr>
        <w:t xml:space="preserve">states that it </w:t>
      </w:r>
      <w:r w:rsidRPr="002F2AA8">
        <w:rPr>
          <w:sz w:val="22"/>
          <w:szCs w:val="22"/>
        </w:rPr>
        <w:t>is developing a n</w:t>
      </w:r>
      <w:r w:rsidR="00AE049B">
        <w:rPr>
          <w:sz w:val="22"/>
          <w:szCs w:val="22"/>
        </w:rPr>
        <w:t>arrowband high-efficiency point-</w:t>
      </w:r>
      <w:r w:rsidRPr="002F2AA8">
        <w:rPr>
          <w:sz w:val="22"/>
          <w:szCs w:val="22"/>
        </w:rPr>
        <w:t>to</w:t>
      </w:r>
      <w:r w:rsidR="00AE049B">
        <w:rPr>
          <w:sz w:val="22"/>
          <w:szCs w:val="22"/>
        </w:rPr>
        <w:t>-</w:t>
      </w:r>
      <w:r w:rsidRPr="002F2AA8">
        <w:rPr>
          <w:sz w:val="22"/>
          <w:szCs w:val="22"/>
        </w:rPr>
        <w:t>point and point-to-multipoint telemetry radio system that will provide data rates greatly exceed</w:t>
      </w:r>
      <w:r w:rsidR="00DD1F26">
        <w:rPr>
          <w:sz w:val="22"/>
          <w:szCs w:val="22"/>
        </w:rPr>
        <w:t>ing</w:t>
      </w:r>
      <w:r w:rsidRPr="002F2AA8">
        <w:rPr>
          <w:sz w:val="22"/>
          <w:szCs w:val="22"/>
        </w:rPr>
        <w:t xml:space="preserve"> the 4800 bps/6.25 kHz bandwidth standard contained in Section 90.203 of the Commission’s Rules.</w:t>
      </w:r>
      <w:r w:rsidRPr="002F2AA8">
        <w:rPr>
          <w:sz w:val="22"/>
          <w:szCs w:val="22"/>
          <w:vertAlign w:val="superscript"/>
        </w:rPr>
        <w:footnoteReference w:id="6"/>
      </w:r>
      <w:r w:rsidRPr="002F2AA8">
        <w:rPr>
          <w:sz w:val="22"/>
          <w:szCs w:val="22"/>
        </w:rPr>
        <w:t xml:space="preserve">  </w:t>
      </w:r>
      <w:r w:rsidR="00850EF9">
        <w:rPr>
          <w:sz w:val="22"/>
          <w:szCs w:val="22"/>
        </w:rPr>
        <w:t>Because the ORBIT radio platform utilizes a QAM radio module topology,</w:t>
      </w:r>
      <w:r w:rsidR="001939D8">
        <w:rPr>
          <w:rStyle w:val="FootnoteReference"/>
          <w:sz w:val="22"/>
          <w:szCs w:val="22"/>
        </w:rPr>
        <w:footnoteReference w:id="7"/>
      </w:r>
      <w:r w:rsidR="00850EF9">
        <w:rPr>
          <w:sz w:val="22"/>
          <w:szCs w:val="22"/>
        </w:rPr>
        <w:t xml:space="preserve"> </w:t>
      </w:r>
      <w:r w:rsidRPr="002F2AA8">
        <w:rPr>
          <w:sz w:val="22"/>
          <w:szCs w:val="22"/>
        </w:rPr>
        <w:t>GE requests a blanket waiver of Section 90.207(i) to allow certification, licensing, and use of its ORBIT radio platform for telemetry radios with D1D emissions.</w:t>
      </w:r>
      <w:r w:rsidR="00850EF9">
        <w:rPr>
          <w:rStyle w:val="FootnoteReference"/>
          <w:sz w:val="22"/>
          <w:szCs w:val="22"/>
        </w:rPr>
        <w:footnoteReference w:id="8"/>
      </w:r>
      <w:r w:rsidRPr="002F2AA8">
        <w:rPr>
          <w:sz w:val="22"/>
          <w:szCs w:val="22"/>
        </w:rPr>
        <w:t xml:space="preserve">  </w:t>
      </w:r>
      <w:r w:rsidR="002C4AF0">
        <w:rPr>
          <w:sz w:val="22"/>
          <w:szCs w:val="22"/>
        </w:rPr>
        <w:t xml:space="preserve">  </w:t>
      </w:r>
    </w:p>
    <w:p w:rsidR="002F2AA8" w:rsidRPr="002F2AA8" w:rsidRDefault="002F2AA8" w:rsidP="002F2AA8">
      <w:pPr>
        <w:spacing w:after="120"/>
        <w:ind w:firstLine="720"/>
        <w:rPr>
          <w:sz w:val="22"/>
          <w:szCs w:val="22"/>
        </w:rPr>
      </w:pPr>
      <w:r w:rsidRPr="00302A57">
        <w:rPr>
          <w:i/>
          <w:sz w:val="22"/>
          <w:szCs w:val="22"/>
        </w:rPr>
        <w:t>Discussion</w:t>
      </w:r>
      <w:r>
        <w:rPr>
          <w:sz w:val="22"/>
          <w:szCs w:val="22"/>
        </w:rPr>
        <w:t xml:space="preserve">.  </w:t>
      </w:r>
      <w:r w:rsidRPr="002F2AA8">
        <w:rPr>
          <w:sz w:val="22"/>
          <w:szCs w:val="22"/>
        </w:rPr>
        <w:t>To obtain a waiver of the Commission's Rules, a petitioner must demonstrate either</w:t>
      </w:r>
      <w:r w:rsidRPr="002F2AA8">
        <w:rPr>
          <w:i/>
          <w:sz w:val="22"/>
          <w:szCs w:val="22"/>
        </w:rPr>
        <w:t xml:space="preserve"> </w:t>
      </w:r>
      <w:r w:rsidRPr="002F2AA8">
        <w:rPr>
          <w:sz w:val="22"/>
          <w:szCs w:val="22"/>
        </w:rPr>
        <w:t xml:space="preserve">that the underlying purpose of the rule(s) would not be served or would be frustrated by application to the </w:t>
      </w:r>
      <w:r w:rsidRPr="002F2AA8">
        <w:rPr>
          <w:sz w:val="22"/>
          <w:szCs w:val="22"/>
        </w:rPr>
        <w:lastRenderedPageBreak/>
        <w:t>present case and that grant of the waiver would be in the public interest; or that, in view of unique or unusual factual circumstances of the instant case, application of the rule(s) would be inequitable, unduly burdensome, or contrary to the public interest, or the applicant has no reasonable alternative.</w:t>
      </w:r>
      <w:r w:rsidRPr="002F2AA8">
        <w:rPr>
          <w:sz w:val="22"/>
          <w:szCs w:val="22"/>
          <w:vertAlign w:val="superscript"/>
        </w:rPr>
        <w:footnoteReference w:id="9"/>
      </w:r>
      <w:r w:rsidRPr="002F2AA8">
        <w:rPr>
          <w:sz w:val="22"/>
          <w:szCs w:val="22"/>
        </w:rPr>
        <w:t xml:space="preserve">  We conclude that grant of a waiver to permit certification, licensing, and use of GE’s ORBIT radio platform equipment is warranted.  Allowing licensees to utilize the D1D emissions will promote the efficient use of limited spectrum resources, and can improve the effectiveness of critical infrastructure operations that protect life, property, and the environment.</w:t>
      </w:r>
      <w:r w:rsidRPr="002F2AA8">
        <w:rPr>
          <w:sz w:val="22"/>
          <w:szCs w:val="22"/>
          <w:vertAlign w:val="superscript"/>
        </w:rPr>
        <w:footnoteReference w:id="10"/>
      </w:r>
      <w:r w:rsidRPr="002F2AA8">
        <w:rPr>
          <w:sz w:val="22"/>
          <w:szCs w:val="22"/>
        </w:rPr>
        <w:t xml:space="preserve">  Based on the information before us, we conclude that grant of </w:t>
      </w:r>
      <w:r w:rsidR="00850EF9">
        <w:rPr>
          <w:sz w:val="22"/>
          <w:szCs w:val="22"/>
        </w:rPr>
        <w:t xml:space="preserve">a waiver </w:t>
      </w:r>
      <w:r w:rsidRPr="002F2AA8">
        <w:rPr>
          <w:sz w:val="22"/>
          <w:szCs w:val="22"/>
        </w:rPr>
        <w:t>would not frustrate the underlying purposes of the emission designator rules and would serve the public interest.</w:t>
      </w:r>
      <w:r w:rsidRPr="002F2AA8">
        <w:rPr>
          <w:sz w:val="22"/>
          <w:szCs w:val="22"/>
          <w:vertAlign w:val="superscript"/>
        </w:rPr>
        <w:footnoteReference w:id="11"/>
      </w:r>
      <w:r w:rsidR="00850EF9">
        <w:rPr>
          <w:sz w:val="22"/>
          <w:szCs w:val="22"/>
        </w:rPr>
        <w:t xml:space="preserve">  </w:t>
      </w:r>
    </w:p>
    <w:p w:rsidR="002F2AA8" w:rsidRDefault="00D35DF9" w:rsidP="00D35DF9">
      <w:pPr>
        <w:spacing w:after="120"/>
        <w:ind w:firstLine="720"/>
        <w:rPr>
          <w:sz w:val="22"/>
          <w:szCs w:val="22"/>
        </w:rPr>
      </w:pPr>
      <w:r w:rsidRPr="00D35DF9">
        <w:rPr>
          <w:i/>
          <w:sz w:val="22"/>
          <w:szCs w:val="22"/>
        </w:rPr>
        <w:t xml:space="preserve">Conclusion.  </w:t>
      </w:r>
      <w:r w:rsidR="002F2AA8" w:rsidRPr="002F2AA8">
        <w:rPr>
          <w:sz w:val="22"/>
          <w:szCs w:val="22"/>
        </w:rPr>
        <w:t xml:space="preserve">We grant a waiver of </w:t>
      </w:r>
      <w:r w:rsidR="00DD1F26" w:rsidRPr="002F2AA8">
        <w:rPr>
          <w:sz w:val="22"/>
          <w:szCs w:val="22"/>
        </w:rPr>
        <w:t>Section 90.207(i)</w:t>
      </w:r>
      <w:r w:rsidR="00DD1F26">
        <w:rPr>
          <w:sz w:val="22"/>
          <w:szCs w:val="22"/>
        </w:rPr>
        <w:t xml:space="preserve"> </w:t>
      </w:r>
      <w:r w:rsidR="002F2AA8" w:rsidRPr="002F2AA8">
        <w:rPr>
          <w:sz w:val="22"/>
          <w:szCs w:val="22"/>
        </w:rPr>
        <w:t xml:space="preserve">to permit certification, licensing, and use of GE’s ORBIT radio platform equipment using D1D emissions for telemetry operations.  A copy of this </w:t>
      </w:r>
      <w:r w:rsidR="00302A57">
        <w:rPr>
          <w:sz w:val="22"/>
          <w:szCs w:val="22"/>
        </w:rPr>
        <w:t>letter</w:t>
      </w:r>
      <w:r w:rsidR="002F2AA8" w:rsidRPr="002F2AA8">
        <w:rPr>
          <w:i/>
          <w:sz w:val="22"/>
          <w:szCs w:val="22"/>
        </w:rPr>
        <w:t xml:space="preserve"> </w:t>
      </w:r>
      <w:r w:rsidR="002F2AA8" w:rsidRPr="002F2AA8">
        <w:rPr>
          <w:sz w:val="22"/>
          <w:szCs w:val="22"/>
        </w:rPr>
        <w:t xml:space="preserve">shall be submitted with </w:t>
      </w:r>
      <w:r w:rsidR="001B5909">
        <w:rPr>
          <w:sz w:val="22"/>
          <w:szCs w:val="22"/>
        </w:rPr>
        <w:t>any</w:t>
      </w:r>
      <w:r w:rsidR="002F2AA8" w:rsidRPr="002F2AA8">
        <w:rPr>
          <w:sz w:val="22"/>
          <w:szCs w:val="22"/>
        </w:rPr>
        <w:t xml:space="preserve"> equipment authorization application.  License applications must reference this </w:t>
      </w:r>
      <w:r w:rsidR="00302A57">
        <w:rPr>
          <w:sz w:val="22"/>
          <w:szCs w:val="22"/>
        </w:rPr>
        <w:t xml:space="preserve">letter </w:t>
      </w:r>
      <w:r w:rsidR="00DD1F26">
        <w:rPr>
          <w:sz w:val="22"/>
          <w:szCs w:val="22"/>
        </w:rPr>
        <w:t xml:space="preserve">by the DA number </w:t>
      </w:r>
      <w:r w:rsidR="002F2AA8" w:rsidRPr="002F2AA8">
        <w:rPr>
          <w:sz w:val="22"/>
          <w:szCs w:val="22"/>
        </w:rPr>
        <w:t>set forth above.  No license applications will be granted until GE obtains equipment authorization.</w:t>
      </w:r>
      <w:r w:rsidRPr="00D35DF9">
        <w:rPr>
          <w:sz w:val="22"/>
          <w:szCs w:val="22"/>
        </w:rPr>
        <w:t xml:space="preserve"> </w:t>
      </w:r>
    </w:p>
    <w:p w:rsidR="002F2AA8" w:rsidRPr="002F2AA8" w:rsidRDefault="00D35DF9" w:rsidP="002F2AA8">
      <w:pPr>
        <w:spacing w:after="120"/>
        <w:ind w:firstLine="720"/>
        <w:rPr>
          <w:sz w:val="22"/>
          <w:szCs w:val="22"/>
        </w:rPr>
      </w:pPr>
      <w:r w:rsidRPr="00D35DF9">
        <w:rPr>
          <w:sz w:val="22"/>
          <w:szCs w:val="22"/>
        </w:rPr>
        <w:t xml:space="preserve">   </w:t>
      </w:r>
      <w:r w:rsidR="002F2AA8" w:rsidRPr="002F2AA8">
        <w:rPr>
          <w:sz w:val="22"/>
          <w:szCs w:val="22"/>
        </w:rPr>
        <w:t xml:space="preserve">Accordingly, IT IS ORDERED, pursuant to Section 4(i) of the Communications Act of 1934, as amended, 47 U.S.C. § 154(i), and Section 1.925 of the Commission’s Rules, 47 C.F.R. § 1.925, that the waiver request filed by GE MDS, LLC, on December 23, 2014 IS GRANTED as set forth herein.  </w:t>
      </w:r>
    </w:p>
    <w:p w:rsidR="00E37E6F" w:rsidRPr="00E37E6F" w:rsidRDefault="002F2AA8" w:rsidP="00E37E6F">
      <w:pPr>
        <w:spacing w:after="120"/>
        <w:ind w:firstLine="720"/>
        <w:rPr>
          <w:sz w:val="22"/>
          <w:szCs w:val="22"/>
        </w:rPr>
      </w:pPr>
      <w:r w:rsidRPr="002F2AA8">
        <w:rPr>
          <w:sz w:val="22"/>
          <w:szCs w:val="22"/>
        </w:rPr>
        <w:t xml:space="preserve">This action is taken under delegated authority pursuant to Sections 0.131 and 0.331 of the Commission’s Rules, 47 C.F.R. §§ 0.131, 0.331.  </w:t>
      </w:r>
      <w:r w:rsidR="00E37E6F" w:rsidRPr="00E37E6F">
        <w:rPr>
          <w:sz w:val="22"/>
          <w:szCs w:val="22"/>
        </w:rPr>
        <w:t xml:space="preserve">  </w:t>
      </w:r>
    </w:p>
    <w:p w:rsidR="004D5504" w:rsidRDefault="004D5504" w:rsidP="004D5504">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C32624">
        <w:rPr>
          <w:sz w:val="22"/>
          <w:szCs w:val="22"/>
        </w:rPr>
        <w:t>FEDERAL COMMUNICATIONS COMMISSION</w:t>
      </w:r>
    </w:p>
    <w:p w:rsidR="004D5504" w:rsidRDefault="004D5504" w:rsidP="004D5504">
      <w:pPr>
        <w:rPr>
          <w:sz w:val="22"/>
          <w:szCs w:val="22"/>
        </w:rPr>
      </w:pPr>
    </w:p>
    <w:p w:rsidR="009D2F26" w:rsidRDefault="009D2F26" w:rsidP="004D5504">
      <w:pPr>
        <w:rPr>
          <w:sz w:val="22"/>
          <w:szCs w:val="22"/>
        </w:rPr>
      </w:pPr>
    </w:p>
    <w:p w:rsidR="009C274C" w:rsidRDefault="009C274C" w:rsidP="004D5504">
      <w:pPr>
        <w:rPr>
          <w:sz w:val="22"/>
          <w:szCs w:val="22"/>
        </w:rPr>
      </w:pPr>
    </w:p>
    <w:p w:rsidR="004D5504" w:rsidRDefault="004D5504" w:rsidP="004D5504">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9E040D">
        <w:rPr>
          <w:sz w:val="22"/>
          <w:szCs w:val="22"/>
        </w:rPr>
        <w:t>Scot Stone</w:t>
      </w:r>
    </w:p>
    <w:p w:rsidR="004D5504" w:rsidRDefault="004D5504" w:rsidP="004D5504">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9E040D">
        <w:rPr>
          <w:sz w:val="22"/>
          <w:szCs w:val="22"/>
        </w:rPr>
        <w:t xml:space="preserve">Deputy </w:t>
      </w:r>
      <w:r>
        <w:rPr>
          <w:sz w:val="22"/>
          <w:szCs w:val="22"/>
        </w:rPr>
        <w:t>Chief, Mobility Division</w:t>
      </w:r>
    </w:p>
    <w:p w:rsidR="00932F2D" w:rsidRPr="00D3432A" w:rsidRDefault="004D5504" w:rsidP="00087415">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Wireless Telecommunicatio</w:t>
      </w:r>
      <w:r w:rsidR="00D3432A">
        <w:rPr>
          <w:sz w:val="22"/>
          <w:szCs w:val="22"/>
        </w:rPr>
        <w:t>ns Bureau</w:t>
      </w:r>
    </w:p>
    <w:sectPr w:rsidR="00932F2D" w:rsidRPr="00D3432A">
      <w:headerReference w:type="even" r:id="rId8"/>
      <w:headerReference w:type="default" r:id="rId9"/>
      <w:footerReference w:type="even" r:id="rId10"/>
      <w:footerReference w:type="default" r:id="rId11"/>
      <w:headerReference w:type="first" r:id="rId12"/>
      <w:footerReference w:type="first" r:id="rId13"/>
      <w:pgSz w:w="12240" w:h="15840" w:code="1"/>
      <w:pgMar w:top="1987"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8B2" w:rsidRDefault="005258B2">
      <w:r>
        <w:separator/>
      </w:r>
    </w:p>
  </w:endnote>
  <w:endnote w:type="continuationSeparator" w:id="0">
    <w:p w:rsidR="005258B2" w:rsidRDefault="00525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E78" w:rsidRDefault="003E2E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E78" w:rsidRDefault="003E2E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E78" w:rsidRDefault="003E2E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8B2" w:rsidRDefault="005258B2">
      <w:r>
        <w:separator/>
      </w:r>
    </w:p>
  </w:footnote>
  <w:footnote w:type="continuationSeparator" w:id="0">
    <w:p w:rsidR="005258B2" w:rsidRDefault="005258B2">
      <w:r>
        <w:continuationSeparator/>
      </w:r>
    </w:p>
  </w:footnote>
  <w:footnote w:id="1">
    <w:p w:rsidR="002F2AA8" w:rsidRDefault="002F2AA8" w:rsidP="008219A9">
      <w:pPr>
        <w:pStyle w:val="FootnoteText"/>
        <w:jc w:val="left"/>
      </w:pPr>
      <w:r>
        <w:rPr>
          <w:rStyle w:val="FootnoteReference"/>
        </w:rPr>
        <w:footnoteRef/>
      </w:r>
      <w:r>
        <w:t xml:space="preserve"> 47 C.F.R. § 90.207(i).</w:t>
      </w:r>
    </w:p>
  </w:footnote>
  <w:footnote w:id="2">
    <w:p w:rsidR="002F2AA8" w:rsidRDefault="002F2AA8" w:rsidP="008219A9">
      <w:pPr>
        <w:pStyle w:val="FootnoteText"/>
        <w:jc w:val="left"/>
      </w:pPr>
      <w:r>
        <w:rPr>
          <w:rStyle w:val="FootnoteReference"/>
        </w:rPr>
        <w:footnoteRef/>
      </w:r>
      <w:r>
        <w:t xml:space="preserve"> </w:t>
      </w:r>
      <w:r>
        <w:rPr>
          <w:color w:val="000000"/>
        </w:rPr>
        <w:t>The emission designator</w:t>
      </w:r>
      <w:bookmarkStart w:id="1" w:name="SR;1245"/>
      <w:bookmarkStart w:id="2" w:name="SR;1246"/>
      <w:bookmarkStart w:id="3" w:name="SearchTerm"/>
      <w:bookmarkEnd w:id="1"/>
      <w:bookmarkEnd w:id="2"/>
      <w:r>
        <w:rPr>
          <w:color w:val="000000"/>
        </w:rPr>
        <w:t xml:space="preserve"> is a series of alphanumeric characters</w:t>
      </w:r>
      <w:bookmarkStart w:id="4" w:name="SR;1252"/>
      <w:bookmarkEnd w:id="3"/>
      <w:bookmarkEnd w:id="4"/>
      <w:r>
        <w:rPr>
          <w:color w:val="000000"/>
        </w:rPr>
        <w:t xml:space="preserve"> that denotes the necessary bandwidth, type of modulation, nature of the signal modulating the main carrier, and type of information to be transmitted.  </w:t>
      </w:r>
      <w:r>
        <w:rPr>
          <w:i/>
          <w:iCs/>
          <w:color w:val="000000"/>
        </w:rPr>
        <w:t>See</w:t>
      </w:r>
      <w:r>
        <w:rPr>
          <w:color w:val="000000"/>
        </w:rPr>
        <w:t xml:space="preserve"> </w:t>
      </w:r>
      <w:r>
        <w:t>47 C.F.R. §§ 2.201(b), 2.202(b).</w:t>
      </w:r>
      <w:r>
        <w:rPr>
          <w:color w:val="000000"/>
        </w:rPr>
        <w:t xml:space="preserve">  D1D is a digital emission that is amplitude-</w:t>
      </w:r>
      <w:r w:rsidR="00AE049B">
        <w:rPr>
          <w:color w:val="000000"/>
        </w:rPr>
        <w:t xml:space="preserve"> </w:t>
      </w:r>
      <w:r>
        <w:rPr>
          <w:color w:val="000000"/>
        </w:rPr>
        <w:t>and angle-modulated.</w:t>
      </w:r>
    </w:p>
  </w:footnote>
  <w:footnote w:id="3">
    <w:p w:rsidR="002F2AA8" w:rsidRDefault="002F2AA8" w:rsidP="002F2AA8">
      <w:pPr>
        <w:pStyle w:val="FootnoteText"/>
        <w:jc w:val="left"/>
      </w:pPr>
      <w:r>
        <w:rPr>
          <w:rStyle w:val="FootnoteReference"/>
        </w:rPr>
        <w:footnoteRef/>
      </w:r>
      <w:r>
        <w:t xml:space="preserve"> </w:t>
      </w:r>
      <w:r>
        <w:rPr>
          <w:i/>
        </w:rPr>
        <w:t>See</w:t>
      </w:r>
      <w:r>
        <w:t xml:space="preserve"> Request for Waiver of Section 90.207(i) of the Commission’s Rules filed by GE MDS, LLC on December 23, 2014 (Request).    </w:t>
      </w:r>
    </w:p>
  </w:footnote>
  <w:footnote w:id="4">
    <w:p w:rsidR="002F2AA8" w:rsidRDefault="002F2AA8" w:rsidP="008219A9">
      <w:pPr>
        <w:pStyle w:val="FootnoteText"/>
        <w:jc w:val="left"/>
      </w:pPr>
      <w:r>
        <w:rPr>
          <w:rStyle w:val="FootnoteReference"/>
        </w:rPr>
        <w:footnoteRef/>
      </w:r>
      <w:r>
        <w:t xml:space="preserve"> Amendment of the Commission’s Rules governing the Private Land Mobile Radio Service to provide a new Part 90 that reregulates and consolidates Parts 89, 91, and 93, </w:t>
      </w:r>
      <w:r>
        <w:rPr>
          <w:i/>
        </w:rPr>
        <w:t>Report and Order</w:t>
      </w:r>
      <w:r>
        <w:t>, Docket No. 21348, 29 F.C.C. 2d 1612, 1616 ¶ 11 (1978).</w:t>
      </w:r>
    </w:p>
  </w:footnote>
  <w:footnote w:id="5">
    <w:p w:rsidR="002F2AA8" w:rsidRDefault="002F2AA8" w:rsidP="002F2AA8">
      <w:pPr>
        <w:pStyle w:val="FootnoteText"/>
        <w:jc w:val="left"/>
      </w:pPr>
      <w:r>
        <w:rPr>
          <w:rStyle w:val="FootnoteReference"/>
        </w:rPr>
        <w:footnoteRef/>
      </w:r>
      <w:r>
        <w:t xml:space="preserve"> </w:t>
      </w:r>
      <w:r>
        <w:rPr>
          <w:i/>
        </w:rPr>
        <w:t>See</w:t>
      </w:r>
      <w:r>
        <w:t xml:space="preserve"> 47 C.F.R. § 90.207(i).  </w:t>
      </w:r>
    </w:p>
  </w:footnote>
  <w:footnote w:id="6">
    <w:p w:rsidR="002F2AA8" w:rsidRDefault="002F2AA8" w:rsidP="008219A9">
      <w:pPr>
        <w:pStyle w:val="FootnoteText"/>
        <w:jc w:val="left"/>
      </w:pPr>
      <w:r>
        <w:rPr>
          <w:rStyle w:val="FootnoteReference"/>
        </w:rPr>
        <w:footnoteRef/>
      </w:r>
      <w:r>
        <w:t xml:space="preserve"> </w:t>
      </w:r>
      <w:r w:rsidRPr="00A600AC">
        <w:rPr>
          <w:i/>
        </w:rPr>
        <w:t>See</w:t>
      </w:r>
      <w:r>
        <w:t xml:space="preserve"> GE Request at 4.  </w:t>
      </w:r>
      <w:r w:rsidRPr="00A600AC">
        <w:rPr>
          <w:i/>
        </w:rPr>
        <w:t>See also</w:t>
      </w:r>
      <w:r>
        <w:t xml:space="preserve"> 47 C.F.R. § 90.203(j).</w:t>
      </w:r>
    </w:p>
  </w:footnote>
  <w:footnote w:id="7">
    <w:p w:rsidR="001939D8" w:rsidRDefault="001939D8">
      <w:pPr>
        <w:pStyle w:val="FootnoteText"/>
      </w:pPr>
      <w:r>
        <w:rPr>
          <w:rStyle w:val="FootnoteReference"/>
        </w:rPr>
        <w:footnoteRef/>
      </w:r>
      <w:r>
        <w:t xml:space="preserve"> </w:t>
      </w:r>
      <w:r w:rsidRPr="001939D8">
        <w:t>Quadrature Amplitude Modulation, or QAM</w:t>
      </w:r>
      <w:r>
        <w:t>,</w:t>
      </w:r>
      <w:r w:rsidRPr="001939D8">
        <w:t xml:space="preserve"> is a sophisticated modulation technique, using variations in signal amplitude and phase, that allows multiple bits to form a single “symbol,” which is then impressed on a single sine wave.</w:t>
      </w:r>
      <w:r>
        <w:t xml:space="preserve">  Cable Television Technical and Operational Requirements, </w:t>
      </w:r>
      <w:r>
        <w:rPr>
          <w:i/>
        </w:rPr>
        <w:t>Notice of Proposed Rulemaking</w:t>
      </w:r>
      <w:r>
        <w:t>, MB Docket No. 12-217, 27 FCC Rcd 9678, 9683 n. 29 (2012).</w:t>
      </w:r>
    </w:p>
  </w:footnote>
  <w:footnote w:id="8">
    <w:p w:rsidR="00850EF9" w:rsidRPr="00850EF9" w:rsidRDefault="00850EF9">
      <w:pPr>
        <w:pStyle w:val="FootnoteText"/>
      </w:pPr>
      <w:r>
        <w:rPr>
          <w:rStyle w:val="FootnoteReference"/>
        </w:rPr>
        <w:footnoteRef/>
      </w:r>
      <w:r>
        <w:t xml:space="preserve"> </w:t>
      </w:r>
      <w:r>
        <w:rPr>
          <w:i/>
        </w:rPr>
        <w:t xml:space="preserve">See </w:t>
      </w:r>
      <w:r w:rsidR="001939D8">
        <w:t>GE Request</w:t>
      </w:r>
      <w:r>
        <w:t xml:space="preserve"> at 2.</w:t>
      </w:r>
    </w:p>
  </w:footnote>
  <w:footnote w:id="9">
    <w:p w:rsidR="002F2AA8" w:rsidRDefault="002F2AA8" w:rsidP="002F2AA8">
      <w:pPr>
        <w:pStyle w:val="FootnoteText"/>
        <w:jc w:val="left"/>
      </w:pPr>
      <w:r>
        <w:rPr>
          <w:rStyle w:val="FootnoteReference"/>
          <w:spacing w:val="-2"/>
        </w:rPr>
        <w:footnoteRef/>
      </w:r>
      <w:r>
        <w:t xml:space="preserve"> </w:t>
      </w:r>
      <w:r>
        <w:rPr>
          <w:i/>
        </w:rPr>
        <w:t>See</w:t>
      </w:r>
      <w:r>
        <w:t xml:space="preserve"> 47 C.F.R. § 1.925(b)(3).</w:t>
      </w:r>
    </w:p>
  </w:footnote>
  <w:footnote w:id="10">
    <w:p w:rsidR="002F2AA8" w:rsidRDefault="002F2AA8" w:rsidP="002F2AA8">
      <w:pPr>
        <w:pStyle w:val="FootnoteText"/>
      </w:pPr>
      <w:r>
        <w:rPr>
          <w:rStyle w:val="FootnoteReference"/>
        </w:rPr>
        <w:footnoteRef/>
      </w:r>
      <w:r>
        <w:t xml:space="preserve"> </w:t>
      </w:r>
      <w:r>
        <w:rPr>
          <w:i/>
        </w:rPr>
        <w:t xml:space="preserve">See </w:t>
      </w:r>
      <w:r w:rsidR="008219A9" w:rsidRPr="008219A9">
        <w:t>GE</w:t>
      </w:r>
      <w:r w:rsidR="008219A9">
        <w:rPr>
          <w:i/>
        </w:rPr>
        <w:t xml:space="preserve"> </w:t>
      </w:r>
      <w:r>
        <w:t xml:space="preserve">Request at </w:t>
      </w:r>
      <w:r w:rsidR="008219A9">
        <w:t>2-3</w:t>
      </w:r>
      <w:r>
        <w:t>.</w:t>
      </w:r>
    </w:p>
  </w:footnote>
  <w:footnote w:id="11">
    <w:p w:rsidR="002F2AA8" w:rsidRDefault="002F2AA8" w:rsidP="002F2AA8">
      <w:pPr>
        <w:pStyle w:val="FootnoteText"/>
        <w:jc w:val="left"/>
      </w:pPr>
      <w:r>
        <w:rPr>
          <w:rStyle w:val="FootnoteReference"/>
        </w:rPr>
        <w:footnoteRef/>
      </w:r>
      <w:r>
        <w:t xml:space="preserve"> </w:t>
      </w:r>
      <w:r>
        <w:rPr>
          <w:i/>
        </w:rPr>
        <w:t>See</w:t>
      </w:r>
      <w:r w:rsidR="00850EF9">
        <w:rPr>
          <w:i/>
        </w:rPr>
        <w:t xml:space="preserve"> </w:t>
      </w:r>
      <w:r w:rsidR="00850EF9">
        <w:t xml:space="preserve">4RF Limited, </w:t>
      </w:r>
      <w:r w:rsidR="00850EF9">
        <w:rPr>
          <w:i/>
        </w:rPr>
        <w:t>Order</w:t>
      </w:r>
      <w:r w:rsidR="00850EF9">
        <w:t xml:space="preserve">, WT Docket No. 13-188, 29 FCC Rcd 2898, 2899 ¶ 5 (WTB MD 2014) (granting waive to permit D1D emission for telemetry equipment utilizing linear modulation methods to address spectrum efficiency) (citing </w:t>
      </w:r>
      <w:r>
        <w:t xml:space="preserve">Lojack Corporation, </w:t>
      </w:r>
      <w:r>
        <w:rPr>
          <w:i/>
        </w:rPr>
        <w:t>Order</w:t>
      </w:r>
      <w:r>
        <w:t xml:space="preserve">, 20 FCC Rcd 20497, 20499 ¶ 7 (WTB PSCID 2005) (granting waiver to permit D1D emission on frequency on which 47 C.F.R. § 90.20(e)(6) permitted only F1D and F2D, on the grounds that allowing greater efficiency was in </w:t>
      </w:r>
      <w:r>
        <w:rPr>
          <w:color w:val="000000"/>
        </w:rPr>
        <w:t>the public interest and would not frustrate the rule's underlying purpose</w:t>
      </w:r>
      <w:r>
        <w:t>)</w:t>
      </w:r>
      <w:r w:rsidR="00850EF9">
        <w:t>)</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E78" w:rsidRDefault="003E2E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B64" w:rsidRDefault="002F2AA8">
    <w:pPr>
      <w:pStyle w:val="Header"/>
    </w:pPr>
    <w:r>
      <w:t>GE MDS, LLC</w:t>
    </w:r>
    <w:r w:rsidR="00153D8F">
      <w:tab/>
    </w:r>
    <w:r w:rsidR="00153D8F">
      <w:tab/>
    </w:r>
    <w:r w:rsidR="00153D8F">
      <w:fldChar w:fldCharType="begin"/>
    </w:r>
    <w:r w:rsidR="00153D8F">
      <w:instrText xml:space="preserve"> PAGE   \* MERGEFORMAT </w:instrText>
    </w:r>
    <w:r w:rsidR="00153D8F">
      <w:fldChar w:fldCharType="separate"/>
    </w:r>
    <w:r w:rsidR="0070556B">
      <w:rPr>
        <w:noProof/>
      </w:rPr>
      <w:t>2</w:t>
    </w:r>
    <w:r w:rsidR="00153D8F">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2C2" w:rsidRDefault="0070556B">
    <w:pPr>
      <w:pStyle w:val="Header"/>
      <w:tabs>
        <w:tab w:val="clear" w:pos="4320"/>
        <w:tab w:val="clear" w:pos="8640"/>
      </w:tabs>
      <w:spacing w:before="360" w:line="228" w:lineRule="auto"/>
      <w:jc w:val="center"/>
    </w:pPr>
    <w:r>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8pt;margin-top:0;width:64.8pt;height:64.8pt;z-index:251657728;visibility:visible;mso-wrap-edited:f" o:allowincell="f" filled="t" fillcolor="#3cc">
          <v:imagedata r:id="rId1" o:title="" gain="69719f"/>
          <w10:wrap type="topAndBottom"/>
        </v:shape>
        <o:OLEObject Type="Embed" ProgID="Word.Picture.8" ShapeID="_x0000_s2049" DrawAspect="Content" ObjectID="_1493456785" r:id="rId2"/>
      </w:pict>
    </w:r>
    <w:r w:rsidR="00F352C2">
      <w:rPr>
        <w:rFonts w:ascii="CG Times (W1)" w:hAnsi="CG Times (W1)"/>
        <w:sz w:val="28"/>
      </w:rPr>
      <w:t>Federal Communications Commission</w:t>
    </w:r>
  </w:p>
  <w:p w:rsidR="00F352C2" w:rsidRDefault="00F352C2">
    <w:pPr>
      <w:jc w:val="center"/>
    </w:pPr>
    <w:r>
      <w:rPr>
        <w:rFonts w:ascii="CG Times (W1)" w:hAnsi="CG Times (W1)"/>
        <w:sz w:val="28"/>
      </w:rPr>
      <w:t>Washington, D.C. 20554</w:t>
    </w:r>
  </w:p>
  <w:p w:rsidR="00F352C2" w:rsidRDefault="00F352C2">
    <w:pPr>
      <w:pStyle w:val="Header"/>
      <w:tabs>
        <w:tab w:val="clear" w:pos="4320"/>
      </w:tabs>
      <w:jc w:val="center"/>
      <w:rPr>
        <w:sz w:val="22"/>
      </w:rPr>
    </w:pPr>
  </w:p>
  <w:p w:rsidR="008209C9" w:rsidRPr="00E30660" w:rsidRDefault="002F2AA8" w:rsidP="008209C9">
    <w:pPr>
      <w:pStyle w:val="Header"/>
      <w:tabs>
        <w:tab w:val="clear" w:pos="4320"/>
      </w:tabs>
      <w:jc w:val="center"/>
      <w:rPr>
        <w:sz w:val="22"/>
        <w:szCs w:val="22"/>
      </w:rPr>
    </w:pPr>
    <w:r>
      <w:rPr>
        <w:sz w:val="22"/>
        <w:szCs w:val="22"/>
      </w:rPr>
      <w:t>Ma</w:t>
    </w:r>
    <w:r w:rsidR="005D3989">
      <w:rPr>
        <w:sz w:val="22"/>
        <w:szCs w:val="22"/>
      </w:rPr>
      <w:t>y</w:t>
    </w:r>
    <w:r>
      <w:rPr>
        <w:sz w:val="22"/>
        <w:szCs w:val="22"/>
      </w:rPr>
      <w:t xml:space="preserve"> </w:t>
    </w:r>
    <w:r w:rsidR="00805530">
      <w:rPr>
        <w:sz w:val="22"/>
        <w:szCs w:val="22"/>
      </w:rPr>
      <w:t>18</w:t>
    </w:r>
    <w:r w:rsidR="00506C46">
      <w:rPr>
        <w:sz w:val="22"/>
        <w:szCs w:val="22"/>
      </w:rPr>
      <w:t>,</w:t>
    </w:r>
    <w:r w:rsidR="00E30660" w:rsidRPr="00E30660">
      <w:rPr>
        <w:sz w:val="22"/>
        <w:szCs w:val="22"/>
      </w:rPr>
      <w:t xml:space="preserve"> 20</w:t>
    </w:r>
    <w:r w:rsidR="00D35DF9">
      <w:rPr>
        <w:sz w:val="22"/>
        <w:szCs w:val="22"/>
      </w:rPr>
      <w:t>1</w:t>
    </w:r>
    <w:r w:rsidR="00506C46">
      <w:rPr>
        <w:sz w:val="22"/>
        <w:szCs w:val="22"/>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F1B3D"/>
    <w:multiLevelType w:val="singleLevel"/>
    <w:tmpl w:val="4DCCE696"/>
    <w:lvl w:ilvl="0">
      <w:start w:val="1"/>
      <w:numFmt w:val="decimal"/>
      <w:pStyle w:val="ParaNumChar"/>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660"/>
    <w:rsid w:val="0001053F"/>
    <w:rsid w:val="000125C3"/>
    <w:rsid w:val="00025934"/>
    <w:rsid w:val="0002600A"/>
    <w:rsid w:val="00066572"/>
    <w:rsid w:val="00074B13"/>
    <w:rsid w:val="00087415"/>
    <w:rsid w:val="00092305"/>
    <w:rsid w:val="00136E96"/>
    <w:rsid w:val="00153D8F"/>
    <w:rsid w:val="001939D8"/>
    <w:rsid w:val="001A54A0"/>
    <w:rsid w:val="001B5909"/>
    <w:rsid w:val="001D6B85"/>
    <w:rsid w:val="001E47E5"/>
    <w:rsid w:val="001F4B62"/>
    <w:rsid w:val="002210B5"/>
    <w:rsid w:val="00283583"/>
    <w:rsid w:val="002C4AF0"/>
    <w:rsid w:val="002D70DC"/>
    <w:rsid w:val="002F2AA8"/>
    <w:rsid w:val="00302A57"/>
    <w:rsid w:val="00310530"/>
    <w:rsid w:val="003131A9"/>
    <w:rsid w:val="00330D8E"/>
    <w:rsid w:val="00355284"/>
    <w:rsid w:val="003719DA"/>
    <w:rsid w:val="0037240E"/>
    <w:rsid w:val="003740A3"/>
    <w:rsid w:val="00382BBF"/>
    <w:rsid w:val="003E2E78"/>
    <w:rsid w:val="003E34CF"/>
    <w:rsid w:val="003F043A"/>
    <w:rsid w:val="00424FA9"/>
    <w:rsid w:val="00431778"/>
    <w:rsid w:val="00442FB4"/>
    <w:rsid w:val="0045253C"/>
    <w:rsid w:val="00456B6D"/>
    <w:rsid w:val="00475CFF"/>
    <w:rsid w:val="0047681A"/>
    <w:rsid w:val="004D5504"/>
    <w:rsid w:val="004D6235"/>
    <w:rsid w:val="004E4F0F"/>
    <w:rsid w:val="004E7D0D"/>
    <w:rsid w:val="00506C46"/>
    <w:rsid w:val="005076E0"/>
    <w:rsid w:val="005258B2"/>
    <w:rsid w:val="00532D1A"/>
    <w:rsid w:val="005461C1"/>
    <w:rsid w:val="005A78CC"/>
    <w:rsid w:val="005C52C4"/>
    <w:rsid w:val="005D3989"/>
    <w:rsid w:val="006034E8"/>
    <w:rsid w:val="00624EA1"/>
    <w:rsid w:val="0067680D"/>
    <w:rsid w:val="006F157B"/>
    <w:rsid w:val="0070556B"/>
    <w:rsid w:val="00786EEF"/>
    <w:rsid w:val="007F6D1B"/>
    <w:rsid w:val="00805530"/>
    <w:rsid w:val="00811FF8"/>
    <w:rsid w:val="008209C9"/>
    <w:rsid w:val="008219A9"/>
    <w:rsid w:val="00841567"/>
    <w:rsid w:val="00850EF9"/>
    <w:rsid w:val="00885AE8"/>
    <w:rsid w:val="0088690C"/>
    <w:rsid w:val="0088729F"/>
    <w:rsid w:val="008D505F"/>
    <w:rsid w:val="008F07EE"/>
    <w:rsid w:val="008F4883"/>
    <w:rsid w:val="00900C38"/>
    <w:rsid w:val="00932F2D"/>
    <w:rsid w:val="0097267C"/>
    <w:rsid w:val="009753FC"/>
    <w:rsid w:val="00996E53"/>
    <w:rsid w:val="009B3FC5"/>
    <w:rsid w:val="009C274C"/>
    <w:rsid w:val="009D2F26"/>
    <w:rsid w:val="009E040D"/>
    <w:rsid w:val="00A454C2"/>
    <w:rsid w:val="00A85324"/>
    <w:rsid w:val="00AA4585"/>
    <w:rsid w:val="00AB1B2A"/>
    <w:rsid w:val="00AB6E87"/>
    <w:rsid w:val="00AE049B"/>
    <w:rsid w:val="00B16519"/>
    <w:rsid w:val="00B610A0"/>
    <w:rsid w:val="00B65684"/>
    <w:rsid w:val="00BC32BD"/>
    <w:rsid w:val="00BD2618"/>
    <w:rsid w:val="00C2515A"/>
    <w:rsid w:val="00C32624"/>
    <w:rsid w:val="00CA559C"/>
    <w:rsid w:val="00CB4231"/>
    <w:rsid w:val="00CB64AD"/>
    <w:rsid w:val="00CD7529"/>
    <w:rsid w:val="00CF59C3"/>
    <w:rsid w:val="00D3432A"/>
    <w:rsid w:val="00D35DF9"/>
    <w:rsid w:val="00D43CA2"/>
    <w:rsid w:val="00D82B64"/>
    <w:rsid w:val="00D82F63"/>
    <w:rsid w:val="00DD1F26"/>
    <w:rsid w:val="00DE6D8D"/>
    <w:rsid w:val="00DF47B6"/>
    <w:rsid w:val="00E30660"/>
    <w:rsid w:val="00E37E6F"/>
    <w:rsid w:val="00E61BA3"/>
    <w:rsid w:val="00E85D41"/>
    <w:rsid w:val="00E87C84"/>
    <w:rsid w:val="00E9472D"/>
    <w:rsid w:val="00EA002F"/>
    <w:rsid w:val="00EA4963"/>
    <w:rsid w:val="00EF7F4D"/>
    <w:rsid w:val="00F352C2"/>
    <w:rsid w:val="00F50154"/>
    <w:rsid w:val="00F6122A"/>
    <w:rsid w:val="00F74BE1"/>
    <w:rsid w:val="00F95332"/>
    <w:rsid w:val="00F95EFB"/>
    <w:rsid w:val="00FB5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aliases w:val="Footnote Text Char1,Footnote Text Char Char,Footnote Text Char1 Char Char,Footnote Text Char Char Char Char"/>
    <w:basedOn w:val="Normal"/>
    <w:semiHidden/>
    <w:rsid w:val="00F6122A"/>
    <w:pPr>
      <w:tabs>
        <w:tab w:val="left" w:pos="180"/>
        <w:tab w:val="left" w:pos="720"/>
        <w:tab w:val="left" w:pos="1440"/>
        <w:tab w:val="left" w:pos="2160"/>
      </w:tabs>
      <w:spacing w:after="120"/>
      <w:jc w:val="both"/>
    </w:pPr>
  </w:style>
  <w:style w:type="character" w:styleId="FootnoteReference">
    <w:name w:val="footnote reference"/>
    <w:semiHidden/>
    <w:rsid w:val="00F6122A"/>
    <w:rPr>
      <w:vertAlign w:val="superscript"/>
    </w:rPr>
  </w:style>
  <w:style w:type="paragraph" w:styleId="BalloonText">
    <w:name w:val="Balloon Text"/>
    <w:basedOn w:val="Normal"/>
    <w:semiHidden/>
    <w:rsid w:val="00D82F63"/>
    <w:rPr>
      <w:rFonts w:ascii="Tahoma" w:hAnsi="Tahoma" w:cs="Tahoma"/>
      <w:sz w:val="16"/>
      <w:szCs w:val="16"/>
    </w:rPr>
  </w:style>
  <w:style w:type="paragraph" w:customStyle="1" w:styleId="ParaNumChar">
    <w:name w:val="ParaNum Char"/>
    <w:basedOn w:val="Normal"/>
    <w:rsid w:val="00D35DF9"/>
    <w:pPr>
      <w:widowControl w:val="0"/>
      <w:numPr>
        <w:numId w:val="1"/>
      </w:numPr>
      <w:tabs>
        <w:tab w:val="left" w:pos="1440"/>
      </w:tabs>
      <w:spacing w:after="220"/>
      <w:jc w:val="both"/>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aliases w:val="Footnote Text Char1,Footnote Text Char Char,Footnote Text Char1 Char Char,Footnote Text Char Char Char Char"/>
    <w:basedOn w:val="Normal"/>
    <w:semiHidden/>
    <w:rsid w:val="00F6122A"/>
    <w:pPr>
      <w:tabs>
        <w:tab w:val="left" w:pos="180"/>
        <w:tab w:val="left" w:pos="720"/>
        <w:tab w:val="left" w:pos="1440"/>
        <w:tab w:val="left" w:pos="2160"/>
      </w:tabs>
      <w:spacing w:after="120"/>
      <w:jc w:val="both"/>
    </w:pPr>
  </w:style>
  <w:style w:type="character" w:styleId="FootnoteReference">
    <w:name w:val="footnote reference"/>
    <w:semiHidden/>
    <w:rsid w:val="00F6122A"/>
    <w:rPr>
      <w:vertAlign w:val="superscript"/>
    </w:rPr>
  </w:style>
  <w:style w:type="paragraph" w:styleId="BalloonText">
    <w:name w:val="Balloon Text"/>
    <w:basedOn w:val="Normal"/>
    <w:semiHidden/>
    <w:rsid w:val="00D82F63"/>
    <w:rPr>
      <w:rFonts w:ascii="Tahoma" w:hAnsi="Tahoma" w:cs="Tahoma"/>
      <w:sz w:val="16"/>
      <w:szCs w:val="16"/>
    </w:rPr>
  </w:style>
  <w:style w:type="paragraph" w:customStyle="1" w:styleId="ParaNumChar">
    <w:name w:val="ParaNum Char"/>
    <w:basedOn w:val="Normal"/>
    <w:rsid w:val="00D35DF9"/>
    <w:pPr>
      <w:widowControl w:val="0"/>
      <w:numPr>
        <w:numId w:val="1"/>
      </w:numPr>
      <w:tabs>
        <w:tab w:val="left" w:pos="1440"/>
      </w:tabs>
      <w:spacing w:after="220"/>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Template>
  <TotalTime>0</TotalTime>
  <Pages>2</Pages>
  <Words>524</Words>
  <Characters>2890</Characters>
  <Application>Microsoft Office Word</Application>
  <DocSecurity>0</DocSecurity>
  <Lines>53</Lines>
  <Paragraphs>18</Paragraphs>
  <ScaleCrop>false</ScaleCrop>
  <HeadingPairs>
    <vt:vector size="2" baseType="variant">
      <vt:variant>
        <vt:lpstr>Title</vt:lpstr>
      </vt:variant>
      <vt:variant>
        <vt:i4>1</vt:i4>
      </vt:variant>
    </vt:vector>
  </HeadingPairs>
  <TitlesOfParts>
    <vt:vector size="1" baseType="lpstr">
      <vt:lpstr>Russell H</vt:lpstr>
    </vt:vector>
  </TitlesOfParts>
  <Manager/>
  <Company/>
  <LinksUpToDate>false</LinksUpToDate>
  <CharactersWithSpaces>3467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2015-05-18T14:21:00Z</cp:lastPrinted>
  <dcterms:created xsi:type="dcterms:W3CDTF">2015-05-18T16:20:00Z</dcterms:created>
  <dcterms:modified xsi:type="dcterms:W3CDTF">2015-05-18T16:20:00Z</dcterms:modified>
  <cp:category> </cp:category>
  <cp:contentStatus> </cp:contentStatus>
</cp:coreProperties>
</file>