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29BA" w:rsidRDefault="007429BA" w:rsidP="007429BA">
      <w:pPr>
        <w:widowControl w:val="0"/>
        <w:rPr>
          <w:sz w:val="22"/>
          <w:szCs w:val="22"/>
        </w:rPr>
      </w:pPr>
      <w:bookmarkStart w:id="0" w:name="_GoBack"/>
      <w:bookmarkEnd w:id="0"/>
    </w:p>
    <w:p w:rsidR="007429BA" w:rsidRPr="00C8352E" w:rsidRDefault="00302116" w:rsidP="007620FA">
      <w:pPr>
        <w:widowControl w:val="0"/>
        <w:rPr>
          <w:b/>
          <w:i/>
          <w:color w:val="FF0000"/>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C8352E">
        <w:rPr>
          <w:b/>
          <w:sz w:val="22"/>
          <w:szCs w:val="22"/>
        </w:rPr>
        <w:t>DA 15</w:t>
      </w:r>
      <w:r w:rsidRPr="00C8352E">
        <w:rPr>
          <w:b/>
          <w:sz w:val="22"/>
          <w:szCs w:val="22"/>
        </w:rPr>
        <w:t>-</w:t>
      </w:r>
      <w:r w:rsidR="00557103">
        <w:rPr>
          <w:b/>
          <w:sz w:val="22"/>
          <w:szCs w:val="22"/>
        </w:rPr>
        <w:t>601</w:t>
      </w:r>
      <w:r w:rsidR="000B1388" w:rsidRPr="00C8352E">
        <w:rPr>
          <w:b/>
          <w:sz w:val="22"/>
          <w:szCs w:val="22"/>
        </w:rPr>
        <w:tab/>
      </w:r>
      <w:r w:rsidR="000B1388" w:rsidRPr="00C8352E">
        <w:rPr>
          <w:b/>
          <w:sz w:val="22"/>
          <w:szCs w:val="22"/>
        </w:rPr>
        <w:tab/>
      </w:r>
      <w:r w:rsidR="000B1388" w:rsidRPr="00C8352E">
        <w:rPr>
          <w:b/>
          <w:sz w:val="22"/>
          <w:szCs w:val="22"/>
        </w:rPr>
        <w:tab/>
      </w:r>
      <w:r w:rsidR="000B1388" w:rsidRPr="00C8352E">
        <w:rPr>
          <w:b/>
          <w:sz w:val="22"/>
          <w:szCs w:val="22"/>
        </w:rPr>
        <w:tab/>
      </w:r>
      <w:r w:rsidR="000B1388" w:rsidRPr="00C8352E">
        <w:rPr>
          <w:b/>
          <w:sz w:val="22"/>
          <w:szCs w:val="22"/>
        </w:rPr>
        <w:tab/>
      </w:r>
      <w:r w:rsidR="000B1388" w:rsidRPr="00C8352E">
        <w:rPr>
          <w:b/>
          <w:sz w:val="22"/>
          <w:szCs w:val="22"/>
        </w:rPr>
        <w:tab/>
      </w:r>
    </w:p>
    <w:p w:rsidR="000B1388" w:rsidRDefault="006349C2" w:rsidP="007429BA">
      <w:pPr>
        <w:widowControl w:val="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rsidR="007429BA" w:rsidRPr="007429BA" w:rsidRDefault="007429BA" w:rsidP="007429BA">
      <w:pPr>
        <w:widowControl w:val="0"/>
        <w:rPr>
          <w:sz w:val="22"/>
          <w:szCs w:val="22"/>
        </w:rPr>
      </w:pPr>
      <w:r w:rsidRPr="007429BA">
        <w:rPr>
          <w:sz w:val="22"/>
          <w:szCs w:val="22"/>
        </w:rPr>
        <w:t xml:space="preserve">Ms. </w:t>
      </w:r>
      <w:r w:rsidR="00C9751A">
        <w:rPr>
          <w:sz w:val="22"/>
          <w:szCs w:val="22"/>
        </w:rPr>
        <w:t>Suzanne Malloy</w:t>
      </w:r>
    </w:p>
    <w:p w:rsidR="007429BA" w:rsidRPr="007429BA" w:rsidRDefault="007429BA" w:rsidP="007429BA">
      <w:pPr>
        <w:widowControl w:val="0"/>
        <w:rPr>
          <w:sz w:val="22"/>
          <w:szCs w:val="22"/>
        </w:rPr>
      </w:pPr>
      <w:r w:rsidRPr="007429BA">
        <w:rPr>
          <w:sz w:val="22"/>
          <w:szCs w:val="22"/>
        </w:rPr>
        <w:t>Vice President, Regulatory Affairs</w:t>
      </w:r>
    </w:p>
    <w:p w:rsidR="007429BA" w:rsidRPr="007429BA" w:rsidRDefault="007429BA" w:rsidP="007429BA">
      <w:pPr>
        <w:widowControl w:val="0"/>
        <w:rPr>
          <w:sz w:val="22"/>
          <w:szCs w:val="22"/>
        </w:rPr>
      </w:pPr>
      <w:r w:rsidRPr="007429BA">
        <w:rPr>
          <w:sz w:val="22"/>
          <w:szCs w:val="22"/>
        </w:rPr>
        <w:t>O3b Limited</w:t>
      </w:r>
    </w:p>
    <w:p w:rsidR="007429BA" w:rsidRPr="007429BA" w:rsidRDefault="007429BA" w:rsidP="007429BA">
      <w:pPr>
        <w:widowControl w:val="0"/>
        <w:rPr>
          <w:sz w:val="22"/>
          <w:szCs w:val="22"/>
        </w:rPr>
      </w:pPr>
      <w:r w:rsidRPr="007429BA">
        <w:rPr>
          <w:sz w:val="22"/>
          <w:szCs w:val="22"/>
        </w:rPr>
        <w:t>900 17</w:t>
      </w:r>
      <w:r w:rsidRPr="007429BA">
        <w:rPr>
          <w:sz w:val="22"/>
          <w:szCs w:val="22"/>
          <w:vertAlign w:val="superscript"/>
        </w:rPr>
        <w:t>th</w:t>
      </w:r>
      <w:r w:rsidRPr="007429BA">
        <w:rPr>
          <w:sz w:val="22"/>
          <w:szCs w:val="22"/>
        </w:rPr>
        <w:t xml:space="preserve"> Street NW, Suite 300</w:t>
      </w:r>
    </w:p>
    <w:p w:rsidR="003708EA" w:rsidRDefault="007429BA" w:rsidP="003708EA">
      <w:pPr>
        <w:widowControl w:val="0"/>
        <w:rPr>
          <w:sz w:val="22"/>
          <w:szCs w:val="22"/>
        </w:rPr>
      </w:pPr>
      <w:r w:rsidRPr="007429BA">
        <w:rPr>
          <w:sz w:val="22"/>
          <w:szCs w:val="22"/>
        </w:rPr>
        <w:t>Washington, DC 20006</w:t>
      </w:r>
      <w:r w:rsidR="003818D4">
        <w:rPr>
          <w:sz w:val="22"/>
          <w:szCs w:val="22"/>
        </w:rPr>
        <w:tab/>
      </w:r>
      <w:r w:rsidR="003818D4">
        <w:rPr>
          <w:sz w:val="22"/>
          <w:szCs w:val="22"/>
        </w:rPr>
        <w:tab/>
      </w:r>
      <w:r w:rsidR="003818D4">
        <w:rPr>
          <w:sz w:val="22"/>
          <w:szCs w:val="22"/>
        </w:rPr>
        <w:tab/>
      </w:r>
      <w:r w:rsidR="003818D4">
        <w:rPr>
          <w:sz w:val="22"/>
          <w:szCs w:val="22"/>
        </w:rPr>
        <w:tab/>
      </w:r>
      <w:r w:rsidR="003818D4">
        <w:rPr>
          <w:sz w:val="22"/>
          <w:szCs w:val="22"/>
        </w:rPr>
        <w:tab/>
      </w:r>
      <w:r w:rsidR="003818D4">
        <w:rPr>
          <w:sz w:val="22"/>
          <w:szCs w:val="22"/>
        </w:rPr>
        <w:tab/>
      </w:r>
      <w:r w:rsidR="003818D4" w:rsidRPr="00407DE6">
        <w:rPr>
          <w:i/>
          <w:color w:val="FF0000"/>
          <w:sz w:val="18"/>
          <w:szCs w:val="18"/>
        </w:rPr>
        <w:tab/>
      </w:r>
      <w:r w:rsidR="003818D4" w:rsidRPr="00407DE6">
        <w:rPr>
          <w:i/>
          <w:color w:val="FF0000"/>
          <w:sz w:val="18"/>
          <w:szCs w:val="18"/>
        </w:rPr>
        <w:tab/>
      </w:r>
      <w:r w:rsidR="003818D4" w:rsidRPr="00407DE6">
        <w:rPr>
          <w:i/>
          <w:color w:val="FF0000"/>
          <w:sz w:val="18"/>
          <w:szCs w:val="18"/>
        </w:rPr>
        <w:tab/>
      </w:r>
      <w:r w:rsidR="003818D4" w:rsidRPr="00407DE6">
        <w:rPr>
          <w:i/>
          <w:color w:val="FF0000"/>
          <w:sz w:val="18"/>
          <w:szCs w:val="18"/>
        </w:rPr>
        <w:tab/>
      </w:r>
      <w:r w:rsidR="003818D4" w:rsidRPr="00407DE6">
        <w:rPr>
          <w:i/>
          <w:color w:val="FF0000"/>
          <w:sz w:val="18"/>
          <w:szCs w:val="18"/>
        </w:rPr>
        <w:tab/>
      </w:r>
      <w:r w:rsidR="003818D4" w:rsidRPr="00407DE6">
        <w:rPr>
          <w:i/>
          <w:color w:val="FF0000"/>
          <w:sz w:val="18"/>
          <w:szCs w:val="18"/>
        </w:rPr>
        <w:tab/>
      </w:r>
      <w:r w:rsidR="003818D4" w:rsidRPr="00407DE6">
        <w:rPr>
          <w:i/>
          <w:color w:val="FF0000"/>
          <w:sz w:val="18"/>
          <w:szCs w:val="18"/>
        </w:rPr>
        <w:tab/>
      </w:r>
      <w:r w:rsidR="003818D4" w:rsidRPr="00407DE6">
        <w:rPr>
          <w:i/>
          <w:color w:val="FF0000"/>
          <w:sz w:val="18"/>
          <w:szCs w:val="18"/>
        </w:rPr>
        <w:tab/>
      </w:r>
      <w:r w:rsidRPr="007429BA">
        <w:rPr>
          <w:sz w:val="22"/>
          <w:szCs w:val="22"/>
        </w:rPr>
        <w:tab/>
      </w:r>
    </w:p>
    <w:p w:rsidR="00957580" w:rsidRPr="007A7CBA" w:rsidRDefault="005071A7" w:rsidP="00FD33D5">
      <w:pPr>
        <w:widowControl w:val="0"/>
        <w:ind w:left="2880" w:firstLine="720"/>
        <w:rPr>
          <w:sz w:val="22"/>
          <w:szCs w:val="22"/>
          <w:lang w:val="pt-BR"/>
        </w:rPr>
      </w:pPr>
      <w:r w:rsidRPr="007A7CBA">
        <w:rPr>
          <w:color w:val="2A2A2A"/>
          <w:sz w:val="22"/>
          <w:szCs w:val="22"/>
          <w:lang w:val="pt-BR"/>
        </w:rPr>
        <w:t>R</w:t>
      </w:r>
      <w:r w:rsidR="007429BA" w:rsidRPr="007A7CBA">
        <w:rPr>
          <w:color w:val="2A2A2A"/>
          <w:sz w:val="22"/>
          <w:szCs w:val="22"/>
          <w:lang w:val="pt-BR"/>
        </w:rPr>
        <w:t>e:</w:t>
      </w:r>
      <w:r w:rsidRPr="007A7CBA">
        <w:rPr>
          <w:color w:val="2A2A2A"/>
          <w:sz w:val="22"/>
          <w:szCs w:val="22"/>
          <w:lang w:val="pt-BR"/>
        </w:rPr>
        <w:tab/>
      </w:r>
      <w:r w:rsidR="007429BA" w:rsidRPr="007A7CBA">
        <w:rPr>
          <w:color w:val="2A2A2A"/>
          <w:sz w:val="22"/>
          <w:szCs w:val="22"/>
          <w:lang w:val="pt-BR"/>
        </w:rPr>
        <w:t xml:space="preserve">O3b </w:t>
      </w:r>
      <w:r w:rsidR="007429BA" w:rsidRPr="007A7CBA">
        <w:rPr>
          <w:color w:val="2A2A2A"/>
          <w:w w:val="102"/>
          <w:sz w:val="22"/>
          <w:szCs w:val="22"/>
          <w:lang w:val="pt-BR"/>
        </w:rPr>
        <w:t>Limited</w:t>
      </w:r>
    </w:p>
    <w:p w:rsidR="00957580" w:rsidRDefault="00C974CF" w:rsidP="007429BA">
      <w:pPr>
        <w:widowControl w:val="0"/>
        <w:rPr>
          <w:sz w:val="22"/>
          <w:szCs w:val="22"/>
        </w:rPr>
      </w:pPr>
      <w:r w:rsidRPr="007A7CBA">
        <w:rPr>
          <w:sz w:val="22"/>
          <w:szCs w:val="22"/>
          <w:lang w:val="pt-BR"/>
        </w:rPr>
        <w:tab/>
      </w:r>
      <w:r w:rsidRPr="007A7CBA">
        <w:rPr>
          <w:sz w:val="22"/>
          <w:szCs w:val="22"/>
          <w:lang w:val="pt-BR"/>
        </w:rPr>
        <w:tab/>
      </w:r>
      <w:r w:rsidRPr="007A7CBA">
        <w:rPr>
          <w:sz w:val="22"/>
          <w:szCs w:val="22"/>
          <w:lang w:val="pt-BR"/>
        </w:rPr>
        <w:tab/>
      </w:r>
      <w:r w:rsidRPr="007A7CBA">
        <w:rPr>
          <w:sz w:val="22"/>
          <w:szCs w:val="22"/>
          <w:lang w:val="pt-BR"/>
        </w:rPr>
        <w:tab/>
      </w:r>
      <w:r w:rsidRPr="007A7CBA">
        <w:rPr>
          <w:sz w:val="22"/>
          <w:szCs w:val="22"/>
          <w:lang w:val="pt-BR"/>
        </w:rPr>
        <w:tab/>
      </w:r>
      <w:r w:rsidRPr="007A7CBA">
        <w:rPr>
          <w:sz w:val="22"/>
          <w:szCs w:val="22"/>
          <w:lang w:val="pt-BR"/>
        </w:rPr>
        <w:tab/>
        <w:t xml:space="preserve">IBFS File No. </w:t>
      </w:r>
      <w:r>
        <w:rPr>
          <w:sz w:val="22"/>
          <w:szCs w:val="22"/>
        </w:rPr>
        <w:t>SES-MSC-</w:t>
      </w:r>
      <w:r w:rsidR="00D73E17">
        <w:rPr>
          <w:sz w:val="22"/>
          <w:szCs w:val="22"/>
        </w:rPr>
        <w:t>20150206-00066</w:t>
      </w:r>
    </w:p>
    <w:p w:rsidR="007A7CBA" w:rsidRDefault="007A7CBA" w:rsidP="007429BA">
      <w:pPr>
        <w:widowControl w:val="0"/>
        <w:rPr>
          <w:sz w:val="22"/>
          <w:szCs w:val="22"/>
        </w:rPr>
      </w:pPr>
    </w:p>
    <w:p w:rsidR="007429BA" w:rsidRPr="007429BA" w:rsidRDefault="007429BA" w:rsidP="007429BA">
      <w:pPr>
        <w:widowControl w:val="0"/>
        <w:rPr>
          <w:sz w:val="22"/>
          <w:szCs w:val="22"/>
        </w:rPr>
      </w:pPr>
      <w:r w:rsidRPr="007429BA">
        <w:rPr>
          <w:sz w:val="22"/>
          <w:szCs w:val="22"/>
        </w:rPr>
        <w:t xml:space="preserve">Dear Ms. </w:t>
      </w:r>
      <w:r w:rsidR="00C9751A">
        <w:rPr>
          <w:sz w:val="22"/>
          <w:szCs w:val="22"/>
        </w:rPr>
        <w:t>Malloy</w:t>
      </w:r>
      <w:r w:rsidRPr="007429BA">
        <w:rPr>
          <w:sz w:val="22"/>
          <w:szCs w:val="22"/>
        </w:rPr>
        <w:t>:</w:t>
      </w:r>
    </w:p>
    <w:p w:rsidR="007429BA" w:rsidRPr="007429BA" w:rsidRDefault="007429BA" w:rsidP="007429BA">
      <w:pPr>
        <w:widowControl w:val="0"/>
        <w:rPr>
          <w:sz w:val="22"/>
          <w:szCs w:val="22"/>
        </w:rPr>
      </w:pPr>
    </w:p>
    <w:p w:rsidR="005E5C37" w:rsidRDefault="007429BA" w:rsidP="005E5C37">
      <w:pPr>
        <w:widowControl w:val="0"/>
        <w:spacing w:before="6"/>
        <w:rPr>
          <w:sz w:val="22"/>
          <w:szCs w:val="22"/>
        </w:rPr>
      </w:pPr>
      <w:r>
        <w:rPr>
          <w:sz w:val="22"/>
          <w:szCs w:val="22"/>
        </w:rPr>
        <w:tab/>
      </w:r>
      <w:r w:rsidR="005E5C37" w:rsidRPr="007429BA">
        <w:rPr>
          <w:sz w:val="22"/>
          <w:szCs w:val="22"/>
        </w:rPr>
        <w:t>On</w:t>
      </w:r>
      <w:r w:rsidR="00D73E17">
        <w:rPr>
          <w:sz w:val="22"/>
          <w:szCs w:val="22"/>
        </w:rPr>
        <w:t xml:space="preserve"> February 6, 2015, </w:t>
      </w:r>
      <w:r w:rsidR="005E5C37" w:rsidRPr="007429BA">
        <w:rPr>
          <w:sz w:val="22"/>
          <w:szCs w:val="22"/>
        </w:rPr>
        <w:t>O3b Limited (O3b) filed a request for waiver of the United States Table of Frequency Allocations and the Commission’s Ka-band Plan</w:t>
      </w:r>
      <w:r w:rsidR="005E5C37" w:rsidRPr="007429BA">
        <w:rPr>
          <w:sz w:val="22"/>
          <w:szCs w:val="22"/>
          <w:vertAlign w:val="superscript"/>
        </w:rPr>
        <w:footnoteReference w:id="1"/>
      </w:r>
      <w:r w:rsidR="005E5C37" w:rsidRPr="007429BA">
        <w:rPr>
          <w:sz w:val="22"/>
          <w:szCs w:val="22"/>
        </w:rPr>
        <w:t xml:space="preserve"> in connection with </w:t>
      </w:r>
      <w:r w:rsidR="007819E8">
        <w:rPr>
          <w:sz w:val="22"/>
          <w:szCs w:val="22"/>
        </w:rPr>
        <w:t xml:space="preserve">its </w:t>
      </w:r>
      <w:r w:rsidR="005E5C37" w:rsidRPr="007429BA">
        <w:rPr>
          <w:sz w:val="22"/>
          <w:szCs w:val="22"/>
        </w:rPr>
        <w:t>plan to</w:t>
      </w:r>
      <w:r w:rsidR="00D73E17">
        <w:rPr>
          <w:sz w:val="22"/>
          <w:szCs w:val="22"/>
        </w:rPr>
        <w:t xml:space="preserve"> conduct tests and demonstrations, and provide commercial service using </w:t>
      </w:r>
      <w:r w:rsidR="00C974CF">
        <w:rPr>
          <w:sz w:val="22"/>
          <w:szCs w:val="22"/>
        </w:rPr>
        <w:t>earth stations on</w:t>
      </w:r>
      <w:r w:rsidR="00D73E17">
        <w:rPr>
          <w:sz w:val="22"/>
          <w:szCs w:val="22"/>
        </w:rPr>
        <w:t xml:space="preserve"> six</w:t>
      </w:r>
      <w:r w:rsidR="00C974CF">
        <w:rPr>
          <w:sz w:val="22"/>
          <w:szCs w:val="22"/>
        </w:rPr>
        <w:t xml:space="preserve"> </w:t>
      </w:r>
      <w:r w:rsidR="00C275DF">
        <w:rPr>
          <w:sz w:val="22"/>
          <w:szCs w:val="22"/>
        </w:rPr>
        <w:t>non</w:t>
      </w:r>
      <w:r w:rsidR="00C16EBE">
        <w:rPr>
          <w:sz w:val="22"/>
          <w:szCs w:val="22"/>
        </w:rPr>
        <w:t>-</w:t>
      </w:r>
      <w:r w:rsidR="00C275DF">
        <w:rPr>
          <w:sz w:val="22"/>
          <w:szCs w:val="22"/>
        </w:rPr>
        <w:t xml:space="preserve">U.S. registered </w:t>
      </w:r>
      <w:r w:rsidR="00C16EBE">
        <w:rPr>
          <w:sz w:val="22"/>
          <w:szCs w:val="22"/>
        </w:rPr>
        <w:t xml:space="preserve">maritime </w:t>
      </w:r>
      <w:r w:rsidR="00C275DF">
        <w:rPr>
          <w:sz w:val="22"/>
          <w:szCs w:val="22"/>
        </w:rPr>
        <w:t xml:space="preserve">vessels </w:t>
      </w:r>
      <w:r w:rsidR="005E5C37">
        <w:rPr>
          <w:sz w:val="22"/>
          <w:szCs w:val="22"/>
        </w:rPr>
        <w:t>in an</w:t>
      </w:r>
      <w:r w:rsidR="007819E8">
        <w:rPr>
          <w:sz w:val="22"/>
          <w:szCs w:val="22"/>
        </w:rPr>
        <w:t>d</w:t>
      </w:r>
      <w:r w:rsidR="005E5C37">
        <w:rPr>
          <w:sz w:val="22"/>
          <w:szCs w:val="22"/>
        </w:rPr>
        <w:t xml:space="preserve"> near U.S. territorial waters.</w:t>
      </w:r>
      <w:r w:rsidR="008D2D2C">
        <w:rPr>
          <w:rStyle w:val="FootnoteReference"/>
          <w:sz w:val="22"/>
          <w:szCs w:val="22"/>
        </w:rPr>
        <w:footnoteReference w:id="2"/>
      </w:r>
      <w:r w:rsidR="005E5C37">
        <w:rPr>
          <w:sz w:val="22"/>
          <w:szCs w:val="22"/>
        </w:rPr>
        <w:t xml:space="preserve">  </w:t>
      </w:r>
      <w:r w:rsidR="00C275DF">
        <w:rPr>
          <w:sz w:val="22"/>
          <w:szCs w:val="22"/>
        </w:rPr>
        <w:t>O3b Limited’s service will involve up to thre</w:t>
      </w:r>
      <w:r w:rsidR="006F7DE7">
        <w:rPr>
          <w:sz w:val="22"/>
          <w:szCs w:val="22"/>
        </w:rPr>
        <w:t xml:space="preserve">e 2.2 meter </w:t>
      </w:r>
      <w:r w:rsidR="007A2D0F">
        <w:rPr>
          <w:sz w:val="22"/>
          <w:szCs w:val="22"/>
        </w:rPr>
        <w:t xml:space="preserve">diameter </w:t>
      </w:r>
      <w:r w:rsidR="006F7DE7">
        <w:rPr>
          <w:sz w:val="22"/>
          <w:szCs w:val="22"/>
        </w:rPr>
        <w:t xml:space="preserve">antennas per </w:t>
      </w:r>
      <w:r w:rsidR="00C16EBE">
        <w:rPr>
          <w:sz w:val="22"/>
          <w:szCs w:val="22"/>
        </w:rPr>
        <w:t xml:space="preserve">maritime </w:t>
      </w:r>
      <w:r w:rsidR="006F7DE7">
        <w:rPr>
          <w:sz w:val="22"/>
          <w:szCs w:val="22"/>
        </w:rPr>
        <w:t xml:space="preserve">vessel which will operate using the </w:t>
      </w:r>
      <w:r w:rsidR="00D73E17">
        <w:rPr>
          <w:sz w:val="22"/>
          <w:szCs w:val="22"/>
        </w:rPr>
        <w:t xml:space="preserve">27.6-28.35 GHz </w:t>
      </w:r>
      <w:r w:rsidR="006F7DE7">
        <w:rPr>
          <w:sz w:val="22"/>
          <w:szCs w:val="22"/>
        </w:rPr>
        <w:t xml:space="preserve">(Earth-to-space) and </w:t>
      </w:r>
      <w:r w:rsidR="00D73E17">
        <w:rPr>
          <w:sz w:val="22"/>
          <w:szCs w:val="22"/>
        </w:rPr>
        <w:t>17.8-18.3 GHz</w:t>
      </w:r>
      <w:r w:rsidR="006F7DE7">
        <w:rPr>
          <w:sz w:val="22"/>
          <w:szCs w:val="22"/>
        </w:rPr>
        <w:t xml:space="preserve"> (space-to-Earth) frequency bands to communicate</w:t>
      </w:r>
      <w:r w:rsidR="00C06D90">
        <w:rPr>
          <w:sz w:val="22"/>
          <w:szCs w:val="22"/>
        </w:rPr>
        <w:t xml:space="preserve"> with its non-geostationary o</w:t>
      </w:r>
      <w:r w:rsidR="00A309B3">
        <w:rPr>
          <w:sz w:val="22"/>
          <w:szCs w:val="22"/>
        </w:rPr>
        <w:t>rbit (NGSO) Fixed-Satellite Service</w:t>
      </w:r>
      <w:r w:rsidR="00C06D90">
        <w:rPr>
          <w:sz w:val="22"/>
          <w:szCs w:val="22"/>
        </w:rPr>
        <w:t xml:space="preserve"> (FSS) system licensed by the United Kingdom.</w:t>
      </w:r>
      <w:r w:rsidR="009844F8" w:rsidRPr="007429BA">
        <w:rPr>
          <w:sz w:val="22"/>
          <w:szCs w:val="22"/>
          <w:vertAlign w:val="superscript"/>
        </w:rPr>
        <w:footnoteReference w:id="3"/>
      </w:r>
      <w:r w:rsidR="00C06D90">
        <w:rPr>
          <w:sz w:val="22"/>
          <w:szCs w:val="22"/>
        </w:rPr>
        <w:t xml:space="preserve"> </w:t>
      </w:r>
      <w:r w:rsidRPr="007429BA">
        <w:rPr>
          <w:sz w:val="22"/>
          <w:szCs w:val="22"/>
        </w:rPr>
        <w:t xml:space="preserve"> </w:t>
      </w:r>
      <w:r w:rsidR="005071A7">
        <w:rPr>
          <w:sz w:val="22"/>
          <w:szCs w:val="22"/>
        </w:rPr>
        <w:t>O3b indicates that its operations aboard non-</w:t>
      </w:r>
      <w:r w:rsidR="00345B3F">
        <w:rPr>
          <w:sz w:val="22"/>
          <w:szCs w:val="22"/>
        </w:rPr>
        <w:t>U.S. registered</w:t>
      </w:r>
      <w:r w:rsidR="00C16EBE">
        <w:rPr>
          <w:sz w:val="22"/>
          <w:szCs w:val="22"/>
        </w:rPr>
        <w:t xml:space="preserve"> maritime</w:t>
      </w:r>
      <w:r w:rsidR="005071A7">
        <w:rPr>
          <w:sz w:val="22"/>
          <w:szCs w:val="22"/>
        </w:rPr>
        <w:t xml:space="preserve"> vessels will be pursuant to an authorization from the </w:t>
      </w:r>
      <w:r w:rsidR="006F7DE7">
        <w:rPr>
          <w:sz w:val="22"/>
          <w:szCs w:val="22"/>
        </w:rPr>
        <w:lastRenderedPageBreak/>
        <w:t>Utilities Regulation and Competition Authority of the Bahamas.</w:t>
      </w:r>
      <w:r w:rsidR="005E7375">
        <w:rPr>
          <w:rStyle w:val="FootnoteReference"/>
          <w:sz w:val="22"/>
          <w:szCs w:val="22"/>
        </w:rPr>
        <w:footnoteReference w:id="4"/>
      </w:r>
      <w:r w:rsidR="005071A7">
        <w:rPr>
          <w:sz w:val="22"/>
          <w:szCs w:val="22"/>
        </w:rPr>
        <w:t xml:space="preserve">  </w:t>
      </w:r>
    </w:p>
    <w:p w:rsidR="005E5C37" w:rsidRDefault="005E5C37" w:rsidP="007429BA">
      <w:pPr>
        <w:widowControl w:val="0"/>
        <w:spacing w:before="6"/>
        <w:rPr>
          <w:rFonts w:eastAsia="Calibri"/>
          <w:sz w:val="22"/>
          <w:szCs w:val="22"/>
        </w:rPr>
      </w:pPr>
    </w:p>
    <w:p w:rsidR="00FC38C7" w:rsidRPr="001A195E" w:rsidRDefault="00A309B3" w:rsidP="007429BA">
      <w:pPr>
        <w:widowControl w:val="0"/>
        <w:spacing w:before="6"/>
        <w:rPr>
          <w:rFonts w:eastAsia="Calibri"/>
          <w:color w:val="000000"/>
          <w:sz w:val="22"/>
          <w:szCs w:val="22"/>
        </w:rPr>
      </w:pPr>
      <w:r>
        <w:rPr>
          <w:sz w:val="22"/>
          <w:szCs w:val="22"/>
        </w:rPr>
        <w:tab/>
      </w:r>
      <w:r w:rsidR="007429BA" w:rsidRPr="007429BA">
        <w:rPr>
          <w:rFonts w:eastAsia="Calibri"/>
          <w:sz w:val="22"/>
          <w:szCs w:val="22"/>
        </w:rPr>
        <w:t xml:space="preserve">Although the Commission does not license transmissions on non-U.S. registered </w:t>
      </w:r>
      <w:r w:rsidR="005B2927">
        <w:rPr>
          <w:rFonts w:eastAsia="Calibri"/>
          <w:sz w:val="22"/>
          <w:szCs w:val="22"/>
        </w:rPr>
        <w:t xml:space="preserve">maritime </w:t>
      </w:r>
      <w:r w:rsidR="007429BA" w:rsidRPr="007429BA">
        <w:rPr>
          <w:rFonts w:eastAsia="Calibri"/>
          <w:sz w:val="22"/>
          <w:szCs w:val="22"/>
        </w:rPr>
        <w:t xml:space="preserve">vessels, O3b is nevertheless required to comply with the Commission’s interference regulations to the extent its signals are </w:t>
      </w:r>
      <w:r w:rsidR="009D4082">
        <w:rPr>
          <w:rFonts w:eastAsia="Calibri"/>
          <w:sz w:val="22"/>
          <w:szCs w:val="22"/>
        </w:rPr>
        <w:t>transmitted</w:t>
      </w:r>
      <w:r w:rsidR="009D4082" w:rsidRPr="007429BA">
        <w:rPr>
          <w:rFonts w:eastAsia="Calibri"/>
          <w:sz w:val="22"/>
          <w:szCs w:val="22"/>
        </w:rPr>
        <w:t xml:space="preserve"> </w:t>
      </w:r>
      <w:r w:rsidR="007429BA" w:rsidRPr="007429BA">
        <w:rPr>
          <w:rFonts w:eastAsia="Calibri"/>
          <w:sz w:val="22"/>
          <w:szCs w:val="22"/>
        </w:rPr>
        <w:t>within the United States</w:t>
      </w:r>
      <w:r w:rsidR="00E70C2B">
        <w:rPr>
          <w:rFonts w:eastAsia="Calibri"/>
          <w:sz w:val="22"/>
          <w:szCs w:val="22"/>
        </w:rPr>
        <w:t xml:space="preserve"> and its territories</w:t>
      </w:r>
      <w:r w:rsidR="007429BA" w:rsidRPr="007429BA">
        <w:rPr>
          <w:rFonts w:eastAsia="Calibri"/>
          <w:sz w:val="22"/>
          <w:szCs w:val="22"/>
        </w:rPr>
        <w:t>.</w:t>
      </w:r>
      <w:r w:rsidR="007429BA" w:rsidRPr="007429BA">
        <w:rPr>
          <w:rFonts w:eastAsia="Calibri"/>
          <w:sz w:val="22"/>
          <w:szCs w:val="22"/>
          <w:vertAlign w:val="superscript"/>
        </w:rPr>
        <w:footnoteReference w:id="5"/>
      </w:r>
      <w:r w:rsidR="007429BA" w:rsidRPr="007429BA">
        <w:rPr>
          <w:rFonts w:eastAsia="Calibri"/>
          <w:sz w:val="22"/>
          <w:szCs w:val="22"/>
        </w:rPr>
        <w:t xml:space="preserve">  </w:t>
      </w:r>
      <w:r w:rsidR="007429BA" w:rsidRPr="007429BA">
        <w:rPr>
          <w:rFonts w:eastAsia="Calibri"/>
          <w:color w:val="000000"/>
          <w:sz w:val="22"/>
          <w:szCs w:val="22"/>
        </w:rPr>
        <w:t>The use of the radiocommunication frequencies in the United States</w:t>
      </w:r>
      <w:r w:rsidR="00E70C2B">
        <w:rPr>
          <w:rFonts w:eastAsia="Calibri"/>
          <w:color w:val="000000"/>
          <w:sz w:val="22"/>
          <w:szCs w:val="22"/>
        </w:rPr>
        <w:t xml:space="preserve"> and its territories</w:t>
      </w:r>
      <w:r w:rsidR="007429BA" w:rsidRPr="007429BA">
        <w:rPr>
          <w:rFonts w:eastAsia="Calibri"/>
          <w:color w:val="000000"/>
          <w:sz w:val="22"/>
          <w:szCs w:val="22"/>
        </w:rPr>
        <w:t xml:space="preserve"> must be in accordance with the </w:t>
      </w:r>
      <w:r w:rsidR="00E70C2B">
        <w:rPr>
          <w:rFonts w:eastAsia="Calibri"/>
          <w:color w:val="000000"/>
          <w:sz w:val="22"/>
          <w:szCs w:val="22"/>
        </w:rPr>
        <w:t xml:space="preserve">U.S. </w:t>
      </w:r>
      <w:r w:rsidR="007429BA" w:rsidRPr="007429BA">
        <w:rPr>
          <w:rFonts w:eastAsia="Calibri"/>
          <w:color w:val="000000"/>
          <w:sz w:val="22"/>
          <w:szCs w:val="22"/>
        </w:rPr>
        <w:t xml:space="preserve">Table of Frequency Allocations </w:t>
      </w:r>
      <w:bookmarkStart w:id="5" w:name="SR;1741"/>
      <w:bookmarkStart w:id="6" w:name="SR;1743"/>
      <w:bookmarkEnd w:id="5"/>
      <w:bookmarkEnd w:id="6"/>
      <w:r w:rsidR="007429BA" w:rsidRPr="007429BA">
        <w:rPr>
          <w:rFonts w:eastAsia="Calibri"/>
          <w:color w:val="000000"/>
          <w:sz w:val="22"/>
          <w:szCs w:val="22"/>
        </w:rPr>
        <w:t>contained in Section 2.106 of the Commission’s rules</w:t>
      </w:r>
      <w:bookmarkStart w:id="7" w:name="FN[FN32]"/>
      <w:bookmarkEnd w:id="7"/>
      <w:r w:rsidR="007429BA" w:rsidRPr="007429BA">
        <w:rPr>
          <w:rFonts w:eastAsia="Calibri"/>
          <w:color w:val="000000"/>
          <w:sz w:val="22"/>
          <w:szCs w:val="22"/>
        </w:rPr>
        <w:t xml:space="preserve">.  O3b plans to </w:t>
      </w:r>
      <w:r w:rsidR="007740FD">
        <w:rPr>
          <w:rFonts w:eastAsia="Calibri"/>
          <w:color w:val="000000"/>
          <w:sz w:val="22"/>
          <w:szCs w:val="22"/>
        </w:rPr>
        <w:t>operate the earth stations</w:t>
      </w:r>
      <w:r>
        <w:rPr>
          <w:rFonts w:eastAsia="Calibri"/>
          <w:color w:val="000000"/>
          <w:sz w:val="22"/>
          <w:szCs w:val="22"/>
        </w:rPr>
        <w:t xml:space="preserve"> on non-U.S. registered </w:t>
      </w:r>
      <w:r w:rsidR="00C16EBE">
        <w:rPr>
          <w:rFonts w:eastAsia="Calibri"/>
          <w:color w:val="000000"/>
          <w:sz w:val="22"/>
          <w:szCs w:val="22"/>
        </w:rPr>
        <w:t xml:space="preserve">maritime </w:t>
      </w:r>
      <w:r>
        <w:rPr>
          <w:rFonts w:eastAsia="Calibri"/>
          <w:color w:val="000000"/>
          <w:sz w:val="22"/>
          <w:szCs w:val="22"/>
        </w:rPr>
        <w:t xml:space="preserve">vessels </w:t>
      </w:r>
      <w:r w:rsidR="007429BA" w:rsidRPr="007429BA">
        <w:rPr>
          <w:rFonts w:eastAsia="Calibri"/>
          <w:color w:val="000000"/>
          <w:sz w:val="22"/>
          <w:szCs w:val="22"/>
        </w:rPr>
        <w:t xml:space="preserve">in </w:t>
      </w:r>
      <w:r w:rsidR="006F7DE7">
        <w:rPr>
          <w:rFonts w:eastAsia="Calibri"/>
          <w:color w:val="000000"/>
          <w:sz w:val="22"/>
          <w:szCs w:val="22"/>
        </w:rPr>
        <w:t xml:space="preserve">the </w:t>
      </w:r>
      <w:r w:rsidR="00915954">
        <w:rPr>
          <w:rFonts w:eastAsia="Calibri"/>
          <w:color w:val="000000"/>
          <w:sz w:val="22"/>
          <w:szCs w:val="22"/>
        </w:rPr>
        <w:t xml:space="preserve">27.6-28.35 </w:t>
      </w:r>
      <w:r w:rsidR="007A26FF">
        <w:rPr>
          <w:rFonts w:eastAsia="Calibri"/>
          <w:color w:val="000000"/>
          <w:sz w:val="22"/>
          <w:szCs w:val="22"/>
        </w:rPr>
        <w:t>GHz</w:t>
      </w:r>
      <w:r w:rsidR="001A195E">
        <w:rPr>
          <w:rFonts w:eastAsia="Calibri"/>
          <w:color w:val="000000"/>
          <w:sz w:val="22"/>
          <w:szCs w:val="22"/>
        </w:rPr>
        <w:t xml:space="preserve"> (Earth-to-space</w:t>
      </w:r>
      <w:r w:rsidR="00A3603A">
        <w:rPr>
          <w:rFonts w:eastAsia="Calibri"/>
          <w:color w:val="000000"/>
          <w:sz w:val="22"/>
          <w:szCs w:val="22"/>
        </w:rPr>
        <w:t>) frequency</w:t>
      </w:r>
      <w:r w:rsidR="007429BA" w:rsidRPr="007429BA">
        <w:rPr>
          <w:rFonts w:eastAsia="Calibri"/>
          <w:color w:val="000000"/>
          <w:sz w:val="22"/>
          <w:szCs w:val="22"/>
        </w:rPr>
        <w:t xml:space="preserve"> band</w:t>
      </w:r>
      <w:r w:rsidR="0040401E">
        <w:rPr>
          <w:rFonts w:eastAsia="Calibri"/>
          <w:color w:val="000000"/>
          <w:sz w:val="22"/>
          <w:szCs w:val="22"/>
        </w:rPr>
        <w:t>, which is</w:t>
      </w:r>
      <w:r w:rsidR="007429BA" w:rsidRPr="007429BA">
        <w:rPr>
          <w:rFonts w:eastAsia="Calibri"/>
          <w:color w:val="000000"/>
          <w:sz w:val="22"/>
          <w:szCs w:val="22"/>
        </w:rPr>
        <w:t xml:space="preserve"> alloc</w:t>
      </w:r>
      <w:r w:rsidR="00915954">
        <w:rPr>
          <w:rFonts w:eastAsia="Calibri"/>
          <w:color w:val="000000"/>
          <w:sz w:val="22"/>
          <w:szCs w:val="22"/>
        </w:rPr>
        <w:t>ated</w:t>
      </w:r>
      <w:r w:rsidR="008E7A9E">
        <w:rPr>
          <w:rFonts w:eastAsia="Calibri"/>
          <w:color w:val="000000"/>
          <w:sz w:val="22"/>
          <w:szCs w:val="22"/>
        </w:rPr>
        <w:t xml:space="preserve"> in the United States</w:t>
      </w:r>
      <w:r w:rsidR="00915954">
        <w:rPr>
          <w:rFonts w:eastAsia="Calibri"/>
          <w:color w:val="000000"/>
          <w:sz w:val="22"/>
          <w:szCs w:val="22"/>
        </w:rPr>
        <w:t xml:space="preserve"> to</w:t>
      </w:r>
      <w:r w:rsidR="00D623DC">
        <w:rPr>
          <w:rFonts w:eastAsia="Calibri"/>
          <w:color w:val="000000"/>
          <w:sz w:val="22"/>
          <w:szCs w:val="22"/>
        </w:rPr>
        <w:t xml:space="preserve"> Fixed</w:t>
      </w:r>
      <w:r w:rsidR="00A9682C">
        <w:rPr>
          <w:rFonts w:eastAsia="Calibri"/>
          <w:color w:val="000000"/>
          <w:sz w:val="22"/>
          <w:szCs w:val="22"/>
        </w:rPr>
        <w:t xml:space="preserve"> Service (FS)</w:t>
      </w:r>
      <w:r w:rsidR="00D623DC">
        <w:rPr>
          <w:rFonts w:eastAsia="Calibri"/>
          <w:color w:val="000000"/>
          <w:sz w:val="22"/>
          <w:szCs w:val="22"/>
        </w:rPr>
        <w:t xml:space="preserve">, </w:t>
      </w:r>
      <w:r w:rsidR="00A9682C">
        <w:rPr>
          <w:rFonts w:eastAsia="Calibri"/>
          <w:color w:val="000000"/>
          <w:sz w:val="22"/>
          <w:szCs w:val="22"/>
        </w:rPr>
        <w:t xml:space="preserve">FSS </w:t>
      </w:r>
      <w:r w:rsidR="00D623DC">
        <w:rPr>
          <w:rFonts w:eastAsia="Calibri"/>
          <w:color w:val="000000"/>
          <w:sz w:val="22"/>
          <w:szCs w:val="22"/>
        </w:rPr>
        <w:t xml:space="preserve">(Earth-to-space), </w:t>
      </w:r>
      <w:r w:rsidR="007A2D0F">
        <w:rPr>
          <w:rFonts w:eastAsia="Calibri"/>
          <w:color w:val="000000"/>
          <w:sz w:val="22"/>
          <w:szCs w:val="22"/>
        </w:rPr>
        <w:t xml:space="preserve">and </w:t>
      </w:r>
      <w:r w:rsidR="00D623DC">
        <w:rPr>
          <w:rFonts w:eastAsia="Calibri"/>
          <w:color w:val="000000"/>
          <w:sz w:val="22"/>
          <w:szCs w:val="22"/>
        </w:rPr>
        <w:t>Mobile</w:t>
      </w:r>
      <w:r w:rsidR="00A9682C">
        <w:rPr>
          <w:rFonts w:eastAsia="Calibri"/>
          <w:color w:val="000000"/>
          <w:sz w:val="22"/>
          <w:szCs w:val="22"/>
        </w:rPr>
        <w:t xml:space="preserve"> services</w:t>
      </w:r>
      <w:r w:rsidR="003444BD">
        <w:rPr>
          <w:rFonts w:eastAsia="Calibri"/>
          <w:color w:val="000000"/>
          <w:sz w:val="22"/>
          <w:szCs w:val="22"/>
        </w:rPr>
        <w:t xml:space="preserve"> </w:t>
      </w:r>
      <w:r w:rsidR="00D623DC">
        <w:rPr>
          <w:rFonts w:eastAsia="Calibri"/>
          <w:color w:val="000000"/>
          <w:sz w:val="22"/>
          <w:szCs w:val="22"/>
        </w:rPr>
        <w:t>on a primary basis</w:t>
      </w:r>
      <w:r w:rsidR="003444BD" w:rsidRPr="003444BD">
        <w:rPr>
          <w:rFonts w:eastAsia="Calibri"/>
          <w:color w:val="000000"/>
          <w:sz w:val="22"/>
          <w:szCs w:val="22"/>
        </w:rPr>
        <w:t xml:space="preserve"> </w:t>
      </w:r>
      <w:r w:rsidR="003444BD">
        <w:rPr>
          <w:rFonts w:eastAsia="Calibri"/>
          <w:color w:val="000000"/>
          <w:sz w:val="22"/>
          <w:szCs w:val="22"/>
        </w:rPr>
        <w:t>for non-Federal use,</w:t>
      </w:r>
      <w:r w:rsidR="00E62DE0">
        <w:rPr>
          <w:rFonts w:eastAsia="Calibri"/>
          <w:color w:val="000000"/>
          <w:sz w:val="22"/>
          <w:szCs w:val="22"/>
        </w:rPr>
        <w:t xml:space="preserve"> and, </w:t>
      </w:r>
      <w:r w:rsidR="00D623DC">
        <w:rPr>
          <w:rFonts w:eastAsia="Calibri"/>
          <w:color w:val="000000"/>
          <w:sz w:val="22"/>
          <w:szCs w:val="22"/>
        </w:rPr>
        <w:t xml:space="preserve">according to the </w:t>
      </w:r>
      <w:r w:rsidR="00E62DE0">
        <w:rPr>
          <w:rFonts w:eastAsia="Calibri"/>
          <w:color w:val="000000"/>
          <w:sz w:val="22"/>
          <w:szCs w:val="22"/>
        </w:rPr>
        <w:t>Ka-band</w:t>
      </w:r>
      <w:r w:rsidR="00523561">
        <w:rPr>
          <w:rFonts w:eastAsia="Calibri"/>
          <w:color w:val="000000"/>
          <w:sz w:val="22"/>
          <w:szCs w:val="22"/>
        </w:rPr>
        <w:t xml:space="preserve"> </w:t>
      </w:r>
      <w:r w:rsidR="00E62DE0">
        <w:rPr>
          <w:rFonts w:eastAsia="Calibri"/>
          <w:color w:val="000000"/>
          <w:sz w:val="22"/>
          <w:szCs w:val="22"/>
        </w:rPr>
        <w:t xml:space="preserve">Plan, </w:t>
      </w:r>
      <w:r w:rsidR="00523561">
        <w:rPr>
          <w:rFonts w:eastAsia="Calibri"/>
          <w:color w:val="000000"/>
          <w:sz w:val="22"/>
          <w:szCs w:val="22"/>
        </w:rPr>
        <w:t>designated</w:t>
      </w:r>
      <w:r w:rsidR="007429BA" w:rsidRPr="007429BA">
        <w:rPr>
          <w:rFonts w:eastAsia="Calibri"/>
          <w:color w:val="000000"/>
          <w:sz w:val="22"/>
          <w:szCs w:val="22"/>
        </w:rPr>
        <w:t xml:space="preserve"> to </w:t>
      </w:r>
      <w:r w:rsidR="00915954">
        <w:rPr>
          <w:rFonts w:eastAsia="Calibri"/>
          <w:color w:val="000000"/>
          <w:sz w:val="22"/>
          <w:szCs w:val="22"/>
        </w:rPr>
        <w:t xml:space="preserve">Local Multipoint Distribution Systems (LMDS) </w:t>
      </w:r>
      <w:r w:rsidR="007429BA" w:rsidRPr="007429BA">
        <w:rPr>
          <w:rFonts w:eastAsia="Calibri"/>
          <w:color w:val="000000"/>
          <w:sz w:val="22"/>
          <w:szCs w:val="22"/>
        </w:rPr>
        <w:t>on a primary basis</w:t>
      </w:r>
      <w:r w:rsidR="007A26FF">
        <w:rPr>
          <w:rFonts w:eastAsia="Calibri"/>
          <w:color w:val="000000"/>
          <w:sz w:val="22"/>
          <w:szCs w:val="22"/>
        </w:rPr>
        <w:t xml:space="preserve">, and </w:t>
      </w:r>
      <w:r w:rsidR="00523561">
        <w:rPr>
          <w:rFonts w:eastAsia="Calibri"/>
          <w:color w:val="000000"/>
          <w:sz w:val="22"/>
          <w:szCs w:val="22"/>
        </w:rPr>
        <w:t xml:space="preserve">to </w:t>
      </w:r>
      <w:r w:rsidR="007A2D0F">
        <w:rPr>
          <w:rFonts w:eastAsia="Calibri"/>
          <w:color w:val="000000"/>
          <w:sz w:val="22"/>
          <w:szCs w:val="22"/>
        </w:rPr>
        <w:t>FSS</w:t>
      </w:r>
      <w:r w:rsidR="00D623DC">
        <w:rPr>
          <w:rFonts w:eastAsia="Calibri"/>
          <w:color w:val="000000"/>
          <w:sz w:val="22"/>
          <w:szCs w:val="22"/>
        </w:rPr>
        <w:t xml:space="preserve"> on a secondary basis</w:t>
      </w:r>
      <w:r w:rsidR="001A195E">
        <w:rPr>
          <w:rFonts w:eastAsia="Calibri"/>
          <w:color w:val="000000"/>
          <w:sz w:val="22"/>
          <w:szCs w:val="22"/>
        </w:rPr>
        <w:t>.</w:t>
      </w:r>
      <w:r w:rsidR="00176683">
        <w:rPr>
          <w:rStyle w:val="FootnoteReference"/>
          <w:rFonts w:eastAsia="Calibri"/>
          <w:color w:val="000000"/>
          <w:sz w:val="22"/>
          <w:szCs w:val="22"/>
        </w:rPr>
        <w:footnoteReference w:id="6"/>
      </w:r>
      <w:r w:rsidR="001A195E">
        <w:rPr>
          <w:rFonts w:eastAsia="Calibri"/>
          <w:color w:val="000000"/>
          <w:sz w:val="22"/>
          <w:szCs w:val="22"/>
        </w:rPr>
        <w:t xml:space="preserve"> </w:t>
      </w:r>
      <w:r w:rsidR="00957580">
        <w:rPr>
          <w:rFonts w:eastAsia="Calibri"/>
          <w:color w:val="000000"/>
          <w:sz w:val="22"/>
          <w:szCs w:val="22"/>
        </w:rPr>
        <w:t xml:space="preserve"> </w:t>
      </w:r>
      <w:r w:rsidR="00D11115">
        <w:rPr>
          <w:rFonts w:eastAsia="Calibri"/>
          <w:color w:val="000000"/>
          <w:sz w:val="22"/>
          <w:szCs w:val="22"/>
        </w:rPr>
        <w:t xml:space="preserve">O3b also plans to operate using the 17.8-18.3 GHz </w:t>
      </w:r>
      <w:r w:rsidR="00087EA0">
        <w:rPr>
          <w:rFonts w:eastAsia="Calibri"/>
          <w:color w:val="000000"/>
          <w:sz w:val="22"/>
          <w:szCs w:val="22"/>
        </w:rPr>
        <w:t xml:space="preserve">(space-to-Earth) frequency </w:t>
      </w:r>
      <w:r w:rsidR="00D11115">
        <w:rPr>
          <w:rFonts w:eastAsia="Calibri"/>
          <w:color w:val="000000"/>
          <w:sz w:val="22"/>
          <w:szCs w:val="22"/>
        </w:rPr>
        <w:t xml:space="preserve">band, which </w:t>
      </w:r>
      <w:r w:rsidR="0097669E">
        <w:rPr>
          <w:rFonts w:eastAsia="Calibri"/>
          <w:color w:val="000000"/>
          <w:sz w:val="22"/>
          <w:szCs w:val="22"/>
        </w:rPr>
        <w:t>is allocated in the U.S.</w:t>
      </w:r>
      <w:r w:rsidR="007C2FDF">
        <w:rPr>
          <w:rFonts w:eastAsia="Calibri"/>
          <w:color w:val="000000"/>
          <w:sz w:val="22"/>
          <w:szCs w:val="22"/>
        </w:rPr>
        <w:t xml:space="preserve"> </w:t>
      </w:r>
      <w:r w:rsidR="0097669E">
        <w:rPr>
          <w:rFonts w:eastAsia="Calibri"/>
          <w:color w:val="000000"/>
          <w:sz w:val="22"/>
          <w:szCs w:val="22"/>
        </w:rPr>
        <w:t xml:space="preserve">Table of Frequency Allocations and designated under the Ka-band Plan for </w:t>
      </w:r>
      <w:r w:rsidR="003444BD">
        <w:rPr>
          <w:rFonts w:eastAsia="Calibri"/>
          <w:color w:val="000000"/>
          <w:sz w:val="22"/>
          <w:szCs w:val="22"/>
        </w:rPr>
        <w:t xml:space="preserve">terrestrial </w:t>
      </w:r>
      <w:r w:rsidR="00BD429C">
        <w:rPr>
          <w:rFonts w:eastAsia="Calibri"/>
          <w:color w:val="000000"/>
          <w:sz w:val="22"/>
          <w:szCs w:val="22"/>
        </w:rPr>
        <w:t>FS</w:t>
      </w:r>
      <w:r w:rsidR="003444BD">
        <w:rPr>
          <w:rFonts w:eastAsia="Calibri"/>
          <w:color w:val="000000"/>
          <w:sz w:val="22"/>
          <w:szCs w:val="22"/>
        </w:rPr>
        <w:t xml:space="preserve"> on a primary basis for non-Federal use, </w:t>
      </w:r>
      <w:r w:rsidR="0097669E">
        <w:rPr>
          <w:rFonts w:eastAsia="Calibri"/>
          <w:color w:val="000000"/>
          <w:sz w:val="22"/>
          <w:szCs w:val="22"/>
        </w:rPr>
        <w:t xml:space="preserve">and </w:t>
      </w:r>
      <w:r w:rsidR="003444BD">
        <w:rPr>
          <w:rFonts w:eastAsia="Calibri"/>
          <w:color w:val="000000"/>
          <w:sz w:val="22"/>
          <w:szCs w:val="22"/>
        </w:rPr>
        <w:t>with no provision for NGSO FSS operations in this frequency band.</w:t>
      </w:r>
      <w:r w:rsidR="0097669E">
        <w:rPr>
          <w:rStyle w:val="FootnoteReference"/>
          <w:rFonts w:eastAsia="Calibri"/>
          <w:color w:val="000000"/>
          <w:sz w:val="22"/>
          <w:szCs w:val="22"/>
        </w:rPr>
        <w:footnoteReference w:id="7"/>
      </w:r>
      <w:r w:rsidR="003444BD">
        <w:rPr>
          <w:rFonts w:eastAsia="Calibri"/>
          <w:color w:val="000000"/>
          <w:sz w:val="22"/>
          <w:szCs w:val="22"/>
        </w:rPr>
        <w:t xml:space="preserve"> </w:t>
      </w:r>
      <w:r w:rsidR="00D11115">
        <w:rPr>
          <w:rFonts w:eastAsia="Calibri"/>
          <w:color w:val="000000"/>
          <w:sz w:val="22"/>
          <w:szCs w:val="22"/>
        </w:rPr>
        <w:t xml:space="preserve"> </w:t>
      </w:r>
      <w:r>
        <w:rPr>
          <w:rFonts w:eastAsia="Calibri"/>
          <w:color w:val="000000"/>
          <w:sz w:val="22"/>
          <w:szCs w:val="22"/>
        </w:rPr>
        <w:t>Because</w:t>
      </w:r>
      <w:r w:rsidR="007429BA" w:rsidRPr="007429BA">
        <w:rPr>
          <w:rFonts w:eastAsia="Calibri"/>
          <w:color w:val="000000"/>
          <w:sz w:val="22"/>
          <w:szCs w:val="22"/>
        </w:rPr>
        <w:t xml:space="preserve"> the Commission has not adopted technical rules </w:t>
      </w:r>
      <w:r w:rsidR="008E7A9E">
        <w:rPr>
          <w:rFonts w:eastAsia="Calibri"/>
          <w:color w:val="000000"/>
          <w:sz w:val="22"/>
          <w:szCs w:val="22"/>
        </w:rPr>
        <w:t xml:space="preserve">governing Ka-band operations </w:t>
      </w:r>
      <w:r w:rsidR="007429BA" w:rsidRPr="007429BA">
        <w:rPr>
          <w:rFonts w:eastAsia="Calibri"/>
          <w:color w:val="000000"/>
          <w:sz w:val="22"/>
          <w:szCs w:val="22"/>
        </w:rPr>
        <w:t>aboard maritime vessels,</w:t>
      </w:r>
      <w:r w:rsidR="007429BA" w:rsidRPr="007429BA">
        <w:rPr>
          <w:sz w:val="22"/>
          <w:szCs w:val="22"/>
          <w:vertAlign w:val="superscript"/>
        </w:rPr>
        <w:footnoteReference w:id="8"/>
      </w:r>
      <w:r w:rsidR="007429BA" w:rsidRPr="007429BA">
        <w:rPr>
          <w:sz w:val="22"/>
          <w:szCs w:val="22"/>
        </w:rPr>
        <w:t xml:space="preserve"> </w:t>
      </w:r>
      <w:r w:rsidR="007429BA" w:rsidRPr="007429BA">
        <w:rPr>
          <w:rFonts w:eastAsia="Calibri"/>
          <w:color w:val="000000"/>
          <w:sz w:val="22"/>
          <w:szCs w:val="22"/>
        </w:rPr>
        <w:t>we</w:t>
      </w:r>
      <w:r w:rsidR="007429BA" w:rsidRPr="007429BA">
        <w:rPr>
          <w:rFonts w:eastAsia="Calibri"/>
          <w:sz w:val="22"/>
          <w:szCs w:val="22"/>
        </w:rPr>
        <w:t xml:space="preserve"> view O3b’s planned </w:t>
      </w:r>
      <w:r w:rsidR="007740FD">
        <w:rPr>
          <w:rFonts w:eastAsia="Calibri"/>
          <w:sz w:val="22"/>
          <w:szCs w:val="22"/>
        </w:rPr>
        <w:t xml:space="preserve">operations </w:t>
      </w:r>
      <w:r w:rsidR="007429BA" w:rsidRPr="007429BA">
        <w:rPr>
          <w:rFonts w:eastAsia="Calibri"/>
          <w:sz w:val="22"/>
          <w:szCs w:val="22"/>
        </w:rPr>
        <w:t xml:space="preserve">as requiring a waiver </w:t>
      </w:r>
      <w:r w:rsidR="007429BA" w:rsidRPr="007429BA">
        <w:rPr>
          <w:sz w:val="22"/>
          <w:szCs w:val="22"/>
        </w:rPr>
        <w:t xml:space="preserve">of the Commission’s </w:t>
      </w:r>
      <w:r w:rsidR="00A9682C">
        <w:rPr>
          <w:sz w:val="22"/>
          <w:szCs w:val="22"/>
        </w:rPr>
        <w:t xml:space="preserve">U.S. </w:t>
      </w:r>
      <w:r w:rsidR="007429BA" w:rsidRPr="007429BA">
        <w:rPr>
          <w:sz w:val="22"/>
          <w:szCs w:val="22"/>
        </w:rPr>
        <w:t>Table of Frequency Allocations and the Ka-band Plan.</w:t>
      </w:r>
      <w:bookmarkStart w:id="8" w:name="SearchTerm"/>
      <w:r w:rsidR="008C4E39">
        <w:rPr>
          <w:rStyle w:val="FootnoteReference"/>
          <w:sz w:val="22"/>
          <w:szCs w:val="22"/>
        </w:rPr>
        <w:footnoteReference w:id="9"/>
      </w:r>
      <w:r w:rsidR="007429BA" w:rsidRPr="007429BA">
        <w:rPr>
          <w:sz w:val="22"/>
          <w:szCs w:val="22"/>
        </w:rPr>
        <w:t xml:space="preserve">  </w:t>
      </w:r>
    </w:p>
    <w:p w:rsidR="00FC38C7" w:rsidRDefault="00FC38C7" w:rsidP="007429BA">
      <w:pPr>
        <w:widowControl w:val="0"/>
        <w:spacing w:before="6"/>
        <w:rPr>
          <w:sz w:val="22"/>
          <w:szCs w:val="22"/>
        </w:rPr>
      </w:pPr>
    </w:p>
    <w:p w:rsidR="003F3B5A" w:rsidRDefault="007429BA" w:rsidP="007A26FF">
      <w:pPr>
        <w:widowControl w:val="0"/>
        <w:spacing w:before="6"/>
        <w:ind w:firstLine="720"/>
        <w:rPr>
          <w:rFonts w:eastAsia="Calibri"/>
          <w:sz w:val="22"/>
          <w:szCs w:val="22"/>
        </w:rPr>
      </w:pPr>
      <w:r w:rsidRPr="007429BA">
        <w:rPr>
          <w:sz w:val="22"/>
          <w:szCs w:val="22"/>
        </w:rPr>
        <w:t xml:space="preserve">In </w:t>
      </w:r>
      <w:r w:rsidRPr="007429BA">
        <w:rPr>
          <w:rFonts w:eastAsia="Calibri"/>
          <w:color w:val="000000"/>
          <w:sz w:val="22"/>
          <w:szCs w:val="22"/>
        </w:rPr>
        <w:t xml:space="preserve">considering requests for non-conforming spectrum uses, the Commission has indicated it would generally grant such waivers when there is little potential for interference into any service authorized under the </w:t>
      </w:r>
      <w:r w:rsidR="00CB57EC">
        <w:rPr>
          <w:rFonts w:eastAsia="Calibri"/>
          <w:color w:val="000000"/>
          <w:sz w:val="22"/>
          <w:szCs w:val="22"/>
        </w:rPr>
        <w:t xml:space="preserve">U.S. </w:t>
      </w:r>
      <w:r w:rsidRPr="007429BA">
        <w:rPr>
          <w:rFonts w:eastAsia="Calibri"/>
          <w:color w:val="000000"/>
          <w:sz w:val="22"/>
          <w:szCs w:val="22"/>
        </w:rPr>
        <w:t>Table of Frequency Allocations and when the non-conforming operator accepts any interference from authorized services.</w:t>
      </w:r>
      <w:r w:rsidRPr="007429BA">
        <w:rPr>
          <w:rFonts w:eastAsia="Calibri"/>
          <w:color w:val="000000"/>
          <w:sz w:val="22"/>
          <w:szCs w:val="22"/>
          <w:vertAlign w:val="superscript"/>
        </w:rPr>
        <w:footnoteReference w:id="10"/>
      </w:r>
      <w:bookmarkEnd w:id="8"/>
      <w:r w:rsidRPr="007429BA">
        <w:rPr>
          <w:rFonts w:eastAsia="Calibri"/>
          <w:color w:val="000000"/>
          <w:sz w:val="22"/>
          <w:szCs w:val="22"/>
        </w:rPr>
        <w:t xml:space="preserve">  O3b represents that its operations will not cause harmful int</w:t>
      </w:r>
      <w:r w:rsidR="009844F8">
        <w:rPr>
          <w:rFonts w:eastAsia="Calibri"/>
          <w:color w:val="000000"/>
          <w:sz w:val="22"/>
          <w:szCs w:val="22"/>
        </w:rPr>
        <w:t>e</w:t>
      </w:r>
      <w:r w:rsidRPr="007429BA">
        <w:rPr>
          <w:rFonts w:eastAsia="Calibri"/>
          <w:color w:val="000000"/>
          <w:sz w:val="22"/>
          <w:szCs w:val="22"/>
        </w:rPr>
        <w:t>rference to present or future users</w:t>
      </w:r>
      <w:r w:rsidR="000107A8">
        <w:rPr>
          <w:rFonts w:eastAsia="Calibri"/>
          <w:color w:val="000000"/>
          <w:sz w:val="22"/>
          <w:szCs w:val="22"/>
        </w:rPr>
        <w:t xml:space="preserve"> of these bands</w:t>
      </w:r>
      <w:r w:rsidRPr="007429BA">
        <w:rPr>
          <w:rFonts w:eastAsia="Calibri"/>
          <w:color w:val="000000"/>
          <w:sz w:val="22"/>
          <w:szCs w:val="22"/>
        </w:rPr>
        <w:t>.</w:t>
      </w:r>
      <w:r w:rsidR="00A309B3">
        <w:rPr>
          <w:rFonts w:eastAsia="Calibri"/>
          <w:color w:val="000000"/>
          <w:sz w:val="22"/>
          <w:szCs w:val="22"/>
          <w:vertAlign w:val="superscript"/>
        </w:rPr>
        <w:t xml:space="preserve"> </w:t>
      </w:r>
      <w:r w:rsidR="008312BA">
        <w:rPr>
          <w:rFonts w:eastAsia="Calibri"/>
          <w:color w:val="000000"/>
          <w:sz w:val="22"/>
          <w:szCs w:val="22"/>
          <w:vertAlign w:val="superscript"/>
        </w:rPr>
        <w:t xml:space="preserve"> </w:t>
      </w:r>
      <w:r w:rsidRPr="007429BA">
        <w:rPr>
          <w:rFonts w:eastAsia="Calibri"/>
          <w:color w:val="000000"/>
          <w:sz w:val="22"/>
          <w:szCs w:val="22"/>
        </w:rPr>
        <w:t>In particular, O3b provides an analysis that</w:t>
      </w:r>
      <w:r w:rsidRPr="007429BA">
        <w:rPr>
          <w:rFonts w:eastAsia="Calibri"/>
          <w:sz w:val="22"/>
          <w:szCs w:val="22"/>
        </w:rPr>
        <w:t xml:space="preserve"> it will not cause interference to any </w:t>
      </w:r>
      <w:r w:rsidR="007A26FF">
        <w:rPr>
          <w:rFonts w:eastAsia="Calibri"/>
          <w:sz w:val="22"/>
          <w:szCs w:val="22"/>
        </w:rPr>
        <w:t xml:space="preserve">service authorized under the </w:t>
      </w:r>
      <w:r w:rsidR="008358E7">
        <w:rPr>
          <w:rFonts w:eastAsia="Calibri"/>
          <w:sz w:val="22"/>
          <w:szCs w:val="22"/>
        </w:rPr>
        <w:t xml:space="preserve">U.S. </w:t>
      </w:r>
      <w:r w:rsidR="007A26FF">
        <w:rPr>
          <w:rFonts w:eastAsia="Calibri"/>
          <w:sz w:val="22"/>
          <w:szCs w:val="22"/>
        </w:rPr>
        <w:t>Table of Frequency Allocations, and will accept interference from services authorized by the Commission</w:t>
      </w:r>
      <w:r w:rsidR="003F3B5A">
        <w:rPr>
          <w:rFonts w:eastAsia="Calibri"/>
          <w:sz w:val="22"/>
          <w:szCs w:val="22"/>
        </w:rPr>
        <w:t>.</w:t>
      </w:r>
      <w:r w:rsidR="003F3B5A">
        <w:rPr>
          <w:rStyle w:val="FootnoteReference"/>
          <w:rFonts w:eastAsia="Calibri"/>
          <w:sz w:val="22"/>
          <w:szCs w:val="22"/>
        </w:rPr>
        <w:footnoteReference w:id="11"/>
      </w:r>
      <w:r w:rsidR="003F3B5A">
        <w:rPr>
          <w:rFonts w:eastAsia="Calibri"/>
          <w:sz w:val="22"/>
          <w:szCs w:val="22"/>
        </w:rPr>
        <w:t xml:space="preserve">  </w:t>
      </w:r>
    </w:p>
    <w:p w:rsidR="003F3B5A" w:rsidRDefault="003F3B5A" w:rsidP="007A26FF">
      <w:pPr>
        <w:widowControl w:val="0"/>
        <w:spacing w:before="6"/>
        <w:ind w:firstLine="720"/>
        <w:rPr>
          <w:rFonts w:eastAsia="Calibri"/>
          <w:sz w:val="22"/>
          <w:szCs w:val="22"/>
        </w:rPr>
      </w:pPr>
    </w:p>
    <w:p w:rsidR="007429BA" w:rsidRPr="007429BA" w:rsidRDefault="00FC508D" w:rsidP="007A26FF">
      <w:pPr>
        <w:widowControl w:val="0"/>
        <w:spacing w:before="6"/>
        <w:ind w:firstLine="720"/>
        <w:rPr>
          <w:rFonts w:eastAsia="Calibri"/>
          <w:color w:val="000000"/>
          <w:sz w:val="22"/>
          <w:szCs w:val="22"/>
        </w:rPr>
      </w:pPr>
      <w:r>
        <w:rPr>
          <w:rFonts w:eastAsia="Calibri"/>
          <w:sz w:val="22"/>
          <w:szCs w:val="22"/>
        </w:rPr>
        <w:t>O3b states that it can operate it</w:t>
      </w:r>
      <w:r w:rsidR="005A5D87">
        <w:rPr>
          <w:rFonts w:eastAsia="Calibri"/>
          <w:sz w:val="22"/>
          <w:szCs w:val="22"/>
        </w:rPr>
        <w:t>s</w:t>
      </w:r>
      <w:r>
        <w:rPr>
          <w:rFonts w:eastAsia="Calibri"/>
          <w:sz w:val="22"/>
          <w:szCs w:val="22"/>
        </w:rPr>
        <w:t xml:space="preserve"> maritime earth stations without causing interference to LMDS licensees, and that no objections were received in response to </w:t>
      </w:r>
      <w:r w:rsidR="00407DE6">
        <w:rPr>
          <w:rFonts w:eastAsia="Calibri"/>
          <w:sz w:val="22"/>
          <w:szCs w:val="22"/>
        </w:rPr>
        <w:t xml:space="preserve">the </w:t>
      </w:r>
      <w:r>
        <w:rPr>
          <w:rFonts w:eastAsia="Calibri"/>
          <w:sz w:val="22"/>
          <w:szCs w:val="22"/>
        </w:rPr>
        <w:t xml:space="preserve">coordination notice </w:t>
      </w:r>
      <w:r w:rsidR="00407DE6">
        <w:rPr>
          <w:rFonts w:eastAsia="Calibri"/>
          <w:sz w:val="22"/>
          <w:szCs w:val="22"/>
        </w:rPr>
        <w:t xml:space="preserve">it </w:t>
      </w:r>
      <w:r>
        <w:rPr>
          <w:rFonts w:eastAsia="Calibri"/>
          <w:sz w:val="22"/>
          <w:szCs w:val="22"/>
        </w:rPr>
        <w:t>sent to all existing and proposed terrestrial licensees in the 27.6-28.35 GHz band within applicable coordination distances.</w:t>
      </w:r>
      <w:r>
        <w:rPr>
          <w:rStyle w:val="FootnoteReference"/>
          <w:rFonts w:eastAsia="Calibri"/>
          <w:sz w:val="22"/>
          <w:szCs w:val="22"/>
        </w:rPr>
        <w:footnoteReference w:id="12"/>
      </w:r>
      <w:r w:rsidR="003818D4">
        <w:rPr>
          <w:rFonts w:eastAsia="Calibri"/>
          <w:sz w:val="22"/>
          <w:szCs w:val="22"/>
        </w:rPr>
        <w:t xml:space="preserve"> </w:t>
      </w:r>
      <w:r w:rsidR="00407DE6" w:rsidRPr="00864B45">
        <w:rPr>
          <w:sz w:val="22"/>
          <w:szCs w:val="22"/>
        </w:rPr>
        <w:t>O3b also states that it will not operate its maritime earth stations with an elevation angle of less than 10</w:t>
      </w:r>
      <w:r w:rsidR="00407DE6" w:rsidRPr="00864B45">
        <w:t xml:space="preserve"> </w:t>
      </w:r>
      <w:r w:rsidR="00407DE6" w:rsidRPr="00864B45">
        <w:rPr>
          <w:sz w:val="22"/>
          <w:szCs w:val="22"/>
        </w:rPr>
        <w:t>degrees.</w:t>
      </w:r>
      <w:r w:rsidR="00726CCC">
        <w:rPr>
          <w:rStyle w:val="FootnoteReference"/>
          <w:sz w:val="22"/>
          <w:szCs w:val="22"/>
        </w:rPr>
        <w:footnoteReference w:id="13"/>
      </w:r>
      <w:r w:rsidR="00DB6F40">
        <w:t xml:space="preserve"> </w:t>
      </w:r>
      <w:r w:rsidR="003818D4" w:rsidRPr="00864B45">
        <w:rPr>
          <w:rFonts w:eastAsia="Calibri"/>
          <w:sz w:val="22"/>
          <w:szCs w:val="22"/>
        </w:rPr>
        <w:t xml:space="preserve"> </w:t>
      </w:r>
      <w:r w:rsidR="006D6848">
        <w:rPr>
          <w:rFonts w:eastAsia="Calibri"/>
          <w:sz w:val="22"/>
          <w:szCs w:val="22"/>
        </w:rPr>
        <w:t>Similarly</w:t>
      </w:r>
      <w:r w:rsidR="003818D4">
        <w:rPr>
          <w:rFonts w:eastAsia="Calibri"/>
          <w:sz w:val="22"/>
          <w:szCs w:val="22"/>
        </w:rPr>
        <w:t>, O3b states that its use of the 17.</w:t>
      </w:r>
      <w:r w:rsidR="005F5F83">
        <w:rPr>
          <w:rFonts w:eastAsia="Calibri"/>
          <w:sz w:val="22"/>
          <w:szCs w:val="22"/>
        </w:rPr>
        <w:t>8</w:t>
      </w:r>
      <w:r w:rsidR="003818D4">
        <w:rPr>
          <w:rFonts w:eastAsia="Calibri"/>
          <w:sz w:val="22"/>
          <w:szCs w:val="22"/>
        </w:rPr>
        <w:t>-18.3 GHz band will not cause harmful interference to FS operations in this band because it will comply with all applicable FCC and I</w:t>
      </w:r>
      <w:r w:rsidR="007A2D0F">
        <w:rPr>
          <w:rFonts w:eastAsia="Calibri"/>
          <w:sz w:val="22"/>
          <w:szCs w:val="22"/>
        </w:rPr>
        <w:t xml:space="preserve">TU </w:t>
      </w:r>
      <w:r w:rsidR="003818D4">
        <w:rPr>
          <w:rFonts w:eastAsia="Calibri"/>
          <w:sz w:val="22"/>
          <w:szCs w:val="22"/>
        </w:rPr>
        <w:t>downlink power flux density limits.</w:t>
      </w:r>
      <w:r w:rsidR="003818D4">
        <w:rPr>
          <w:rStyle w:val="FootnoteReference"/>
          <w:rFonts w:eastAsia="Calibri"/>
          <w:sz w:val="22"/>
          <w:szCs w:val="22"/>
        </w:rPr>
        <w:footnoteReference w:id="14"/>
      </w:r>
      <w:r w:rsidR="007A2D0F">
        <w:rPr>
          <w:rFonts w:eastAsia="Calibri"/>
          <w:sz w:val="22"/>
          <w:szCs w:val="22"/>
        </w:rPr>
        <w:t xml:space="preserve">  </w:t>
      </w:r>
      <w:r w:rsidR="000107A8">
        <w:rPr>
          <w:rFonts w:eastAsia="Calibri"/>
          <w:sz w:val="22"/>
          <w:szCs w:val="22"/>
        </w:rPr>
        <w:t>O3b also demonstrated that the operations addressed in the waiver will provide the requisite level of protection for GSO FSS systems.</w:t>
      </w:r>
      <w:r w:rsidR="00551DF2">
        <w:rPr>
          <w:rStyle w:val="FootnoteReference"/>
          <w:rFonts w:eastAsia="Calibri"/>
          <w:sz w:val="22"/>
          <w:szCs w:val="22"/>
        </w:rPr>
        <w:footnoteReference w:id="15"/>
      </w:r>
      <w:r w:rsidR="000107A8">
        <w:rPr>
          <w:rFonts w:eastAsia="Calibri"/>
          <w:sz w:val="22"/>
          <w:szCs w:val="22"/>
        </w:rPr>
        <w:t xml:space="preserve">  </w:t>
      </w:r>
      <w:r w:rsidR="00551DF2">
        <w:rPr>
          <w:rFonts w:eastAsia="Calibri"/>
          <w:sz w:val="22"/>
          <w:szCs w:val="22"/>
        </w:rPr>
        <w:t xml:space="preserve">O3b’s waiver request was placed on public notice on </w:t>
      </w:r>
      <w:r w:rsidR="003818D4">
        <w:rPr>
          <w:rFonts w:eastAsia="Calibri"/>
          <w:sz w:val="22"/>
          <w:szCs w:val="22"/>
        </w:rPr>
        <w:t>April 1, 2015</w:t>
      </w:r>
      <w:r w:rsidR="00777805">
        <w:rPr>
          <w:rFonts w:eastAsia="Calibri"/>
          <w:sz w:val="22"/>
          <w:szCs w:val="22"/>
        </w:rPr>
        <w:t>.</w:t>
      </w:r>
      <w:r w:rsidR="00551DF2">
        <w:rPr>
          <w:rStyle w:val="FootnoteReference"/>
          <w:rFonts w:eastAsia="Calibri"/>
          <w:sz w:val="22"/>
          <w:szCs w:val="22"/>
        </w:rPr>
        <w:footnoteReference w:id="16"/>
      </w:r>
      <w:r w:rsidR="00551DF2">
        <w:rPr>
          <w:rFonts w:eastAsia="Calibri"/>
          <w:sz w:val="22"/>
          <w:szCs w:val="22"/>
        </w:rPr>
        <w:t xml:space="preserve">  </w:t>
      </w:r>
      <w:r w:rsidR="00091F07" w:rsidRPr="00D80C32">
        <w:rPr>
          <w:rFonts w:eastAsia="Calibri"/>
          <w:sz w:val="22"/>
          <w:szCs w:val="22"/>
        </w:rPr>
        <w:t xml:space="preserve">No </w:t>
      </w:r>
      <w:r w:rsidR="00551DF2" w:rsidRPr="00D80C32">
        <w:rPr>
          <w:rFonts w:eastAsia="Calibri"/>
          <w:sz w:val="22"/>
          <w:szCs w:val="22"/>
        </w:rPr>
        <w:t>comments or other pleadings have been filed</w:t>
      </w:r>
      <w:r w:rsidR="00551DF2">
        <w:rPr>
          <w:rFonts w:eastAsia="Calibri"/>
          <w:sz w:val="22"/>
          <w:szCs w:val="22"/>
        </w:rPr>
        <w:t>.</w:t>
      </w:r>
      <w:r w:rsidR="00091F07">
        <w:rPr>
          <w:rFonts w:eastAsia="Calibri"/>
          <w:sz w:val="22"/>
          <w:szCs w:val="22"/>
        </w:rPr>
        <w:t xml:space="preserve">  </w:t>
      </w:r>
      <w:r w:rsidR="007429BA" w:rsidRPr="007429BA">
        <w:rPr>
          <w:rFonts w:eastAsia="Calibri"/>
          <w:color w:val="000000"/>
          <w:sz w:val="22"/>
          <w:szCs w:val="22"/>
        </w:rPr>
        <w:t xml:space="preserve">Based on </w:t>
      </w:r>
      <w:r w:rsidR="00331676">
        <w:rPr>
          <w:rFonts w:eastAsia="Calibri"/>
          <w:color w:val="000000"/>
          <w:sz w:val="22"/>
          <w:szCs w:val="22"/>
        </w:rPr>
        <w:t>O3b’s</w:t>
      </w:r>
      <w:r w:rsidR="007429BA" w:rsidRPr="007429BA">
        <w:rPr>
          <w:rFonts w:eastAsia="Calibri"/>
          <w:color w:val="000000"/>
          <w:sz w:val="22"/>
          <w:szCs w:val="22"/>
        </w:rPr>
        <w:t xml:space="preserve"> information on file with the Commission, the</w:t>
      </w:r>
      <w:r w:rsidR="00A309B3">
        <w:rPr>
          <w:rFonts w:eastAsia="Calibri"/>
          <w:color w:val="000000"/>
          <w:sz w:val="22"/>
          <w:szCs w:val="22"/>
        </w:rPr>
        <w:t xml:space="preserve"> proposed operations </w:t>
      </w:r>
      <w:r w:rsidR="007429BA" w:rsidRPr="007429BA">
        <w:rPr>
          <w:rFonts w:eastAsia="Calibri"/>
          <w:color w:val="000000"/>
          <w:sz w:val="22"/>
          <w:szCs w:val="22"/>
        </w:rPr>
        <w:t>do not pose a risk of interference to other users of the band.</w:t>
      </w:r>
      <w:r w:rsidR="00604F75">
        <w:rPr>
          <w:rStyle w:val="FootnoteReference"/>
          <w:rFonts w:eastAsia="Calibri"/>
          <w:color w:val="000000"/>
          <w:sz w:val="22"/>
          <w:szCs w:val="22"/>
        </w:rPr>
        <w:footnoteReference w:id="17"/>
      </w:r>
      <w:r w:rsidR="007429BA" w:rsidRPr="007429BA">
        <w:rPr>
          <w:rFonts w:eastAsia="Calibri"/>
          <w:color w:val="000000"/>
          <w:sz w:val="22"/>
          <w:szCs w:val="22"/>
        </w:rPr>
        <w:t xml:space="preserve">  </w:t>
      </w:r>
      <w:r w:rsidR="00407DE6">
        <w:rPr>
          <w:rFonts w:eastAsia="Calibri"/>
          <w:color w:val="000000"/>
          <w:sz w:val="22"/>
          <w:szCs w:val="22"/>
        </w:rPr>
        <w:t xml:space="preserve">Accordingly, </w:t>
      </w:r>
      <w:r w:rsidR="007C46F1">
        <w:rPr>
          <w:rFonts w:eastAsia="Calibri"/>
          <w:color w:val="000000"/>
          <w:sz w:val="22"/>
          <w:szCs w:val="22"/>
        </w:rPr>
        <w:t>we grant O3b’s waiver request</w:t>
      </w:r>
      <w:r w:rsidR="007429BA" w:rsidRPr="007429BA">
        <w:rPr>
          <w:rFonts w:eastAsia="Calibri"/>
          <w:color w:val="000000"/>
          <w:sz w:val="22"/>
          <w:szCs w:val="22"/>
        </w:rPr>
        <w:t xml:space="preserve"> conditioned on operations on an unprotected, non-interference basis in the</w:t>
      </w:r>
      <w:r w:rsidR="002B6FCC">
        <w:rPr>
          <w:rFonts w:eastAsia="Calibri"/>
          <w:color w:val="000000"/>
          <w:sz w:val="22"/>
          <w:szCs w:val="22"/>
        </w:rPr>
        <w:t xml:space="preserve"> </w:t>
      </w:r>
      <w:r w:rsidR="00B667DE">
        <w:rPr>
          <w:rFonts w:eastAsia="Calibri"/>
          <w:color w:val="000000"/>
          <w:sz w:val="22"/>
          <w:szCs w:val="22"/>
        </w:rPr>
        <w:t xml:space="preserve">27.6-28.35 GHz </w:t>
      </w:r>
      <w:r w:rsidR="002B6FCC">
        <w:rPr>
          <w:sz w:val="22"/>
          <w:szCs w:val="22"/>
        </w:rPr>
        <w:t xml:space="preserve">(Earth-to-space) and </w:t>
      </w:r>
      <w:r w:rsidR="00B667DE">
        <w:rPr>
          <w:sz w:val="22"/>
          <w:szCs w:val="22"/>
        </w:rPr>
        <w:t xml:space="preserve">17.8-18.3 GHz </w:t>
      </w:r>
      <w:r w:rsidR="002B6FCC">
        <w:rPr>
          <w:sz w:val="22"/>
          <w:szCs w:val="22"/>
        </w:rPr>
        <w:t>(space-to-Earth) frequency</w:t>
      </w:r>
      <w:r w:rsidR="007429BA" w:rsidRPr="007429BA">
        <w:rPr>
          <w:rFonts w:eastAsia="Calibri"/>
          <w:color w:val="000000"/>
          <w:sz w:val="22"/>
          <w:szCs w:val="22"/>
        </w:rPr>
        <w:t xml:space="preserve"> bands.</w:t>
      </w:r>
      <w:r w:rsidR="005071A7">
        <w:rPr>
          <w:rFonts w:eastAsia="Calibri"/>
          <w:color w:val="000000"/>
          <w:sz w:val="22"/>
          <w:szCs w:val="22"/>
        </w:rPr>
        <w:t xml:space="preserve">  </w:t>
      </w:r>
      <w:r w:rsidR="007429BA" w:rsidRPr="007429BA">
        <w:rPr>
          <w:rFonts w:eastAsia="Calibri"/>
          <w:color w:val="000000"/>
          <w:sz w:val="22"/>
          <w:szCs w:val="22"/>
        </w:rPr>
        <w:t>O3b’s operations</w:t>
      </w:r>
      <w:r w:rsidR="00191807">
        <w:rPr>
          <w:rFonts w:eastAsia="Calibri"/>
          <w:color w:val="000000"/>
          <w:sz w:val="22"/>
          <w:szCs w:val="22"/>
        </w:rPr>
        <w:t xml:space="preserve"> on non-U.S. registered maritime vessels</w:t>
      </w:r>
      <w:r w:rsidR="007429BA" w:rsidRPr="007429BA">
        <w:rPr>
          <w:rFonts w:eastAsia="Calibri"/>
          <w:color w:val="000000"/>
          <w:sz w:val="22"/>
          <w:szCs w:val="22"/>
        </w:rPr>
        <w:t xml:space="preserve"> must accept interference from any authorized users in these bands and may not cause harmful interference to any authorized user in these bands.  </w:t>
      </w:r>
    </w:p>
    <w:p w:rsidR="007429BA" w:rsidRDefault="007429BA" w:rsidP="007429BA">
      <w:pPr>
        <w:widowControl w:val="0"/>
        <w:spacing w:before="6"/>
        <w:rPr>
          <w:rFonts w:eastAsia="Calibri"/>
          <w:color w:val="000000"/>
          <w:sz w:val="22"/>
          <w:szCs w:val="22"/>
        </w:rPr>
      </w:pPr>
    </w:p>
    <w:p w:rsidR="00407DE6" w:rsidRDefault="00407DE6" w:rsidP="007429BA">
      <w:pPr>
        <w:widowControl w:val="0"/>
        <w:spacing w:before="6"/>
        <w:rPr>
          <w:rFonts w:eastAsia="Calibri"/>
          <w:color w:val="000000"/>
          <w:sz w:val="22"/>
          <w:szCs w:val="22"/>
        </w:rPr>
      </w:pPr>
    </w:p>
    <w:p w:rsidR="007429BA" w:rsidRPr="007429BA" w:rsidRDefault="007429BA" w:rsidP="007429BA">
      <w:pPr>
        <w:widowControl w:val="0"/>
        <w:spacing w:before="6"/>
        <w:rPr>
          <w:rFonts w:eastAsia="Calibri"/>
          <w:color w:val="000000"/>
          <w:sz w:val="22"/>
          <w:szCs w:val="22"/>
        </w:rPr>
      </w:pPr>
    </w:p>
    <w:p w:rsidR="007429BA" w:rsidRPr="007429BA" w:rsidRDefault="007429BA" w:rsidP="007429BA">
      <w:pPr>
        <w:widowControl w:val="0"/>
        <w:spacing w:before="6"/>
        <w:rPr>
          <w:rFonts w:eastAsia="Calibri"/>
          <w:color w:val="000000"/>
          <w:sz w:val="22"/>
          <w:szCs w:val="22"/>
        </w:rPr>
      </w:pP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color w:val="000000"/>
          <w:sz w:val="22"/>
          <w:szCs w:val="22"/>
        </w:rPr>
        <w:tab/>
      </w:r>
      <w:r w:rsidRPr="007429BA">
        <w:rPr>
          <w:rFonts w:eastAsia="Calibri"/>
          <w:sz w:val="22"/>
          <w:szCs w:val="22"/>
        </w:rPr>
        <w:t>Sincerely,</w:t>
      </w:r>
    </w:p>
    <w:p w:rsidR="007429BA" w:rsidRPr="007429BA" w:rsidRDefault="007429BA" w:rsidP="007429BA">
      <w:pPr>
        <w:widowControl w:val="0"/>
        <w:spacing w:before="6"/>
        <w:ind w:firstLine="720"/>
        <w:jc w:val="center"/>
        <w:rPr>
          <w:rFonts w:eastAsia="Calibri"/>
          <w:sz w:val="22"/>
          <w:szCs w:val="22"/>
        </w:rPr>
      </w:pPr>
    </w:p>
    <w:p w:rsidR="007429BA" w:rsidRPr="007429BA" w:rsidRDefault="007429BA" w:rsidP="007429BA">
      <w:pPr>
        <w:widowControl w:val="0"/>
        <w:spacing w:before="6"/>
        <w:ind w:firstLine="720"/>
        <w:jc w:val="center"/>
        <w:rPr>
          <w:rFonts w:eastAsia="Calibri"/>
          <w:sz w:val="22"/>
          <w:szCs w:val="22"/>
        </w:rPr>
      </w:pPr>
    </w:p>
    <w:p w:rsidR="007429BA" w:rsidRPr="007429BA" w:rsidRDefault="007429BA" w:rsidP="007429BA">
      <w:pPr>
        <w:widowControl w:val="0"/>
        <w:spacing w:before="6"/>
        <w:jc w:val="center"/>
        <w:rPr>
          <w:rFonts w:eastAsia="Calibri"/>
          <w:sz w:val="22"/>
          <w:szCs w:val="22"/>
        </w:rPr>
      </w:pPr>
    </w:p>
    <w:p w:rsidR="007429BA" w:rsidRPr="007429BA" w:rsidRDefault="007429BA" w:rsidP="007429BA">
      <w:pPr>
        <w:widowControl w:val="0"/>
        <w:spacing w:before="6"/>
        <w:jc w:val="both"/>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 xml:space="preserve">Jose </w:t>
      </w:r>
      <w:r w:rsidR="00F45544">
        <w:rPr>
          <w:rFonts w:eastAsia="Calibri"/>
          <w:sz w:val="22"/>
          <w:szCs w:val="22"/>
        </w:rPr>
        <w:t xml:space="preserve">P. </w:t>
      </w:r>
      <w:r w:rsidRPr="007429BA">
        <w:rPr>
          <w:rFonts w:eastAsia="Calibri"/>
          <w:sz w:val="22"/>
          <w:szCs w:val="22"/>
        </w:rPr>
        <w:t>Albuquerque</w:t>
      </w:r>
    </w:p>
    <w:p w:rsidR="007429BA" w:rsidRPr="007429BA" w:rsidRDefault="007429BA" w:rsidP="007429BA">
      <w:pPr>
        <w:widowControl w:val="0"/>
        <w:spacing w:before="6"/>
        <w:jc w:val="both"/>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Chief, Satellite Division</w:t>
      </w:r>
    </w:p>
    <w:p w:rsidR="007429BA" w:rsidRPr="007429BA" w:rsidRDefault="007429BA" w:rsidP="007429BA">
      <w:pPr>
        <w:widowControl w:val="0"/>
        <w:spacing w:before="6"/>
        <w:jc w:val="both"/>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International Bureau</w:t>
      </w:r>
      <w:r w:rsidRPr="007429BA">
        <w:rPr>
          <w:rFonts w:eastAsia="Calibri"/>
          <w:sz w:val="22"/>
          <w:szCs w:val="22"/>
        </w:rPr>
        <w:tab/>
      </w:r>
    </w:p>
    <w:p w:rsidR="007429BA" w:rsidRPr="007429BA" w:rsidRDefault="007429BA" w:rsidP="007429BA">
      <w:pPr>
        <w:widowControl w:val="0"/>
        <w:spacing w:before="6"/>
        <w:rPr>
          <w:rFonts w:eastAsia="Calibri"/>
          <w:sz w:val="22"/>
          <w:szCs w:val="22"/>
        </w:rPr>
      </w:pP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Mark Settle</w:t>
      </w:r>
    </w:p>
    <w:p w:rsidR="007429BA" w:rsidRPr="007429BA" w:rsidRDefault="007429BA" w:rsidP="007429BA">
      <w:pPr>
        <w:widowControl w:val="0"/>
        <w:spacing w:before="6"/>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Chief, Policy and Rules Division</w:t>
      </w:r>
    </w:p>
    <w:p w:rsidR="00204CE3" w:rsidRDefault="007429BA" w:rsidP="007429BA">
      <w:pPr>
        <w:rPr>
          <w:rFonts w:eastAsia="Calibri"/>
          <w:sz w:val="22"/>
          <w:szCs w:val="22"/>
        </w:rPr>
      </w:pP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r>
      <w:r w:rsidRPr="007429BA">
        <w:rPr>
          <w:rFonts w:eastAsia="Calibri"/>
          <w:sz w:val="22"/>
          <w:szCs w:val="22"/>
        </w:rPr>
        <w:tab/>
        <w:t xml:space="preserve">Office of Engineering and </w:t>
      </w:r>
      <w:r w:rsidR="00B853CB" w:rsidRPr="007429BA">
        <w:rPr>
          <w:rFonts w:eastAsia="Calibri"/>
          <w:sz w:val="22"/>
          <w:szCs w:val="22"/>
        </w:rPr>
        <w:t>Technology</w:t>
      </w:r>
    </w:p>
    <w:p w:rsidR="00594B72" w:rsidRDefault="00594B72" w:rsidP="007429BA">
      <w:pPr>
        <w:rPr>
          <w:rFonts w:eastAsia="Calibri"/>
          <w:sz w:val="22"/>
          <w:szCs w:val="22"/>
        </w:rPr>
      </w:pPr>
    </w:p>
    <w:p w:rsidR="00594B72" w:rsidRDefault="00594B72" w:rsidP="007429BA">
      <w:pPr>
        <w:rPr>
          <w:rFonts w:eastAsia="Calibri"/>
          <w:sz w:val="22"/>
          <w:szCs w:val="22"/>
        </w:rPr>
      </w:pPr>
    </w:p>
    <w:p w:rsidR="00594B72" w:rsidRPr="00204CE3" w:rsidRDefault="00594B72" w:rsidP="007429BA">
      <w:pPr>
        <w:rPr>
          <w:sz w:val="22"/>
          <w:szCs w:val="22"/>
        </w:rPr>
      </w:pPr>
    </w:p>
    <w:sectPr w:rsidR="00594B72" w:rsidRPr="00204CE3" w:rsidSect="00D2400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23FD" w:rsidRDefault="00DD23FD">
      <w:r>
        <w:separator/>
      </w:r>
    </w:p>
  </w:endnote>
  <w:endnote w:type="continuationSeparator" w:id="0">
    <w:p w:rsidR="00DD23FD" w:rsidRDefault="00DD23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5" w:rsidRDefault="00973BF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0926216"/>
      <w:docPartObj>
        <w:docPartGallery w:val="Page Numbers (Bottom of Page)"/>
        <w:docPartUnique/>
      </w:docPartObj>
    </w:sdtPr>
    <w:sdtEndPr>
      <w:rPr>
        <w:noProof/>
      </w:rPr>
    </w:sdtEndPr>
    <w:sdtContent>
      <w:p w:rsidR="009F4E3E" w:rsidRDefault="009F4E3E">
        <w:pPr>
          <w:pStyle w:val="Footer"/>
          <w:jc w:val="center"/>
        </w:pPr>
        <w:r>
          <w:fldChar w:fldCharType="begin"/>
        </w:r>
        <w:r>
          <w:instrText xml:space="preserve"> PAGE   \* MERGEFORMAT </w:instrText>
        </w:r>
        <w:r>
          <w:fldChar w:fldCharType="separate"/>
        </w:r>
        <w:r w:rsidR="00745AD5">
          <w:rPr>
            <w:noProof/>
          </w:rPr>
          <w:t>2</w:t>
        </w:r>
        <w:r>
          <w:rPr>
            <w:noProof/>
          </w:rPr>
          <w:fldChar w:fldCharType="end"/>
        </w:r>
      </w:p>
    </w:sdtContent>
  </w:sdt>
  <w:p w:rsidR="009F4E3E" w:rsidRDefault="009F4E3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5569066"/>
      <w:docPartObj>
        <w:docPartGallery w:val="Page Numbers (Bottom of Page)"/>
        <w:docPartUnique/>
      </w:docPartObj>
    </w:sdtPr>
    <w:sdtEndPr>
      <w:rPr>
        <w:noProof/>
      </w:rPr>
    </w:sdtEndPr>
    <w:sdtContent>
      <w:p w:rsidR="009F4E3E" w:rsidRDefault="00745AD5">
        <w:pPr>
          <w:pStyle w:val="Footer"/>
          <w:jc w:val="center"/>
        </w:pPr>
      </w:p>
    </w:sdtContent>
  </w:sdt>
  <w:p w:rsidR="009F4E3E" w:rsidRDefault="009F4E3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23FD" w:rsidRDefault="00DD23FD">
      <w:r>
        <w:separator/>
      </w:r>
    </w:p>
  </w:footnote>
  <w:footnote w:type="continuationSeparator" w:id="0">
    <w:p w:rsidR="00DD23FD" w:rsidRDefault="00DD23FD">
      <w:r>
        <w:t>___________________________</w:t>
      </w:r>
    </w:p>
  </w:footnote>
  <w:footnote w:id="1">
    <w:p w:rsidR="009F4E3E"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The Commission issued a series</w:t>
      </w:r>
      <w:r w:rsidR="00DF16B4">
        <w:rPr>
          <w:rFonts w:ascii="Times New Roman" w:hAnsi="Times New Roman"/>
        </w:rPr>
        <w:t xml:space="preserve"> </w:t>
      </w:r>
      <w:r w:rsidRPr="00C609BD">
        <w:rPr>
          <w:rFonts w:ascii="Times New Roman" w:hAnsi="Times New Roman"/>
        </w:rPr>
        <w:t>of related Orders in CC Docket No. 92-297</w:t>
      </w:r>
      <w:r w:rsidR="00474A14">
        <w:rPr>
          <w:rFonts w:ascii="Times New Roman" w:hAnsi="Times New Roman"/>
        </w:rPr>
        <w:t xml:space="preserve"> and IB Docket No. 98-172 establishing a designation plan </w:t>
      </w:r>
      <w:r w:rsidRPr="00C609BD">
        <w:rPr>
          <w:rFonts w:ascii="Times New Roman" w:hAnsi="Times New Roman"/>
        </w:rPr>
        <w:t xml:space="preserve">for use of the Ka-band by non-Federal users.  </w:t>
      </w:r>
      <w:r w:rsidRPr="00C609BD">
        <w:rPr>
          <w:rFonts w:ascii="Times New Roman" w:hAnsi="Times New Roman"/>
          <w:color w:val="000000"/>
        </w:rPr>
        <w:t xml:space="preserve">Rulemaking to Amend Parts 1, 2, 21, and 25 of the Commission's Rules to Redesignate the 27.5-29.5 GHz Frequency Band, to Reallocate the 29.5-30.0 GHz Frequency Band, to Establish Rules and Policies for Local Multipoint Distribution Service and for Fixed Satellite Services, </w:t>
      </w:r>
      <w:r w:rsidRPr="00C609BD">
        <w:rPr>
          <w:rFonts w:ascii="Times New Roman" w:hAnsi="Times New Roman"/>
          <w:i/>
          <w:iCs/>
          <w:color w:val="000000"/>
        </w:rPr>
        <w:t xml:space="preserve">First Report and Order and Fourth Notice of Proposed </w:t>
      </w:r>
      <w:r w:rsidRPr="00C609BD">
        <w:rPr>
          <w:rFonts w:ascii="Times New Roman" w:hAnsi="Times New Roman"/>
          <w:i/>
          <w:color w:val="000000"/>
        </w:rPr>
        <w:t>Rulemaking</w:t>
      </w:r>
      <w:r w:rsidRPr="00C609BD">
        <w:rPr>
          <w:rFonts w:ascii="Times New Roman" w:hAnsi="Times New Roman"/>
          <w:color w:val="000000"/>
        </w:rPr>
        <w:t>, 11 FCC Rcd 19005 (1996) (</w:t>
      </w:r>
      <w:bookmarkStart w:id="1" w:name="SR;21101"/>
      <w:bookmarkStart w:id="2" w:name="SR;21102"/>
      <w:bookmarkStart w:id="3" w:name="SR;21103"/>
      <w:bookmarkEnd w:id="1"/>
      <w:bookmarkEnd w:id="2"/>
      <w:bookmarkEnd w:id="3"/>
      <w:r w:rsidRPr="00C609BD">
        <w:rPr>
          <w:rFonts w:ascii="Times New Roman" w:hAnsi="Times New Roman"/>
          <w:i/>
          <w:color w:val="000000"/>
        </w:rPr>
        <w:t>Ka-band Report and Order</w:t>
      </w:r>
      <w:r w:rsidRPr="00C609BD">
        <w:rPr>
          <w:rFonts w:ascii="Times New Roman" w:hAnsi="Times New Roman"/>
          <w:color w:val="000000"/>
        </w:rPr>
        <w:t>),</w:t>
      </w:r>
      <w:bookmarkStart w:id="4" w:name="SR;38396"/>
      <w:bookmarkEnd w:id="4"/>
      <w:r w:rsidRPr="00C609BD">
        <w:rPr>
          <w:rFonts w:ascii="Times New Roman" w:hAnsi="Times New Roman"/>
          <w:color w:val="000000"/>
        </w:rPr>
        <w:t xml:space="preserve"> modified by</w:t>
      </w:r>
      <w:r w:rsidRPr="00C609BD">
        <w:rPr>
          <w:rFonts w:ascii="Times New Roman" w:hAnsi="Times New Roman"/>
        </w:rPr>
        <w:t xml:space="preserve"> </w:t>
      </w:r>
      <w:r w:rsidRPr="00C609BD">
        <w:rPr>
          <w:rFonts w:ascii="Times New Roman" w:hAnsi="Times New Roman"/>
          <w:i/>
          <w:color w:val="000000"/>
        </w:rPr>
        <w:t>Third Report and Order</w:t>
      </w:r>
      <w:r w:rsidRPr="00C609BD">
        <w:rPr>
          <w:rFonts w:ascii="Times New Roman" w:hAnsi="Times New Roman"/>
          <w:color w:val="000000"/>
        </w:rPr>
        <w:t>, 12 FCC Rcd 22310 (1997)</w:t>
      </w:r>
      <w:r w:rsidR="00474A14">
        <w:rPr>
          <w:rFonts w:ascii="Times New Roman" w:hAnsi="Times New Roman"/>
          <w:color w:val="000000"/>
        </w:rPr>
        <w:t xml:space="preserve">; </w:t>
      </w:r>
      <w:r w:rsidR="00870400">
        <w:rPr>
          <w:rFonts w:ascii="Times New Roman" w:hAnsi="Times New Roman"/>
          <w:color w:val="000000"/>
        </w:rPr>
        <w:t xml:space="preserve">Redesignation of the 17.7-19.7 GHz Frequency Band, Blanket Licensing of Satellite Earth Stations in the 17.7-20.2 GHz and 27.5-30.0 GHz Frequency Bands, and the Allocation of Additional Spectrum in the 17.3-17.8 GHz and 24.75-25.25 GHz Frequency Bands for Broadcast Satellite Service Use, </w:t>
      </w:r>
      <w:r w:rsidR="00870400" w:rsidRPr="007A7CBA">
        <w:rPr>
          <w:rFonts w:ascii="Times New Roman" w:hAnsi="Times New Roman"/>
          <w:i/>
          <w:color w:val="000000"/>
        </w:rPr>
        <w:t>Report and Order</w:t>
      </w:r>
      <w:r w:rsidR="00870400">
        <w:rPr>
          <w:rFonts w:ascii="Times New Roman" w:hAnsi="Times New Roman"/>
          <w:color w:val="000000"/>
        </w:rPr>
        <w:t>, IB Docket 98-172, 15 FCC Rcd 13430 (2000) (</w:t>
      </w:r>
      <w:r w:rsidR="00870400" w:rsidRPr="007A7CBA">
        <w:rPr>
          <w:rFonts w:ascii="Times New Roman" w:hAnsi="Times New Roman"/>
          <w:i/>
          <w:color w:val="000000"/>
        </w:rPr>
        <w:t>18 GHz Report and Order</w:t>
      </w:r>
      <w:r w:rsidR="00870400">
        <w:rPr>
          <w:rFonts w:ascii="Times New Roman" w:hAnsi="Times New Roman"/>
          <w:color w:val="000000"/>
        </w:rPr>
        <w:t>).</w:t>
      </w:r>
    </w:p>
  </w:footnote>
  <w:footnote w:id="2">
    <w:p w:rsidR="00157DBC"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w:t>
      </w:r>
      <w:r w:rsidR="006D6848" w:rsidRPr="00C609BD">
        <w:rPr>
          <w:rFonts w:ascii="Times New Roman" w:hAnsi="Times New Roman"/>
        </w:rPr>
        <w:t xml:space="preserve">O3b states that the maritime vessels will be located in or near U.S. waters surrounding Fort Lauderdale, Puerto Rico, and the U.S. Virgin Islands.  </w:t>
      </w:r>
      <w:r w:rsidR="001C47AB">
        <w:rPr>
          <w:rFonts w:ascii="Times New Roman" w:hAnsi="Times New Roman"/>
        </w:rPr>
        <w:t xml:space="preserve">The areas served by </w:t>
      </w:r>
      <w:r w:rsidR="007C2FDF">
        <w:rPr>
          <w:rFonts w:ascii="Times New Roman" w:hAnsi="Times New Roman"/>
        </w:rPr>
        <w:t>the maritime</w:t>
      </w:r>
      <w:r w:rsidR="001C47AB">
        <w:rPr>
          <w:rFonts w:ascii="Times New Roman" w:hAnsi="Times New Roman"/>
        </w:rPr>
        <w:t xml:space="preserve"> vessels are at </w:t>
      </w:r>
      <w:r w:rsidR="007C2FDF">
        <w:rPr>
          <w:rFonts w:ascii="Times New Roman" w:hAnsi="Times New Roman"/>
        </w:rPr>
        <w:t>latitudes north</w:t>
      </w:r>
      <w:r w:rsidR="001C47AB">
        <w:rPr>
          <w:rFonts w:ascii="Times New Roman" w:hAnsi="Times New Roman"/>
        </w:rPr>
        <w:t xml:space="preserve"> of 13°. </w:t>
      </w:r>
      <w:r w:rsidR="006D6848" w:rsidRPr="00C609BD">
        <w:rPr>
          <w:rFonts w:ascii="Times New Roman" w:hAnsi="Times New Roman"/>
        </w:rPr>
        <w:t>O3b Limited Waiver Request, IBFS File No. SES-MSC-201</w:t>
      </w:r>
      <w:r w:rsidR="00E70C2B" w:rsidRPr="00C609BD">
        <w:rPr>
          <w:rFonts w:ascii="Times New Roman" w:hAnsi="Times New Roman"/>
        </w:rPr>
        <w:t>5</w:t>
      </w:r>
      <w:r w:rsidR="006D6848" w:rsidRPr="00C609BD">
        <w:rPr>
          <w:rFonts w:ascii="Times New Roman" w:hAnsi="Times New Roman"/>
        </w:rPr>
        <w:t>0206-00066 (O3b</w:t>
      </w:r>
      <w:r w:rsidR="00E70C2B" w:rsidRPr="00C609BD">
        <w:rPr>
          <w:rFonts w:ascii="Times New Roman" w:hAnsi="Times New Roman"/>
        </w:rPr>
        <w:t xml:space="preserve"> </w:t>
      </w:r>
      <w:r w:rsidR="006D6848" w:rsidRPr="00C609BD">
        <w:rPr>
          <w:rFonts w:ascii="Times New Roman" w:hAnsi="Times New Roman"/>
        </w:rPr>
        <w:t xml:space="preserve">Waiver Request), Narrative at 2. </w:t>
      </w:r>
    </w:p>
  </w:footnote>
  <w:footnote w:id="3">
    <w:p w:rsidR="009F4E3E" w:rsidRPr="00C609BD" w:rsidRDefault="009F4E3E" w:rsidP="00C609BD">
      <w:pPr>
        <w:widowControl w:val="0"/>
        <w:spacing w:after="120"/>
      </w:pPr>
      <w:r w:rsidRPr="00C609BD">
        <w:rPr>
          <w:rStyle w:val="FootnoteReference"/>
        </w:rPr>
        <w:footnoteRef/>
      </w:r>
      <w:r w:rsidR="00D73E17" w:rsidRPr="00C609BD">
        <w:t xml:space="preserve"> O3b </w:t>
      </w:r>
      <w:r w:rsidRPr="00C609BD">
        <w:t>launched its</w:t>
      </w:r>
      <w:r w:rsidR="007A2D0F" w:rsidRPr="00C609BD">
        <w:t xml:space="preserve"> first</w:t>
      </w:r>
      <w:r w:rsidRPr="00C609BD">
        <w:t xml:space="preserve"> four satellites in 2013</w:t>
      </w:r>
      <w:r w:rsidR="00915954" w:rsidRPr="00C609BD">
        <w:t xml:space="preserve">, and eight satellites </w:t>
      </w:r>
      <w:r w:rsidRPr="00C609BD">
        <w:t>in 2014</w:t>
      </w:r>
      <w:r w:rsidR="00915954" w:rsidRPr="00C609BD">
        <w:t xml:space="preserve">.  O3b was granted U.S. market access for all 12 satellites in January 2015. </w:t>
      </w:r>
      <w:r w:rsidR="007A2D0F" w:rsidRPr="00C609BD">
        <w:t xml:space="preserve"> </w:t>
      </w:r>
      <w:r w:rsidR="00915954" w:rsidRPr="00652925">
        <w:rPr>
          <w:i/>
        </w:rPr>
        <w:t>See</w:t>
      </w:r>
      <w:r w:rsidR="00915954" w:rsidRPr="00C609BD">
        <w:t xml:space="preserve"> O3b Limited, </w:t>
      </w:r>
      <w:r w:rsidR="00087EA0">
        <w:t xml:space="preserve">IBFS File Nos. </w:t>
      </w:r>
      <w:r w:rsidR="00915954" w:rsidRPr="00C609BD">
        <w:t>SAT-LOI-20141029-00118 and SAT-AMD-20150115-00004</w:t>
      </w:r>
      <w:r w:rsidR="007A2D0F" w:rsidRPr="00C609BD">
        <w:t xml:space="preserve"> (granted Jan. 22, 2015)</w:t>
      </w:r>
      <w:r w:rsidR="00915954" w:rsidRPr="00C609BD">
        <w:t>.</w:t>
      </w:r>
      <w:r w:rsidRPr="00C609BD">
        <w:t xml:space="preserve">  The </w:t>
      </w:r>
      <w:r w:rsidR="00915954" w:rsidRPr="00C609BD">
        <w:t>Satellite Division</w:t>
      </w:r>
      <w:r w:rsidR="007A2D0F" w:rsidRPr="00C609BD">
        <w:t xml:space="preserve"> </w:t>
      </w:r>
      <w:r w:rsidRPr="00C609BD">
        <w:rPr>
          <w:rFonts w:eastAsia="Calibri"/>
        </w:rPr>
        <w:t>granted O3b</w:t>
      </w:r>
      <w:r w:rsidR="00FC508D" w:rsidRPr="00C609BD">
        <w:rPr>
          <w:rFonts w:eastAsia="Calibri"/>
        </w:rPr>
        <w:t xml:space="preserve"> a </w:t>
      </w:r>
      <w:r w:rsidR="00604F75" w:rsidRPr="00C609BD">
        <w:rPr>
          <w:rFonts w:eastAsia="Calibri"/>
        </w:rPr>
        <w:t xml:space="preserve">blanket license application </w:t>
      </w:r>
      <w:r w:rsidRPr="00C609BD">
        <w:rPr>
          <w:rFonts w:eastAsia="Calibri"/>
        </w:rPr>
        <w:t xml:space="preserve">to operate up to one hundred 2.2 meter </w:t>
      </w:r>
      <w:r w:rsidR="00E70C2B" w:rsidRPr="00C609BD">
        <w:rPr>
          <w:rFonts w:eastAsia="Calibri"/>
        </w:rPr>
        <w:t xml:space="preserve">diameter </w:t>
      </w:r>
      <w:r w:rsidRPr="00C609BD">
        <w:rPr>
          <w:rFonts w:eastAsia="Calibri"/>
        </w:rPr>
        <w:t xml:space="preserve">antennas, and one hundred 1.2 meter </w:t>
      </w:r>
      <w:r w:rsidR="00E70C2B" w:rsidRPr="00C609BD">
        <w:rPr>
          <w:rFonts w:eastAsia="Calibri"/>
        </w:rPr>
        <w:t xml:space="preserve">diameter </w:t>
      </w:r>
      <w:r w:rsidRPr="00C609BD">
        <w:rPr>
          <w:rFonts w:eastAsia="Calibri"/>
        </w:rPr>
        <w:t>antennas on U.S. registered maritime vessels</w:t>
      </w:r>
      <w:r w:rsidR="00604F75" w:rsidRPr="00C609BD">
        <w:rPr>
          <w:rFonts w:eastAsia="Calibri"/>
        </w:rPr>
        <w:t xml:space="preserve"> using the</w:t>
      </w:r>
      <w:r w:rsidR="00427189" w:rsidRPr="00C609BD">
        <w:rPr>
          <w:rFonts w:eastAsia="Calibri"/>
        </w:rPr>
        <w:t xml:space="preserve"> 18.8-19.3 GHz (space –to-Earth) and 28.6-29.1 GHz (Earth-to-space)</w:t>
      </w:r>
      <w:r w:rsidR="00604F75" w:rsidRPr="00C609BD">
        <w:rPr>
          <w:rFonts w:eastAsia="Calibri"/>
        </w:rPr>
        <w:t xml:space="preserve"> frequency bands</w:t>
      </w:r>
      <w:r w:rsidRPr="00C609BD">
        <w:rPr>
          <w:rFonts w:eastAsia="Calibri"/>
        </w:rPr>
        <w:t xml:space="preserve">.  IBFS File No. SES-LIC-20130528-00455 (granted May 13, 2014). </w:t>
      </w:r>
      <w:r w:rsidR="00A3353A" w:rsidRPr="00C609BD">
        <w:rPr>
          <w:rFonts w:eastAsia="Calibri"/>
          <w:i/>
        </w:rPr>
        <w:t>See also</w:t>
      </w:r>
      <w:r w:rsidRPr="00C609BD">
        <w:rPr>
          <w:rFonts w:eastAsia="Calibri"/>
        </w:rPr>
        <w:t xml:space="preserve"> Letter to Joslyn Read, VP Regulatory Affairs, O3b Limited, from Jose Albuquerque, Chief, Satellite Division, International Bureau, and Mark Settle, Chief, Policy and Rules Division, Office of Engineering and Technology,</w:t>
      </w:r>
      <w:r w:rsidR="00C609BD" w:rsidRPr="00C609BD">
        <w:rPr>
          <w:rFonts w:eastAsia="Calibri"/>
        </w:rPr>
        <w:t xml:space="preserve"> 29 FCC Rcd 5057, </w:t>
      </w:r>
      <w:r w:rsidRPr="00C609BD">
        <w:rPr>
          <w:rFonts w:eastAsia="Calibri"/>
        </w:rPr>
        <w:t>DA 14-637 (IB/OET May 13, 2014).</w:t>
      </w:r>
    </w:p>
  </w:footnote>
  <w:footnote w:id="4">
    <w:p w:rsidR="009F4E3E"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O3b Waiver Request, Narrative at </w:t>
      </w:r>
      <w:r w:rsidR="00915954" w:rsidRPr="00C609BD">
        <w:rPr>
          <w:rFonts w:ascii="Times New Roman" w:hAnsi="Times New Roman"/>
        </w:rPr>
        <w:t>3</w:t>
      </w:r>
      <w:r w:rsidRPr="00C609BD">
        <w:rPr>
          <w:rFonts w:ascii="Times New Roman" w:hAnsi="Times New Roman"/>
        </w:rPr>
        <w:t>.</w:t>
      </w:r>
    </w:p>
  </w:footnote>
  <w:footnote w:id="5">
    <w:p w:rsidR="009F4E3E"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w:t>
      </w:r>
      <w:r w:rsidRPr="00C609BD">
        <w:rPr>
          <w:rFonts w:ascii="Times New Roman" w:hAnsi="Times New Roman"/>
          <w:i/>
        </w:rPr>
        <w:t>See</w:t>
      </w:r>
      <w:r w:rsidRPr="00C609BD">
        <w:rPr>
          <w:rFonts w:ascii="Times New Roman" w:hAnsi="Times New Roman"/>
        </w:rPr>
        <w:t xml:space="preserve"> 47 U.S.C. § 306.  This section provides that Section 301 of this title shall not apply to any person sending radio communications or signals on a foreign ship while the same is within the jurisdiction of the United States, but such communications or signals shall be transmitted only in accordance with such regulations designed to prevent interference as may be promulgated under the authority of this </w:t>
      </w:r>
      <w:r w:rsidR="00511E1B">
        <w:rPr>
          <w:rFonts w:ascii="Times New Roman" w:hAnsi="Times New Roman"/>
        </w:rPr>
        <w:t>Act</w:t>
      </w:r>
      <w:r w:rsidRPr="00C609BD">
        <w:rPr>
          <w:rFonts w:ascii="Times New Roman" w:hAnsi="Times New Roman"/>
        </w:rPr>
        <w:t>.</w:t>
      </w:r>
      <w:r w:rsidR="00DB6F40">
        <w:rPr>
          <w:rFonts w:ascii="Times New Roman" w:hAnsi="Times New Roman"/>
        </w:rPr>
        <w:t xml:space="preserve"> </w:t>
      </w:r>
      <w:r w:rsidRPr="00C609BD">
        <w:rPr>
          <w:rFonts w:ascii="Times New Roman" w:hAnsi="Times New Roman"/>
        </w:rPr>
        <w:t xml:space="preserve"> </w:t>
      </w:r>
      <w:r w:rsidRPr="00C609BD">
        <w:rPr>
          <w:rFonts w:ascii="Times New Roman" w:hAnsi="Times New Roman"/>
          <w:i/>
        </w:rPr>
        <w:t>See also</w:t>
      </w:r>
      <w:r w:rsidRPr="00C609BD">
        <w:rPr>
          <w:rFonts w:ascii="Times New Roman" w:hAnsi="Times New Roman"/>
        </w:rPr>
        <w:t xml:space="preserve"> </w:t>
      </w:r>
      <w:r w:rsidRPr="00C609BD">
        <w:rPr>
          <w:rFonts w:ascii="Times New Roman" w:hAnsi="Times New Roman"/>
          <w:i/>
        </w:rPr>
        <w:t>United States v. McIntire</w:t>
      </w:r>
      <w:r w:rsidRPr="00C609BD">
        <w:rPr>
          <w:rFonts w:ascii="Times New Roman" w:hAnsi="Times New Roman"/>
        </w:rPr>
        <w:t>, 365 F. Supp. 618, 622 n.11 (D.N.J., 1973)</w:t>
      </w:r>
      <w:r w:rsidR="009D4082" w:rsidRPr="00C609BD">
        <w:rPr>
          <w:rFonts w:ascii="Times New Roman" w:hAnsi="Times New Roman"/>
        </w:rPr>
        <w:t xml:space="preserve"> </w:t>
      </w:r>
      <w:r w:rsidRPr="00C609BD">
        <w:rPr>
          <w:rFonts w:ascii="Times New Roman" w:hAnsi="Times New Roman"/>
        </w:rPr>
        <w:t xml:space="preserve">(The Commission has authority to take action against a party broadcasting in violation of its rules, without a license, and whose broadcasts causes interference to Commission-licensed broadcasters, even though the broadcaster was operating from a boat outside U.S. territorial waters). </w:t>
      </w:r>
    </w:p>
  </w:footnote>
  <w:footnote w:id="6">
    <w:p w:rsidR="00176683" w:rsidRPr="00C609BD" w:rsidRDefault="00176683"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w:t>
      </w:r>
      <w:r w:rsidRPr="00C609BD">
        <w:rPr>
          <w:rFonts w:ascii="Times New Roman" w:hAnsi="Times New Roman"/>
          <w:i/>
        </w:rPr>
        <w:t>Ka-band Report and Order</w:t>
      </w:r>
      <w:r w:rsidRPr="00C609BD">
        <w:rPr>
          <w:rFonts w:ascii="Times New Roman" w:hAnsi="Times New Roman"/>
        </w:rPr>
        <w:t>, 11 FCC Rcd at 1902</w:t>
      </w:r>
      <w:r w:rsidR="0080408D" w:rsidRPr="00C609BD">
        <w:rPr>
          <w:rFonts w:ascii="Times New Roman" w:hAnsi="Times New Roman"/>
        </w:rPr>
        <w:t>5</w:t>
      </w:r>
      <w:r w:rsidRPr="00C609BD">
        <w:rPr>
          <w:rFonts w:ascii="Times New Roman" w:hAnsi="Times New Roman"/>
        </w:rPr>
        <w:t>.</w:t>
      </w:r>
    </w:p>
  </w:footnote>
  <w:footnote w:id="7">
    <w:p w:rsidR="0097669E" w:rsidRDefault="0097669E">
      <w:pPr>
        <w:pStyle w:val="FootnoteText"/>
        <w:rPr>
          <w:rFonts w:ascii="Times New Roman" w:hAnsi="Times New Roman"/>
        </w:rPr>
      </w:pPr>
      <w:r>
        <w:rPr>
          <w:rStyle w:val="FootnoteReference"/>
        </w:rPr>
        <w:footnoteRef/>
      </w:r>
      <w:r>
        <w:t xml:space="preserve"> </w:t>
      </w:r>
      <w:r w:rsidRPr="00870400">
        <w:rPr>
          <w:rFonts w:ascii="Times New Roman" w:hAnsi="Times New Roman"/>
        </w:rPr>
        <w:t>47 C.F.R.</w:t>
      </w:r>
      <w:r w:rsidR="00870400" w:rsidRPr="00870400">
        <w:rPr>
          <w:rFonts w:ascii="Times New Roman" w:hAnsi="Times New Roman"/>
        </w:rPr>
        <w:t xml:space="preserve"> §</w:t>
      </w:r>
      <w:r w:rsidRPr="00870400">
        <w:rPr>
          <w:rFonts w:ascii="Times New Roman" w:hAnsi="Times New Roman"/>
        </w:rPr>
        <w:t xml:space="preserve"> 2.106</w:t>
      </w:r>
      <w:r w:rsidR="00870400">
        <w:rPr>
          <w:rFonts w:ascii="Times New Roman" w:hAnsi="Times New Roman"/>
        </w:rPr>
        <w:t>;</w:t>
      </w:r>
      <w:r w:rsidRPr="00870400">
        <w:rPr>
          <w:rFonts w:ascii="Times New Roman" w:hAnsi="Times New Roman"/>
        </w:rPr>
        <w:t xml:space="preserve"> </w:t>
      </w:r>
      <w:r w:rsidR="00870400" w:rsidRPr="00870400">
        <w:rPr>
          <w:rFonts w:ascii="Times New Roman" w:hAnsi="Times New Roman"/>
          <w:i/>
        </w:rPr>
        <w:t>18 GHz Report and Order</w:t>
      </w:r>
      <w:r w:rsidR="00870400" w:rsidRPr="00870400">
        <w:rPr>
          <w:rFonts w:ascii="Times New Roman" w:hAnsi="Times New Roman"/>
        </w:rPr>
        <w:t xml:space="preserve">, 15 FCC Rcd at 13445. </w:t>
      </w:r>
      <w:r w:rsidRPr="00870400">
        <w:rPr>
          <w:rFonts w:ascii="Times New Roman" w:hAnsi="Times New Roman"/>
        </w:rPr>
        <w:t xml:space="preserve"> </w:t>
      </w:r>
    </w:p>
    <w:p w:rsidR="00870400" w:rsidRPr="00870400" w:rsidRDefault="00870400">
      <w:pPr>
        <w:pStyle w:val="FootnoteText"/>
        <w:rPr>
          <w:rFonts w:ascii="Times New Roman" w:hAnsi="Times New Roman"/>
        </w:rPr>
      </w:pPr>
    </w:p>
  </w:footnote>
  <w:footnote w:id="8">
    <w:p w:rsidR="009F4E3E"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47 C.F.R. § 2.106; </w:t>
      </w:r>
      <w:r w:rsidRPr="00C609BD">
        <w:rPr>
          <w:rFonts w:ascii="Times New Roman" w:hAnsi="Times New Roman"/>
          <w:i/>
          <w:color w:val="000000"/>
        </w:rPr>
        <w:t>Ka-band Report and Order</w:t>
      </w:r>
      <w:r w:rsidRPr="00C609BD">
        <w:rPr>
          <w:rFonts w:ascii="Times New Roman" w:hAnsi="Times New Roman"/>
          <w:color w:val="000000"/>
        </w:rPr>
        <w:t xml:space="preserve">, 11 FCC Rcd 19005 (1996) and </w:t>
      </w:r>
      <w:r w:rsidRPr="00C609BD">
        <w:rPr>
          <w:rFonts w:ascii="Times New Roman" w:hAnsi="Times New Roman"/>
          <w:i/>
          <w:color w:val="000000"/>
        </w:rPr>
        <w:t>Third Report and Order</w:t>
      </w:r>
      <w:r w:rsidRPr="00C609BD">
        <w:rPr>
          <w:rFonts w:ascii="Times New Roman" w:hAnsi="Times New Roman"/>
          <w:color w:val="000000"/>
        </w:rPr>
        <w:t xml:space="preserve">, 12 FCC Rcd 22310 (1997).  </w:t>
      </w:r>
    </w:p>
  </w:footnote>
  <w:footnote w:id="9">
    <w:p w:rsidR="007A2D0F" w:rsidRPr="00C609BD" w:rsidRDefault="008C4E39"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The Ka-band Plan provides that GSO/FSS and NGSO/FSS</w:t>
      </w:r>
      <w:r w:rsidR="008E7A9E" w:rsidRPr="00C609BD">
        <w:rPr>
          <w:rFonts w:ascii="Times New Roman" w:hAnsi="Times New Roman"/>
        </w:rPr>
        <w:t xml:space="preserve"> </w:t>
      </w:r>
      <w:r w:rsidRPr="00C609BD">
        <w:rPr>
          <w:rFonts w:ascii="Times New Roman" w:hAnsi="Times New Roman"/>
        </w:rPr>
        <w:t>systems will be permitted</w:t>
      </w:r>
      <w:r w:rsidR="005A5D87" w:rsidRPr="00C609BD">
        <w:rPr>
          <w:rFonts w:ascii="Times New Roman" w:hAnsi="Times New Roman"/>
        </w:rPr>
        <w:t xml:space="preserve"> to operate</w:t>
      </w:r>
      <w:r w:rsidRPr="00C609BD">
        <w:rPr>
          <w:rFonts w:ascii="Times New Roman" w:hAnsi="Times New Roman"/>
        </w:rPr>
        <w:t xml:space="preserve"> on a non-interference basis to LMDS in the 27.5-28.35</w:t>
      </w:r>
      <w:r w:rsidR="00822305" w:rsidRPr="00C609BD">
        <w:rPr>
          <w:rFonts w:ascii="Times New Roman" w:hAnsi="Times New Roman"/>
        </w:rPr>
        <w:t xml:space="preserve"> GHz </w:t>
      </w:r>
      <w:r w:rsidR="008E7A9E" w:rsidRPr="00C609BD">
        <w:rPr>
          <w:rFonts w:ascii="Times New Roman" w:hAnsi="Times New Roman"/>
        </w:rPr>
        <w:t xml:space="preserve">frequency </w:t>
      </w:r>
      <w:r w:rsidR="00822305" w:rsidRPr="00C609BD">
        <w:rPr>
          <w:rFonts w:ascii="Times New Roman" w:hAnsi="Times New Roman"/>
        </w:rPr>
        <w:t xml:space="preserve">band for the purpose of providing limited gateway-type services.  </w:t>
      </w:r>
      <w:r w:rsidR="00401E34" w:rsidRPr="00C609BD">
        <w:rPr>
          <w:rFonts w:ascii="Times New Roman" w:hAnsi="Times New Roman"/>
        </w:rPr>
        <w:t>O3b characteriz</w:t>
      </w:r>
      <w:r w:rsidR="005A5D87" w:rsidRPr="00C609BD">
        <w:rPr>
          <w:rFonts w:ascii="Times New Roman" w:hAnsi="Times New Roman"/>
        </w:rPr>
        <w:t>es</w:t>
      </w:r>
      <w:r w:rsidR="00401E34" w:rsidRPr="00C609BD">
        <w:rPr>
          <w:rFonts w:ascii="Times New Roman" w:hAnsi="Times New Roman"/>
        </w:rPr>
        <w:t xml:space="preserve"> </w:t>
      </w:r>
      <w:r w:rsidR="005A5D87" w:rsidRPr="00C609BD">
        <w:rPr>
          <w:rFonts w:ascii="Times New Roman" w:hAnsi="Times New Roman"/>
        </w:rPr>
        <w:t>its service as</w:t>
      </w:r>
      <w:r w:rsidR="00401E34" w:rsidRPr="00C609BD">
        <w:rPr>
          <w:rFonts w:ascii="Times New Roman" w:hAnsi="Times New Roman"/>
        </w:rPr>
        <w:t xml:space="preserve"> “gateway-type” and </w:t>
      </w:r>
      <w:r w:rsidR="005A5D87" w:rsidRPr="00C609BD">
        <w:rPr>
          <w:rFonts w:ascii="Times New Roman" w:hAnsi="Times New Roman"/>
        </w:rPr>
        <w:t xml:space="preserve">claims it </w:t>
      </w:r>
      <w:r w:rsidR="00A3603A" w:rsidRPr="00C609BD">
        <w:rPr>
          <w:rFonts w:ascii="Times New Roman" w:hAnsi="Times New Roman"/>
        </w:rPr>
        <w:t>has secondary</w:t>
      </w:r>
      <w:r w:rsidR="00401E34" w:rsidRPr="00C609BD">
        <w:rPr>
          <w:rFonts w:ascii="Times New Roman" w:hAnsi="Times New Roman"/>
        </w:rPr>
        <w:t xml:space="preserve"> status in the band</w:t>
      </w:r>
      <w:r w:rsidR="00072AFF" w:rsidRPr="00C609BD">
        <w:rPr>
          <w:rFonts w:ascii="Times New Roman" w:hAnsi="Times New Roman"/>
        </w:rPr>
        <w:t xml:space="preserve">.  </w:t>
      </w:r>
      <w:r w:rsidR="007A2D0F" w:rsidRPr="00C609BD">
        <w:rPr>
          <w:rFonts w:ascii="Times New Roman" w:hAnsi="Times New Roman"/>
        </w:rPr>
        <w:t xml:space="preserve"> </w:t>
      </w:r>
      <w:r w:rsidR="005A5D87" w:rsidRPr="00C609BD">
        <w:rPr>
          <w:rFonts w:ascii="Times New Roman" w:hAnsi="Times New Roman"/>
        </w:rPr>
        <w:t>We note that O</w:t>
      </w:r>
      <w:r w:rsidR="00401E34" w:rsidRPr="00C609BD">
        <w:rPr>
          <w:rFonts w:ascii="Times New Roman" w:hAnsi="Times New Roman"/>
        </w:rPr>
        <w:t xml:space="preserve">3b is </w:t>
      </w:r>
      <w:r w:rsidR="00072AFF" w:rsidRPr="00C609BD">
        <w:rPr>
          <w:rFonts w:ascii="Times New Roman" w:hAnsi="Times New Roman"/>
        </w:rPr>
        <w:t xml:space="preserve">proposing operations </w:t>
      </w:r>
      <w:r w:rsidR="007C2FDF">
        <w:rPr>
          <w:rFonts w:ascii="Times New Roman" w:hAnsi="Times New Roman"/>
        </w:rPr>
        <w:t>aboard maritime</w:t>
      </w:r>
      <w:r w:rsidR="008A4445">
        <w:rPr>
          <w:rFonts w:ascii="Times New Roman" w:hAnsi="Times New Roman"/>
        </w:rPr>
        <w:t xml:space="preserve"> vessels</w:t>
      </w:r>
      <w:r w:rsidR="00072AFF" w:rsidRPr="00C609BD">
        <w:rPr>
          <w:rFonts w:ascii="Times New Roman" w:hAnsi="Times New Roman"/>
        </w:rPr>
        <w:t xml:space="preserve">, for which there </w:t>
      </w:r>
      <w:r w:rsidR="008A4445">
        <w:rPr>
          <w:rFonts w:ascii="Times New Roman" w:hAnsi="Times New Roman"/>
        </w:rPr>
        <w:t>are</w:t>
      </w:r>
      <w:r w:rsidR="00072AFF" w:rsidRPr="00C609BD">
        <w:rPr>
          <w:rFonts w:ascii="Times New Roman" w:hAnsi="Times New Roman"/>
        </w:rPr>
        <w:t xml:space="preserve"> no </w:t>
      </w:r>
      <w:r w:rsidR="008A4445">
        <w:rPr>
          <w:rFonts w:ascii="Times New Roman" w:hAnsi="Times New Roman"/>
        </w:rPr>
        <w:t>technical rules</w:t>
      </w:r>
      <w:r w:rsidR="00072AFF" w:rsidRPr="00C609BD">
        <w:rPr>
          <w:rFonts w:ascii="Times New Roman" w:hAnsi="Times New Roman"/>
        </w:rPr>
        <w:t xml:space="preserve">.  Consequently, O3b’s operations have no status in this band. </w:t>
      </w:r>
    </w:p>
  </w:footnote>
  <w:footnote w:id="10">
    <w:p w:rsidR="009F4E3E"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w:t>
      </w:r>
      <w:r w:rsidRPr="00C609BD">
        <w:rPr>
          <w:rFonts w:ascii="Times New Roman" w:hAnsi="Times New Roman"/>
          <w:i/>
        </w:rPr>
        <w:t>Contactmeo Communications, LLC</w:t>
      </w:r>
      <w:r w:rsidRPr="00C609BD">
        <w:rPr>
          <w:rFonts w:ascii="Times New Roman" w:hAnsi="Times New Roman"/>
        </w:rPr>
        <w:t xml:space="preserve">, Order and Authorization, 21 FCC Rcd 4035, 4044 (IB 2006); </w:t>
      </w:r>
      <w:r w:rsidRPr="00C609BD">
        <w:rPr>
          <w:rFonts w:ascii="Times New Roman" w:hAnsi="Times New Roman"/>
          <w:i/>
        </w:rPr>
        <w:t>see also</w:t>
      </w:r>
      <w:r w:rsidRPr="00C609BD">
        <w:rPr>
          <w:rFonts w:ascii="Times New Roman" w:hAnsi="Times New Roman"/>
        </w:rPr>
        <w:t xml:space="preserve"> 47 C.F.R. § 1.3.</w:t>
      </w:r>
    </w:p>
  </w:footnote>
  <w:footnote w:id="11">
    <w:p w:rsidR="007A2D0F" w:rsidRPr="00C609BD" w:rsidRDefault="003F3B5A"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O3b Waiver Request, Narrative at </w:t>
      </w:r>
      <w:r w:rsidR="002B1812" w:rsidRPr="00C609BD">
        <w:rPr>
          <w:rFonts w:ascii="Times New Roman" w:hAnsi="Times New Roman"/>
        </w:rPr>
        <w:t>2</w:t>
      </w:r>
      <w:r w:rsidRPr="00C609BD">
        <w:rPr>
          <w:rFonts w:ascii="Times New Roman" w:hAnsi="Times New Roman"/>
        </w:rPr>
        <w:t>.  It is our understanding that O3b will operate within the EPFD limits of Article</w:t>
      </w:r>
      <w:r w:rsidR="005A5D87" w:rsidRPr="00C609BD">
        <w:rPr>
          <w:rFonts w:ascii="Times New Roman" w:hAnsi="Times New Roman"/>
        </w:rPr>
        <w:t xml:space="preserve"> 22 (Articles </w:t>
      </w:r>
      <w:r w:rsidRPr="00C609BD">
        <w:rPr>
          <w:rFonts w:ascii="Times New Roman" w:hAnsi="Times New Roman"/>
        </w:rPr>
        <w:t>22.5C</w:t>
      </w:r>
      <w:r w:rsidR="005A5D87" w:rsidRPr="00C609BD">
        <w:rPr>
          <w:rFonts w:ascii="Times New Roman" w:hAnsi="Times New Roman"/>
        </w:rPr>
        <w:t xml:space="preserve">, </w:t>
      </w:r>
      <w:r w:rsidRPr="00C609BD">
        <w:rPr>
          <w:rFonts w:ascii="Times New Roman" w:hAnsi="Times New Roman"/>
        </w:rPr>
        <w:t>22.5D</w:t>
      </w:r>
      <w:r w:rsidR="005A5D87" w:rsidRPr="00C609BD">
        <w:rPr>
          <w:rFonts w:ascii="Times New Roman" w:hAnsi="Times New Roman"/>
        </w:rPr>
        <w:t>, and 22.5F</w:t>
      </w:r>
      <w:r w:rsidR="00A3603A" w:rsidRPr="00C609BD">
        <w:rPr>
          <w:rFonts w:ascii="Times New Roman" w:hAnsi="Times New Roman"/>
        </w:rPr>
        <w:t>) of</w:t>
      </w:r>
      <w:r w:rsidRPr="00C609BD">
        <w:rPr>
          <w:rFonts w:ascii="Times New Roman" w:hAnsi="Times New Roman"/>
        </w:rPr>
        <w:t xml:space="preserve"> the I</w:t>
      </w:r>
      <w:r w:rsidR="007A2D0F" w:rsidRPr="00C609BD">
        <w:rPr>
          <w:rFonts w:ascii="Times New Roman" w:hAnsi="Times New Roman"/>
        </w:rPr>
        <w:t>nternational Telecommunication Union (ITU) Radio Regulations</w:t>
      </w:r>
      <w:r w:rsidRPr="00C609BD">
        <w:rPr>
          <w:rFonts w:ascii="Times New Roman" w:hAnsi="Times New Roman"/>
        </w:rPr>
        <w:t xml:space="preserve">.  </w:t>
      </w:r>
      <w:r w:rsidRPr="00C609BD">
        <w:rPr>
          <w:rFonts w:ascii="Times New Roman" w:hAnsi="Times New Roman"/>
          <w:i/>
        </w:rPr>
        <w:t xml:space="preserve">See </w:t>
      </w:r>
      <w:r w:rsidRPr="00C609BD">
        <w:rPr>
          <w:rFonts w:ascii="Times New Roman" w:hAnsi="Times New Roman"/>
        </w:rPr>
        <w:t xml:space="preserve">O3b Waiver Request, Attachment A at </w:t>
      </w:r>
      <w:r w:rsidR="002B1812" w:rsidRPr="00C609BD">
        <w:rPr>
          <w:rFonts w:ascii="Times New Roman" w:hAnsi="Times New Roman"/>
        </w:rPr>
        <w:t>5-</w:t>
      </w:r>
      <w:r w:rsidR="005A5D87" w:rsidRPr="00C609BD">
        <w:rPr>
          <w:rFonts w:ascii="Times New Roman" w:hAnsi="Times New Roman"/>
        </w:rPr>
        <w:t>13</w:t>
      </w:r>
      <w:r w:rsidR="007A2D0F" w:rsidRPr="00C609BD">
        <w:rPr>
          <w:rFonts w:ascii="Times New Roman" w:hAnsi="Times New Roman"/>
        </w:rPr>
        <w:t>.</w:t>
      </w:r>
    </w:p>
  </w:footnote>
  <w:footnote w:id="12">
    <w:p w:rsidR="007A2D0F" w:rsidRPr="00C609BD" w:rsidRDefault="00FC508D"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O3b Waiver Request, Narrative at 6, and </w:t>
      </w:r>
      <w:r w:rsidR="003818D4" w:rsidRPr="00C609BD">
        <w:rPr>
          <w:rFonts w:ascii="Times New Roman" w:hAnsi="Times New Roman"/>
        </w:rPr>
        <w:t>Annex 5.</w:t>
      </w:r>
    </w:p>
  </w:footnote>
  <w:footnote w:id="13">
    <w:p w:rsidR="00A82F26" w:rsidRPr="00C609BD" w:rsidRDefault="00726CCC"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O3b Waiver Request, </w:t>
      </w:r>
      <w:r w:rsidR="00A82F26" w:rsidRPr="00C609BD">
        <w:rPr>
          <w:rFonts w:ascii="Times New Roman" w:hAnsi="Times New Roman"/>
        </w:rPr>
        <w:t>Attachment A at 2.</w:t>
      </w:r>
    </w:p>
  </w:footnote>
  <w:footnote w:id="14">
    <w:p w:rsidR="00B667DE" w:rsidRPr="00C609BD" w:rsidRDefault="003818D4"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w:t>
      </w:r>
      <w:r w:rsidR="00A3603A" w:rsidRPr="00C609BD">
        <w:rPr>
          <w:rFonts w:ascii="Times New Roman" w:hAnsi="Times New Roman"/>
        </w:rPr>
        <w:t xml:space="preserve">O3b Waiver Request, </w:t>
      </w:r>
      <w:r w:rsidRPr="00C609BD">
        <w:rPr>
          <w:rFonts w:ascii="Times New Roman" w:hAnsi="Times New Roman"/>
        </w:rPr>
        <w:t>Narrative at 7,</w:t>
      </w:r>
      <w:r w:rsidR="00331676" w:rsidRPr="00C609BD">
        <w:rPr>
          <w:rFonts w:ascii="Times New Roman" w:hAnsi="Times New Roman"/>
        </w:rPr>
        <w:t xml:space="preserve"> Attachment A </w:t>
      </w:r>
      <w:r w:rsidRPr="00C609BD">
        <w:rPr>
          <w:rFonts w:ascii="Times New Roman" w:hAnsi="Times New Roman"/>
        </w:rPr>
        <w:t>at 13</w:t>
      </w:r>
      <w:r w:rsidR="00B667DE" w:rsidRPr="00C609BD">
        <w:rPr>
          <w:rFonts w:ascii="Times New Roman" w:hAnsi="Times New Roman"/>
        </w:rPr>
        <w:t>.</w:t>
      </w:r>
    </w:p>
  </w:footnote>
  <w:footnote w:id="15">
    <w:p w:rsidR="009F4E3E"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O3b</w:t>
      </w:r>
      <w:r w:rsidR="00331676" w:rsidRPr="00C609BD">
        <w:rPr>
          <w:rFonts w:ascii="Times New Roman" w:hAnsi="Times New Roman"/>
        </w:rPr>
        <w:t xml:space="preserve"> </w:t>
      </w:r>
      <w:r w:rsidRPr="00C609BD">
        <w:rPr>
          <w:rFonts w:ascii="Times New Roman" w:hAnsi="Times New Roman"/>
        </w:rPr>
        <w:t>Waiver Request,</w:t>
      </w:r>
      <w:r w:rsidR="00FC508D" w:rsidRPr="00C609BD">
        <w:rPr>
          <w:rFonts w:ascii="Times New Roman" w:hAnsi="Times New Roman"/>
        </w:rPr>
        <w:t xml:space="preserve"> Attachment A at 5</w:t>
      </w:r>
      <w:r w:rsidR="00331676" w:rsidRPr="00C609BD">
        <w:rPr>
          <w:rFonts w:ascii="Times New Roman" w:hAnsi="Times New Roman"/>
        </w:rPr>
        <w:t>-13</w:t>
      </w:r>
      <w:r w:rsidR="00FC508D" w:rsidRPr="00C609BD">
        <w:rPr>
          <w:rFonts w:ascii="Times New Roman" w:hAnsi="Times New Roman"/>
        </w:rPr>
        <w:t xml:space="preserve">. </w:t>
      </w:r>
    </w:p>
  </w:footnote>
  <w:footnote w:id="16">
    <w:p w:rsidR="00604F75" w:rsidRPr="00C609BD" w:rsidRDefault="009F4E3E" w:rsidP="00C609BD">
      <w:pPr>
        <w:pStyle w:val="FootnoteText"/>
        <w:spacing w:after="120"/>
        <w:rPr>
          <w:rFonts w:ascii="Times New Roman" w:hAnsi="Times New Roman"/>
        </w:rPr>
      </w:pPr>
      <w:r w:rsidRPr="00C609BD">
        <w:rPr>
          <w:rStyle w:val="FootnoteReference"/>
          <w:rFonts w:ascii="Times New Roman" w:hAnsi="Times New Roman"/>
        </w:rPr>
        <w:footnoteRef/>
      </w:r>
      <w:r w:rsidR="00604F75" w:rsidRPr="00C609BD">
        <w:rPr>
          <w:rFonts w:ascii="Times New Roman" w:hAnsi="Times New Roman"/>
        </w:rPr>
        <w:t xml:space="preserve"> </w:t>
      </w:r>
      <w:r w:rsidRPr="00C609BD">
        <w:rPr>
          <w:rFonts w:ascii="Times New Roman" w:hAnsi="Times New Roman"/>
        </w:rPr>
        <w:t xml:space="preserve">Public Notice, Satellite </w:t>
      </w:r>
      <w:r w:rsidR="00B667DE" w:rsidRPr="00C609BD">
        <w:rPr>
          <w:rFonts w:ascii="Times New Roman" w:hAnsi="Times New Roman"/>
        </w:rPr>
        <w:t>Radio Applications Accepted for Filing,</w:t>
      </w:r>
      <w:r w:rsidR="00A82F26" w:rsidRPr="00C609BD">
        <w:rPr>
          <w:rFonts w:ascii="Times New Roman" w:hAnsi="Times New Roman"/>
        </w:rPr>
        <w:t xml:space="preserve"> </w:t>
      </w:r>
      <w:r w:rsidRPr="00C609BD">
        <w:rPr>
          <w:rFonts w:ascii="Times New Roman" w:hAnsi="Times New Roman"/>
        </w:rPr>
        <w:t>Report No.</w:t>
      </w:r>
      <w:r w:rsidR="00087EA0">
        <w:rPr>
          <w:rFonts w:ascii="Times New Roman" w:hAnsi="Times New Roman"/>
        </w:rPr>
        <w:t xml:space="preserve"> </w:t>
      </w:r>
      <w:r w:rsidR="00B667DE" w:rsidRPr="00C609BD">
        <w:rPr>
          <w:rFonts w:ascii="Times New Roman" w:hAnsi="Times New Roman"/>
        </w:rPr>
        <w:t>SES-01736 (April 1, 2015).</w:t>
      </w:r>
      <w:r w:rsidRPr="00C609BD">
        <w:rPr>
          <w:rFonts w:ascii="Times New Roman" w:hAnsi="Times New Roman"/>
        </w:rPr>
        <w:t xml:space="preserve"> </w:t>
      </w:r>
    </w:p>
  </w:footnote>
  <w:footnote w:id="17">
    <w:p w:rsidR="00604F75" w:rsidRPr="00C609BD" w:rsidRDefault="00604F75" w:rsidP="00C609BD">
      <w:pPr>
        <w:pStyle w:val="FootnoteText"/>
        <w:spacing w:after="120"/>
        <w:rPr>
          <w:rFonts w:ascii="Times New Roman" w:hAnsi="Times New Roman"/>
        </w:rPr>
      </w:pPr>
      <w:r w:rsidRPr="00C609BD">
        <w:rPr>
          <w:rStyle w:val="FootnoteReference"/>
          <w:rFonts w:ascii="Times New Roman" w:hAnsi="Times New Roman"/>
        </w:rPr>
        <w:footnoteRef/>
      </w:r>
      <w:r w:rsidRPr="00C609BD">
        <w:rPr>
          <w:rFonts w:ascii="Times New Roman" w:hAnsi="Times New Roman"/>
        </w:rPr>
        <w:t xml:space="preserve"> </w:t>
      </w:r>
      <w:r w:rsidR="00D73131" w:rsidRPr="00C609BD">
        <w:rPr>
          <w:rFonts w:ascii="Times New Roman" w:hAnsi="Times New Roman"/>
        </w:rPr>
        <w:t>O3b</w:t>
      </w:r>
      <w:r w:rsidR="00C609BD">
        <w:rPr>
          <w:rFonts w:ascii="Times New Roman" w:hAnsi="Times New Roman"/>
        </w:rPr>
        <w:t xml:space="preserve"> </w:t>
      </w:r>
      <w:r w:rsidR="00D73131" w:rsidRPr="00C609BD">
        <w:rPr>
          <w:rFonts w:ascii="Times New Roman" w:hAnsi="Times New Roman"/>
        </w:rPr>
        <w:t>Waiver Request</w:t>
      </w:r>
      <w:r w:rsidR="00331676" w:rsidRPr="00C609BD">
        <w:rPr>
          <w:rFonts w:ascii="Times New Roman" w:hAnsi="Times New Roman"/>
        </w:rPr>
        <w:t xml:space="preserve"> and attachments.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3BF5" w:rsidRDefault="00973BF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E" w:rsidRPr="00043524" w:rsidRDefault="009F4E3E" w:rsidP="00043524">
    <w:pPr>
      <w:tabs>
        <w:tab w:val="center" w:pos="4680"/>
        <w:tab w:val="right" w:pos="9360"/>
      </w:tabs>
      <w:rPr>
        <w:b/>
        <w:snapToGrid w:val="0"/>
        <w:color w:val="000000"/>
        <w:sz w:val="22"/>
        <w:szCs w:val="22"/>
        <w:u w:val="single"/>
      </w:rPr>
    </w:pPr>
    <w:r w:rsidRPr="00043524">
      <w:rPr>
        <w:b/>
        <w:snapToGrid w:val="0"/>
        <w:color w:val="000000"/>
        <w:sz w:val="22"/>
        <w:szCs w:val="22"/>
        <w:u w:val="single"/>
      </w:rPr>
      <w:tab/>
      <w:t xml:space="preserve">                                         Federal Communications Commission                  DA </w:t>
    </w:r>
    <w:r w:rsidR="00557103">
      <w:rPr>
        <w:b/>
        <w:snapToGrid w:val="0"/>
        <w:color w:val="000000"/>
        <w:sz w:val="22"/>
        <w:szCs w:val="22"/>
        <w:u w:val="single"/>
      </w:rPr>
      <w:t>15-601</w:t>
    </w:r>
  </w:p>
  <w:p w:rsidR="009F4E3E" w:rsidRDefault="009F4E3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E3E" w:rsidRDefault="00745AD5">
    <w:pPr>
      <w:pStyle w:val="Header"/>
      <w:tabs>
        <w:tab w:val="clear" w:pos="4320"/>
        <w:tab w:val="clear" w:pos="8640"/>
      </w:tabs>
      <w:spacing w:before="360" w:line="228" w:lineRule="auto"/>
      <w:jc w:val="center"/>
    </w:pPr>
    <w:r>
      <w:rPr>
        <w:rFonts w:ascii="CG Times (W1)" w:hAnsi="CG Times (W1)"/>
        <w:sz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1.8pt;margin-top:0;width:64.8pt;height:64.8pt;z-index:251657728;visibility:visible;mso-wrap-edited:f" o:allowincell="f" filled="t" fillcolor="#3cc">
          <v:imagedata r:id="rId1" o:title="" gain="69719f"/>
          <w10:wrap type="topAndBottom"/>
        </v:shape>
        <o:OLEObject Type="Embed" ProgID="Word.Picture.8" ShapeID="_x0000_s2049" DrawAspect="Content" ObjectID="_1493644325" r:id="rId2"/>
      </w:pict>
    </w:r>
    <w:r w:rsidR="009F4E3E">
      <w:rPr>
        <w:rFonts w:ascii="CG Times (W1)" w:hAnsi="CG Times (W1)"/>
        <w:sz w:val="28"/>
      </w:rPr>
      <w:t>Federal Communications Commission</w:t>
    </w:r>
  </w:p>
  <w:p w:rsidR="009F4E3E" w:rsidRDefault="009F4E3E">
    <w:pPr>
      <w:jc w:val="center"/>
    </w:pPr>
    <w:r>
      <w:rPr>
        <w:rFonts w:ascii="CG Times (W1)" w:hAnsi="CG Times (W1)"/>
        <w:sz w:val="28"/>
      </w:rPr>
      <w:t>Washington, D.C. 20554</w:t>
    </w:r>
  </w:p>
  <w:p w:rsidR="009F4E3E" w:rsidRDefault="009F4E3E">
    <w:pPr>
      <w:pStyle w:val="Header"/>
      <w:tabs>
        <w:tab w:val="clear" w:pos="4320"/>
      </w:tabs>
      <w:jc w:val="center"/>
      <w:rPr>
        <w:sz w:val="22"/>
      </w:rPr>
    </w:pPr>
  </w:p>
  <w:p w:rsidR="009F4E3E" w:rsidRDefault="009F4E3E">
    <w:pPr>
      <w:pStyle w:val="Header"/>
      <w:tabs>
        <w:tab w:val="clear" w:pos="4320"/>
      </w:tabs>
      <w:jc w:val="center"/>
      <w:rPr>
        <w:sz w:val="22"/>
      </w:rPr>
    </w:pPr>
  </w:p>
  <w:p w:rsidR="009F4E3E" w:rsidRDefault="00C8352E">
    <w:pPr>
      <w:pStyle w:val="Header"/>
      <w:tabs>
        <w:tab w:val="clear" w:pos="4320"/>
      </w:tabs>
      <w:jc w:val="center"/>
      <w:rPr>
        <w:sz w:val="24"/>
      </w:rPr>
    </w:pPr>
    <w:r>
      <w:rPr>
        <w:sz w:val="24"/>
      </w:rPr>
      <w:t>May 20, 2015</w:t>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ome">
    <w15:presenceInfo w15:providerId="None" w15:userId="hom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9BA"/>
    <w:rsid w:val="000107A8"/>
    <w:rsid w:val="00023000"/>
    <w:rsid w:val="00030D43"/>
    <w:rsid w:val="00043524"/>
    <w:rsid w:val="00060E5A"/>
    <w:rsid w:val="00072AFF"/>
    <w:rsid w:val="00087EA0"/>
    <w:rsid w:val="00091F07"/>
    <w:rsid w:val="000A59AB"/>
    <w:rsid w:val="000B1388"/>
    <w:rsid w:val="000B3CE7"/>
    <w:rsid w:val="000C2F2B"/>
    <w:rsid w:val="000D1B12"/>
    <w:rsid w:val="00101A26"/>
    <w:rsid w:val="00101E24"/>
    <w:rsid w:val="00101F19"/>
    <w:rsid w:val="00104FAD"/>
    <w:rsid w:val="00107A3D"/>
    <w:rsid w:val="0011728A"/>
    <w:rsid w:val="0015396E"/>
    <w:rsid w:val="00157DBC"/>
    <w:rsid w:val="001729CC"/>
    <w:rsid w:val="00176683"/>
    <w:rsid w:val="00183989"/>
    <w:rsid w:val="00184DEB"/>
    <w:rsid w:val="0019137E"/>
    <w:rsid w:val="00191805"/>
    <w:rsid w:val="00191807"/>
    <w:rsid w:val="00192035"/>
    <w:rsid w:val="001968E8"/>
    <w:rsid w:val="001A195E"/>
    <w:rsid w:val="001C47AB"/>
    <w:rsid w:val="001D1776"/>
    <w:rsid w:val="00204CE3"/>
    <w:rsid w:val="00226A93"/>
    <w:rsid w:val="0022735F"/>
    <w:rsid w:val="00280F79"/>
    <w:rsid w:val="002B0897"/>
    <w:rsid w:val="002B1812"/>
    <w:rsid w:val="002B54DB"/>
    <w:rsid w:val="002B6FCC"/>
    <w:rsid w:val="002C76E0"/>
    <w:rsid w:val="002D594B"/>
    <w:rsid w:val="00302116"/>
    <w:rsid w:val="0031096C"/>
    <w:rsid w:val="00316441"/>
    <w:rsid w:val="00331676"/>
    <w:rsid w:val="003444BD"/>
    <w:rsid w:val="00345B3F"/>
    <w:rsid w:val="003708EA"/>
    <w:rsid w:val="003818D4"/>
    <w:rsid w:val="0038579A"/>
    <w:rsid w:val="00392774"/>
    <w:rsid w:val="003A171B"/>
    <w:rsid w:val="003A53D5"/>
    <w:rsid w:val="003A5C09"/>
    <w:rsid w:val="003F3B5A"/>
    <w:rsid w:val="00401E34"/>
    <w:rsid w:val="0040222F"/>
    <w:rsid w:val="0040401E"/>
    <w:rsid w:val="00407DE6"/>
    <w:rsid w:val="00411CA5"/>
    <w:rsid w:val="00415342"/>
    <w:rsid w:val="00416316"/>
    <w:rsid w:val="0042479E"/>
    <w:rsid w:val="00427189"/>
    <w:rsid w:val="0043196C"/>
    <w:rsid w:val="00444D25"/>
    <w:rsid w:val="00446322"/>
    <w:rsid w:val="0045035E"/>
    <w:rsid w:val="004546DE"/>
    <w:rsid w:val="00465CB2"/>
    <w:rsid w:val="00474A14"/>
    <w:rsid w:val="004905E7"/>
    <w:rsid w:val="004B6EB9"/>
    <w:rsid w:val="004C1B95"/>
    <w:rsid w:val="004D3B53"/>
    <w:rsid w:val="00506FDF"/>
    <w:rsid w:val="005071A7"/>
    <w:rsid w:val="00511E1B"/>
    <w:rsid w:val="00523561"/>
    <w:rsid w:val="00551DF2"/>
    <w:rsid w:val="0055240E"/>
    <w:rsid w:val="00557103"/>
    <w:rsid w:val="00594B72"/>
    <w:rsid w:val="005A5D87"/>
    <w:rsid w:val="005B2927"/>
    <w:rsid w:val="005C6892"/>
    <w:rsid w:val="005C7991"/>
    <w:rsid w:val="005E5C37"/>
    <w:rsid w:val="005E7375"/>
    <w:rsid w:val="005F5F83"/>
    <w:rsid w:val="00604F75"/>
    <w:rsid w:val="006145AC"/>
    <w:rsid w:val="006349C2"/>
    <w:rsid w:val="00643CC3"/>
    <w:rsid w:val="00652472"/>
    <w:rsid w:val="00652925"/>
    <w:rsid w:val="0067250B"/>
    <w:rsid w:val="006B432B"/>
    <w:rsid w:val="006B44C9"/>
    <w:rsid w:val="006C49ED"/>
    <w:rsid w:val="006D6848"/>
    <w:rsid w:val="006F7DE7"/>
    <w:rsid w:val="00726CCC"/>
    <w:rsid w:val="00727FE6"/>
    <w:rsid w:val="007429BA"/>
    <w:rsid w:val="00745AD5"/>
    <w:rsid w:val="007474AF"/>
    <w:rsid w:val="007516B7"/>
    <w:rsid w:val="007620FA"/>
    <w:rsid w:val="007630C9"/>
    <w:rsid w:val="007740FD"/>
    <w:rsid w:val="00777805"/>
    <w:rsid w:val="00777B09"/>
    <w:rsid w:val="007819E8"/>
    <w:rsid w:val="007A15EB"/>
    <w:rsid w:val="007A26FF"/>
    <w:rsid w:val="007A2D0F"/>
    <w:rsid w:val="007A4CE5"/>
    <w:rsid w:val="007A7CBA"/>
    <w:rsid w:val="007C2FDF"/>
    <w:rsid w:val="007C46F1"/>
    <w:rsid w:val="007C61E3"/>
    <w:rsid w:val="007F0989"/>
    <w:rsid w:val="0080408D"/>
    <w:rsid w:val="0081362A"/>
    <w:rsid w:val="00822305"/>
    <w:rsid w:val="008312BA"/>
    <w:rsid w:val="008358E7"/>
    <w:rsid w:val="0085580E"/>
    <w:rsid w:val="00862E41"/>
    <w:rsid w:val="00864B45"/>
    <w:rsid w:val="00865FFD"/>
    <w:rsid w:val="00870400"/>
    <w:rsid w:val="008866A2"/>
    <w:rsid w:val="00895AF4"/>
    <w:rsid w:val="008A4445"/>
    <w:rsid w:val="008C4E39"/>
    <w:rsid w:val="008D2D2C"/>
    <w:rsid w:val="008E7A9E"/>
    <w:rsid w:val="009118BE"/>
    <w:rsid w:val="00915954"/>
    <w:rsid w:val="009226E2"/>
    <w:rsid w:val="0093441B"/>
    <w:rsid w:val="009479FF"/>
    <w:rsid w:val="00956D63"/>
    <w:rsid w:val="00957580"/>
    <w:rsid w:val="0096366F"/>
    <w:rsid w:val="00963F58"/>
    <w:rsid w:val="00973BF5"/>
    <w:rsid w:val="0097669E"/>
    <w:rsid w:val="00983268"/>
    <w:rsid w:val="009844F8"/>
    <w:rsid w:val="009C4BD2"/>
    <w:rsid w:val="009D4082"/>
    <w:rsid w:val="009F4E3E"/>
    <w:rsid w:val="00A309B3"/>
    <w:rsid w:val="00A3353A"/>
    <w:rsid w:val="00A3603A"/>
    <w:rsid w:val="00A80C7A"/>
    <w:rsid w:val="00A82F26"/>
    <w:rsid w:val="00A963B1"/>
    <w:rsid w:val="00A9682C"/>
    <w:rsid w:val="00AE0407"/>
    <w:rsid w:val="00AE1B46"/>
    <w:rsid w:val="00AE272F"/>
    <w:rsid w:val="00AE3FA8"/>
    <w:rsid w:val="00B15B6F"/>
    <w:rsid w:val="00B56C01"/>
    <w:rsid w:val="00B64140"/>
    <w:rsid w:val="00B667DE"/>
    <w:rsid w:val="00B66E33"/>
    <w:rsid w:val="00B853CB"/>
    <w:rsid w:val="00BD0CE4"/>
    <w:rsid w:val="00BD429C"/>
    <w:rsid w:val="00BD6A35"/>
    <w:rsid w:val="00C05574"/>
    <w:rsid w:val="00C06D90"/>
    <w:rsid w:val="00C16EBE"/>
    <w:rsid w:val="00C275DF"/>
    <w:rsid w:val="00C46120"/>
    <w:rsid w:val="00C50C20"/>
    <w:rsid w:val="00C609BD"/>
    <w:rsid w:val="00C70A41"/>
    <w:rsid w:val="00C8352E"/>
    <w:rsid w:val="00C90ADA"/>
    <w:rsid w:val="00C974CF"/>
    <w:rsid w:val="00C9751A"/>
    <w:rsid w:val="00CA6B00"/>
    <w:rsid w:val="00CB57EC"/>
    <w:rsid w:val="00CC2092"/>
    <w:rsid w:val="00CE3257"/>
    <w:rsid w:val="00D00FD4"/>
    <w:rsid w:val="00D0578B"/>
    <w:rsid w:val="00D11115"/>
    <w:rsid w:val="00D2400F"/>
    <w:rsid w:val="00D53150"/>
    <w:rsid w:val="00D623DC"/>
    <w:rsid w:val="00D73131"/>
    <w:rsid w:val="00D734B1"/>
    <w:rsid w:val="00D73E17"/>
    <w:rsid w:val="00D80C32"/>
    <w:rsid w:val="00D81141"/>
    <w:rsid w:val="00D85863"/>
    <w:rsid w:val="00DB1825"/>
    <w:rsid w:val="00DB3F68"/>
    <w:rsid w:val="00DB6F40"/>
    <w:rsid w:val="00DC2CC0"/>
    <w:rsid w:val="00DD23FD"/>
    <w:rsid w:val="00DD7904"/>
    <w:rsid w:val="00DF16B4"/>
    <w:rsid w:val="00E17914"/>
    <w:rsid w:val="00E34350"/>
    <w:rsid w:val="00E509AF"/>
    <w:rsid w:val="00E62DE0"/>
    <w:rsid w:val="00E70C2B"/>
    <w:rsid w:val="00E753B9"/>
    <w:rsid w:val="00E77A49"/>
    <w:rsid w:val="00EA649F"/>
    <w:rsid w:val="00EB6FEA"/>
    <w:rsid w:val="00EE588A"/>
    <w:rsid w:val="00F012DF"/>
    <w:rsid w:val="00F110E1"/>
    <w:rsid w:val="00F3669D"/>
    <w:rsid w:val="00F45544"/>
    <w:rsid w:val="00F509B5"/>
    <w:rsid w:val="00F53F7E"/>
    <w:rsid w:val="00F638E9"/>
    <w:rsid w:val="00F80FC2"/>
    <w:rsid w:val="00F84FE3"/>
    <w:rsid w:val="00F9588A"/>
    <w:rsid w:val="00FC38C7"/>
    <w:rsid w:val="00FC508D"/>
    <w:rsid w:val="00FD33D5"/>
    <w:rsid w:val="00FD777C"/>
    <w:rsid w:val="00FD7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2,Footnote Text Char1 Char,Footnote Text Char Char2 Char,Footnote Text Char3 Char Char2 Char,Footnote Text Char2 Char Char Char2 Char,Footnote Text Char Char2 Char Char1 Char Char,Footnote Text Char1,f"/>
    <w:basedOn w:val="Normal"/>
    <w:link w:val="FootnoteTextChar"/>
    <w:unhideWhenUsed/>
    <w:rsid w:val="007429BA"/>
    <w:pPr>
      <w:widowControl w:val="0"/>
    </w:pPr>
    <w:rPr>
      <w:rFonts w:ascii="Calibri" w:eastAsia="Calibri" w:hAnsi="Calibri"/>
    </w:rPr>
  </w:style>
  <w:style w:type="character" w:customStyle="1" w:styleId="FootnoteTextChar">
    <w:name w:val="Footnote Text Char"/>
    <w:aliases w:val="Footnote Text Char2 Char,Footnote Text Char1 Char Char,Footnote Text Char Char2 Char Char,Footnote Text Char3 Char Char2 Char Char,Footnote Text Char2 Char Char Char2 Char Char,Footnote Text Char Char2 Char Char1 Char Char Char,f Char"/>
    <w:basedOn w:val="DefaultParagraphFont"/>
    <w:link w:val="FootnoteText"/>
    <w:rsid w:val="007429BA"/>
    <w:rPr>
      <w:rFonts w:ascii="Calibri" w:eastAsia="Calibri" w:hAnsi="Calibri"/>
    </w:rPr>
  </w:style>
  <w:style w:type="character" w:styleId="FootnoteReference">
    <w:name w:val="footnote reference"/>
    <w:aliases w:val="Appel note de bas de p,Style 12,(NECG) Footnote Reference,Style 124,o,fr,Style 3,Style 17,FR,Style 13,Footnote Reference/,Style 6"/>
    <w:uiPriority w:val="99"/>
    <w:semiHidden/>
    <w:unhideWhenUsed/>
    <w:rsid w:val="007429BA"/>
    <w:rPr>
      <w:vertAlign w:val="superscript"/>
    </w:rPr>
  </w:style>
  <w:style w:type="paragraph" w:customStyle="1" w:styleId="Default">
    <w:name w:val="Default"/>
    <w:rsid w:val="007429BA"/>
    <w:pPr>
      <w:autoSpaceDE w:val="0"/>
      <w:autoSpaceDN w:val="0"/>
      <w:adjustRightInd w:val="0"/>
    </w:pPr>
    <w:rPr>
      <w:rFonts w:ascii="Calibri" w:eastAsia="Calibri" w:hAnsi="Calibri" w:cs="Calibri"/>
      <w:color w:val="000000"/>
      <w:sz w:val="24"/>
      <w:szCs w:val="24"/>
    </w:rPr>
  </w:style>
  <w:style w:type="character" w:customStyle="1" w:styleId="FooterChar">
    <w:name w:val="Footer Char"/>
    <w:basedOn w:val="DefaultParagraphFont"/>
    <w:link w:val="Footer"/>
    <w:uiPriority w:val="99"/>
    <w:rsid w:val="00043524"/>
  </w:style>
  <w:style w:type="paragraph" w:styleId="BalloonText">
    <w:name w:val="Balloon Text"/>
    <w:basedOn w:val="Normal"/>
    <w:link w:val="BalloonTextChar"/>
    <w:uiPriority w:val="99"/>
    <w:semiHidden/>
    <w:unhideWhenUsed/>
    <w:rsid w:val="00F3669D"/>
    <w:rPr>
      <w:rFonts w:ascii="Tahoma" w:hAnsi="Tahoma" w:cs="Tahoma"/>
      <w:sz w:val="16"/>
      <w:szCs w:val="16"/>
    </w:rPr>
  </w:style>
  <w:style w:type="character" w:customStyle="1" w:styleId="BalloonTextChar">
    <w:name w:val="Balloon Text Char"/>
    <w:basedOn w:val="DefaultParagraphFont"/>
    <w:link w:val="BalloonText"/>
    <w:uiPriority w:val="99"/>
    <w:semiHidden/>
    <w:rsid w:val="00F3669D"/>
    <w:rPr>
      <w:rFonts w:ascii="Tahoma" w:hAnsi="Tahoma" w:cs="Tahoma"/>
      <w:sz w:val="16"/>
      <w:szCs w:val="16"/>
    </w:rPr>
  </w:style>
  <w:style w:type="character" w:customStyle="1" w:styleId="apple-converted-space">
    <w:name w:val="apple-converted-space"/>
    <w:basedOn w:val="DefaultParagraphFont"/>
    <w:rsid w:val="00895AF4"/>
  </w:style>
  <w:style w:type="character" w:styleId="Hyperlink">
    <w:name w:val="Hyperlink"/>
    <w:basedOn w:val="DefaultParagraphFont"/>
    <w:uiPriority w:val="99"/>
    <w:semiHidden/>
    <w:unhideWhenUsed/>
    <w:rsid w:val="00895AF4"/>
    <w:rPr>
      <w:color w:val="0000FF"/>
      <w:u w:val="single"/>
    </w:rPr>
  </w:style>
  <w:style w:type="character" w:customStyle="1" w:styleId="searchterm">
    <w:name w:val="searchterm"/>
    <w:basedOn w:val="DefaultParagraphFont"/>
    <w:rsid w:val="00895AF4"/>
  </w:style>
  <w:style w:type="character" w:styleId="CommentReference">
    <w:name w:val="annotation reference"/>
    <w:basedOn w:val="DefaultParagraphFont"/>
    <w:uiPriority w:val="99"/>
    <w:semiHidden/>
    <w:unhideWhenUsed/>
    <w:rsid w:val="00B64140"/>
    <w:rPr>
      <w:sz w:val="16"/>
      <w:szCs w:val="16"/>
    </w:rPr>
  </w:style>
  <w:style w:type="paragraph" w:styleId="CommentText">
    <w:name w:val="annotation text"/>
    <w:basedOn w:val="Normal"/>
    <w:link w:val="CommentTextChar"/>
    <w:uiPriority w:val="99"/>
    <w:semiHidden/>
    <w:unhideWhenUsed/>
    <w:rsid w:val="00B64140"/>
  </w:style>
  <w:style w:type="character" w:customStyle="1" w:styleId="CommentTextChar">
    <w:name w:val="Comment Text Char"/>
    <w:basedOn w:val="DefaultParagraphFont"/>
    <w:link w:val="CommentText"/>
    <w:uiPriority w:val="99"/>
    <w:semiHidden/>
    <w:rsid w:val="00B64140"/>
  </w:style>
  <w:style w:type="paragraph" w:styleId="CommentSubject">
    <w:name w:val="annotation subject"/>
    <w:basedOn w:val="CommentText"/>
    <w:next w:val="CommentText"/>
    <w:link w:val="CommentSubjectChar"/>
    <w:uiPriority w:val="99"/>
    <w:semiHidden/>
    <w:unhideWhenUsed/>
    <w:rsid w:val="00B64140"/>
    <w:rPr>
      <w:b/>
      <w:bCs/>
    </w:rPr>
  </w:style>
  <w:style w:type="character" w:customStyle="1" w:styleId="CommentSubjectChar">
    <w:name w:val="Comment Subject Char"/>
    <w:basedOn w:val="CommentTextChar"/>
    <w:link w:val="CommentSubject"/>
    <w:uiPriority w:val="99"/>
    <w:semiHidden/>
    <w:rsid w:val="00B6414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FootnoteText">
    <w:name w:val="footnote text"/>
    <w:aliases w:val="Footnote Text Char2,Footnote Text Char1 Char,Footnote Text Char Char2 Char,Footnote Text Char3 Char Char2 Char,Footnote Text Char2 Char Char Char2 Char,Footnote Text Char Char2 Char Char1 Char Char,Footnote Text Char1,f"/>
    <w:basedOn w:val="Normal"/>
    <w:link w:val="FootnoteTextChar"/>
    <w:unhideWhenUsed/>
    <w:rsid w:val="007429BA"/>
    <w:pPr>
      <w:widowControl w:val="0"/>
    </w:pPr>
    <w:rPr>
      <w:rFonts w:ascii="Calibri" w:eastAsia="Calibri" w:hAnsi="Calibri"/>
    </w:rPr>
  </w:style>
  <w:style w:type="character" w:customStyle="1" w:styleId="FootnoteTextChar">
    <w:name w:val="Footnote Text Char"/>
    <w:aliases w:val="Footnote Text Char2 Char,Footnote Text Char1 Char Char,Footnote Text Char Char2 Char Char,Footnote Text Char3 Char Char2 Char Char,Footnote Text Char2 Char Char Char2 Char Char,Footnote Text Char Char2 Char Char1 Char Char Char,f Char"/>
    <w:basedOn w:val="DefaultParagraphFont"/>
    <w:link w:val="FootnoteText"/>
    <w:rsid w:val="007429BA"/>
    <w:rPr>
      <w:rFonts w:ascii="Calibri" w:eastAsia="Calibri" w:hAnsi="Calibri"/>
    </w:rPr>
  </w:style>
  <w:style w:type="character" w:styleId="FootnoteReference">
    <w:name w:val="footnote reference"/>
    <w:aliases w:val="Appel note de bas de p,Style 12,(NECG) Footnote Reference,Style 124,o,fr,Style 3,Style 17,FR,Style 13,Footnote Reference/,Style 6"/>
    <w:uiPriority w:val="99"/>
    <w:semiHidden/>
    <w:unhideWhenUsed/>
    <w:rsid w:val="007429BA"/>
    <w:rPr>
      <w:vertAlign w:val="superscript"/>
    </w:rPr>
  </w:style>
  <w:style w:type="paragraph" w:customStyle="1" w:styleId="Default">
    <w:name w:val="Default"/>
    <w:rsid w:val="007429BA"/>
    <w:pPr>
      <w:autoSpaceDE w:val="0"/>
      <w:autoSpaceDN w:val="0"/>
      <w:adjustRightInd w:val="0"/>
    </w:pPr>
    <w:rPr>
      <w:rFonts w:ascii="Calibri" w:eastAsia="Calibri" w:hAnsi="Calibri" w:cs="Calibri"/>
      <w:color w:val="000000"/>
      <w:sz w:val="24"/>
      <w:szCs w:val="24"/>
    </w:rPr>
  </w:style>
  <w:style w:type="character" w:customStyle="1" w:styleId="FooterChar">
    <w:name w:val="Footer Char"/>
    <w:basedOn w:val="DefaultParagraphFont"/>
    <w:link w:val="Footer"/>
    <w:uiPriority w:val="99"/>
    <w:rsid w:val="00043524"/>
  </w:style>
  <w:style w:type="paragraph" w:styleId="BalloonText">
    <w:name w:val="Balloon Text"/>
    <w:basedOn w:val="Normal"/>
    <w:link w:val="BalloonTextChar"/>
    <w:uiPriority w:val="99"/>
    <w:semiHidden/>
    <w:unhideWhenUsed/>
    <w:rsid w:val="00F3669D"/>
    <w:rPr>
      <w:rFonts w:ascii="Tahoma" w:hAnsi="Tahoma" w:cs="Tahoma"/>
      <w:sz w:val="16"/>
      <w:szCs w:val="16"/>
    </w:rPr>
  </w:style>
  <w:style w:type="character" w:customStyle="1" w:styleId="BalloonTextChar">
    <w:name w:val="Balloon Text Char"/>
    <w:basedOn w:val="DefaultParagraphFont"/>
    <w:link w:val="BalloonText"/>
    <w:uiPriority w:val="99"/>
    <w:semiHidden/>
    <w:rsid w:val="00F3669D"/>
    <w:rPr>
      <w:rFonts w:ascii="Tahoma" w:hAnsi="Tahoma" w:cs="Tahoma"/>
      <w:sz w:val="16"/>
      <w:szCs w:val="16"/>
    </w:rPr>
  </w:style>
  <w:style w:type="character" w:customStyle="1" w:styleId="apple-converted-space">
    <w:name w:val="apple-converted-space"/>
    <w:basedOn w:val="DefaultParagraphFont"/>
    <w:rsid w:val="00895AF4"/>
  </w:style>
  <w:style w:type="character" w:styleId="Hyperlink">
    <w:name w:val="Hyperlink"/>
    <w:basedOn w:val="DefaultParagraphFont"/>
    <w:uiPriority w:val="99"/>
    <w:semiHidden/>
    <w:unhideWhenUsed/>
    <w:rsid w:val="00895AF4"/>
    <w:rPr>
      <w:color w:val="0000FF"/>
      <w:u w:val="single"/>
    </w:rPr>
  </w:style>
  <w:style w:type="character" w:customStyle="1" w:styleId="searchterm">
    <w:name w:val="searchterm"/>
    <w:basedOn w:val="DefaultParagraphFont"/>
    <w:rsid w:val="00895AF4"/>
  </w:style>
  <w:style w:type="character" w:styleId="CommentReference">
    <w:name w:val="annotation reference"/>
    <w:basedOn w:val="DefaultParagraphFont"/>
    <w:uiPriority w:val="99"/>
    <w:semiHidden/>
    <w:unhideWhenUsed/>
    <w:rsid w:val="00B64140"/>
    <w:rPr>
      <w:sz w:val="16"/>
      <w:szCs w:val="16"/>
    </w:rPr>
  </w:style>
  <w:style w:type="paragraph" w:styleId="CommentText">
    <w:name w:val="annotation text"/>
    <w:basedOn w:val="Normal"/>
    <w:link w:val="CommentTextChar"/>
    <w:uiPriority w:val="99"/>
    <w:semiHidden/>
    <w:unhideWhenUsed/>
    <w:rsid w:val="00B64140"/>
  </w:style>
  <w:style w:type="character" w:customStyle="1" w:styleId="CommentTextChar">
    <w:name w:val="Comment Text Char"/>
    <w:basedOn w:val="DefaultParagraphFont"/>
    <w:link w:val="CommentText"/>
    <w:uiPriority w:val="99"/>
    <w:semiHidden/>
    <w:rsid w:val="00B64140"/>
  </w:style>
  <w:style w:type="paragraph" w:styleId="CommentSubject">
    <w:name w:val="annotation subject"/>
    <w:basedOn w:val="CommentText"/>
    <w:next w:val="CommentText"/>
    <w:link w:val="CommentSubjectChar"/>
    <w:uiPriority w:val="99"/>
    <w:semiHidden/>
    <w:unhideWhenUsed/>
    <w:rsid w:val="00B64140"/>
    <w:rPr>
      <w:b/>
      <w:bCs/>
    </w:rPr>
  </w:style>
  <w:style w:type="character" w:customStyle="1" w:styleId="CommentSubjectChar">
    <w:name w:val="Comment Subject Char"/>
    <w:basedOn w:val="CommentTextChar"/>
    <w:link w:val="CommentSubject"/>
    <w:uiPriority w:val="99"/>
    <w:semiHidden/>
    <w:rsid w:val="00B641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16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Let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Letter</Template>
  <TotalTime>0</TotalTime>
  <Pages>3</Pages>
  <Words>718</Words>
  <Characters>4097</Characters>
  <Application>Microsoft Office Word</Application>
  <DocSecurity>0</DocSecurity>
  <Lines>82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4918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2015-05-19T12:55:00Z</cp:lastPrinted>
  <dcterms:created xsi:type="dcterms:W3CDTF">2015-05-20T20:26:00Z</dcterms:created>
  <dcterms:modified xsi:type="dcterms:W3CDTF">2015-05-20T20:26:00Z</dcterms:modified>
  <cp:category> </cp:category>
  <cp:contentStatus> </cp:contentStatus>
</cp:coreProperties>
</file>