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FD" w:rsidRDefault="0030503E" w:rsidP="008C15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1"/>
          <w:szCs w:val="21"/>
        </w:rPr>
      </w:pPr>
      <w:bookmarkStart w:id="0" w:name="_GoBack"/>
      <w:bookmarkEnd w:id="0"/>
      <w:r>
        <w:rPr>
          <w:rFonts w:ascii="Gill Sans MT" w:hAnsi="Gill Sans MT" w:cs="Arial"/>
          <w:b/>
          <w:spacing w:val="-3"/>
          <w:sz w:val="21"/>
          <w:szCs w:val="21"/>
        </w:rPr>
        <w:t>DA 15-603</w:t>
      </w:r>
    </w:p>
    <w:p w:rsidR="008C15FD" w:rsidRDefault="008C15FD" w:rsidP="008C15FD">
      <w:pPr>
        <w:pStyle w:val="Header"/>
        <w:tabs>
          <w:tab w:val="clear" w:pos="4320"/>
          <w:tab w:val="clear" w:pos="8640"/>
        </w:tabs>
        <w:jc w:val="right"/>
        <w:rPr>
          <w:rFonts w:ascii="Gill Sans MT" w:hAnsi="Gill Sans MT" w:cs="Arial"/>
          <w:b/>
          <w:spacing w:val="-3"/>
          <w:sz w:val="21"/>
          <w:szCs w:val="21"/>
        </w:rPr>
      </w:pP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sidR="0030503E">
        <w:rPr>
          <w:rFonts w:ascii="Gill Sans MT" w:hAnsi="Gill Sans MT" w:cs="Arial"/>
          <w:b/>
          <w:spacing w:val="-3"/>
          <w:sz w:val="21"/>
          <w:szCs w:val="21"/>
        </w:rPr>
        <w:t>May 20</w:t>
      </w:r>
      <w:r w:rsidR="00C74DD8">
        <w:rPr>
          <w:rFonts w:ascii="Gill Sans MT" w:hAnsi="Gill Sans MT" w:cs="Arial"/>
          <w:b/>
          <w:spacing w:val="-3"/>
          <w:sz w:val="21"/>
          <w:szCs w:val="21"/>
        </w:rPr>
        <w:t>, 2015</w:t>
      </w:r>
    </w:p>
    <w:p w:rsidR="008C15FD" w:rsidRDefault="00C74DD8" w:rsidP="008C15FD">
      <w:pPr>
        <w:pStyle w:val="Header"/>
        <w:tabs>
          <w:tab w:val="clear" w:pos="4320"/>
          <w:tab w:val="clear" w:pos="8640"/>
        </w:tabs>
        <w:jc w:val="right"/>
        <w:rPr>
          <w:rFonts w:ascii="Gill Sans MT" w:hAnsi="Gill Sans MT" w:cs="Arial"/>
          <w:b/>
          <w:spacing w:val="-3"/>
          <w:sz w:val="21"/>
          <w:szCs w:val="21"/>
        </w:rPr>
      </w:pPr>
      <w:r>
        <w:rPr>
          <w:rFonts w:ascii="Gill Sans MT" w:hAnsi="Gill Sans MT" w:cs="Arial"/>
          <w:b/>
          <w:spacing w:val="-3"/>
          <w:sz w:val="21"/>
          <w:szCs w:val="21"/>
        </w:rPr>
        <w:t>Enforcement Advisory No. 2015</w:t>
      </w:r>
      <w:r w:rsidR="008C15FD">
        <w:rPr>
          <w:rFonts w:ascii="Gill Sans MT" w:hAnsi="Gill Sans MT" w:cs="Arial"/>
          <w:b/>
          <w:spacing w:val="-3"/>
          <w:sz w:val="21"/>
          <w:szCs w:val="21"/>
        </w:rPr>
        <w:t>-</w:t>
      </w:r>
      <w:r>
        <w:rPr>
          <w:rFonts w:ascii="Gill Sans MT" w:hAnsi="Gill Sans MT" w:cs="Arial"/>
          <w:b/>
          <w:spacing w:val="-3"/>
          <w:sz w:val="21"/>
          <w:szCs w:val="21"/>
        </w:rPr>
        <w:t>03</w:t>
      </w:r>
    </w:p>
    <w:p w:rsidR="008C15FD" w:rsidRDefault="008C15FD" w:rsidP="008C15FD">
      <w:pPr>
        <w:pStyle w:val="Header"/>
        <w:tabs>
          <w:tab w:val="clear" w:pos="4320"/>
          <w:tab w:val="clear" w:pos="8640"/>
        </w:tabs>
        <w:jc w:val="right"/>
        <w:rPr>
          <w:rFonts w:ascii="Gill Sans MT" w:hAnsi="Gill Sans MT"/>
          <w:szCs w:val="22"/>
        </w:rPr>
      </w:pPr>
      <w:r>
        <w:rPr>
          <w:rFonts w:ascii="Gill Sans MT" w:hAnsi="Gill Sans MT"/>
          <w:noProof/>
        </w:rPr>
        <mc:AlternateContent>
          <mc:Choice Requires="wps">
            <w:drawing>
              <wp:anchor distT="0" distB="0" distL="114300" distR="114300" simplePos="0" relativeHeight="251659264" behindDoc="0" locked="0" layoutInCell="1" allowOverlap="1">
                <wp:simplePos x="0" y="0"/>
                <wp:positionH relativeFrom="page">
                  <wp:posOffset>1228725</wp:posOffset>
                </wp:positionH>
                <wp:positionV relativeFrom="page">
                  <wp:posOffset>2543175</wp:posOffset>
                </wp:positionV>
                <wp:extent cx="5270500" cy="504825"/>
                <wp:effectExtent l="19050" t="19050" r="34925"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50482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8C15FD" w:rsidRDefault="008C15FD" w:rsidP="008C15FD">
                            <w:pPr>
                              <w:spacing w:before="60"/>
                              <w:jc w:val="center"/>
                              <w:rPr>
                                <w:rFonts w:ascii="Gill Sans MT" w:hAnsi="Gill Sans MT"/>
                                <w:b/>
                                <w:color w:val="FEFFFE"/>
                                <w:sz w:val="44"/>
                              </w:rPr>
                            </w:pPr>
                            <w:r>
                              <w:rPr>
                                <w:rFonts w:ascii="Gill Sans MT" w:hAnsi="Gill Sans MT"/>
                                <w:b/>
                                <w:color w:val="FEFFFE"/>
                                <w:sz w:val="44"/>
                              </w:rPr>
                              <w:t>FCC ENFORCEMENT ADVISORY</w:t>
                            </w:r>
                          </w:p>
                          <w:p w:rsidR="008C15FD" w:rsidRDefault="008C15FD" w:rsidP="008C15FD">
                            <w:pPr>
                              <w:rPr>
                                <w:rFonts w:ascii="Times New Roman" w:hAnsi="Times New Roman"/>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96.75pt;margin-top:200.25pt;width:415pt;height:3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" fillcolor="#17365d" strokecolor="red" strokeweight="3pt">
                <v:stroke joinstyle="round"/>
                <v:shadow on="t" color="#622423" opacity=".5" offset="1pt"/>
                <v:path arrowok="t"/>
                <v:textbox inset="3pt,3pt,3pt,3pt">
                  <w:txbxContent>
                    <w:p w:rsidR="008C15FD" w:rsidRDefault="008C15FD" w:rsidP="008C15FD">
                      <w:pPr>
                        <w:spacing w:before="60"/>
                        <w:jc w:val="center"/>
                        <w:rPr>
                          <w:rFonts w:ascii="Gill Sans MT" w:hAnsi="Gill Sans MT"/>
                          <w:b/>
                          <w:color w:val="FEFFFE"/>
                          <w:sz w:val="44"/>
                        </w:rPr>
                      </w:pPr>
                      <w:r>
                        <w:rPr>
                          <w:rFonts w:ascii="Gill Sans MT" w:hAnsi="Gill Sans MT"/>
                          <w:b/>
                          <w:color w:val="FEFFFE"/>
                          <w:sz w:val="44"/>
                        </w:rPr>
                        <w:t>FCC ENFORCEMENT ADVISORY</w:t>
                      </w:r>
                    </w:p>
                    <w:p w:rsidR="008C15FD" w:rsidRDefault="008C15FD" w:rsidP="008C15FD">
                      <w:pPr>
                        <w:rPr>
                          <w:rFonts w:ascii="Times New Roman" w:hAnsi="Times New Roman"/>
                          <w:sz w:val="20"/>
                          <w:lang w:bidi="x-none"/>
                        </w:rPr>
                      </w:pPr>
                    </w:p>
                  </w:txbxContent>
                </v:textbox>
                <w10:wrap anchorx="page" anchory="page"/>
              </v:rect>
            </w:pict>
          </mc:Fallback>
        </mc:AlternateContent>
      </w:r>
    </w:p>
    <w:p w:rsidR="008C15FD" w:rsidRDefault="008C15FD" w:rsidP="008C15FD">
      <w:pPr>
        <w:pStyle w:val="Header"/>
        <w:tabs>
          <w:tab w:val="clear" w:pos="4320"/>
          <w:tab w:val="clear" w:pos="8640"/>
        </w:tabs>
        <w:jc w:val="right"/>
        <w:rPr>
          <w:rFonts w:ascii="Gill Sans MT" w:hAnsi="Gill Sans MT"/>
          <w:szCs w:val="22"/>
        </w:rPr>
      </w:pPr>
    </w:p>
    <w:p w:rsidR="008C15FD" w:rsidRDefault="008C15FD" w:rsidP="008C15FD">
      <w:pPr>
        <w:pStyle w:val="Header"/>
        <w:tabs>
          <w:tab w:val="clear" w:pos="4320"/>
          <w:tab w:val="clear" w:pos="8640"/>
        </w:tabs>
        <w:rPr>
          <w:rFonts w:ascii="Gill Sans MT" w:hAnsi="Gill Sans MT"/>
          <w:szCs w:val="22"/>
        </w:rPr>
      </w:pPr>
    </w:p>
    <w:p w:rsidR="008C15FD" w:rsidRDefault="008C15FD" w:rsidP="008C15FD">
      <w:pPr>
        <w:pStyle w:val="Header"/>
        <w:tabs>
          <w:tab w:val="clear" w:pos="4320"/>
          <w:tab w:val="clear" w:pos="8640"/>
        </w:tabs>
        <w:rPr>
          <w:rFonts w:ascii="Gill Sans MT" w:hAnsi="Gill Sans MT"/>
          <w:szCs w:val="22"/>
        </w:rPr>
        <w:sectPr w:rsidR="008C15F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docGrid w:linePitch="326"/>
        </w:sectPr>
      </w:pPr>
    </w:p>
    <w:p w:rsidR="008C15FD" w:rsidRDefault="008C15FD" w:rsidP="008C15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Gill Sans MT" w:hAnsi="Gill Sans MT"/>
          <w:b/>
          <w:spacing w:val="-3"/>
          <w:sz w:val="22"/>
          <w:szCs w:val="22"/>
        </w:rPr>
      </w:pPr>
      <w:r>
        <w:rPr>
          <w:rFonts w:ascii="Gill Sans MT" w:hAnsi="Gill Sans MT"/>
        </w:rPr>
        <w:lastRenderedPageBreak/>
        <w:tab/>
      </w:r>
    </w:p>
    <w:p w:rsidR="008C15FD" w:rsidRDefault="008C15FD" w:rsidP="008C15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Gill Sans MT" w:hAnsi="Gill Sans MT"/>
          <w:b/>
          <w:spacing w:val="-3"/>
          <w:sz w:val="20"/>
        </w:rPr>
      </w:pPr>
    </w:p>
    <w:p w:rsidR="008C15FD" w:rsidRDefault="008C15FD" w:rsidP="008C15FD">
      <w:pPr>
        <w:jc w:val="center"/>
        <w:rPr>
          <w:rFonts w:ascii="Gill Sans MT" w:hAnsi="Gill Sans MT" w:cs="Arial"/>
          <w:b/>
          <w:bCs/>
          <w:sz w:val="8"/>
          <w:szCs w:val="8"/>
        </w:rPr>
      </w:pPr>
    </w:p>
    <w:p w:rsidR="008C15FD" w:rsidRPr="00C74DD8" w:rsidRDefault="00C74DD8" w:rsidP="008C15FD">
      <w:pPr>
        <w:jc w:val="center"/>
        <w:rPr>
          <w:rFonts w:ascii="Gill Sans MT" w:hAnsi="Gill Sans MT" w:cs="Arial"/>
          <w:b/>
          <w:bCs/>
          <w:sz w:val="20"/>
        </w:rPr>
      </w:pPr>
      <w:r w:rsidRPr="00C74DD8">
        <w:rPr>
          <w:rFonts w:ascii="Gill Sans MT" w:hAnsi="Gill Sans MT" w:cs="Arial"/>
          <w:b/>
          <w:bCs/>
          <w:sz w:val="20"/>
        </w:rPr>
        <w:t>OPEN INTERNET PRIVACY STANDARD</w:t>
      </w:r>
    </w:p>
    <w:p w:rsidR="001F3E2D" w:rsidRDefault="001F3E2D" w:rsidP="008C15FD">
      <w:pPr>
        <w:jc w:val="center"/>
        <w:rPr>
          <w:rFonts w:ascii="Gill Sans MT" w:hAnsi="Gill Sans MT" w:cs="Arial"/>
          <w:b/>
          <w:bCs/>
          <w:sz w:val="22"/>
          <w:szCs w:val="22"/>
        </w:rPr>
      </w:pPr>
    </w:p>
    <w:p w:rsidR="00C74DD8" w:rsidRDefault="00C74DD8" w:rsidP="00C74DD8">
      <w:pPr>
        <w:snapToGrid w:val="0"/>
        <w:jc w:val="center"/>
        <w:rPr>
          <w:rFonts w:ascii="Gill Sans MT" w:hAnsi="Gill Sans MT" w:cs="Courier New"/>
        </w:rPr>
      </w:pPr>
      <w:r>
        <w:rPr>
          <w:rFonts w:ascii="Gill Sans MT" w:hAnsi="Gill Sans MT" w:cs="Arial"/>
          <w:b/>
          <w:bCs/>
        </w:rPr>
        <w:t xml:space="preserve">ENFORCEMENT BUREAU GUIDANCE: BROADBAND PROVIDERS SHOULD TAKE REASONABLE, GOOD FAITH STEPS TO PROTECT CONSUMER PRIVACY </w:t>
      </w:r>
    </w:p>
    <w:p w:rsidR="0030503E" w:rsidRDefault="0030503E" w:rsidP="0030503E">
      <w:pPr>
        <w:pStyle w:val="paranum"/>
        <w:spacing w:after="120"/>
        <w:jc w:val="both"/>
        <w:rPr>
          <w:rFonts w:ascii="Gill Sans MT" w:hAnsi="Gill Sans MT" w:cs="Arial"/>
        </w:rPr>
      </w:pPr>
      <w:r>
        <w:rPr>
          <w:rFonts w:ascii="Gill Sans MT" w:hAnsi="Gill Sans MT" w:cs="Arial"/>
        </w:rPr>
        <w:t xml:space="preserve">The Commission’s </w:t>
      </w:r>
      <w:r w:rsidRPr="00496E6B">
        <w:rPr>
          <w:rFonts w:ascii="Gill Sans MT" w:hAnsi="Gill Sans MT" w:cs="Arial"/>
          <w:i/>
        </w:rPr>
        <w:t>Open Internet</w:t>
      </w:r>
      <w:r>
        <w:rPr>
          <w:rFonts w:ascii="Gill Sans MT" w:hAnsi="Gill Sans MT" w:cs="Arial"/>
        </w:rPr>
        <w:t xml:space="preserve"> </w:t>
      </w:r>
      <w:r w:rsidRPr="00496E6B">
        <w:rPr>
          <w:rFonts w:ascii="Gill Sans MT" w:hAnsi="Gill Sans MT" w:cs="Arial"/>
          <w:i/>
        </w:rPr>
        <w:t>Order</w:t>
      </w:r>
      <w:r>
        <w:rPr>
          <w:rFonts w:ascii="Gill Sans MT" w:hAnsi="Gill Sans MT" w:cs="Arial"/>
        </w:rPr>
        <w:t xml:space="preserve"> applies the core customer privacy protections of Section 222 of the Communications Act to providers of broadband </w:t>
      </w:r>
      <w:r w:rsidR="00F979ED">
        <w:rPr>
          <w:rFonts w:ascii="Gill Sans MT" w:hAnsi="Gill Sans MT" w:cs="Arial"/>
        </w:rPr>
        <w:t>I</w:t>
      </w:r>
      <w:r>
        <w:rPr>
          <w:rFonts w:ascii="Gill Sans MT" w:hAnsi="Gill Sans MT" w:cs="Arial"/>
        </w:rPr>
        <w:t>nternet access service (“BIAS”).</w:t>
      </w:r>
      <w:r>
        <w:rPr>
          <w:rStyle w:val="FootnoteReference"/>
          <w:rFonts w:ascii="Gill Sans MT" w:hAnsi="Gill Sans MT"/>
        </w:rPr>
        <w:footnoteReference w:id="1"/>
      </w:r>
      <w:r>
        <w:rPr>
          <w:rFonts w:ascii="Gill Sans MT" w:hAnsi="Gill Sans MT" w:cs="Arial"/>
        </w:rPr>
        <w:t xml:space="preserve">  The Commission</w:t>
      </w:r>
      <w:r>
        <w:rPr>
          <w:rFonts w:ascii="Gill Sans MT" w:hAnsi="Gill Sans MT" w:cs="Arial"/>
          <w:i/>
        </w:rPr>
        <w:t xml:space="preserve"> </w:t>
      </w:r>
      <w:r w:rsidRPr="00296D34">
        <w:rPr>
          <w:rFonts w:ascii="Gill Sans MT" w:hAnsi="Gill Sans MT" w:cs="Arial"/>
        </w:rPr>
        <w:t>has</w:t>
      </w:r>
      <w:r>
        <w:rPr>
          <w:rFonts w:ascii="Gill Sans MT" w:hAnsi="Gill Sans MT" w:cs="Arial"/>
          <w:i/>
        </w:rPr>
        <w:t xml:space="preserve"> </w:t>
      </w:r>
      <w:r>
        <w:rPr>
          <w:rFonts w:ascii="Gill Sans MT" w:hAnsi="Gill Sans MT" w:cs="Arial"/>
        </w:rPr>
        <w:t>found that absent privacy protections, a broadband provider’s use of personal and proprietary information could be at odds with its customers’ interests and that if consumers have concerns about the protection of their privacy, their demand for broadband may decrease.</w:t>
      </w:r>
      <w:r>
        <w:rPr>
          <w:rStyle w:val="FootnoteReference"/>
          <w:rFonts w:ascii="Gill Sans MT" w:hAnsi="Gill Sans MT"/>
        </w:rPr>
        <w:footnoteReference w:id="2"/>
      </w:r>
      <w:r>
        <w:rPr>
          <w:rFonts w:ascii="Gill Sans MT" w:hAnsi="Gill Sans MT" w:cs="Arial"/>
        </w:rPr>
        <w:t xml:space="preserve">  At the same time, the Commission declined to apply its existing telephone-centric rules implementing Section 222 and indicated that in the future it may adopt implementing rules that are tailored to broadband providers.</w:t>
      </w:r>
      <w:r>
        <w:rPr>
          <w:rStyle w:val="FootnoteReference"/>
          <w:rFonts w:ascii="Gill Sans MT" w:hAnsi="Gill Sans MT"/>
        </w:rPr>
        <w:footnoteReference w:id="3"/>
      </w:r>
      <w:r>
        <w:rPr>
          <w:rFonts w:ascii="Gill Sans MT" w:hAnsi="Gill Sans MT" w:cs="Arial"/>
        </w:rPr>
        <w:t xml:space="preserve">  As a result, the statutory provisions of Section 222 themselves will apply to broadband providers when the </w:t>
      </w:r>
      <w:r w:rsidRPr="00E12B59">
        <w:rPr>
          <w:rFonts w:ascii="Gill Sans MT" w:hAnsi="Gill Sans MT" w:cs="Arial"/>
          <w:i/>
        </w:rPr>
        <w:t>Open Internet Order</w:t>
      </w:r>
      <w:r>
        <w:rPr>
          <w:rFonts w:ascii="Gill Sans MT" w:hAnsi="Gill Sans MT" w:cs="Arial"/>
        </w:rPr>
        <w:t xml:space="preserve"> goes into effect.</w:t>
      </w:r>
    </w:p>
    <w:p w:rsidR="0030503E" w:rsidRDefault="0030503E" w:rsidP="0030503E">
      <w:pPr>
        <w:pStyle w:val="paranum"/>
        <w:jc w:val="both"/>
        <w:rPr>
          <w:rFonts w:ascii="Gill Sans MT" w:hAnsi="Gill Sans MT" w:cs="Arial"/>
        </w:rPr>
      </w:pPr>
      <w:r>
        <w:rPr>
          <w:rFonts w:ascii="Gill Sans MT" w:hAnsi="Gill Sans MT" w:cs="Arial"/>
        </w:rPr>
        <w:t xml:space="preserve">This </w:t>
      </w:r>
      <w:r w:rsidRPr="00B94F2A">
        <w:rPr>
          <w:rFonts w:ascii="Gill Sans MT" w:hAnsi="Gill Sans MT" w:cs="Arial"/>
        </w:rPr>
        <w:t>Advisory provide</w:t>
      </w:r>
      <w:r>
        <w:rPr>
          <w:rFonts w:ascii="Gill Sans MT" w:hAnsi="Gill Sans MT" w:cs="Arial"/>
        </w:rPr>
        <w:t>s</w:t>
      </w:r>
      <w:r w:rsidRPr="00B94F2A">
        <w:rPr>
          <w:rFonts w:ascii="Gill Sans MT" w:hAnsi="Gill Sans MT" w:cs="Arial"/>
        </w:rPr>
        <w:t xml:space="preserve"> guidance to </w:t>
      </w:r>
      <w:r>
        <w:rPr>
          <w:rFonts w:ascii="Gill Sans MT" w:hAnsi="Gill Sans MT" w:cs="Arial"/>
        </w:rPr>
        <w:t xml:space="preserve">broadband </w:t>
      </w:r>
      <w:r w:rsidRPr="00B94F2A">
        <w:rPr>
          <w:rFonts w:ascii="Gill Sans MT" w:hAnsi="Gill Sans MT" w:cs="Arial"/>
        </w:rPr>
        <w:t xml:space="preserve">providers about </w:t>
      </w:r>
      <w:r>
        <w:rPr>
          <w:rFonts w:ascii="Gill Sans MT" w:hAnsi="Gill Sans MT" w:cs="Arial"/>
        </w:rPr>
        <w:t xml:space="preserve">how the Enforcement Bureau intends to enforce Section 222 in connection with BIAS during the time between the effective date of the </w:t>
      </w:r>
      <w:r>
        <w:rPr>
          <w:rFonts w:ascii="Gill Sans MT" w:hAnsi="Gill Sans MT" w:cs="Arial"/>
          <w:i/>
        </w:rPr>
        <w:t>Open Internet</w:t>
      </w:r>
      <w:r>
        <w:rPr>
          <w:rFonts w:ascii="Gill Sans MT" w:hAnsi="Gill Sans MT" w:cs="Arial"/>
        </w:rPr>
        <w:t xml:space="preserve"> </w:t>
      </w:r>
      <w:r w:rsidRPr="00296D34">
        <w:rPr>
          <w:rFonts w:ascii="Gill Sans MT" w:hAnsi="Gill Sans MT" w:cs="Arial"/>
          <w:i/>
        </w:rPr>
        <w:t>Order</w:t>
      </w:r>
      <w:r>
        <w:rPr>
          <w:rFonts w:ascii="Gill Sans MT" w:hAnsi="Gill Sans MT" w:cs="Arial"/>
        </w:rPr>
        <w:t xml:space="preserve"> and any subsequent Commission action providing further guidance and/or adoption of regulations applying Section 222 more specifically to BIAS.</w:t>
      </w:r>
    </w:p>
    <w:p w:rsidR="0030503E" w:rsidRDefault="0030503E" w:rsidP="0030503E">
      <w:pPr>
        <w:pStyle w:val="paranum"/>
        <w:jc w:val="both"/>
        <w:rPr>
          <w:rFonts w:ascii="Gill Sans MT" w:hAnsi="Gill Sans MT" w:cs="Arial"/>
        </w:rPr>
      </w:pPr>
      <w:r>
        <w:rPr>
          <w:rFonts w:ascii="Gill Sans MT" w:hAnsi="Gill Sans MT" w:cs="Arial"/>
        </w:rPr>
        <w:lastRenderedPageBreak/>
        <w:t xml:space="preserve">During this period, the Enforcement Bureau intends to focus on whether broadband providers are taking reasonable, good-faith steps to comply with Section 222, rather than focusing on technical details.  By examining </w:t>
      </w:r>
      <w:r w:rsidRPr="00B94F2A">
        <w:rPr>
          <w:rFonts w:ascii="Gill Sans MT" w:hAnsi="Gill Sans MT" w:cs="Arial"/>
        </w:rPr>
        <w:t xml:space="preserve">whether a </w:t>
      </w:r>
      <w:r>
        <w:rPr>
          <w:rFonts w:ascii="Gill Sans MT" w:hAnsi="Gill Sans MT" w:cs="Arial"/>
        </w:rPr>
        <w:t xml:space="preserve">broadband </w:t>
      </w:r>
      <w:r w:rsidRPr="00B94F2A">
        <w:rPr>
          <w:rFonts w:ascii="Gill Sans MT" w:hAnsi="Gill Sans MT" w:cs="Arial"/>
        </w:rPr>
        <w:t>provider’s a</w:t>
      </w:r>
      <w:r>
        <w:rPr>
          <w:rFonts w:ascii="Gill Sans MT" w:hAnsi="Gill Sans MT" w:cs="Arial"/>
        </w:rPr>
        <w:t>cts or practices are reasonable</w:t>
      </w:r>
      <w:r w:rsidRPr="00B94F2A">
        <w:rPr>
          <w:rFonts w:ascii="Gill Sans MT" w:hAnsi="Gill Sans MT" w:cs="Arial"/>
        </w:rPr>
        <w:t xml:space="preserve"> and whether such a provider is acting in good faith to comply with </w:t>
      </w:r>
      <w:r>
        <w:rPr>
          <w:rFonts w:ascii="Gill Sans MT" w:hAnsi="Gill Sans MT" w:cs="Arial"/>
        </w:rPr>
        <w:t xml:space="preserve">Section 222, the Enforcement Bureau intends that broadband providers should employ effective privacy protections in line with their privacy policies and core tenets of basic privacy protections.  </w:t>
      </w:r>
    </w:p>
    <w:p w:rsidR="0030503E" w:rsidRDefault="0030503E" w:rsidP="0030503E">
      <w:pPr>
        <w:pStyle w:val="paranum"/>
        <w:spacing w:after="120"/>
        <w:jc w:val="both"/>
        <w:rPr>
          <w:rFonts w:ascii="Gill Sans MT" w:hAnsi="Gill Sans MT" w:cs="Arial"/>
        </w:rPr>
      </w:pPr>
      <w:r>
        <w:rPr>
          <w:rFonts w:ascii="Gill Sans MT" w:hAnsi="Gill Sans MT" w:cs="Arial"/>
        </w:rPr>
        <w:t xml:space="preserve">Moreover, the Enforcement Bureau will provide informal as well as formal guidance to broadband providers as they consider how best to comply with Section 222.  The Enforcement Bureau will provide more guidance as needed through additional enforcement advisories. In addition, </w:t>
      </w:r>
      <w:r w:rsidRPr="00296D34">
        <w:rPr>
          <w:rFonts w:ascii="Gill Sans MT" w:hAnsi="Gill Sans MT"/>
        </w:rPr>
        <w:t>as</w:t>
      </w:r>
      <w:r>
        <w:rPr>
          <w:rFonts w:ascii="Gill Sans MT" w:hAnsi="Gill Sans MT"/>
          <w:b/>
          <w:color w:val="003366"/>
        </w:rPr>
        <w:t xml:space="preserve"> </w:t>
      </w:r>
      <w:r w:rsidRPr="0055350E">
        <w:rPr>
          <w:rFonts w:ascii="Gill Sans MT" w:hAnsi="Gill Sans MT" w:cs="Arial"/>
        </w:rPr>
        <w:t xml:space="preserve">discussed in the </w:t>
      </w:r>
      <w:r w:rsidRPr="0055350E">
        <w:rPr>
          <w:rFonts w:ascii="Gill Sans MT" w:hAnsi="Gill Sans MT" w:cs="Arial"/>
          <w:i/>
        </w:rPr>
        <w:t>Open Internet Order</w:t>
      </w:r>
      <w:r>
        <w:rPr>
          <w:rFonts w:ascii="Gill Sans MT" w:hAnsi="Gill Sans MT" w:cs="Arial"/>
        </w:rPr>
        <w:t xml:space="preserve">, broadband providers may request </w:t>
      </w:r>
      <w:r w:rsidRPr="0055350E">
        <w:rPr>
          <w:rFonts w:ascii="Gill Sans MT" w:hAnsi="Gill Sans MT" w:cs="Arial"/>
        </w:rPr>
        <w:t xml:space="preserve">advisory opinions to </w:t>
      </w:r>
      <w:r>
        <w:rPr>
          <w:rFonts w:ascii="Gill Sans MT" w:hAnsi="Gill Sans MT" w:cs="Arial"/>
        </w:rPr>
        <w:t xml:space="preserve">gain further insight as to whether their anticipated </w:t>
      </w:r>
      <w:r w:rsidRPr="0055350E">
        <w:rPr>
          <w:rFonts w:ascii="Gill Sans MT" w:hAnsi="Gill Sans MT" w:cs="Arial"/>
        </w:rPr>
        <w:t>future course of conduct</w:t>
      </w:r>
      <w:r>
        <w:rPr>
          <w:rFonts w:ascii="Gill Sans MT" w:hAnsi="Gill Sans MT" w:cs="Arial"/>
        </w:rPr>
        <w:t xml:space="preserve"> </w:t>
      </w:r>
      <w:r w:rsidRPr="0055350E">
        <w:rPr>
          <w:rFonts w:ascii="Gill Sans MT" w:hAnsi="Gill Sans MT" w:cs="Arial"/>
        </w:rPr>
        <w:t xml:space="preserve">comports with </w:t>
      </w:r>
      <w:r>
        <w:rPr>
          <w:rFonts w:ascii="Gill Sans MT" w:hAnsi="Gill Sans MT" w:cs="Arial"/>
        </w:rPr>
        <w:t xml:space="preserve">the </w:t>
      </w:r>
      <w:r w:rsidRPr="0055350E">
        <w:rPr>
          <w:rFonts w:ascii="Gill Sans MT" w:hAnsi="Gill Sans MT" w:cs="Arial"/>
          <w:i/>
        </w:rPr>
        <w:t>Open Internet Order</w:t>
      </w:r>
      <w:r w:rsidRPr="0055350E">
        <w:rPr>
          <w:rFonts w:ascii="Gill Sans MT" w:hAnsi="Gill Sans MT" w:cs="Arial"/>
        </w:rPr>
        <w:t xml:space="preserve">. </w:t>
      </w:r>
      <w:r>
        <w:rPr>
          <w:rFonts w:ascii="Gill Sans MT" w:hAnsi="Gill Sans MT" w:cs="Arial"/>
        </w:rPr>
        <w:t xml:space="preserve"> Although no broadband provider is in any way required to consult with the Enforcement Bureau, the existence of such a request for guidance will tend to show that the broadband provider is acting in good faith.</w:t>
      </w:r>
      <w:r>
        <w:rPr>
          <w:rStyle w:val="FootnoteReference"/>
          <w:rFonts w:ascii="Gill Sans MT" w:hAnsi="Gill Sans MT"/>
        </w:rPr>
        <w:footnoteReference w:id="4"/>
      </w:r>
      <w:r>
        <w:rPr>
          <w:rFonts w:ascii="Gill Sans MT" w:hAnsi="Gill Sans MT" w:cs="Arial"/>
        </w:rPr>
        <w:t xml:space="preserve">  The application of Section 222 offers an opportunity for broadband customers to increase their demand for broadband by knowing that their privacy is well-protected.  In that goal, the Enforcement Bureau believes its interests and those of the great majority of broadband providers are firmly aligned.</w:t>
      </w:r>
    </w:p>
    <w:p w:rsidR="0030503E" w:rsidRPr="00B94F2A" w:rsidRDefault="0030503E" w:rsidP="0030503E">
      <w:pPr>
        <w:pStyle w:val="paranum"/>
        <w:spacing w:after="120"/>
        <w:jc w:val="both"/>
        <w:rPr>
          <w:rFonts w:ascii="Gill Sans MT" w:hAnsi="Gill Sans MT" w:cs="Arial"/>
        </w:rPr>
      </w:pPr>
      <w:r w:rsidRPr="00B94F2A">
        <w:rPr>
          <w:rFonts w:ascii="Gill Sans MT" w:hAnsi="Gill Sans MT"/>
          <w:b/>
          <w:color w:val="003366"/>
        </w:rPr>
        <w:t>Need More Information?</w:t>
      </w:r>
      <w:r w:rsidRPr="00B94F2A">
        <w:rPr>
          <w:rFonts w:ascii="Gill Sans MT" w:hAnsi="Gill Sans MT"/>
          <w:b/>
        </w:rPr>
        <w:t xml:space="preserve">  </w:t>
      </w:r>
      <w:r w:rsidRPr="00B94F2A">
        <w:rPr>
          <w:rFonts w:ascii="Gill Sans MT" w:hAnsi="Gill Sans MT" w:cs="Arial"/>
        </w:rPr>
        <w:t xml:space="preserve">Media inquiries should be directed to </w:t>
      </w:r>
      <w:r w:rsidR="0053408E">
        <w:rPr>
          <w:rFonts w:ascii="Gill Sans MT" w:hAnsi="Gill Sans MT" w:cs="Arial"/>
        </w:rPr>
        <w:t xml:space="preserve">Neil Grace </w:t>
      </w:r>
      <w:r w:rsidRPr="00B94F2A">
        <w:rPr>
          <w:rFonts w:ascii="Gill Sans MT" w:hAnsi="Gill Sans MT" w:cs="Arial"/>
        </w:rPr>
        <w:t>at 202-418-</w:t>
      </w:r>
      <w:r w:rsidR="00CB05B3">
        <w:rPr>
          <w:rFonts w:ascii="Gill Sans MT" w:hAnsi="Gill Sans MT" w:cs="Arial"/>
        </w:rPr>
        <w:t>0506</w:t>
      </w:r>
      <w:r w:rsidRPr="00B94F2A">
        <w:rPr>
          <w:rFonts w:ascii="Gill Sans MT" w:hAnsi="Gill Sans MT" w:cs="Arial"/>
        </w:rPr>
        <w:t xml:space="preserve"> or </w:t>
      </w:r>
      <w:hyperlink r:id="rId14" w:history="1">
        <w:r w:rsidR="0053408E" w:rsidRPr="005018F0">
          <w:rPr>
            <w:rStyle w:val="Hyperlink"/>
            <w:rFonts w:ascii="Gill Sans MT" w:hAnsi="Gill Sans MT" w:cs="Arial"/>
          </w:rPr>
          <w:t>neil.grace@fcc.gov</w:t>
        </w:r>
      </w:hyperlink>
      <w:r w:rsidR="0053408E">
        <w:rPr>
          <w:rFonts w:ascii="Gill Sans MT" w:hAnsi="Gill Sans MT" w:cs="Arial"/>
        </w:rPr>
        <w:t xml:space="preserve">. </w:t>
      </w:r>
      <w:r w:rsidRPr="00B94F2A">
        <w:rPr>
          <w:rFonts w:ascii="Gill Sans MT" w:hAnsi="Gill Sans MT" w:cs="Arial"/>
        </w:rPr>
        <w:t xml:space="preserve">Information about the FCC’s Open Internet proceeding is available at </w:t>
      </w:r>
      <w:hyperlink r:id="rId15" w:history="1">
        <w:r w:rsidR="0053408E" w:rsidRPr="005018F0">
          <w:rPr>
            <w:rStyle w:val="Hyperlink"/>
            <w:rFonts w:ascii="Gill Sans MT" w:hAnsi="Gill Sans MT" w:cs="Arial"/>
          </w:rPr>
          <w:t>http://www.fcc.gov/openinternet</w:t>
        </w:r>
      </w:hyperlink>
      <w:r w:rsidR="0053408E">
        <w:rPr>
          <w:rFonts w:ascii="Gill Sans MT" w:hAnsi="Gill Sans MT" w:cs="Arial"/>
        </w:rPr>
        <w:t xml:space="preserve">. </w:t>
      </w:r>
      <w:r w:rsidRPr="00B94F2A">
        <w:rPr>
          <w:rFonts w:ascii="Gill Sans MT" w:hAnsi="Gill Sans MT" w:cs="Arial"/>
        </w:rPr>
        <w:t>For general information on the FCC, you can contact the FCC at 1-888-CALL-FCC (1-888-225-5322) or visit our website at www.fcc.gov.</w:t>
      </w:r>
    </w:p>
    <w:p w:rsidR="0030503E" w:rsidRPr="00B94F2A" w:rsidRDefault="0030503E" w:rsidP="0030503E">
      <w:pPr>
        <w:pStyle w:val="paranum"/>
        <w:spacing w:before="0" w:beforeAutospacing="0" w:after="120" w:afterAutospacing="0"/>
        <w:jc w:val="both"/>
        <w:rPr>
          <w:rFonts w:ascii="Gill Sans MT" w:hAnsi="Gill Sans MT" w:cs="Arial"/>
        </w:rPr>
      </w:pPr>
      <w:r w:rsidRPr="00B94F2A">
        <w:rPr>
          <w:rFonts w:ascii="Gill Sans MT" w:hAnsi="Gill Sans MT" w:cs="Arial"/>
        </w:rPr>
        <w:t xml:space="preserve">To request materials in accessible formats for people with disabilities (Braille, large print, electronic files, audio format), send an e-mail to fcc504@fcc.gov or call the Consumer &amp; Governmental Affairs Bureau at 202-418-0530 (voice), (202) 418-0432 (TTY).  </w:t>
      </w:r>
    </w:p>
    <w:p w:rsidR="0030503E" w:rsidRPr="00B94F2A" w:rsidRDefault="0030503E" w:rsidP="0030503E">
      <w:pPr>
        <w:pStyle w:val="paranum"/>
        <w:ind w:left="5580"/>
        <w:jc w:val="center"/>
        <w:rPr>
          <w:rFonts w:ascii="Gill Sans MT" w:hAnsi="Gill Sans MT" w:cs="Arial"/>
        </w:rPr>
      </w:pPr>
      <w:r w:rsidRPr="00B94F2A">
        <w:rPr>
          <w:rFonts w:ascii="Gill Sans MT" w:hAnsi="Gill Sans MT" w:cs="Arial"/>
        </w:rPr>
        <w:t>Issue</w:t>
      </w:r>
      <w:r>
        <w:rPr>
          <w:rFonts w:ascii="Gill Sans MT" w:hAnsi="Gill Sans MT" w:cs="Arial"/>
        </w:rPr>
        <w:t>d by: Chief, Enforcement Bureau</w:t>
      </w:r>
    </w:p>
    <w:p w:rsidR="00E64F72" w:rsidRDefault="00E64F72" w:rsidP="000221C9">
      <w:pPr>
        <w:tabs>
          <w:tab w:val="right" w:pos="10200"/>
        </w:tabs>
        <w:ind w:left="6480" w:right="432"/>
      </w:pPr>
    </w:p>
    <w:sectPr w:rsidR="00E64F72">
      <w:endnotePr>
        <w:numFmt w:val="decimal"/>
      </w:endnotePr>
      <w:type w:val="continuous"/>
      <w:pgSz w:w="12240" w:h="15840" w:code="1"/>
      <w:pgMar w:top="1008" w:right="720" w:bottom="576" w:left="1008" w:header="576"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11" w:rsidRDefault="00E60E11" w:rsidP="008C15FD">
      <w:r>
        <w:separator/>
      </w:r>
    </w:p>
  </w:endnote>
  <w:endnote w:type="continuationSeparator" w:id="0">
    <w:p w:rsidR="00E60E11" w:rsidRDefault="00E60E11" w:rsidP="008C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9" w:rsidRDefault="00B66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Default="00E20401">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56679A">
      <w:rPr>
        <w:rFonts w:ascii="Gill Sans MT" w:hAnsi="Gill Sans MT" w:cs="Arial"/>
        <w:noProof/>
        <w:sz w:val="20"/>
      </w:rPr>
      <w:t>2</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56679A">
      <w:rPr>
        <w:rFonts w:ascii="Gill Sans MT" w:hAnsi="Gill Sans MT" w:cs="Arial"/>
        <w:noProof/>
        <w:sz w:val="20"/>
      </w:rPr>
      <w:t>2</w:t>
    </w:r>
    <w:r>
      <w:rPr>
        <w:rFonts w:ascii="Gill Sans MT" w:hAnsi="Gill Sans MT"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Default="00E20401">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56679A">
      <w:rPr>
        <w:rFonts w:ascii="Gill Sans MT" w:hAnsi="Gill Sans MT" w:cs="Arial"/>
        <w:noProof/>
        <w:sz w:val="20"/>
      </w:rPr>
      <w:t>1</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56679A">
      <w:rPr>
        <w:rFonts w:ascii="Gill Sans MT" w:hAnsi="Gill Sans MT" w:cs="Arial"/>
        <w:noProof/>
        <w:sz w:val="20"/>
      </w:rPr>
      <w:t>1</w:t>
    </w:r>
    <w:r>
      <w:rPr>
        <w:rFonts w:ascii="Gill Sans MT" w:hAnsi="Gill Sans MT"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11" w:rsidRDefault="00E60E11" w:rsidP="008C15FD">
      <w:r>
        <w:separator/>
      </w:r>
    </w:p>
  </w:footnote>
  <w:footnote w:type="continuationSeparator" w:id="0">
    <w:p w:rsidR="00E60E11" w:rsidRDefault="00E60E11" w:rsidP="008C15FD">
      <w:r>
        <w:continuationSeparator/>
      </w:r>
    </w:p>
  </w:footnote>
  <w:footnote w:id="1">
    <w:p w:rsidR="0030503E" w:rsidRPr="0030503E" w:rsidRDefault="0030503E" w:rsidP="0030503E">
      <w:pPr>
        <w:pStyle w:val="FootnoteText"/>
        <w:spacing w:after="120"/>
        <w:rPr>
          <w:rFonts w:ascii="Gill Sans MT" w:hAnsi="Gill Sans MT"/>
          <w:sz w:val="20"/>
        </w:rPr>
      </w:pPr>
      <w:r w:rsidRPr="0030503E">
        <w:rPr>
          <w:rStyle w:val="FootnoteReference"/>
          <w:rFonts w:ascii="Gill Sans MT" w:hAnsi="Gill Sans MT"/>
          <w:sz w:val="20"/>
        </w:rPr>
        <w:footnoteRef/>
      </w:r>
      <w:r w:rsidRPr="0030503E">
        <w:rPr>
          <w:rFonts w:ascii="Gill Sans MT" w:hAnsi="Gill Sans MT"/>
          <w:sz w:val="20"/>
        </w:rPr>
        <w:t xml:space="preserve"> </w:t>
      </w:r>
      <w:r w:rsidRPr="0030503E">
        <w:rPr>
          <w:rFonts w:ascii="Gill Sans MT" w:hAnsi="Gill Sans MT"/>
          <w:i/>
          <w:sz w:val="20"/>
        </w:rPr>
        <w:t>Protecting and Promoting the Open Internet</w:t>
      </w:r>
      <w:r w:rsidRPr="0030503E">
        <w:rPr>
          <w:rFonts w:ascii="Gill Sans MT" w:hAnsi="Gill Sans MT"/>
          <w:sz w:val="20"/>
        </w:rPr>
        <w:t>, GN Docket No. 14-28, Report and Order on Remand, Declaratory Ruling, Order, FCC 15-24, 2015 WL 1120110, at *140-41, paras. 463-64 (2015) (</w:t>
      </w:r>
      <w:r w:rsidRPr="0030503E">
        <w:rPr>
          <w:rFonts w:ascii="Gill Sans MT" w:hAnsi="Gill Sans MT"/>
          <w:i/>
          <w:sz w:val="20"/>
        </w:rPr>
        <w:t>Open Internet Order</w:t>
      </w:r>
      <w:r w:rsidRPr="0030503E">
        <w:rPr>
          <w:rFonts w:ascii="Gill Sans MT" w:hAnsi="Gill Sans MT"/>
          <w:sz w:val="20"/>
        </w:rPr>
        <w:t>).</w:t>
      </w:r>
    </w:p>
  </w:footnote>
  <w:footnote w:id="2">
    <w:p w:rsidR="0030503E" w:rsidRPr="0030503E" w:rsidRDefault="0030503E" w:rsidP="0030503E">
      <w:pPr>
        <w:pStyle w:val="FootnoteText"/>
        <w:spacing w:after="120"/>
        <w:rPr>
          <w:rFonts w:ascii="Gill Sans MT" w:hAnsi="Gill Sans MT"/>
          <w:i/>
          <w:sz w:val="20"/>
        </w:rPr>
      </w:pPr>
      <w:r w:rsidRPr="0030503E">
        <w:rPr>
          <w:rStyle w:val="FootnoteReference"/>
          <w:rFonts w:ascii="Gill Sans MT" w:hAnsi="Gill Sans MT"/>
          <w:sz w:val="20"/>
        </w:rPr>
        <w:footnoteRef/>
      </w:r>
      <w:r w:rsidRPr="0030503E">
        <w:rPr>
          <w:rFonts w:ascii="Gill Sans MT" w:hAnsi="Gill Sans MT"/>
          <w:sz w:val="20"/>
        </w:rPr>
        <w:t xml:space="preserve"> </w:t>
      </w:r>
      <w:r w:rsidRPr="0030503E">
        <w:rPr>
          <w:rFonts w:ascii="Gill Sans MT" w:hAnsi="Gill Sans MT"/>
          <w:i/>
          <w:sz w:val="20"/>
        </w:rPr>
        <w:t>Id.</w:t>
      </w:r>
      <w:r w:rsidRPr="0030503E">
        <w:rPr>
          <w:rFonts w:ascii="Gill Sans MT" w:hAnsi="Gill Sans MT"/>
          <w:sz w:val="20"/>
        </w:rPr>
        <w:t xml:space="preserve"> </w:t>
      </w:r>
    </w:p>
  </w:footnote>
  <w:footnote w:id="3">
    <w:p w:rsidR="0030503E" w:rsidRPr="0030503E" w:rsidRDefault="0030503E" w:rsidP="0030503E">
      <w:pPr>
        <w:pStyle w:val="FootnoteText"/>
        <w:spacing w:after="120"/>
        <w:rPr>
          <w:rFonts w:ascii="Gill Sans MT" w:hAnsi="Gill Sans MT"/>
          <w:sz w:val="20"/>
        </w:rPr>
      </w:pPr>
      <w:r w:rsidRPr="0030503E">
        <w:rPr>
          <w:rStyle w:val="FootnoteReference"/>
          <w:rFonts w:ascii="Gill Sans MT" w:hAnsi="Gill Sans MT"/>
          <w:sz w:val="20"/>
        </w:rPr>
        <w:footnoteRef/>
      </w:r>
      <w:r w:rsidRPr="0030503E">
        <w:rPr>
          <w:rFonts w:ascii="Gill Sans MT" w:hAnsi="Gill Sans MT"/>
          <w:sz w:val="20"/>
        </w:rPr>
        <w:t xml:space="preserve"> </w:t>
      </w:r>
      <w:r w:rsidRPr="0030503E">
        <w:rPr>
          <w:rFonts w:ascii="Gill Sans MT" w:hAnsi="Gill Sans MT"/>
          <w:i/>
          <w:sz w:val="20"/>
        </w:rPr>
        <w:t>Id.</w:t>
      </w:r>
      <w:r w:rsidRPr="0030503E">
        <w:rPr>
          <w:rFonts w:ascii="Gill Sans MT" w:hAnsi="Gill Sans MT"/>
          <w:sz w:val="20"/>
        </w:rPr>
        <w:t xml:space="preserve"> at *140, para. 462.  Given the Commission’s forbearance from the telephone-centric Section 222 rules, the Commission’s prior decisions interpreting and implementing Section 222(c) in the telephone context are not binding as to BIAS.  </w:t>
      </w:r>
    </w:p>
  </w:footnote>
  <w:footnote w:id="4">
    <w:p w:rsidR="0030503E" w:rsidRPr="0030503E" w:rsidRDefault="0030503E" w:rsidP="0030503E">
      <w:pPr>
        <w:pStyle w:val="FootnoteText"/>
        <w:spacing w:after="120"/>
        <w:rPr>
          <w:rFonts w:ascii="Gill Sans MT" w:hAnsi="Gill Sans MT"/>
          <w:sz w:val="20"/>
        </w:rPr>
      </w:pPr>
      <w:r w:rsidRPr="0030503E">
        <w:rPr>
          <w:rStyle w:val="FootnoteReference"/>
          <w:rFonts w:ascii="Gill Sans MT" w:hAnsi="Gill Sans MT"/>
          <w:sz w:val="20"/>
        </w:rPr>
        <w:footnoteRef/>
      </w:r>
      <w:r w:rsidRPr="0030503E">
        <w:rPr>
          <w:rFonts w:ascii="Gill Sans MT" w:hAnsi="Gill Sans MT"/>
          <w:sz w:val="20"/>
        </w:rPr>
        <w:t xml:space="preserve"> The decision of a broadband provider not to seek the Enforcement Bureau’s views will not be relevant to a consideration of reasonableness or good faith.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9" w:rsidRDefault="00B66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9" w:rsidRDefault="00B66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Pr="008C15FD" w:rsidRDefault="008C15FD">
    <w:pPr>
      <w:pStyle w:val="Header"/>
      <w:tabs>
        <w:tab w:val="clear" w:pos="4320"/>
        <w:tab w:val="clear" w:pos="8640"/>
      </w:tabs>
      <w:spacing w:before="40"/>
      <w:ind w:firstLine="1080"/>
      <w:rPr>
        <w:rFonts w:ascii="Arial" w:hAnsi="Arial" w:cs="Arial"/>
        <w:b/>
        <w:kern w:val="28"/>
        <w:sz w:val="96"/>
      </w:rPr>
    </w:pPr>
    <w:r w:rsidRPr="008C15FD">
      <w:rPr>
        <w:rFonts w:ascii="Arial" w:hAnsi="Arial" w:cs="Arial"/>
        <w:noProof/>
      </w:rPr>
      <w:drawing>
        <wp:anchor distT="0" distB="0" distL="114300" distR="114300" simplePos="0" relativeHeight="251662336" behindDoc="0" locked="0" layoutInCell="0" allowOverlap="1" wp14:anchorId="58A13F23" wp14:editId="3D001016">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5FD">
      <w:rPr>
        <w:rFonts w:ascii="Arial" w:hAnsi="Arial" w:cs="Arial"/>
        <w:noProof/>
      </w:rPr>
      <mc:AlternateContent>
        <mc:Choice Requires="wps">
          <w:drawing>
            <wp:anchor distT="0" distB="0" distL="114300" distR="114300" simplePos="0" relativeHeight="251659264" behindDoc="0" locked="0" layoutInCell="0" allowOverlap="1" wp14:anchorId="4675E4D3" wp14:editId="33D83B69">
              <wp:simplePos x="0" y="0"/>
              <wp:positionH relativeFrom="column">
                <wp:posOffset>604520</wp:posOffset>
              </wp:positionH>
              <wp:positionV relativeFrom="paragraph">
                <wp:posOffset>731520</wp:posOffset>
              </wp:positionV>
              <wp:extent cx="3108960" cy="640080"/>
              <wp:effectExtent l="4445" t="190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E72" w:rsidRDefault="00E20401">
                          <w:pPr>
                            <w:rPr>
                              <w:rFonts w:ascii="Arial" w:hAnsi="Arial"/>
                              <w:b/>
                            </w:rPr>
                          </w:pPr>
                          <w:r>
                            <w:rPr>
                              <w:rFonts w:ascii="Arial" w:hAnsi="Arial"/>
                              <w:b/>
                            </w:rPr>
                            <w:t>Federal Communications Commission</w:t>
                          </w:r>
                        </w:p>
                        <w:p w:rsidR="00CD0E72" w:rsidRDefault="00E204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0E72" w:rsidRDefault="00E20401">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LvODKmB&#10;AgAADwUAAA4AAAAAAAAAAAAAAAAALgIAAGRycy9lMm9Eb2MueG1sUEsBAi0AFAAGAAgAAAAhAGBZ&#10;2b/eAAAACgEAAA8AAAAAAAAAAAAAAAAA2wQAAGRycy9kb3ducmV2LnhtbFBLBQYAAAAABAAEAPMA&#10;AADmBQAAAAA=&#10;" o:allowincell="f" stroked="f">
              <v:textbox>
                <w:txbxContent>
                  <w:p w:rsidR="00CD0E72" w:rsidRDefault="00E20401">
                    <w:pPr>
                      <w:rPr>
                        <w:rFonts w:ascii="Arial" w:hAnsi="Arial"/>
                        <w:b/>
                      </w:rPr>
                    </w:pPr>
                    <w:r>
                      <w:rPr>
                        <w:rFonts w:ascii="Arial" w:hAnsi="Arial"/>
                        <w:b/>
                      </w:rPr>
                      <w:t>Federal Communications Commission</w:t>
                    </w:r>
                  </w:p>
                  <w:p w:rsidR="00CD0E72" w:rsidRDefault="00E204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0E72" w:rsidRDefault="00E20401">
                    <w:pPr>
                      <w:rPr>
                        <w:rFonts w:ascii="Arial" w:hAnsi="Arial"/>
                      </w:rPr>
                    </w:pPr>
                    <w:r>
                      <w:rPr>
                        <w:rFonts w:ascii="Arial" w:hAnsi="Arial"/>
                        <w:b/>
                      </w:rPr>
                      <w:t>Washington, D.C. 20554</w:t>
                    </w:r>
                  </w:p>
                </w:txbxContent>
              </v:textbox>
            </v:shape>
          </w:pict>
        </mc:Fallback>
      </mc:AlternateContent>
    </w:r>
    <w:r w:rsidR="00E20401" w:rsidRPr="008C15FD">
      <w:rPr>
        <w:rFonts w:ascii="Arial" w:hAnsi="Arial" w:cs="Arial"/>
        <w:b/>
        <w:kern w:val="28"/>
        <w:sz w:val="96"/>
      </w:rPr>
      <w:t>PUBLIC NOTICE</w:t>
    </w:r>
  </w:p>
  <w:p w:rsidR="00CD0E72" w:rsidRDefault="008C15FD">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14:anchorId="30AE85C4" wp14:editId="324E6D6C">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HHIQ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aAhBxyECAAA5BAAADgAAAAAAAAAAAAAAAAAuAgAAZHJzL2Uyb0RvYy54bWxQ&#10;SwECLQAUAAYACAAAACEA9acbpN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61312" behindDoc="0" locked="0" layoutInCell="0" allowOverlap="1" wp14:anchorId="05C88B13" wp14:editId="798C0C46">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E72" w:rsidRDefault="00E20401">
                          <w:pPr>
                            <w:spacing w:before="40"/>
                            <w:jc w:val="right"/>
                            <w:rPr>
                              <w:rFonts w:ascii="Arial" w:hAnsi="Arial"/>
                              <w:b/>
                              <w:sz w:val="16"/>
                            </w:rPr>
                          </w:pPr>
                          <w:r>
                            <w:rPr>
                              <w:rFonts w:ascii="Arial" w:hAnsi="Arial"/>
                              <w:b/>
                              <w:sz w:val="16"/>
                            </w:rPr>
                            <w:t>News Media Information 202 / 418-0500</w:t>
                          </w:r>
                        </w:p>
                        <w:p w:rsidR="00CD0E72" w:rsidRDefault="00E2040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D0E72" w:rsidRDefault="00E20401">
                          <w:pPr>
                            <w:jc w:val="right"/>
                            <w:rPr>
                              <w:rFonts w:ascii="Arial" w:hAnsi="Arial"/>
                              <w:b/>
                              <w:sz w:val="16"/>
                            </w:rPr>
                          </w:pPr>
                          <w:r>
                            <w:rPr>
                              <w:rFonts w:ascii="Arial" w:hAnsi="Arial"/>
                              <w:b/>
                              <w:sz w:val="16"/>
                            </w:rPr>
                            <w:t>TTY: 1-888-835-5322</w:t>
                          </w:r>
                        </w:p>
                        <w:p w:rsidR="00CD0E72" w:rsidRDefault="00CD0E7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XjgAIAAA4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NG0Xj&#10;gAIAAA4FAAAOAAAAAAAAAAAAAAAAAC4CAABkcnMvZTJvRG9jLnhtbFBLAQItABQABgAIAAAAIQDT&#10;zOG04AAAAAsBAAAPAAAAAAAAAAAAAAAAANoEAABkcnMvZG93bnJldi54bWxQSwUGAAAAAAQABADz&#10;AAAA5wUAAAAA&#10;" o:allowincell="f" stroked="f">
              <v:textbox inset=",0,,0">
                <w:txbxContent>
                  <w:p w:rsidR="00CD0E72" w:rsidRDefault="00E20401">
                    <w:pPr>
                      <w:spacing w:before="40"/>
                      <w:jc w:val="right"/>
                      <w:rPr>
                        <w:rFonts w:ascii="Arial" w:hAnsi="Arial"/>
                        <w:b/>
                        <w:sz w:val="16"/>
                      </w:rPr>
                    </w:pPr>
                    <w:r>
                      <w:rPr>
                        <w:rFonts w:ascii="Arial" w:hAnsi="Arial"/>
                        <w:b/>
                        <w:sz w:val="16"/>
                      </w:rPr>
                      <w:t>News Media Information 202 / 418-0500</w:t>
                    </w:r>
                  </w:p>
                  <w:p w:rsidR="00CD0E72" w:rsidRDefault="00E2040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D0E72" w:rsidRDefault="00E20401">
                    <w:pPr>
                      <w:jc w:val="right"/>
                      <w:rPr>
                        <w:rFonts w:ascii="Arial" w:hAnsi="Arial"/>
                        <w:b/>
                        <w:sz w:val="16"/>
                      </w:rPr>
                    </w:pPr>
                    <w:r>
                      <w:rPr>
                        <w:rFonts w:ascii="Arial" w:hAnsi="Arial"/>
                        <w:b/>
                        <w:sz w:val="16"/>
                      </w:rPr>
                      <w:t>TTY: 1-888-835-5322</w:t>
                    </w:r>
                  </w:p>
                  <w:p w:rsidR="00CD0E72" w:rsidRDefault="00CD0E72">
                    <w:pPr>
                      <w:jc w:val="right"/>
                    </w:pPr>
                  </w:p>
                </w:txbxContent>
              </v:textbox>
            </v:shape>
          </w:pict>
        </mc:Fallback>
      </mc:AlternateContent>
    </w:r>
  </w:p>
  <w:p w:rsidR="00CD0E72" w:rsidRDefault="00CD0E7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3355"/>
    <w:multiLevelType w:val="hybridMultilevel"/>
    <w:tmpl w:val="1534E4F2"/>
    <w:lvl w:ilvl="0" w:tplc="6FA4736C">
      <w:start w:val="1"/>
      <w:numFmt w:val="bullet"/>
      <w:lvlText w:val=""/>
      <w:lvlJc w:val="left"/>
      <w:pPr>
        <w:tabs>
          <w:tab w:val="num" w:pos="1080"/>
        </w:tabs>
        <w:ind w:left="1080" w:hanging="360"/>
      </w:pPr>
      <w:rPr>
        <w:rFonts w:ascii="Wingdings" w:hAnsi="Wingdings" w:hint="default"/>
        <w:color w:val="0033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752722A"/>
    <w:multiLevelType w:val="hybridMultilevel"/>
    <w:tmpl w:val="22AC72B0"/>
    <w:lvl w:ilvl="0" w:tplc="6FA4736C">
      <w:start w:val="1"/>
      <w:numFmt w:val="bullet"/>
      <w:lvlText w:val=""/>
      <w:lvlJc w:val="left"/>
      <w:pPr>
        <w:tabs>
          <w:tab w:val="num" w:pos="1440"/>
        </w:tabs>
        <w:ind w:left="144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FD"/>
    <w:rsid w:val="000221C9"/>
    <w:rsid w:val="000F7A2E"/>
    <w:rsid w:val="0010514B"/>
    <w:rsid w:val="001460FD"/>
    <w:rsid w:val="00156389"/>
    <w:rsid w:val="00180C14"/>
    <w:rsid w:val="001930B7"/>
    <w:rsid w:val="00195CCC"/>
    <w:rsid w:val="001E2081"/>
    <w:rsid w:val="001F3E2D"/>
    <w:rsid w:val="002A6653"/>
    <w:rsid w:val="002D1980"/>
    <w:rsid w:val="0030503E"/>
    <w:rsid w:val="00322815"/>
    <w:rsid w:val="00351695"/>
    <w:rsid w:val="00403C64"/>
    <w:rsid w:val="00450E31"/>
    <w:rsid w:val="00451DD0"/>
    <w:rsid w:val="004F215D"/>
    <w:rsid w:val="0053408E"/>
    <w:rsid w:val="0056679A"/>
    <w:rsid w:val="00587823"/>
    <w:rsid w:val="005E609F"/>
    <w:rsid w:val="00613B74"/>
    <w:rsid w:val="00687FD9"/>
    <w:rsid w:val="0072500C"/>
    <w:rsid w:val="00727C18"/>
    <w:rsid w:val="00732E32"/>
    <w:rsid w:val="007B0282"/>
    <w:rsid w:val="00853F6E"/>
    <w:rsid w:val="0086167D"/>
    <w:rsid w:val="008B5B9B"/>
    <w:rsid w:val="008C15FD"/>
    <w:rsid w:val="008C43F6"/>
    <w:rsid w:val="009C3EB2"/>
    <w:rsid w:val="00A01154"/>
    <w:rsid w:val="00A92099"/>
    <w:rsid w:val="00AA47EA"/>
    <w:rsid w:val="00B147BA"/>
    <w:rsid w:val="00B66CC9"/>
    <w:rsid w:val="00B76FFB"/>
    <w:rsid w:val="00BB138D"/>
    <w:rsid w:val="00BE2873"/>
    <w:rsid w:val="00C74DD8"/>
    <w:rsid w:val="00CB05B3"/>
    <w:rsid w:val="00CC2301"/>
    <w:rsid w:val="00CC41A3"/>
    <w:rsid w:val="00CD0E72"/>
    <w:rsid w:val="00D95A6F"/>
    <w:rsid w:val="00E16882"/>
    <w:rsid w:val="00E20401"/>
    <w:rsid w:val="00E60E11"/>
    <w:rsid w:val="00E614E0"/>
    <w:rsid w:val="00E64F72"/>
    <w:rsid w:val="00E674DA"/>
    <w:rsid w:val="00E979ED"/>
    <w:rsid w:val="00EC5BF4"/>
    <w:rsid w:val="00F56F2A"/>
    <w:rsid w:val="00F64A11"/>
    <w:rsid w:val="00F979ED"/>
    <w:rsid w:val="00FA07C1"/>
    <w:rsid w:val="00FB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FD"/>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5FD"/>
    <w:pPr>
      <w:tabs>
        <w:tab w:val="center" w:pos="4320"/>
        <w:tab w:val="right" w:pos="8640"/>
      </w:tabs>
    </w:pPr>
    <w:rPr>
      <w:sz w:val="22"/>
    </w:rPr>
  </w:style>
  <w:style w:type="character" w:customStyle="1" w:styleId="HeaderChar">
    <w:name w:val="Header Char"/>
    <w:basedOn w:val="DefaultParagraphFont"/>
    <w:link w:val="Header"/>
    <w:rsid w:val="008C15FD"/>
    <w:rPr>
      <w:rFonts w:ascii="Courier New" w:eastAsia="Times New Roman" w:hAnsi="Courier New" w:cs="Times New Roman"/>
      <w:szCs w:val="20"/>
    </w:rPr>
  </w:style>
  <w:style w:type="paragraph" w:styleId="Footer">
    <w:name w:val="footer"/>
    <w:basedOn w:val="Normal"/>
    <w:link w:val="FooterChar"/>
    <w:uiPriority w:val="99"/>
    <w:rsid w:val="008C15FD"/>
    <w:pPr>
      <w:tabs>
        <w:tab w:val="center" w:pos="4320"/>
        <w:tab w:val="right" w:pos="8640"/>
      </w:tabs>
    </w:pPr>
    <w:rPr>
      <w:sz w:val="22"/>
    </w:rPr>
  </w:style>
  <w:style w:type="character" w:customStyle="1" w:styleId="FooterChar">
    <w:name w:val="Footer Char"/>
    <w:basedOn w:val="DefaultParagraphFont"/>
    <w:link w:val="Footer"/>
    <w:uiPriority w:val="99"/>
    <w:rsid w:val="008C15FD"/>
    <w:rPr>
      <w:rFonts w:ascii="Courier New" w:eastAsia="Times New Roman" w:hAnsi="Courier New" w:cs="Times New Roman"/>
      <w:szCs w:val="20"/>
    </w:rPr>
  </w:style>
  <w:style w:type="character" w:styleId="Hyperlink">
    <w:name w:val="Hyperlink"/>
    <w:uiPriority w:val="99"/>
    <w:rsid w:val="008C15FD"/>
    <w:rPr>
      <w:rFonts w:cs="Times New Roman"/>
      <w:color w:val="0000FF"/>
      <w:u w:val="single"/>
    </w:rPr>
  </w:style>
  <w:style w:type="paragraph" w:customStyle="1" w:styleId="factsbody">
    <w:name w:val="factsbody"/>
    <w:basedOn w:val="Normal"/>
    <w:rsid w:val="008C15FD"/>
    <w:pPr>
      <w:widowControl/>
      <w:spacing w:before="100" w:beforeAutospacing="1" w:after="100" w:afterAutospacing="1"/>
    </w:pPr>
    <w:rPr>
      <w:rFonts w:ascii="Arial" w:hAnsi="Arial" w:cs="Arial"/>
      <w:color w:val="000000"/>
      <w:sz w:val="22"/>
      <w:szCs w:val="22"/>
    </w:rPr>
  </w:style>
  <w:style w:type="paragraph" w:styleId="ListParagraph">
    <w:name w:val="List Paragraph"/>
    <w:basedOn w:val="Normal"/>
    <w:uiPriority w:val="34"/>
    <w:qFormat/>
    <w:rsid w:val="0072500C"/>
    <w:pPr>
      <w:ind w:left="720"/>
      <w:contextualSpacing/>
    </w:pPr>
  </w:style>
  <w:style w:type="paragraph" w:styleId="BalloonText">
    <w:name w:val="Balloon Text"/>
    <w:basedOn w:val="Normal"/>
    <w:link w:val="BalloonTextChar"/>
    <w:uiPriority w:val="99"/>
    <w:semiHidden/>
    <w:unhideWhenUsed/>
    <w:rsid w:val="001F3E2D"/>
    <w:rPr>
      <w:rFonts w:ascii="Tahoma" w:hAnsi="Tahoma" w:cs="Tahoma"/>
      <w:sz w:val="16"/>
      <w:szCs w:val="16"/>
    </w:rPr>
  </w:style>
  <w:style w:type="character" w:customStyle="1" w:styleId="BalloonTextChar">
    <w:name w:val="Balloon Text Char"/>
    <w:basedOn w:val="DefaultParagraphFont"/>
    <w:link w:val="BalloonText"/>
    <w:uiPriority w:val="99"/>
    <w:semiHidden/>
    <w:rsid w:val="001F3E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1154"/>
    <w:rPr>
      <w:sz w:val="16"/>
      <w:szCs w:val="16"/>
    </w:rPr>
  </w:style>
  <w:style w:type="paragraph" w:styleId="CommentText">
    <w:name w:val="annotation text"/>
    <w:basedOn w:val="Normal"/>
    <w:link w:val="CommentTextChar"/>
    <w:uiPriority w:val="99"/>
    <w:semiHidden/>
    <w:unhideWhenUsed/>
    <w:rsid w:val="00A01154"/>
    <w:rPr>
      <w:sz w:val="20"/>
    </w:rPr>
  </w:style>
  <w:style w:type="character" w:customStyle="1" w:styleId="CommentTextChar">
    <w:name w:val="Comment Text Char"/>
    <w:basedOn w:val="DefaultParagraphFont"/>
    <w:link w:val="CommentText"/>
    <w:uiPriority w:val="99"/>
    <w:semiHidden/>
    <w:rsid w:val="00A0115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01154"/>
    <w:rPr>
      <w:b/>
      <w:bCs/>
    </w:rPr>
  </w:style>
  <w:style w:type="character" w:customStyle="1" w:styleId="CommentSubjectChar">
    <w:name w:val="Comment Subject Char"/>
    <w:basedOn w:val="CommentTextChar"/>
    <w:link w:val="CommentSubject"/>
    <w:uiPriority w:val="99"/>
    <w:semiHidden/>
    <w:rsid w:val="00A01154"/>
    <w:rPr>
      <w:rFonts w:ascii="Courier New" w:eastAsia="Times New Roman" w:hAnsi="Courier New" w:cs="Times New Roman"/>
      <w:b/>
      <w:bCs/>
      <w:sz w:val="20"/>
      <w:szCs w:val="20"/>
    </w:rPr>
  </w:style>
  <w:style w:type="character" w:styleId="FootnoteReference">
    <w:name w:val="footnote reference"/>
    <w:aliases w:val="Style 4,Appel note de bas de p,Style 12,(NECG) Footnote Reference,Style 124,Style 13,o,fr,Style 3,Footnote Reference1"/>
    <w:basedOn w:val="DefaultParagraphFont"/>
    <w:uiPriority w:val="99"/>
    <w:semiHidden/>
    <w:rsid w:val="00C74DD8"/>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2"/>
    <w:uiPriority w:val="99"/>
    <w:semiHidden/>
    <w:rsid w:val="00C74DD8"/>
    <w:pPr>
      <w:tabs>
        <w:tab w:val="left" w:pos="720"/>
      </w:tabs>
      <w:spacing w:after="200"/>
    </w:pPr>
  </w:style>
  <w:style w:type="character" w:customStyle="1" w:styleId="FootnoteTextChar">
    <w:name w:val="Footnote Text Char"/>
    <w:basedOn w:val="DefaultParagraphFont"/>
    <w:uiPriority w:val="99"/>
    <w:semiHidden/>
    <w:rsid w:val="00C74DD8"/>
    <w:rPr>
      <w:rFonts w:ascii="Courier New" w:eastAsia="Times New Roman" w:hAnsi="Courier New" w:cs="Times New Roman"/>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semiHidden/>
    <w:rsid w:val="00C74DD8"/>
    <w:rPr>
      <w:rFonts w:ascii="Courier New" w:eastAsia="Times New Roman" w:hAnsi="Courier New" w:cs="Times New Roman"/>
      <w:sz w:val="24"/>
      <w:szCs w:val="20"/>
    </w:rPr>
  </w:style>
  <w:style w:type="paragraph" w:customStyle="1" w:styleId="paranum">
    <w:name w:val="paranum"/>
    <w:basedOn w:val="Normal"/>
    <w:uiPriority w:val="99"/>
    <w:rsid w:val="00C74DD8"/>
    <w:pPr>
      <w:widowControl/>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FD"/>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5FD"/>
    <w:pPr>
      <w:tabs>
        <w:tab w:val="center" w:pos="4320"/>
        <w:tab w:val="right" w:pos="8640"/>
      </w:tabs>
    </w:pPr>
    <w:rPr>
      <w:sz w:val="22"/>
    </w:rPr>
  </w:style>
  <w:style w:type="character" w:customStyle="1" w:styleId="HeaderChar">
    <w:name w:val="Header Char"/>
    <w:basedOn w:val="DefaultParagraphFont"/>
    <w:link w:val="Header"/>
    <w:rsid w:val="008C15FD"/>
    <w:rPr>
      <w:rFonts w:ascii="Courier New" w:eastAsia="Times New Roman" w:hAnsi="Courier New" w:cs="Times New Roman"/>
      <w:szCs w:val="20"/>
    </w:rPr>
  </w:style>
  <w:style w:type="paragraph" w:styleId="Footer">
    <w:name w:val="footer"/>
    <w:basedOn w:val="Normal"/>
    <w:link w:val="FooterChar"/>
    <w:uiPriority w:val="99"/>
    <w:rsid w:val="008C15FD"/>
    <w:pPr>
      <w:tabs>
        <w:tab w:val="center" w:pos="4320"/>
        <w:tab w:val="right" w:pos="8640"/>
      </w:tabs>
    </w:pPr>
    <w:rPr>
      <w:sz w:val="22"/>
    </w:rPr>
  </w:style>
  <w:style w:type="character" w:customStyle="1" w:styleId="FooterChar">
    <w:name w:val="Footer Char"/>
    <w:basedOn w:val="DefaultParagraphFont"/>
    <w:link w:val="Footer"/>
    <w:uiPriority w:val="99"/>
    <w:rsid w:val="008C15FD"/>
    <w:rPr>
      <w:rFonts w:ascii="Courier New" w:eastAsia="Times New Roman" w:hAnsi="Courier New" w:cs="Times New Roman"/>
      <w:szCs w:val="20"/>
    </w:rPr>
  </w:style>
  <w:style w:type="character" w:styleId="Hyperlink">
    <w:name w:val="Hyperlink"/>
    <w:uiPriority w:val="99"/>
    <w:rsid w:val="008C15FD"/>
    <w:rPr>
      <w:rFonts w:cs="Times New Roman"/>
      <w:color w:val="0000FF"/>
      <w:u w:val="single"/>
    </w:rPr>
  </w:style>
  <w:style w:type="paragraph" w:customStyle="1" w:styleId="factsbody">
    <w:name w:val="factsbody"/>
    <w:basedOn w:val="Normal"/>
    <w:rsid w:val="008C15FD"/>
    <w:pPr>
      <w:widowControl/>
      <w:spacing w:before="100" w:beforeAutospacing="1" w:after="100" w:afterAutospacing="1"/>
    </w:pPr>
    <w:rPr>
      <w:rFonts w:ascii="Arial" w:hAnsi="Arial" w:cs="Arial"/>
      <w:color w:val="000000"/>
      <w:sz w:val="22"/>
      <w:szCs w:val="22"/>
    </w:rPr>
  </w:style>
  <w:style w:type="paragraph" w:styleId="ListParagraph">
    <w:name w:val="List Paragraph"/>
    <w:basedOn w:val="Normal"/>
    <w:uiPriority w:val="34"/>
    <w:qFormat/>
    <w:rsid w:val="0072500C"/>
    <w:pPr>
      <w:ind w:left="720"/>
      <w:contextualSpacing/>
    </w:pPr>
  </w:style>
  <w:style w:type="paragraph" w:styleId="BalloonText">
    <w:name w:val="Balloon Text"/>
    <w:basedOn w:val="Normal"/>
    <w:link w:val="BalloonTextChar"/>
    <w:uiPriority w:val="99"/>
    <w:semiHidden/>
    <w:unhideWhenUsed/>
    <w:rsid w:val="001F3E2D"/>
    <w:rPr>
      <w:rFonts w:ascii="Tahoma" w:hAnsi="Tahoma" w:cs="Tahoma"/>
      <w:sz w:val="16"/>
      <w:szCs w:val="16"/>
    </w:rPr>
  </w:style>
  <w:style w:type="character" w:customStyle="1" w:styleId="BalloonTextChar">
    <w:name w:val="Balloon Text Char"/>
    <w:basedOn w:val="DefaultParagraphFont"/>
    <w:link w:val="BalloonText"/>
    <w:uiPriority w:val="99"/>
    <w:semiHidden/>
    <w:rsid w:val="001F3E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1154"/>
    <w:rPr>
      <w:sz w:val="16"/>
      <w:szCs w:val="16"/>
    </w:rPr>
  </w:style>
  <w:style w:type="paragraph" w:styleId="CommentText">
    <w:name w:val="annotation text"/>
    <w:basedOn w:val="Normal"/>
    <w:link w:val="CommentTextChar"/>
    <w:uiPriority w:val="99"/>
    <w:semiHidden/>
    <w:unhideWhenUsed/>
    <w:rsid w:val="00A01154"/>
    <w:rPr>
      <w:sz w:val="20"/>
    </w:rPr>
  </w:style>
  <w:style w:type="character" w:customStyle="1" w:styleId="CommentTextChar">
    <w:name w:val="Comment Text Char"/>
    <w:basedOn w:val="DefaultParagraphFont"/>
    <w:link w:val="CommentText"/>
    <w:uiPriority w:val="99"/>
    <w:semiHidden/>
    <w:rsid w:val="00A0115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01154"/>
    <w:rPr>
      <w:b/>
      <w:bCs/>
    </w:rPr>
  </w:style>
  <w:style w:type="character" w:customStyle="1" w:styleId="CommentSubjectChar">
    <w:name w:val="Comment Subject Char"/>
    <w:basedOn w:val="CommentTextChar"/>
    <w:link w:val="CommentSubject"/>
    <w:uiPriority w:val="99"/>
    <w:semiHidden/>
    <w:rsid w:val="00A01154"/>
    <w:rPr>
      <w:rFonts w:ascii="Courier New" w:eastAsia="Times New Roman" w:hAnsi="Courier New" w:cs="Times New Roman"/>
      <w:b/>
      <w:bCs/>
      <w:sz w:val="20"/>
      <w:szCs w:val="20"/>
    </w:rPr>
  </w:style>
  <w:style w:type="character" w:styleId="FootnoteReference">
    <w:name w:val="footnote reference"/>
    <w:aliases w:val="Style 4,Appel note de bas de p,Style 12,(NECG) Footnote Reference,Style 124,Style 13,o,fr,Style 3,Footnote Reference1"/>
    <w:basedOn w:val="DefaultParagraphFont"/>
    <w:uiPriority w:val="99"/>
    <w:semiHidden/>
    <w:rsid w:val="00C74DD8"/>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2"/>
    <w:uiPriority w:val="99"/>
    <w:semiHidden/>
    <w:rsid w:val="00C74DD8"/>
    <w:pPr>
      <w:tabs>
        <w:tab w:val="left" w:pos="720"/>
      </w:tabs>
      <w:spacing w:after="200"/>
    </w:pPr>
  </w:style>
  <w:style w:type="character" w:customStyle="1" w:styleId="FootnoteTextChar">
    <w:name w:val="Footnote Text Char"/>
    <w:basedOn w:val="DefaultParagraphFont"/>
    <w:uiPriority w:val="99"/>
    <w:semiHidden/>
    <w:rsid w:val="00C74DD8"/>
    <w:rPr>
      <w:rFonts w:ascii="Courier New" w:eastAsia="Times New Roman" w:hAnsi="Courier New" w:cs="Times New Roman"/>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semiHidden/>
    <w:rsid w:val="00C74DD8"/>
    <w:rPr>
      <w:rFonts w:ascii="Courier New" w:eastAsia="Times New Roman" w:hAnsi="Courier New" w:cs="Times New Roman"/>
      <w:sz w:val="24"/>
      <w:szCs w:val="20"/>
    </w:rPr>
  </w:style>
  <w:style w:type="paragraph" w:customStyle="1" w:styleId="paranum">
    <w:name w:val="paranum"/>
    <w:basedOn w:val="Normal"/>
    <w:uiPriority w:val="99"/>
    <w:rsid w:val="00C74DD8"/>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openinter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eil.grace@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3055</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2014-12-08T21:02:00Z</cp:lastPrinted>
  <dcterms:created xsi:type="dcterms:W3CDTF">2015-05-20T18:49:00Z</dcterms:created>
  <dcterms:modified xsi:type="dcterms:W3CDTF">2015-05-20T18:49:00Z</dcterms:modified>
  <cp:category> </cp:category>
  <cp:contentStatus> </cp:contentStatus>
</cp:coreProperties>
</file>