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A2102C" w:rsidRDefault="002925D6">
      <w:pPr>
        <w:jc w:val="right"/>
        <w:rPr>
          <w:b/>
          <w:sz w:val="24"/>
        </w:rPr>
      </w:pPr>
      <w:r>
        <w:rPr>
          <w:b/>
          <w:sz w:val="24"/>
        </w:rPr>
        <w:lastRenderedPageBreak/>
        <w:t>DA 15-606</w:t>
      </w:r>
    </w:p>
    <w:p w:rsidR="00602577" w:rsidRPr="00A2102C" w:rsidRDefault="00A2102C">
      <w:pPr>
        <w:spacing w:before="60"/>
        <w:jc w:val="right"/>
        <w:rPr>
          <w:b/>
          <w:sz w:val="24"/>
        </w:rPr>
      </w:pPr>
      <w:r w:rsidRPr="00A2102C">
        <w:rPr>
          <w:b/>
          <w:sz w:val="24"/>
        </w:rPr>
        <w:t xml:space="preserve">Released: </w:t>
      </w:r>
      <w:r w:rsidR="00947AF1">
        <w:rPr>
          <w:b/>
          <w:sz w:val="24"/>
        </w:rPr>
        <w:t>May</w:t>
      </w:r>
      <w:r w:rsidRPr="00A2102C">
        <w:rPr>
          <w:b/>
          <w:sz w:val="24"/>
        </w:rPr>
        <w:t xml:space="preserve"> </w:t>
      </w:r>
      <w:r w:rsidR="002925D6">
        <w:rPr>
          <w:b/>
          <w:sz w:val="24"/>
        </w:rPr>
        <w:t>20</w:t>
      </w:r>
      <w:r w:rsidR="00947AF1">
        <w:rPr>
          <w:b/>
          <w:sz w:val="24"/>
        </w:rPr>
        <w:t>, 2015</w:t>
      </w:r>
    </w:p>
    <w:p w:rsidR="00602577" w:rsidRDefault="00602577">
      <w:pPr>
        <w:jc w:val="right"/>
        <w:rPr>
          <w:sz w:val="24"/>
        </w:rPr>
      </w:pPr>
    </w:p>
    <w:p w:rsidR="00A2102C" w:rsidRPr="00A2102C" w:rsidRDefault="00423FD3" w:rsidP="00E17C58">
      <w:pPr>
        <w:spacing w:after="240"/>
        <w:ind w:left="720" w:right="720"/>
        <w:contextualSpacing/>
        <w:jc w:val="center"/>
        <w:rPr>
          <w:b/>
          <w:sz w:val="24"/>
        </w:rPr>
      </w:pPr>
      <w:r>
        <w:rPr>
          <w:b/>
          <w:sz w:val="24"/>
        </w:rPr>
        <w:t>INCENTIVE AUCTION TASK FORCE</w:t>
      </w:r>
      <w:r w:rsidR="00947AF1">
        <w:rPr>
          <w:b/>
          <w:sz w:val="24"/>
        </w:rPr>
        <w:t xml:space="preserve"> RELEASES </w:t>
      </w:r>
      <w:r w:rsidR="00C1716F">
        <w:rPr>
          <w:b/>
          <w:sz w:val="24"/>
        </w:rPr>
        <w:t xml:space="preserve">INITIAL CLEARING TARGET OPTIMIZATION </w:t>
      </w:r>
      <w:r w:rsidR="001F381D">
        <w:rPr>
          <w:b/>
          <w:sz w:val="24"/>
        </w:rPr>
        <w:t>SIMULATIONS</w:t>
      </w:r>
    </w:p>
    <w:p w:rsidR="00973010" w:rsidRDefault="00973010" w:rsidP="00A95E4C">
      <w:pPr>
        <w:spacing w:after="240"/>
        <w:contextualSpacing/>
        <w:jc w:val="center"/>
        <w:rPr>
          <w:b/>
          <w:sz w:val="24"/>
        </w:rPr>
      </w:pPr>
    </w:p>
    <w:p w:rsidR="007E26E0" w:rsidRDefault="007E26E0" w:rsidP="00A95E4C">
      <w:pPr>
        <w:spacing w:after="240"/>
        <w:contextualSpacing/>
        <w:jc w:val="center"/>
        <w:rPr>
          <w:b/>
          <w:sz w:val="24"/>
        </w:rPr>
      </w:pPr>
      <w:r>
        <w:rPr>
          <w:b/>
          <w:sz w:val="24"/>
        </w:rPr>
        <w:t>AU Docket No. 14-252</w:t>
      </w:r>
    </w:p>
    <w:p w:rsidR="00A2102C" w:rsidRPr="00A2102C" w:rsidRDefault="00A2102C" w:rsidP="00A95E4C">
      <w:pPr>
        <w:spacing w:after="240"/>
        <w:contextualSpacing/>
        <w:jc w:val="center"/>
        <w:rPr>
          <w:b/>
          <w:sz w:val="24"/>
        </w:rPr>
      </w:pPr>
      <w:r w:rsidRPr="00A2102C">
        <w:rPr>
          <w:b/>
          <w:sz w:val="24"/>
        </w:rPr>
        <w:t>GN Docket No. 12-268</w:t>
      </w:r>
    </w:p>
    <w:p w:rsidR="00602577" w:rsidRDefault="00602577" w:rsidP="00A95E4C">
      <w:pPr>
        <w:spacing w:after="240"/>
        <w:contextualSpacing/>
        <w:jc w:val="center"/>
        <w:rPr>
          <w:b/>
          <w:sz w:val="24"/>
        </w:rPr>
      </w:pPr>
    </w:p>
    <w:p w:rsidR="00602577" w:rsidRDefault="00602577">
      <w:pPr>
        <w:jc w:val="center"/>
        <w:rPr>
          <w:sz w:val="24"/>
        </w:rPr>
      </w:pPr>
    </w:p>
    <w:p w:rsidR="00A2102C" w:rsidRDefault="00A2102C" w:rsidP="00A95E4C">
      <w:pPr>
        <w:spacing w:after="240"/>
        <w:contextualSpacing/>
        <w:rPr>
          <w:sz w:val="24"/>
        </w:rPr>
      </w:pPr>
      <w:r w:rsidRPr="00A95E4C">
        <w:rPr>
          <w:b/>
          <w:sz w:val="24"/>
        </w:rPr>
        <w:t>Comment Date:</w:t>
      </w:r>
      <w:r w:rsidRPr="00A2102C">
        <w:rPr>
          <w:sz w:val="24"/>
        </w:rPr>
        <w:t xml:space="preserve"> </w:t>
      </w:r>
      <w:r w:rsidR="002925D6">
        <w:rPr>
          <w:sz w:val="24"/>
        </w:rPr>
        <w:t>June 3, 2015</w:t>
      </w:r>
    </w:p>
    <w:p w:rsidR="000B3576" w:rsidRDefault="009E05BB" w:rsidP="00D50858">
      <w:pPr>
        <w:pStyle w:val="Para"/>
        <w:numPr>
          <w:ilvl w:val="0"/>
          <w:numId w:val="18"/>
        </w:numPr>
        <w:ind w:left="0" w:firstLine="1080"/>
        <w:rPr>
          <w:color w:val="000000"/>
          <w:szCs w:val="22"/>
        </w:rPr>
      </w:pPr>
      <w:r>
        <w:rPr>
          <w:color w:val="000000"/>
          <w:szCs w:val="22"/>
        </w:rPr>
        <w:t xml:space="preserve">By this </w:t>
      </w:r>
      <w:r w:rsidR="00186AA8">
        <w:rPr>
          <w:color w:val="000000"/>
          <w:szCs w:val="22"/>
        </w:rPr>
        <w:t>Public Notice</w:t>
      </w:r>
      <w:r>
        <w:rPr>
          <w:color w:val="000000"/>
          <w:szCs w:val="22"/>
        </w:rPr>
        <w:t xml:space="preserve">, </w:t>
      </w:r>
      <w:r w:rsidR="00423FD3">
        <w:rPr>
          <w:color w:val="000000"/>
          <w:szCs w:val="22"/>
        </w:rPr>
        <w:t xml:space="preserve">the </w:t>
      </w:r>
      <w:r w:rsidR="007E26E0">
        <w:rPr>
          <w:color w:val="000000"/>
          <w:szCs w:val="22"/>
        </w:rPr>
        <w:t xml:space="preserve">Incentive Auction </w:t>
      </w:r>
      <w:r w:rsidR="00423FD3">
        <w:rPr>
          <w:color w:val="000000"/>
          <w:szCs w:val="22"/>
        </w:rPr>
        <w:t xml:space="preserve">Task Force </w:t>
      </w:r>
      <w:r w:rsidR="001F381D">
        <w:rPr>
          <w:color w:val="000000"/>
          <w:szCs w:val="22"/>
        </w:rPr>
        <w:t>provides</w:t>
      </w:r>
      <w:r w:rsidR="007904DA">
        <w:rPr>
          <w:color w:val="000000"/>
          <w:szCs w:val="22"/>
        </w:rPr>
        <w:t xml:space="preserve"> </w:t>
      </w:r>
      <w:r w:rsidR="00F27114">
        <w:rPr>
          <w:color w:val="000000"/>
          <w:szCs w:val="22"/>
        </w:rPr>
        <w:t xml:space="preserve">the results of several </w:t>
      </w:r>
      <w:r w:rsidR="001F381D">
        <w:rPr>
          <w:color w:val="000000"/>
          <w:szCs w:val="22"/>
        </w:rPr>
        <w:t xml:space="preserve">staff </w:t>
      </w:r>
      <w:r w:rsidR="00F27114">
        <w:rPr>
          <w:color w:val="000000"/>
          <w:szCs w:val="22"/>
        </w:rPr>
        <w:t xml:space="preserve">simulations of the initial clearing target optimization procedure proposed </w:t>
      </w:r>
      <w:r w:rsidR="00E94D41">
        <w:rPr>
          <w:color w:val="000000"/>
          <w:szCs w:val="22"/>
        </w:rPr>
        <w:t xml:space="preserve">in </w:t>
      </w:r>
      <w:r>
        <w:rPr>
          <w:color w:val="000000"/>
          <w:szCs w:val="22"/>
        </w:rPr>
        <w:t xml:space="preserve">the </w:t>
      </w:r>
      <w:r w:rsidRPr="00BE59A4">
        <w:rPr>
          <w:i/>
          <w:color w:val="000000"/>
          <w:szCs w:val="22"/>
        </w:rPr>
        <w:t>Auction 1000 Comment PN</w:t>
      </w:r>
      <w:r w:rsidR="00E94D41">
        <w:rPr>
          <w:i/>
          <w:color w:val="000000"/>
          <w:szCs w:val="22"/>
        </w:rPr>
        <w:t>,</w:t>
      </w:r>
      <w:r w:rsidR="001F381D">
        <w:rPr>
          <w:rStyle w:val="FootnoteReference"/>
          <w:color w:val="000000"/>
          <w:szCs w:val="22"/>
        </w:rPr>
        <w:footnoteReference w:id="1"/>
      </w:r>
      <w:r w:rsidR="00E94D41">
        <w:rPr>
          <w:color w:val="000000"/>
          <w:szCs w:val="22"/>
        </w:rPr>
        <w:t xml:space="preserve"> modified as discussed </w:t>
      </w:r>
      <w:r w:rsidR="001F7737">
        <w:rPr>
          <w:color w:val="000000"/>
          <w:szCs w:val="22"/>
        </w:rPr>
        <w:t>below.</w:t>
      </w:r>
      <w:r w:rsidR="00E05E89">
        <w:rPr>
          <w:color w:val="000000"/>
          <w:szCs w:val="22"/>
        </w:rPr>
        <w:t xml:space="preserve">  </w:t>
      </w:r>
      <w:r w:rsidR="001F381D">
        <w:rPr>
          <w:color w:val="000000"/>
          <w:szCs w:val="22"/>
        </w:rPr>
        <w:t>Releasing t</w:t>
      </w:r>
      <w:r w:rsidR="00E05E89">
        <w:rPr>
          <w:color w:val="000000"/>
          <w:szCs w:val="22"/>
        </w:rPr>
        <w:t xml:space="preserve">his data will better enable interested parties </w:t>
      </w:r>
      <w:r w:rsidR="00423FD3" w:rsidRPr="00423FD3">
        <w:rPr>
          <w:color w:val="000000"/>
          <w:szCs w:val="22"/>
        </w:rPr>
        <w:t>to analyze issues</w:t>
      </w:r>
      <w:r>
        <w:rPr>
          <w:color w:val="000000"/>
          <w:szCs w:val="22"/>
        </w:rPr>
        <w:t xml:space="preserve"> related to the </w:t>
      </w:r>
      <w:r w:rsidR="00C1716F">
        <w:rPr>
          <w:color w:val="000000"/>
          <w:szCs w:val="22"/>
        </w:rPr>
        <w:t>selecti</w:t>
      </w:r>
      <w:r w:rsidR="009D40F0">
        <w:rPr>
          <w:color w:val="000000"/>
          <w:szCs w:val="22"/>
        </w:rPr>
        <w:t>on of an</w:t>
      </w:r>
      <w:r w:rsidR="00C1716F">
        <w:rPr>
          <w:color w:val="000000"/>
          <w:szCs w:val="22"/>
        </w:rPr>
        <w:t xml:space="preserve"> initi</w:t>
      </w:r>
      <w:r w:rsidR="009D40F0">
        <w:rPr>
          <w:color w:val="000000"/>
          <w:szCs w:val="22"/>
        </w:rPr>
        <w:t>al spectrum clearing target</w:t>
      </w:r>
      <w:r w:rsidR="002F1635">
        <w:rPr>
          <w:color w:val="000000"/>
          <w:szCs w:val="22"/>
        </w:rPr>
        <w:t>.</w:t>
      </w:r>
      <w:r w:rsidR="00947AF1">
        <w:rPr>
          <w:color w:val="000000"/>
          <w:szCs w:val="22"/>
        </w:rPr>
        <w:t xml:space="preserve">  </w:t>
      </w:r>
      <w:r w:rsidR="000B3576">
        <w:rPr>
          <w:color w:val="000000"/>
          <w:szCs w:val="22"/>
        </w:rPr>
        <w:t xml:space="preserve">  </w:t>
      </w:r>
    </w:p>
    <w:p w:rsidR="00485E18" w:rsidRDefault="001F381D" w:rsidP="00387384">
      <w:pPr>
        <w:pStyle w:val="Para"/>
        <w:widowControl/>
        <w:numPr>
          <w:ilvl w:val="0"/>
          <w:numId w:val="18"/>
        </w:numPr>
        <w:ind w:left="0" w:firstLine="1080"/>
      </w:pPr>
      <w:r>
        <w:rPr>
          <w:color w:val="000000"/>
          <w:szCs w:val="22"/>
        </w:rPr>
        <w:t>The</w:t>
      </w:r>
      <w:r w:rsidR="007509F3" w:rsidRPr="00565C68">
        <w:rPr>
          <w:color w:val="000000"/>
          <w:szCs w:val="22"/>
        </w:rPr>
        <w:t xml:space="preserve"> clearing target selection procedure</w:t>
      </w:r>
      <w:r>
        <w:rPr>
          <w:color w:val="000000"/>
          <w:szCs w:val="22"/>
        </w:rPr>
        <w:t xml:space="preserve"> proposed in the </w:t>
      </w:r>
      <w:r w:rsidRPr="00E17C58">
        <w:rPr>
          <w:i/>
          <w:color w:val="000000"/>
          <w:szCs w:val="22"/>
        </w:rPr>
        <w:t>Auction 1000 Comment PN</w:t>
      </w:r>
      <w:r w:rsidR="007509F3" w:rsidRPr="00565C68">
        <w:rPr>
          <w:color w:val="000000"/>
          <w:szCs w:val="22"/>
        </w:rPr>
        <w:t xml:space="preserve"> would, </w:t>
      </w:r>
      <w:r w:rsidR="007509F3" w:rsidRPr="00565C68">
        <w:rPr>
          <w:i/>
          <w:color w:val="000000"/>
          <w:szCs w:val="22"/>
        </w:rPr>
        <w:t>inter alia</w:t>
      </w:r>
      <w:r w:rsidR="007509F3" w:rsidRPr="00565C68">
        <w:rPr>
          <w:color w:val="000000"/>
          <w:szCs w:val="22"/>
        </w:rPr>
        <w:t xml:space="preserve">, </w:t>
      </w:r>
      <w:r>
        <w:rPr>
          <w:color w:val="000000"/>
          <w:szCs w:val="22"/>
        </w:rPr>
        <w:t>impose a nationwide cap on</w:t>
      </w:r>
      <w:r w:rsidR="007509F3" w:rsidRPr="00565C68">
        <w:rPr>
          <w:color w:val="000000"/>
          <w:szCs w:val="22"/>
        </w:rPr>
        <w:t xml:space="preserve"> impairments</w:t>
      </w:r>
      <w:r>
        <w:rPr>
          <w:color w:val="000000"/>
          <w:szCs w:val="22"/>
        </w:rPr>
        <w:t>.</w:t>
      </w:r>
      <w:r w:rsidR="007509F3">
        <w:rPr>
          <w:rStyle w:val="FootnoteReference"/>
          <w:color w:val="000000"/>
          <w:szCs w:val="22"/>
        </w:rPr>
        <w:footnoteReference w:id="2"/>
      </w:r>
      <w:r w:rsidR="00387384">
        <w:rPr>
          <w:rFonts w:eastAsiaTheme="minorHAnsi"/>
          <w:szCs w:val="22"/>
        </w:rPr>
        <w:t xml:space="preserve">  </w:t>
      </w:r>
      <w:r w:rsidR="00387384">
        <w:t xml:space="preserve">To conduct the simulations, the staff applied the clearing target selection procedure proposed in the </w:t>
      </w:r>
      <w:r w:rsidR="00387384" w:rsidRPr="004B1A42">
        <w:rPr>
          <w:i/>
        </w:rPr>
        <w:t>Auction 1000 Comment PN</w:t>
      </w:r>
      <w:r w:rsidR="00387384">
        <w:t>,</w:t>
      </w:r>
      <w:r w:rsidR="00BA608E">
        <w:rPr>
          <w:rStyle w:val="FootnoteReference"/>
        </w:rPr>
        <w:footnoteReference w:id="3"/>
      </w:r>
      <w:r w:rsidR="00387384">
        <w:t xml:space="preserve"> with the following exceptions</w:t>
      </w:r>
      <w:r>
        <w:t xml:space="preserve"> reflecting the range of comments in response to the </w:t>
      </w:r>
      <w:r w:rsidRPr="00E17C58">
        <w:rPr>
          <w:i/>
        </w:rPr>
        <w:t>Comment PN</w:t>
      </w:r>
      <w:r w:rsidR="00387384">
        <w:t>.  I</w:t>
      </w:r>
      <w:r w:rsidR="00FD6A8C">
        <w:t xml:space="preserve">nstead of </w:t>
      </w:r>
      <w:r w:rsidR="005536EA">
        <w:t xml:space="preserve">accommodating </w:t>
      </w:r>
      <w:r w:rsidR="00FD6A8C">
        <w:t>impairments up to 20 percent, the simulations apply a standard of up to</w:t>
      </w:r>
      <w:r w:rsidR="00FD6A8C" w:rsidRPr="001D5751">
        <w:t xml:space="preserve"> </w:t>
      </w:r>
      <w:r w:rsidR="00FD6A8C">
        <w:t xml:space="preserve">(but not equal to) </w:t>
      </w:r>
      <w:r w:rsidR="00FD6A8C" w:rsidRPr="001D5751">
        <w:t>the</w:t>
      </w:r>
      <w:r w:rsidR="00FD6A8C">
        <w:t xml:space="preserve"> </w:t>
      </w:r>
      <w:r w:rsidR="00FD6A8C" w:rsidRPr="001D5751">
        <w:t xml:space="preserve">equivalent </w:t>
      </w:r>
      <w:r w:rsidR="00FD6A8C">
        <w:t xml:space="preserve">of </w:t>
      </w:r>
      <w:r w:rsidR="00FD6A8C" w:rsidRPr="001D5751">
        <w:t xml:space="preserve">one </w:t>
      </w:r>
      <w:r w:rsidR="00FD6A8C">
        <w:t xml:space="preserve">license </w:t>
      </w:r>
      <w:r w:rsidR="00FD6A8C" w:rsidRPr="001D5751">
        <w:t>block nationwide</w:t>
      </w:r>
      <w:r w:rsidR="00FD6A8C">
        <w:t>, as measured by weighted population</w:t>
      </w:r>
      <w:r>
        <w:t xml:space="preserve"> (“weighted-pops”)</w:t>
      </w:r>
      <w:r w:rsidR="00FD6A8C" w:rsidRPr="001D5751">
        <w:t>.</w:t>
      </w:r>
      <w:r w:rsidR="00FD6A8C" w:rsidRPr="001D5751">
        <w:rPr>
          <w:rStyle w:val="FootnoteReference"/>
        </w:rPr>
        <w:footnoteReference w:id="4"/>
      </w:r>
      <w:r w:rsidR="00FD6A8C">
        <w:t xml:space="preserve">  </w:t>
      </w:r>
      <w:r w:rsidR="00611267">
        <w:t>T</w:t>
      </w:r>
      <w:r w:rsidR="00FD6A8C">
        <w:t>h</w:t>
      </w:r>
      <w:r w:rsidR="00387384">
        <w:t>e simulations</w:t>
      </w:r>
      <w:r w:rsidR="00FD6A8C">
        <w:t xml:space="preserve"> </w:t>
      </w:r>
      <w:r w:rsidR="00611267">
        <w:t xml:space="preserve">also </w:t>
      </w:r>
      <w:r w:rsidR="00FD6A8C">
        <w:t xml:space="preserve">apply equal weighting to </w:t>
      </w:r>
      <w:r w:rsidR="00FD6A8C">
        <w:lastRenderedPageBreak/>
        <w:t xml:space="preserve">impairments regardless of whether they are in the uplink or downlink </w:t>
      </w:r>
      <w:r w:rsidR="000471B2">
        <w:t xml:space="preserve">portion of the </w:t>
      </w:r>
      <w:r w:rsidR="00FD6A8C">
        <w:t>band</w:t>
      </w:r>
      <w:r w:rsidR="00FD6A8C" w:rsidRPr="001D5751">
        <w:t>.</w:t>
      </w:r>
      <w:r w:rsidR="00FD6A8C" w:rsidRPr="001D5751">
        <w:rPr>
          <w:rStyle w:val="FootnoteReference"/>
        </w:rPr>
        <w:footnoteReference w:id="5"/>
      </w:r>
      <w:r w:rsidR="00FD6A8C" w:rsidRPr="001D5751">
        <w:t xml:space="preserve">  </w:t>
      </w:r>
      <w:r w:rsidR="008E0564">
        <w:t>T</w:t>
      </w:r>
      <w:r w:rsidR="00A25552">
        <w:t xml:space="preserve">he data and information </w:t>
      </w:r>
      <w:r w:rsidR="00565C68">
        <w:t xml:space="preserve">we </w:t>
      </w:r>
      <w:r w:rsidR="00A25552">
        <w:t xml:space="preserve">release today are </w:t>
      </w:r>
      <w:r w:rsidR="009048E3">
        <w:t>illustrative only.</w:t>
      </w:r>
      <w:r w:rsidR="00003A30">
        <w:rPr>
          <w:rStyle w:val="FootnoteReference"/>
        </w:rPr>
        <w:footnoteReference w:id="6"/>
      </w:r>
      <w:r w:rsidR="009048E3">
        <w:t xml:space="preserve">  </w:t>
      </w:r>
      <w:r w:rsidR="008B6447">
        <w:t xml:space="preserve">The Commission will adopt final </w:t>
      </w:r>
      <w:r w:rsidR="00A25552">
        <w:t>decisions</w:t>
      </w:r>
      <w:r w:rsidR="00003A30">
        <w:t xml:space="preserve"> regarding </w:t>
      </w:r>
      <w:r w:rsidR="008E0564">
        <w:t xml:space="preserve">the proposed initial clearing target selection procedure </w:t>
      </w:r>
      <w:r w:rsidR="00423FD3">
        <w:t xml:space="preserve">in </w:t>
      </w:r>
      <w:r w:rsidR="008E0564">
        <w:t>a forthcoming</w:t>
      </w:r>
      <w:r w:rsidR="00423FD3">
        <w:t xml:space="preserve"> </w:t>
      </w:r>
      <w:r w:rsidR="007E07BE" w:rsidRPr="00565C68">
        <w:rPr>
          <w:i/>
        </w:rPr>
        <w:t>Auction 1000</w:t>
      </w:r>
      <w:r w:rsidR="007E07BE">
        <w:t xml:space="preserve"> </w:t>
      </w:r>
      <w:r w:rsidR="00423FD3" w:rsidRPr="00565C68">
        <w:rPr>
          <w:i/>
        </w:rPr>
        <w:t>Procedures PN</w:t>
      </w:r>
      <w:r w:rsidR="00A25552">
        <w:t>.</w:t>
      </w:r>
      <w:r w:rsidR="00003A30">
        <w:rPr>
          <w:rStyle w:val="FootnoteReference"/>
        </w:rPr>
        <w:footnoteReference w:id="7"/>
      </w:r>
    </w:p>
    <w:p w:rsidR="00485E18" w:rsidRPr="00952F8A" w:rsidRDefault="00D156DB" w:rsidP="00485E18">
      <w:pPr>
        <w:pStyle w:val="Para"/>
        <w:widowControl/>
        <w:numPr>
          <w:ilvl w:val="0"/>
          <w:numId w:val="18"/>
        </w:numPr>
        <w:ind w:left="0" w:firstLine="1080"/>
        <w:rPr>
          <w:szCs w:val="22"/>
        </w:rPr>
      </w:pPr>
      <w:r>
        <w:t>In order to conduct t</w:t>
      </w:r>
      <w:r w:rsidR="00485E18">
        <w:t xml:space="preserve">he simulations </w:t>
      </w:r>
      <w:r w:rsidR="00387384">
        <w:t>released with this Public Notice</w:t>
      </w:r>
      <w:r>
        <w:t>, the staff had to</w:t>
      </w:r>
      <w:r w:rsidR="00485E18">
        <w:t xml:space="preserve"> make certain assumptions about protect</w:t>
      </w:r>
      <w:r>
        <w:t>ion of</w:t>
      </w:r>
      <w:r w:rsidR="00485E18">
        <w:t xml:space="preserve"> foreign TV stations.  With respect to Canada, </w:t>
      </w:r>
      <w:r w:rsidR="00387384">
        <w:t>the</w:t>
      </w:r>
      <w:r>
        <w:t xml:space="preserve"> simulations</w:t>
      </w:r>
      <w:r w:rsidR="00485E18">
        <w:t xml:space="preserve"> assume for illustrative purposes only that </w:t>
      </w:r>
      <w:r w:rsidR="00387384">
        <w:t>the Commission</w:t>
      </w:r>
      <w:r w:rsidR="00485E18">
        <w:t xml:space="preserve"> will not need to protect vacant allotments in Canada’s </w:t>
      </w:r>
      <w:r>
        <w:t>TV</w:t>
      </w:r>
      <w:r w:rsidR="00485E18">
        <w:t xml:space="preserve"> bands</w:t>
      </w:r>
      <w:r w:rsidR="00611267">
        <w:t>, an option put forth in</w:t>
      </w:r>
      <w:r w:rsidR="00485E18">
        <w:t xml:space="preserve"> Industry Canada’s </w:t>
      </w:r>
      <w:r w:rsidR="00485E18" w:rsidRPr="00485E18">
        <w:rPr>
          <w:i/>
        </w:rPr>
        <w:t>Consultation on Repurposing the 600 MHz Band</w:t>
      </w:r>
      <w:r w:rsidR="00485E18">
        <w:t xml:space="preserve"> proceeding.</w:t>
      </w:r>
      <w:r w:rsidR="00485E18">
        <w:rPr>
          <w:rStyle w:val="FootnoteReference"/>
        </w:rPr>
        <w:footnoteReference w:id="8"/>
      </w:r>
      <w:r w:rsidR="005536EA">
        <w:t xml:space="preserve">  </w:t>
      </w:r>
      <w:r w:rsidR="00485E18">
        <w:t xml:space="preserve">Mexico has not yet put forward any public plans for repurposing the 600 MHz Band; as a result, for purposes of these </w:t>
      </w:r>
      <w:r w:rsidR="00485E18" w:rsidRPr="00952F8A">
        <w:rPr>
          <w:szCs w:val="22"/>
        </w:rPr>
        <w:t>simulations all Mexican allotments</w:t>
      </w:r>
      <w:r w:rsidR="007835FD" w:rsidRPr="00952F8A">
        <w:rPr>
          <w:szCs w:val="22"/>
        </w:rPr>
        <w:t xml:space="preserve"> are protected</w:t>
      </w:r>
      <w:r w:rsidR="00485E18" w:rsidRPr="00952F8A">
        <w:rPr>
          <w:szCs w:val="22"/>
        </w:rPr>
        <w:t>.</w:t>
      </w:r>
      <w:r w:rsidR="00485E18" w:rsidRPr="00952F8A">
        <w:rPr>
          <w:rStyle w:val="FootnoteReference"/>
          <w:szCs w:val="22"/>
        </w:rPr>
        <w:footnoteReference w:id="9"/>
      </w:r>
      <w:r w:rsidR="00485E18" w:rsidRPr="00952F8A">
        <w:rPr>
          <w:szCs w:val="22"/>
        </w:rPr>
        <w:t xml:space="preserve">  Due to insufficient data at this time, the simulations do not reflect any interference from Mexican </w:t>
      </w:r>
      <w:r>
        <w:rPr>
          <w:szCs w:val="22"/>
        </w:rPr>
        <w:t>TV</w:t>
      </w:r>
      <w:r w:rsidR="00485E18" w:rsidRPr="00952F8A">
        <w:rPr>
          <w:szCs w:val="22"/>
        </w:rPr>
        <w:t xml:space="preserve"> stations into the United States.</w:t>
      </w:r>
      <w:r w:rsidR="00485E18" w:rsidRPr="00952F8A">
        <w:rPr>
          <w:rStyle w:val="FootnoteReference"/>
          <w:szCs w:val="22"/>
        </w:rPr>
        <w:footnoteReference w:id="10"/>
      </w:r>
    </w:p>
    <w:p w:rsidR="00883131" w:rsidRPr="00952F8A" w:rsidRDefault="00E95298" w:rsidP="00C60A10">
      <w:pPr>
        <w:pStyle w:val="Para"/>
        <w:keepNext/>
        <w:widowControl/>
        <w:numPr>
          <w:ilvl w:val="0"/>
          <w:numId w:val="18"/>
        </w:numPr>
        <w:ind w:left="0" w:firstLine="1080"/>
        <w:rPr>
          <w:szCs w:val="22"/>
        </w:rPr>
      </w:pPr>
      <w:r w:rsidRPr="00952F8A">
        <w:rPr>
          <w:szCs w:val="22"/>
        </w:rPr>
        <w:t xml:space="preserve">The simulations </w:t>
      </w:r>
      <w:r w:rsidR="000032C2" w:rsidRPr="00952F8A">
        <w:rPr>
          <w:szCs w:val="22"/>
        </w:rPr>
        <w:t xml:space="preserve">released with this Public Notice </w:t>
      </w:r>
      <w:r w:rsidR="00BD3661" w:rsidRPr="00952F8A">
        <w:rPr>
          <w:szCs w:val="22"/>
        </w:rPr>
        <w:t>reflect</w:t>
      </w:r>
      <w:r w:rsidR="004C50D3" w:rsidRPr="00952F8A">
        <w:rPr>
          <w:szCs w:val="22"/>
        </w:rPr>
        <w:t xml:space="preserve"> three </w:t>
      </w:r>
      <w:r w:rsidR="00BD3661" w:rsidRPr="00952F8A">
        <w:rPr>
          <w:szCs w:val="22"/>
        </w:rPr>
        <w:t xml:space="preserve">different </w:t>
      </w:r>
      <w:r w:rsidR="00064031" w:rsidRPr="00952F8A">
        <w:rPr>
          <w:szCs w:val="22"/>
        </w:rPr>
        <w:t xml:space="preserve">illustrative </w:t>
      </w:r>
      <w:r w:rsidR="004C50D3" w:rsidRPr="00952F8A">
        <w:rPr>
          <w:szCs w:val="22"/>
        </w:rPr>
        <w:t>broadcaster participation scenarios</w:t>
      </w:r>
      <w:r w:rsidR="005F2CF5" w:rsidRPr="00952F8A">
        <w:rPr>
          <w:szCs w:val="22"/>
        </w:rPr>
        <w:t xml:space="preserve">: </w:t>
      </w:r>
      <w:r w:rsidR="00BD3661" w:rsidRPr="00952F8A">
        <w:rPr>
          <w:szCs w:val="22"/>
        </w:rPr>
        <w:t xml:space="preserve"> </w:t>
      </w:r>
      <w:r w:rsidR="005F2CF5" w:rsidRPr="00952F8A">
        <w:rPr>
          <w:szCs w:val="22"/>
        </w:rPr>
        <w:t xml:space="preserve">(1) </w:t>
      </w:r>
      <w:r w:rsidR="00A45292" w:rsidRPr="00952F8A">
        <w:rPr>
          <w:szCs w:val="22"/>
        </w:rPr>
        <w:t xml:space="preserve">participation </w:t>
      </w:r>
      <w:r w:rsidR="00BD3661" w:rsidRPr="00952F8A">
        <w:rPr>
          <w:szCs w:val="22"/>
        </w:rPr>
        <w:t xml:space="preserve">by </w:t>
      </w:r>
      <w:r w:rsidR="005F2CF5" w:rsidRPr="00952F8A">
        <w:rPr>
          <w:szCs w:val="22"/>
        </w:rPr>
        <w:t>between 40</w:t>
      </w:r>
      <w:r w:rsidR="00A45292" w:rsidRPr="00952F8A">
        <w:rPr>
          <w:szCs w:val="22"/>
        </w:rPr>
        <w:t xml:space="preserve"> and 50 percent of broadcast stations</w:t>
      </w:r>
      <w:r w:rsidR="005F2CF5" w:rsidRPr="00952F8A">
        <w:rPr>
          <w:szCs w:val="22"/>
        </w:rPr>
        <w:t xml:space="preserve">; (2) </w:t>
      </w:r>
      <w:r w:rsidR="00A45292" w:rsidRPr="00952F8A">
        <w:rPr>
          <w:szCs w:val="22"/>
        </w:rPr>
        <w:t xml:space="preserve">participation </w:t>
      </w:r>
      <w:r w:rsidR="005F2CF5" w:rsidRPr="00952F8A">
        <w:rPr>
          <w:szCs w:val="22"/>
        </w:rPr>
        <w:t>between 50</w:t>
      </w:r>
      <w:r w:rsidR="00A45292" w:rsidRPr="00952F8A">
        <w:rPr>
          <w:szCs w:val="22"/>
        </w:rPr>
        <w:t xml:space="preserve"> and </w:t>
      </w:r>
      <w:r w:rsidR="005F2CF5" w:rsidRPr="00952F8A">
        <w:rPr>
          <w:szCs w:val="22"/>
        </w:rPr>
        <w:t>60</w:t>
      </w:r>
      <w:r w:rsidR="00A45292" w:rsidRPr="00952F8A">
        <w:rPr>
          <w:szCs w:val="22"/>
        </w:rPr>
        <w:t xml:space="preserve"> percent</w:t>
      </w:r>
      <w:r w:rsidR="005F2CF5" w:rsidRPr="00952F8A">
        <w:rPr>
          <w:szCs w:val="22"/>
        </w:rPr>
        <w:t xml:space="preserve">; and (3) </w:t>
      </w:r>
      <w:r w:rsidR="00A45292" w:rsidRPr="00952F8A">
        <w:rPr>
          <w:szCs w:val="22"/>
        </w:rPr>
        <w:t xml:space="preserve">participation </w:t>
      </w:r>
      <w:r w:rsidR="005F2CF5" w:rsidRPr="00952F8A">
        <w:rPr>
          <w:szCs w:val="22"/>
        </w:rPr>
        <w:t>between 60</w:t>
      </w:r>
      <w:r w:rsidR="00A45292" w:rsidRPr="00952F8A">
        <w:rPr>
          <w:szCs w:val="22"/>
        </w:rPr>
        <w:t xml:space="preserve"> and </w:t>
      </w:r>
      <w:r w:rsidR="005F2CF5" w:rsidRPr="00952F8A">
        <w:rPr>
          <w:szCs w:val="22"/>
        </w:rPr>
        <w:t>70</w:t>
      </w:r>
      <w:r w:rsidR="00A45292" w:rsidRPr="00952F8A">
        <w:rPr>
          <w:szCs w:val="22"/>
        </w:rPr>
        <w:t xml:space="preserve"> percent</w:t>
      </w:r>
      <w:r w:rsidR="005F2CF5" w:rsidRPr="00952F8A">
        <w:rPr>
          <w:szCs w:val="22"/>
        </w:rPr>
        <w:t xml:space="preserve">. </w:t>
      </w:r>
      <w:r w:rsidR="007835FD" w:rsidRPr="00952F8A">
        <w:rPr>
          <w:szCs w:val="22"/>
        </w:rPr>
        <w:t xml:space="preserve"> </w:t>
      </w:r>
      <w:r w:rsidR="00565C68" w:rsidRPr="00952F8A">
        <w:rPr>
          <w:szCs w:val="22"/>
        </w:rPr>
        <w:t>W</w:t>
      </w:r>
      <w:r w:rsidR="004C50D3" w:rsidRPr="00952F8A">
        <w:rPr>
          <w:szCs w:val="22"/>
        </w:rPr>
        <w:t xml:space="preserve">e emphasize that these </w:t>
      </w:r>
      <w:r w:rsidR="009F5C73" w:rsidRPr="00952F8A">
        <w:rPr>
          <w:szCs w:val="22"/>
        </w:rPr>
        <w:t xml:space="preserve">simulations model only </w:t>
      </w:r>
      <w:r w:rsidR="0027577B" w:rsidRPr="00952F8A">
        <w:rPr>
          <w:szCs w:val="22"/>
        </w:rPr>
        <w:t xml:space="preserve">the number of </w:t>
      </w:r>
      <w:r w:rsidR="007835FD" w:rsidRPr="00952F8A">
        <w:rPr>
          <w:szCs w:val="22"/>
        </w:rPr>
        <w:t xml:space="preserve">spectrum </w:t>
      </w:r>
      <w:r w:rsidR="0027577B" w:rsidRPr="00952F8A">
        <w:rPr>
          <w:szCs w:val="22"/>
        </w:rPr>
        <w:t xml:space="preserve">blocks </w:t>
      </w:r>
      <w:r w:rsidR="004241F2" w:rsidRPr="00952F8A">
        <w:rPr>
          <w:szCs w:val="22"/>
        </w:rPr>
        <w:t xml:space="preserve">that would be available under various </w:t>
      </w:r>
      <w:r w:rsidR="00986D3A">
        <w:rPr>
          <w:szCs w:val="22"/>
        </w:rPr>
        <w:t xml:space="preserve">initial </w:t>
      </w:r>
      <w:r w:rsidR="004241F2" w:rsidRPr="00952F8A">
        <w:rPr>
          <w:szCs w:val="22"/>
        </w:rPr>
        <w:t xml:space="preserve">clearing targets </w:t>
      </w:r>
      <w:r w:rsidR="00CE0E01" w:rsidRPr="00952F8A">
        <w:rPr>
          <w:szCs w:val="22"/>
        </w:rPr>
        <w:t xml:space="preserve">that </w:t>
      </w:r>
      <w:r w:rsidR="00D156DB">
        <w:rPr>
          <w:szCs w:val="22"/>
        </w:rPr>
        <w:t>would be</w:t>
      </w:r>
      <w:r w:rsidR="00CE0E01" w:rsidRPr="00952F8A">
        <w:rPr>
          <w:szCs w:val="22"/>
        </w:rPr>
        <w:t xml:space="preserve"> feasible </w:t>
      </w:r>
      <w:r w:rsidR="004241F2" w:rsidRPr="00952F8A">
        <w:rPr>
          <w:szCs w:val="22"/>
        </w:rPr>
        <w:t xml:space="preserve">based on </w:t>
      </w:r>
      <w:r w:rsidR="007835FD" w:rsidRPr="00952F8A">
        <w:rPr>
          <w:szCs w:val="22"/>
        </w:rPr>
        <w:t xml:space="preserve">broadcaster </w:t>
      </w:r>
      <w:r w:rsidR="004C50D3" w:rsidRPr="00952F8A">
        <w:rPr>
          <w:szCs w:val="22"/>
        </w:rPr>
        <w:t>participation in the auction</w:t>
      </w:r>
      <w:r w:rsidR="00CE0E01" w:rsidRPr="00952F8A">
        <w:rPr>
          <w:szCs w:val="22"/>
        </w:rPr>
        <w:t>.</w:t>
      </w:r>
      <w:r w:rsidR="00565C68" w:rsidRPr="00952F8A">
        <w:rPr>
          <w:szCs w:val="22"/>
        </w:rPr>
        <w:t xml:space="preserve">  The simulations reflect no assumptions about auction outcomes in terms of which reverse auction participants w</w:t>
      </w:r>
      <w:r w:rsidR="00D156DB">
        <w:rPr>
          <w:szCs w:val="22"/>
        </w:rPr>
        <w:t>ould be</w:t>
      </w:r>
      <w:r w:rsidR="00565C68" w:rsidRPr="00952F8A">
        <w:rPr>
          <w:szCs w:val="22"/>
        </w:rPr>
        <w:t xml:space="preserve"> selected as winning bidders, the winning bid amounts, the total proceeds of the forward auction</w:t>
      </w:r>
      <w:r w:rsidR="00CE0E01" w:rsidRPr="00952F8A">
        <w:rPr>
          <w:szCs w:val="22"/>
        </w:rPr>
        <w:t>,</w:t>
      </w:r>
      <w:r w:rsidR="00020055" w:rsidRPr="00952F8A">
        <w:rPr>
          <w:szCs w:val="22"/>
        </w:rPr>
        <w:t xml:space="preserve"> </w:t>
      </w:r>
      <w:r w:rsidR="007835FD" w:rsidRPr="00952F8A">
        <w:rPr>
          <w:szCs w:val="22"/>
        </w:rPr>
        <w:t>or</w:t>
      </w:r>
      <w:r w:rsidR="00020055" w:rsidRPr="00952F8A">
        <w:rPr>
          <w:szCs w:val="22"/>
        </w:rPr>
        <w:t xml:space="preserve"> whether </w:t>
      </w:r>
      <w:r w:rsidR="007835FD" w:rsidRPr="00952F8A">
        <w:rPr>
          <w:szCs w:val="22"/>
        </w:rPr>
        <w:t>the Commission</w:t>
      </w:r>
      <w:r w:rsidR="00020055" w:rsidRPr="00952F8A">
        <w:rPr>
          <w:szCs w:val="22"/>
        </w:rPr>
        <w:t xml:space="preserve"> w</w:t>
      </w:r>
      <w:r w:rsidR="00D156DB">
        <w:rPr>
          <w:szCs w:val="22"/>
        </w:rPr>
        <w:t>ould</w:t>
      </w:r>
      <w:r w:rsidR="00020055" w:rsidRPr="00952F8A">
        <w:rPr>
          <w:szCs w:val="22"/>
        </w:rPr>
        <w:t xml:space="preserve"> be able to close the auction at the initial clearing target</w:t>
      </w:r>
      <w:r w:rsidR="00565C68" w:rsidRPr="00952F8A">
        <w:rPr>
          <w:szCs w:val="22"/>
        </w:rPr>
        <w:t>.</w:t>
      </w:r>
      <w:r w:rsidR="004C50D3" w:rsidRPr="00952F8A">
        <w:rPr>
          <w:i/>
          <w:szCs w:val="22"/>
        </w:rPr>
        <w:t xml:space="preserve"> </w:t>
      </w:r>
    </w:p>
    <w:p w:rsidR="00802D39" w:rsidRPr="00952F8A" w:rsidRDefault="007835FD" w:rsidP="00D50858">
      <w:pPr>
        <w:pStyle w:val="Para"/>
        <w:widowControl/>
        <w:numPr>
          <w:ilvl w:val="0"/>
          <w:numId w:val="18"/>
        </w:numPr>
        <w:ind w:left="0" w:firstLine="1080"/>
        <w:rPr>
          <w:szCs w:val="22"/>
        </w:rPr>
      </w:pPr>
      <w:r w:rsidRPr="00952F8A">
        <w:rPr>
          <w:szCs w:val="22"/>
        </w:rPr>
        <w:t>F</w:t>
      </w:r>
      <w:r w:rsidR="00802D39" w:rsidRPr="00952F8A">
        <w:rPr>
          <w:szCs w:val="22"/>
        </w:rPr>
        <w:t xml:space="preserve">or each of the three </w:t>
      </w:r>
      <w:r w:rsidR="00323C4D" w:rsidRPr="00952F8A">
        <w:rPr>
          <w:szCs w:val="22"/>
        </w:rPr>
        <w:t xml:space="preserve">broadcaster </w:t>
      </w:r>
      <w:r w:rsidR="00802D39" w:rsidRPr="00952F8A">
        <w:rPr>
          <w:szCs w:val="22"/>
        </w:rPr>
        <w:t xml:space="preserve">participation scenarios, </w:t>
      </w:r>
      <w:r w:rsidR="00323C4D" w:rsidRPr="00952F8A">
        <w:rPr>
          <w:szCs w:val="22"/>
        </w:rPr>
        <w:t xml:space="preserve">the </w:t>
      </w:r>
      <w:r w:rsidRPr="00952F8A">
        <w:rPr>
          <w:szCs w:val="22"/>
        </w:rPr>
        <w:t xml:space="preserve">attached </w:t>
      </w:r>
      <w:r w:rsidR="00323C4D" w:rsidRPr="00952F8A">
        <w:rPr>
          <w:szCs w:val="22"/>
        </w:rPr>
        <w:t>Appendix provides</w:t>
      </w:r>
      <w:r w:rsidR="00802D39" w:rsidRPr="00952F8A">
        <w:rPr>
          <w:szCs w:val="22"/>
        </w:rPr>
        <w:t xml:space="preserve"> information on the number of </w:t>
      </w:r>
      <w:r w:rsidR="00406140">
        <w:rPr>
          <w:szCs w:val="22"/>
        </w:rPr>
        <w:t>spectrum block</w:t>
      </w:r>
      <w:r w:rsidR="00802D39" w:rsidRPr="00952F8A">
        <w:rPr>
          <w:szCs w:val="22"/>
        </w:rPr>
        <w:t xml:space="preserve">s that would be offered in the forward auction in each </w:t>
      </w:r>
      <w:r w:rsidR="00474DCF" w:rsidRPr="00952F8A">
        <w:rPr>
          <w:szCs w:val="22"/>
        </w:rPr>
        <w:t xml:space="preserve">proposed </w:t>
      </w:r>
      <w:r w:rsidR="00474DCF" w:rsidRPr="00952F8A">
        <w:rPr>
          <w:szCs w:val="22"/>
        </w:rPr>
        <w:lastRenderedPageBreak/>
        <w:t xml:space="preserve">license </w:t>
      </w:r>
      <w:r w:rsidR="00802D39" w:rsidRPr="00952F8A">
        <w:rPr>
          <w:szCs w:val="22"/>
        </w:rPr>
        <w:t xml:space="preserve">category (including totals nationwide, in the </w:t>
      </w:r>
      <w:r w:rsidR="006006F6" w:rsidRPr="00952F8A">
        <w:rPr>
          <w:szCs w:val="22"/>
        </w:rPr>
        <w:t>high</w:t>
      </w:r>
      <w:r w:rsidR="00174E31">
        <w:rPr>
          <w:szCs w:val="22"/>
        </w:rPr>
        <w:t>-</w:t>
      </w:r>
      <w:r w:rsidR="006006F6" w:rsidRPr="00952F8A">
        <w:rPr>
          <w:szCs w:val="22"/>
        </w:rPr>
        <w:t>demand</w:t>
      </w:r>
      <w:r w:rsidR="00802D39" w:rsidRPr="00952F8A">
        <w:rPr>
          <w:szCs w:val="22"/>
        </w:rPr>
        <w:t xml:space="preserve"> markets,</w:t>
      </w:r>
      <w:r w:rsidR="00516649">
        <w:rPr>
          <w:rStyle w:val="FootnoteReference"/>
          <w:szCs w:val="22"/>
        </w:rPr>
        <w:footnoteReference w:id="11"/>
      </w:r>
      <w:r w:rsidR="00802D39" w:rsidRPr="00952F8A">
        <w:rPr>
          <w:szCs w:val="22"/>
        </w:rPr>
        <w:t xml:space="preserve"> and by P</w:t>
      </w:r>
      <w:r w:rsidR="000F255E" w:rsidRPr="00952F8A">
        <w:rPr>
          <w:szCs w:val="22"/>
        </w:rPr>
        <w:t xml:space="preserve">artial </w:t>
      </w:r>
      <w:r w:rsidR="00802D39" w:rsidRPr="00952F8A">
        <w:rPr>
          <w:szCs w:val="22"/>
        </w:rPr>
        <w:t>E</w:t>
      </w:r>
      <w:r w:rsidR="000F255E" w:rsidRPr="00952F8A">
        <w:rPr>
          <w:szCs w:val="22"/>
        </w:rPr>
        <w:t xml:space="preserve">conomic </w:t>
      </w:r>
      <w:r w:rsidR="00802D39" w:rsidRPr="00952F8A">
        <w:rPr>
          <w:szCs w:val="22"/>
        </w:rPr>
        <w:t>A</w:t>
      </w:r>
      <w:r w:rsidR="000F255E" w:rsidRPr="00952F8A">
        <w:rPr>
          <w:szCs w:val="22"/>
        </w:rPr>
        <w:t>rea or “PEA”</w:t>
      </w:r>
      <w:r w:rsidR="00802D39" w:rsidRPr="00952F8A">
        <w:rPr>
          <w:szCs w:val="22"/>
        </w:rPr>
        <w:t>),</w:t>
      </w:r>
      <w:r w:rsidR="00D91E1B" w:rsidRPr="00952F8A">
        <w:rPr>
          <w:szCs w:val="22"/>
        </w:rPr>
        <w:t xml:space="preserve"> </w:t>
      </w:r>
      <w:r w:rsidR="00802D39" w:rsidRPr="00952F8A">
        <w:rPr>
          <w:szCs w:val="22"/>
        </w:rPr>
        <w:t xml:space="preserve">and the same breakdown showing the total weighted-pops </w:t>
      </w:r>
      <w:r w:rsidR="008E7A65" w:rsidRPr="00952F8A">
        <w:rPr>
          <w:szCs w:val="22"/>
        </w:rPr>
        <w:t xml:space="preserve">for </w:t>
      </w:r>
      <w:r w:rsidR="00802D39" w:rsidRPr="00952F8A">
        <w:rPr>
          <w:szCs w:val="22"/>
        </w:rPr>
        <w:t xml:space="preserve">the licenses in each category.  Under each scenario, </w:t>
      </w:r>
      <w:r w:rsidR="00474DCF" w:rsidRPr="00952F8A">
        <w:rPr>
          <w:szCs w:val="22"/>
        </w:rPr>
        <w:t xml:space="preserve">the Appendix </w:t>
      </w:r>
      <w:r w:rsidR="00952F8A">
        <w:rPr>
          <w:szCs w:val="22"/>
        </w:rPr>
        <w:t xml:space="preserve">also </w:t>
      </w:r>
      <w:r w:rsidR="00775813" w:rsidRPr="00952F8A">
        <w:rPr>
          <w:szCs w:val="22"/>
        </w:rPr>
        <w:t>show</w:t>
      </w:r>
      <w:r w:rsidR="00474DCF" w:rsidRPr="00952F8A">
        <w:rPr>
          <w:szCs w:val="22"/>
        </w:rPr>
        <w:t>s</w:t>
      </w:r>
      <w:r w:rsidR="00952F8A">
        <w:rPr>
          <w:szCs w:val="22"/>
        </w:rPr>
        <w:t xml:space="preserve"> results based on</w:t>
      </w:r>
      <w:r w:rsidR="00775813" w:rsidRPr="00952F8A">
        <w:rPr>
          <w:szCs w:val="22"/>
        </w:rPr>
        <w:t xml:space="preserve"> </w:t>
      </w:r>
      <w:r w:rsidR="00802D39" w:rsidRPr="00952F8A">
        <w:rPr>
          <w:szCs w:val="22"/>
        </w:rPr>
        <w:t>two approaches</w:t>
      </w:r>
      <w:r w:rsidR="00775813" w:rsidRPr="00952F8A">
        <w:rPr>
          <w:szCs w:val="22"/>
        </w:rPr>
        <w:t xml:space="preserve"> to </w:t>
      </w:r>
      <w:r w:rsidR="005536EA">
        <w:rPr>
          <w:szCs w:val="22"/>
        </w:rPr>
        <w:t>assigning</w:t>
      </w:r>
      <w:r w:rsidR="005536EA" w:rsidRPr="00952F8A">
        <w:rPr>
          <w:szCs w:val="22"/>
        </w:rPr>
        <w:t xml:space="preserve"> </w:t>
      </w:r>
      <w:r w:rsidR="00775813" w:rsidRPr="00952F8A">
        <w:rPr>
          <w:szCs w:val="22"/>
        </w:rPr>
        <w:t xml:space="preserve">impairing stations </w:t>
      </w:r>
      <w:r w:rsidR="005536EA">
        <w:rPr>
          <w:szCs w:val="22"/>
        </w:rPr>
        <w:t>to</w:t>
      </w:r>
      <w:r w:rsidR="00775813" w:rsidRPr="00952F8A">
        <w:rPr>
          <w:szCs w:val="22"/>
        </w:rPr>
        <w:t xml:space="preserve"> the 600 MHz Band</w:t>
      </w:r>
      <w:r w:rsidR="00802D39" w:rsidRPr="00952F8A">
        <w:rPr>
          <w:szCs w:val="22"/>
        </w:rPr>
        <w:t>: (1) the approach</w:t>
      </w:r>
      <w:r w:rsidR="00E27A2E" w:rsidRPr="00952F8A">
        <w:rPr>
          <w:szCs w:val="22"/>
        </w:rPr>
        <w:t xml:space="preserve"> proposed in the </w:t>
      </w:r>
      <w:r w:rsidR="00E27A2E" w:rsidRPr="006C3A8B">
        <w:rPr>
          <w:i/>
          <w:szCs w:val="22"/>
        </w:rPr>
        <w:t>Comment PN</w:t>
      </w:r>
      <w:r w:rsidR="00E27A2E" w:rsidRPr="00952F8A">
        <w:rPr>
          <w:szCs w:val="22"/>
        </w:rPr>
        <w:t xml:space="preserve">, under which </w:t>
      </w:r>
      <w:r w:rsidR="00802D39" w:rsidRPr="00952F8A">
        <w:rPr>
          <w:szCs w:val="22"/>
        </w:rPr>
        <w:t>the optimization software assign</w:t>
      </w:r>
      <w:r w:rsidR="00E27A2E" w:rsidRPr="00952F8A">
        <w:rPr>
          <w:szCs w:val="22"/>
        </w:rPr>
        <w:t>s</w:t>
      </w:r>
      <w:r w:rsidR="00802D39" w:rsidRPr="00952F8A">
        <w:rPr>
          <w:szCs w:val="22"/>
        </w:rPr>
        <w:t xml:space="preserve"> stations </w:t>
      </w:r>
      <w:r w:rsidR="00E27A2E" w:rsidRPr="00952F8A">
        <w:rPr>
          <w:szCs w:val="22"/>
        </w:rPr>
        <w:t xml:space="preserve">within the 600 MHz Band </w:t>
      </w:r>
      <w:r w:rsidR="000E5E1C" w:rsidRPr="00952F8A">
        <w:rPr>
          <w:szCs w:val="22"/>
        </w:rPr>
        <w:t>so as</w:t>
      </w:r>
      <w:r w:rsidR="00775813" w:rsidRPr="00952F8A">
        <w:rPr>
          <w:szCs w:val="22"/>
        </w:rPr>
        <w:t xml:space="preserve"> to minimize impaired weighted-pops</w:t>
      </w:r>
      <w:r w:rsidR="00802D39" w:rsidRPr="00952F8A">
        <w:rPr>
          <w:szCs w:val="22"/>
        </w:rPr>
        <w:t>; and (2) a</w:t>
      </w:r>
      <w:r w:rsidR="008C2E9D" w:rsidRPr="00952F8A">
        <w:rPr>
          <w:szCs w:val="22"/>
        </w:rPr>
        <w:t>n</w:t>
      </w:r>
      <w:r w:rsidR="00802D39" w:rsidRPr="00952F8A">
        <w:rPr>
          <w:szCs w:val="22"/>
        </w:rPr>
        <w:t xml:space="preserve"> </w:t>
      </w:r>
      <w:r w:rsidR="008C2E9D" w:rsidRPr="00952F8A">
        <w:rPr>
          <w:szCs w:val="22"/>
        </w:rPr>
        <w:t xml:space="preserve">alternative approach </w:t>
      </w:r>
      <w:r w:rsidR="00802D39" w:rsidRPr="00952F8A">
        <w:rPr>
          <w:szCs w:val="22"/>
        </w:rPr>
        <w:t xml:space="preserve">that </w:t>
      </w:r>
      <w:r w:rsidR="006E18EA">
        <w:rPr>
          <w:szCs w:val="22"/>
        </w:rPr>
        <w:t xml:space="preserve">minimizes impaired weighted-pops but </w:t>
      </w:r>
      <w:r w:rsidR="00802D39" w:rsidRPr="00952F8A">
        <w:rPr>
          <w:szCs w:val="22"/>
        </w:rPr>
        <w:t xml:space="preserve">restricts </w:t>
      </w:r>
      <w:r w:rsidR="00775813" w:rsidRPr="00952F8A">
        <w:rPr>
          <w:szCs w:val="22"/>
        </w:rPr>
        <w:t xml:space="preserve">the software from assigning </w:t>
      </w:r>
      <w:r w:rsidR="00802D39" w:rsidRPr="00952F8A">
        <w:rPr>
          <w:szCs w:val="22"/>
        </w:rPr>
        <w:t xml:space="preserve">stations to </w:t>
      </w:r>
      <w:r w:rsidR="00987B32">
        <w:rPr>
          <w:szCs w:val="22"/>
        </w:rPr>
        <w:t xml:space="preserve">channels that could impair </w:t>
      </w:r>
      <w:r w:rsidR="00802D39" w:rsidRPr="00952F8A">
        <w:rPr>
          <w:szCs w:val="22"/>
        </w:rPr>
        <w:t>the duplex gap.</w:t>
      </w:r>
      <w:r w:rsidR="006006F6" w:rsidRPr="00952F8A">
        <w:rPr>
          <w:rStyle w:val="FootnoteReference"/>
          <w:szCs w:val="22"/>
        </w:rPr>
        <w:footnoteReference w:id="12"/>
      </w:r>
      <w:r w:rsidR="00802D39" w:rsidRPr="00952F8A">
        <w:rPr>
          <w:szCs w:val="22"/>
        </w:rPr>
        <w:t xml:space="preserve">  </w:t>
      </w:r>
    </w:p>
    <w:p w:rsidR="00323C4D" w:rsidRDefault="00BC637A" w:rsidP="00931AC7">
      <w:pPr>
        <w:pStyle w:val="Para"/>
        <w:widowControl/>
        <w:numPr>
          <w:ilvl w:val="0"/>
          <w:numId w:val="18"/>
        </w:numPr>
        <w:ind w:left="0" w:firstLine="1080"/>
      </w:pPr>
      <w:r>
        <w:t>The simulations indicate that the</w:t>
      </w:r>
      <w:r w:rsidR="00952F8A">
        <w:t xml:space="preserve"> procedure </w:t>
      </w:r>
      <w:r>
        <w:t>proposed</w:t>
      </w:r>
      <w:r w:rsidR="002C76D9">
        <w:t xml:space="preserve"> in the </w:t>
      </w:r>
      <w:r w:rsidR="002C76D9" w:rsidRPr="00C60A10">
        <w:rPr>
          <w:i/>
        </w:rPr>
        <w:t>Comment PN</w:t>
      </w:r>
      <w:r w:rsidR="002C76D9">
        <w:t xml:space="preserve"> for setting the initial clearing target,</w:t>
      </w:r>
      <w:r w:rsidR="00952F8A">
        <w:t xml:space="preserve"> with the</w:t>
      </w:r>
      <w:r w:rsidR="002C76D9">
        <w:t xml:space="preserve"> </w:t>
      </w:r>
      <w:r w:rsidR="00952F8A">
        <w:t>modifications</w:t>
      </w:r>
      <w:r w:rsidR="008F3E6D">
        <w:t xml:space="preserve"> described above</w:t>
      </w:r>
      <w:r w:rsidR="00952F8A">
        <w:t>,</w:t>
      </w:r>
      <w:r w:rsidR="008F3E6D">
        <w:t xml:space="preserve"> </w:t>
      </w:r>
      <w:r w:rsidR="00CD7F7D">
        <w:t>results in</w:t>
      </w:r>
      <w:r w:rsidR="00474DCF">
        <w:t xml:space="preserve"> </w:t>
      </w:r>
      <w:r w:rsidR="00986D3A">
        <w:t xml:space="preserve">the selection of </w:t>
      </w:r>
      <w:r w:rsidR="00474DCF">
        <w:t>a</w:t>
      </w:r>
      <w:r w:rsidR="00EF2267">
        <w:t>n initial</w:t>
      </w:r>
      <w:r w:rsidR="00474DCF">
        <w:t xml:space="preserve"> clearing target of 84 megahertz </w:t>
      </w:r>
      <w:r w:rsidR="00987B32">
        <w:t xml:space="preserve">in a scenario where </w:t>
      </w:r>
      <w:r w:rsidR="00474DCF">
        <w:t>40 to 50 percent of broadcasters participate in the reverse auction (</w:t>
      </w:r>
      <w:r w:rsidR="00323C4D">
        <w:t>Scenario 1</w:t>
      </w:r>
      <w:r w:rsidR="00474DCF">
        <w:t>); a</w:t>
      </w:r>
      <w:r w:rsidR="00EF2267">
        <w:t>n initial</w:t>
      </w:r>
      <w:r w:rsidR="00474DCF">
        <w:t xml:space="preserve"> clearing target of 114 megahertz i</w:t>
      </w:r>
      <w:r w:rsidR="00987B32">
        <w:t>n a scenario where</w:t>
      </w:r>
      <w:r w:rsidR="00474DCF">
        <w:t xml:space="preserve"> 50 to 60 percent participate</w:t>
      </w:r>
      <w:r w:rsidR="009D3D2F">
        <w:t xml:space="preserve"> (Scenario 2)</w:t>
      </w:r>
      <w:r w:rsidR="00474DCF">
        <w:t>; and a</w:t>
      </w:r>
      <w:r w:rsidR="00EF2267">
        <w:t>n initial</w:t>
      </w:r>
      <w:r w:rsidR="00474DCF">
        <w:t xml:space="preserve"> clearing target of 126 megahertz i</w:t>
      </w:r>
      <w:r w:rsidR="00987B32">
        <w:t>n a scenario where</w:t>
      </w:r>
      <w:r w:rsidR="00474DCF">
        <w:t xml:space="preserve"> 60 to 70 percent participate</w:t>
      </w:r>
      <w:r w:rsidR="009D3D2F">
        <w:t xml:space="preserve"> (Scenario 3)</w:t>
      </w:r>
      <w:r w:rsidR="00474DCF">
        <w:t>.</w:t>
      </w:r>
      <w:r w:rsidR="00CD7F7D">
        <w:t xml:space="preserve">  </w:t>
      </w:r>
      <w:r w:rsidR="00986D3A">
        <w:t>U</w:t>
      </w:r>
      <w:r w:rsidR="005536EA">
        <w:t xml:space="preserve">nder each scenario, </w:t>
      </w:r>
      <w:r w:rsidR="00CD7F7D">
        <w:t>t</w:t>
      </w:r>
      <w:r w:rsidR="00931AC7">
        <w:t xml:space="preserve">he </w:t>
      </w:r>
      <w:r w:rsidR="00CD7F7D">
        <w:t xml:space="preserve">vast majority of the licenses offered </w:t>
      </w:r>
      <w:r w:rsidR="00931AC7">
        <w:t xml:space="preserve">in </w:t>
      </w:r>
      <w:r w:rsidR="00CD7F7D">
        <w:t>the band plan associated with each clearing target are</w:t>
      </w:r>
      <w:r w:rsidR="00931AC7">
        <w:t xml:space="preserve"> Category 1 licenses.</w:t>
      </w:r>
      <w:r w:rsidR="00CD7F7D">
        <w:rPr>
          <w:rStyle w:val="FootnoteReference"/>
        </w:rPr>
        <w:footnoteReference w:id="13"/>
      </w:r>
      <w:r w:rsidR="00931AC7">
        <w:t xml:space="preserve">  In Scenario 1, of the </w:t>
      </w:r>
      <w:r w:rsidR="002F2E82">
        <w:t>2842</w:t>
      </w:r>
      <w:r w:rsidR="00931AC7">
        <w:t xml:space="preserve"> </w:t>
      </w:r>
      <w:r w:rsidR="00CE3703">
        <w:t xml:space="preserve">possible </w:t>
      </w:r>
      <w:r w:rsidR="00931AC7">
        <w:t>licenses,</w:t>
      </w:r>
      <w:r w:rsidR="00CE3703">
        <w:rPr>
          <w:rStyle w:val="FootnoteReference"/>
        </w:rPr>
        <w:footnoteReference w:id="14"/>
      </w:r>
      <w:r w:rsidR="00931AC7">
        <w:t xml:space="preserve"> only </w:t>
      </w:r>
      <w:r w:rsidR="002F2E82">
        <w:t>46</w:t>
      </w:r>
      <w:r w:rsidR="00931AC7">
        <w:t xml:space="preserve"> are Category 2 licenses.  For Scenario 2, of the </w:t>
      </w:r>
      <w:r w:rsidR="002F2E82">
        <w:t>3654</w:t>
      </w:r>
      <w:r w:rsidR="00931AC7">
        <w:t xml:space="preserve"> </w:t>
      </w:r>
      <w:r w:rsidR="001A0CAB">
        <w:t xml:space="preserve">possible </w:t>
      </w:r>
      <w:r w:rsidR="00931AC7">
        <w:t xml:space="preserve">licenses, only </w:t>
      </w:r>
      <w:r w:rsidR="002F2E82">
        <w:t>50</w:t>
      </w:r>
      <w:r w:rsidR="00931AC7">
        <w:t xml:space="preserve"> are Category 2 license</w:t>
      </w:r>
      <w:r w:rsidR="005536EA">
        <w:t>s</w:t>
      </w:r>
      <w:r w:rsidR="00931AC7">
        <w:t>.  And for</w:t>
      </w:r>
      <w:r w:rsidR="00EE1EB1">
        <w:t xml:space="preserve"> </w:t>
      </w:r>
      <w:r w:rsidR="009D3D2F">
        <w:t>Scenario 3</w:t>
      </w:r>
      <w:r w:rsidR="00931AC7">
        <w:t xml:space="preserve">, of the </w:t>
      </w:r>
      <w:r w:rsidR="002F2E82">
        <w:t>4060</w:t>
      </w:r>
      <w:r w:rsidR="00931AC7">
        <w:t xml:space="preserve"> </w:t>
      </w:r>
      <w:r w:rsidR="001A0CAB">
        <w:t xml:space="preserve">possible </w:t>
      </w:r>
      <w:r w:rsidR="00931AC7">
        <w:t xml:space="preserve">licenses, only </w:t>
      </w:r>
      <w:r w:rsidR="002F2E82">
        <w:t>48</w:t>
      </w:r>
      <w:r w:rsidR="00CD7F7D">
        <w:t xml:space="preserve"> are Category 2 licenses.  I</w:t>
      </w:r>
      <w:r w:rsidR="00931AC7">
        <w:t xml:space="preserve">n all three scenarios, </w:t>
      </w:r>
      <w:r w:rsidR="00CD7B08">
        <w:t>88 to 93</w:t>
      </w:r>
      <w:r w:rsidR="00986D3A">
        <w:t xml:space="preserve"> percent of the licenses in the high-demand markets are Category 1 licenses and </w:t>
      </w:r>
      <w:r w:rsidR="002F2E82">
        <w:t>84</w:t>
      </w:r>
      <w:r w:rsidR="00986D3A">
        <w:t xml:space="preserve"> to</w:t>
      </w:r>
      <w:r w:rsidR="000A0E2A">
        <w:t xml:space="preserve"> </w:t>
      </w:r>
      <w:r w:rsidR="002F2E82">
        <w:t>88</w:t>
      </w:r>
      <w:r w:rsidR="00931AC7">
        <w:t xml:space="preserve"> percent of PEAs contain </w:t>
      </w:r>
      <w:r w:rsidR="00931AC7" w:rsidRPr="00E17C58">
        <w:rPr>
          <w:i/>
        </w:rPr>
        <w:t>only</w:t>
      </w:r>
      <w:r w:rsidR="00931AC7">
        <w:t xml:space="preserve"> Category 1 licenses.</w:t>
      </w:r>
      <w:r w:rsidR="00931AC7">
        <w:rPr>
          <w:rStyle w:val="FootnoteReference"/>
        </w:rPr>
        <w:footnoteReference w:id="15"/>
      </w:r>
      <w:r w:rsidR="00474DCF">
        <w:t xml:space="preserve">  </w:t>
      </w:r>
      <w:r w:rsidR="00CD7F7D">
        <w:t>The results also reflect that</w:t>
      </w:r>
      <w:r w:rsidR="00184725">
        <w:t xml:space="preserve">, </w:t>
      </w:r>
      <w:r w:rsidR="00986D3A">
        <w:t>in</w:t>
      </w:r>
      <w:r w:rsidR="00184725">
        <w:t xml:space="preserve"> lower broadcaster participation scenarios,</w:t>
      </w:r>
      <w:r w:rsidR="00CD7F7D">
        <w:t xml:space="preserve"> excluding stations altogether from the duplex gap </w:t>
      </w:r>
      <w:r w:rsidR="00A51261">
        <w:t xml:space="preserve">would </w:t>
      </w:r>
      <w:r w:rsidR="00986D3A">
        <w:t>increase the number of Category 2 licenses and heavily impaired licenses that the Commission proposed not to offer in the incentive auction</w:t>
      </w:r>
      <w:r w:rsidR="00CD7F7D">
        <w:t>.</w:t>
      </w:r>
      <w:r w:rsidR="00CD7F7D">
        <w:rPr>
          <w:rStyle w:val="FootnoteReference"/>
        </w:rPr>
        <w:footnoteReference w:id="16"/>
      </w:r>
      <w:r w:rsidR="00474DCF">
        <w:t xml:space="preserve">   </w:t>
      </w:r>
    </w:p>
    <w:p w:rsidR="00802D39" w:rsidRPr="005A3E13" w:rsidRDefault="00802D39" w:rsidP="00D50858">
      <w:pPr>
        <w:pStyle w:val="Para"/>
        <w:widowControl/>
        <w:numPr>
          <w:ilvl w:val="0"/>
          <w:numId w:val="18"/>
        </w:numPr>
        <w:ind w:left="0" w:firstLine="1080"/>
        <w:rPr>
          <w:color w:val="000000"/>
        </w:rPr>
      </w:pPr>
      <w:r>
        <w:rPr>
          <w:color w:val="000000"/>
        </w:rPr>
        <w:t>The Incentive Auction Task Force</w:t>
      </w:r>
      <w:r w:rsidRPr="005A3E13">
        <w:rPr>
          <w:color w:val="000000"/>
        </w:rPr>
        <w:t xml:space="preserve"> invites interested parties to comment on the </w:t>
      </w:r>
      <w:r>
        <w:rPr>
          <w:color w:val="000000"/>
        </w:rPr>
        <w:t xml:space="preserve">data and </w:t>
      </w:r>
      <w:r w:rsidRPr="005A3E13">
        <w:rPr>
          <w:color w:val="000000"/>
        </w:rPr>
        <w:t>analys</w:t>
      </w:r>
      <w:r>
        <w:rPr>
          <w:color w:val="000000"/>
        </w:rPr>
        <w:t>e</w:t>
      </w:r>
      <w:r w:rsidRPr="005A3E13">
        <w:rPr>
          <w:color w:val="000000"/>
        </w:rPr>
        <w:t>s we release in this</w:t>
      </w:r>
      <w:r w:rsidRPr="00374469">
        <w:t xml:space="preserve"> </w:t>
      </w:r>
      <w:r>
        <w:t>P</w:t>
      </w:r>
      <w:r w:rsidRPr="00374469">
        <w:t xml:space="preserve">ublic </w:t>
      </w:r>
      <w:r>
        <w:t>N</w:t>
      </w:r>
      <w:r w:rsidRPr="00374469">
        <w:t>otice</w:t>
      </w:r>
      <w:r>
        <w:t xml:space="preserve"> and the attached Appendix.  Information relating to the Incentive Auction will be posted to and available on</w:t>
      </w:r>
      <w:r w:rsidRPr="00374469">
        <w:t xml:space="preserve"> the LEARN website at: </w:t>
      </w:r>
      <w:hyperlink r:id="rId14" w:history="1">
        <w:r w:rsidRPr="005A3E13">
          <w:rPr>
            <w:rStyle w:val="Hyperlink"/>
            <w:szCs w:val="22"/>
          </w:rPr>
          <w:t>http://www.fcc.gov/learn</w:t>
        </w:r>
      </w:hyperlink>
      <w:r w:rsidRPr="00374469">
        <w:t>.</w:t>
      </w:r>
    </w:p>
    <w:p w:rsidR="00802D39" w:rsidRPr="00D50858" w:rsidRDefault="00802D39" w:rsidP="00D50858">
      <w:pPr>
        <w:spacing w:after="240"/>
        <w:jc w:val="center"/>
        <w:rPr>
          <w:szCs w:val="22"/>
        </w:rPr>
      </w:pPr>
      <w:r w:rsidRPr="00D50858">
        <w:rPr>
          <w:szCs w:val="22"/>
        </w:rPr>
        <w:t>***</w:t>
      </w:r>
    </w:p>
    <w:p w:rsidR="00802D39" w:rsidRPr="000910A3" w:rsidRDefault="00802D39" w:rsidP="00D50858">
      <w:pPr>
        <w:pStyle w:val="Para"/>
        <w:widowControl/>
        <w:numPr>
          <w:ilvl w:val="0"/>
          <w:numId w:val="18"/>
        </w:numPr>
        <w:ind w:left="0" w:firstLine="1080"/>
      </w:pPr>
      <w:r w:rsidRPr="0085335F">
        <w:t>This Public Notice is being issued pursuant to sections 0.31, 0.51, 0.61, and 0.131 of the Commission’s rules by the Wirel</w:t>
      </w:r>
      <w:r>
        <w:t xml:space="preserve">ess Telecommunications Bureau and </w:t>
      </w:r>
      <w:r w:rsidRPr="0085335F">
        <w:t>the Incentive Auction Task Force.</w:t>
      </w:r>
      <w:r w:rsidRPr="0085335F">
        <w:rPr>
          <w:rStyle w:val="FootnoteReference"/>
          <w:szCs w:val="22"/>
        </w:rPr>
        <w:footnoteReference w:id="17"/>
      </w:r>
      <w:r w:rsidRPr="0085335F">
        <w:t xml:space="preserve"> </w:t>
      </w:r>
      <w:r>
        <w:t xml:space="preserve"> </w:t>
      </w:r>
      <w:r w:rsidRPr="0085335F">
        <w:t xml:space="preserve">Comments may be filed using the procedures for </w:t>
      </w:r>
      <w:r w:rsidRPr="0085335F">
        <w:rPr>
          <w:i/>
          <w:iCs/>
        </w:rPr>
        <w:t xml:space="preserve">ex parte </w:t>
      </w:r>
      <w:r w:rsidRPr="0085335F">
        <w:t>submissions in permit-but-disclose proceedings set forth in section 1.1206 of the Commission’s rules.</w:t>
      </w:r>
      <w:r w:rsidRPr="0085335F">
        <w:rPr>
          <w:rStyle w:val="FootnoteReference"/>
          <w:szCs w:val="22"/>
        </w:rPr>
        <w:footnoteReference w:id="18"/>
      </w:r>
      <w:r w:rsidRPr="0085335F">
        <w:t xml:space="preserve"> </w:t>
      </w:r>
      <w:r>
        <w:t xml:space="preserve"> </w:t>
      </w:r>
      <w:r w:rsidRPr="0085335F">
        <w:t xml:space="preserve">When filing comments, please reference </w:t>
      </w:r>
      <w:r>
        <w:t xml:space="preserve">AU Docket No. 14-252 and </w:t>
      </w:r>
      <w:r w:rsidRPr="0085335F">
        <w:t>GN Docket No. 12-268</w:t>
      </w:r>
      <w:r>
        <w:t>.</w:t>
      </w:r>
    </w:p>
    <w:p w:rsidR="000910A3" w:rsidRPr="000910A3" w:rsidRDefault="000910A3" w:rsidP="00D50858">
      <w:pPr>
        <w:pStyle w:val="Para"/>
        <w:widowControl/>
        <w:numPr>
          <w:ilvl w:val="0"/>
          <w:numId w:val="18"/>
        </w:numPr>
        <w:ind w:left="0" w:firstLine="1080"/>
        <w:rPr>
          <w:szCs w:val="22"/>
        </w:rPr>
      </w:pPr>
      <w:r w:rsidRPr="000910A3">
        <w:rPr>
          <w:szCs w:val="22"/>
        </w:rPr>
        <w:t>To request materials in accessible formats (Braille, large print, electronic files, audio format) for people with disabilities, send an e-mail to</w:t>
      </w:r>
      <w:r w:rsidRPr="000910A3">
        <w:rPr>
          <w:color w:val="1F497D"/>
          <w:szCs w:val="22"/>
        </w:rPr>
        <w:t xml:space="preserve"> </w:t>
      </w:r>
      <w:hyperlink r:id="rId15" w:history="1">
        <w:r w:rsidRPr="000910A3">
          <w:rPr>
            <w:rStyle w:val="Hyperlink"/>
            <w:szCs w:val="22"/>
          </w:rPr>
          <w:t>fcc504@fcc.gov</w:t>
        </w:r>
      </w:hyperlink>
      <w:r w:rsidRPr="000910A3">
        <w:rPr>
          <w:color w:val="1F497D"/>
          <w:szCs w:val="22"/>
        </w:rPr>
        <w:t xml:space="preserve"> </w:t>
      </w:r>
      <w:r w:rsidRPr="000910A3">
        <w:rPr>
          <w:szCs w:val="22"/>
        </w:rPr>
        <w:t>or call the Consumer and Government Affairs Bureau at (202) 418-0530 or (202) 418-0432 (TTY).</w:t>
      </w:r>
    </w:p>
    <w:p w:rsidR="00802D39" w:rsidRPr="00433F81" w:rsidRDefault="00802D39" w:rsidP="00D50858">
      <w:pPr>
        <w:pStyle w:val="Para"/>
        <w:widowControl/>
        <w:numPr>
          <w:ilvl w:val="0"/>
          <w:numId w:val="18"/>
        </w:numPr>
        <w:ind w:left="0" w:firstLine="1080"/>
      </w:pPr>
      <w:r w:rsidRPr="0085335F">
        <w:t xml:space="preserve">For further information, contact </w:t>
      </w:r>
      <w:r>
        <w:t>Madelaine Maior at 202-418-1466</w:t>
      </w:r>
      <w:r w:rsidRPr="0085335F">
        <w:t xml:space="preserve">, or via e-mail at </w:t>
      </w:r>
      <w:hyperlink r:id="rId16" w:history="1">
        <w:r w:rsidRPr="005C413D">
          <w:rPr>
            <w:rStyle w:val="Hyperlink"/>
          </w:rPr>
          <w:t>Madelaine.Maior@fcc.gov</w:t>
        </w:r>
      </w:hyperlink>
      <w:r w:rsidRPr="0085335F">
        <w:t>.</w:t>
      </w:r>
    </w:p>
    <w:p w:rsidR="00ED4132" w:rsidRDefault="00ED4132" w:rsidP="00ED4132">
      <w:pPr>
        <w:pStyle w:val="Para"/>
        <w:widowControl/>
        <w:jc w:val="center"/>
        <w:rPr>
          <w:szCs w:val="22"/>
        </w:rPr>
      </w:pPr>
    </w:p>
    <w:p w:rsidR="00A2102C" w:rsidRPr="00433F81" w:rsidRDefault="00ED4132" w:rsidP="00ED4132">
      <w:pPr>
        <w:pStyle w:val="Para"/>
        <w:widowControl/>
        <w:jc w:val="center"/>
      </w:pPr>
      <w:r w:rsidRPr="008D5D73">
        <w:rPr>
          <w:szCs w:val="22"/>
        </w:rPr>
        <w:t>- FCC -</w:t>
      </w:r>
    </w:p>
    <w:sectPr w:rsidR="00A2102C" w:rsidRPr="00433F81" w:rsidSect="00E17C58">
      <w:headerReference w:type="default" r:id="rId17"/>
      <w:footerReference w:type="default" r:id="rId18"/>
      <w:headerReference w:type="first" r:id="rId19"/>
      <w:type w:val="continuous"/>
      <w:pgSz w:w="12240" w:h="15840" w:code="1"/>
      <w:pgMar w:top="1440" w:right="1080" w:bottom="1440" w:left="1080" w:header="720" w:footer="720" w:gutter="0"/>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09E1F" w15:done="0"/>
  <w15:commentEx w15:paraId="750B5E71" w15:done="0"/>
  <w15:commentEx w15:paraId="6BB781F4" w15:done="0"/>
  <w15:commentEx w15:paraId="19FF2037" w15:done="0"/>
  <w15:commentEx w15:paraId="0B59C764" w15:done="0"/>
  <w15:commentEx w15:paraId="4BCFABB0" w15:done="0"/>
  <w15:commentEx w15:paraId="4E927B42" w15:done="0"/>
  <w15:commentEx w15:paraId="4F7E2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13" w:rsidRDefault="00754D13">
      <w:r>
        <w:separator/>
      </w:r>
    </w:p>
  </w:endnote>
  <w:endnote w:type="continuationSeparator" w:id="0">
    <w:p w:rsidR="00754D13" w:rsidRDefault="0075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04" w:rsidRDefault="00740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30368"/>
      <w:docPartObj>
        <w:docPartGallery w:val="Page Numbers (Bottom of Page)"/>
        <w:docPartUnique/>
      </w:docPartObj>
    </w:sdtPr>
    <w:sdtEndPr>
      <w:rPr>
        <w:noProof/>
      </w:rPr>
    </w:sdtEndPr>
    <w:sdtContent>
      <w:p w:rsidR="00D1078B" w:rsidRDefault="00D1078B">
        <w:pPr>
          <w:pStyle w:val="Footer"/>
        </w:pPr>
        <w:r>
          <w:fldChar w:fldCharType="begin"/>
        </w:r>
        <w:r>
          <w:instrText xml:space="preserve"> PAGE   \* MERGEFORMAT </w:instrText>
        </w:r>
        <w:r>
          <w:fldChar w:fldCharType="separate"/>
        </w:r>
        <w:r>
          <w:rPr>
            <w:noProof/>
          </w:rPr>
          <w:t>2</w:t>
        </w:r>
        <w:r>
          <w:rPr>
            <w:noProof/>
          </w:rPr>
          <w:fldChar w:fldCharType="end"/>
        </w:r>
      </w:p>
    </w:sdtContent>
  </w:sdt>
  <w:p w:rsidR="00D1078B" w:rsidRDefault="00D10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04" w:rsidRDefault="007406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65590"/>
      <w:docPartObj>
        <w:docPartGallery w:val="Page Numbers (Bottom of Page)"/>
        <w:docPartUnique/>
      </w:docPartObj>
    </w:sdtPr>
    <w:sdtEndPr>
      <w:rPr>
        <w:noProof/>
      </w:rPr>
    </w:sdtEndPr>
    <w:sdtContent>
      <w:p w:rsidR="00D1078B" w:rsidRDefault="00D1078B" w:rsidP="00E17C58">
        <w:pPr>
          <w:pStyle w:val="Footer"/>
          <w:jc w:val="center"/>
        </w:pPr>
        <w:r>
          <w:fldChar w:fldCharType="begin"/>
        </w:r>
        <w:r>
          <w:instrText xml:space="preserve"> PAGE   \* MERGEFORMAT </w:instrText>
        </w:r>
        <w:r>
          <w:fldChar w:fldCharType="separate"/>
        </w:r>
        <w:r w:rsidR="0085076C">
          <w:rPr>
            <w:noProof/>
          </w:rPr>
          <w:t>2</w:t>
        </w:r>
        <w:r>
          <w:rPr>
            <w:noProof/>
          </w:rPr>
          <w:fldChar w:fldCharType="end"/>
        </w:r>
      </w:p>
    </w:sdtContent>
  </w:sdt>
  <w:p w:rsidR="00D1078B" w:rsidRDefault="00D1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13" w:rsidRDefault="00754D13">
      <w:r>
        <w:separator/>
      </w:r>
    </w:p>
  </w:footnote>
  <w:footnote w:type="continuationSeparator" w:id="0">
    <w:p w:rsidR="00754D13" w:rsidRDefault="00754D13">
      <w:r>
        <w:continuationSeparator/>
      </w:r>
    </w:p>
  </w:footnote>
  <w:footnote w:id="1">
    <w:p w:rsidR="001F381D" w:rsidRDefault="001F381D" w:rsidP="001F381D">
      <w:pPr>
        <w:pStyle w:val="FootnoteText"/>
      </w:pPr>
      <w:r>
        <w:rPr>
          <w:rStyle w:val="FootnoteReference"/>
        </w:rPr>
        <w:footnoteRef/>
      </w:r>
      <w:r>
        <w:t xml:space="preserve"> </w:t>
      </w:r>
      <w:r w:rsidRPr="00EE1192">
        <w:rPr>
          <w:i/>
          <w:iCs/>
        </w:rPr>
        <w:t>Comment Sought on Competitive Bidding Procedures for Broadcast Incentive Auction 1000, Including Auctions 1001 and 1002</w:t>
      </w:r>
      <w:r w:rsidRPr="00EE1192">
        <w:t>, GN Docket No. 12-268, AU Docket No. 14-252, Public Notice, FCC 14-191, 29 FCC Rcd 15750 (</w:t>
      </w:r>
      <w:r>
        <w:t xml:space="preserve">Dec. 17, </w:t>
      </w:r>
      <w:r w:rsidRPr="00EE1192">
        <w:t>2014) (“</w:t>
      </w:r>
      <w:r w:rsidRPr="00EE1192">
        <w:rPr>
          <w:i/>
        </w:rPr>
        <w:t xml:space="preserve">Auction 1000 </w:t>
      </w:r>
      <w:r w:rsidRPr="00EE1192">
        <w:rPr>
          <w:i/>
          <w:iCs/>
        </w:rPr>
        <w:t>Comment PN</w:t>
      </w:r>
      <w:r w:rsidRPr="00EE1192">
        <w:rPr>
          <w:iCs/>
        </w:rPr>
        <w:t>” or “</w:t>
      </w:r>
      <w:r w:rsidRPr="00EE1192">
        <w:rPr>
          <w:i/>
          <w:iCs/>
        </w:rPr>
        <w:t>Comment PN</w:t>
      </w:r>
      <w:r w:rsidRPr="00EE1192">
        <w:rPr>
          <w:iCs/>
        </w:rPr>
        <w:t>”</w:t>
      </w:r>
      <w:r>
        <w:t xml:space="preserve">).  </w:t>
      </w:r>
    </w:p>
  </w:footnote>
  <w:footnote w:id="2">
    <w:p w:rsidR="007509F3" w:rsidRPr="00F13B17" w:rsidRDefault="007509F3" w:rsidP="007509F3">
      <w:pPr>
        <w:pStyle w:val="FootnoteText"/>
      </w:pPr>
      <w:r>
        <w:rPr>
          <w:rStyle w:val="FootnoteReference"/>
        </w:rPr>
        <w:footnoteRef/>
      </w:r>
      <w:r>
        <w:t xml:space="preserve"> </w:t>
      </w:r>
      <w:r w:rsidR="00EB330B">
        <w:t>Impairments are the result of assigning TV stations</w:t>
      </w:r>
      <w:r w:rsidR="000471B2">
        <w:t xml:space="preserve"> to channels</w:t>
      </w:r>
      <w:r w:rsidR="00EB330B">
        <w:t xml:space="preserve"> in the 600 MHz Band in order to accommodate market variation.  </w:t>
      </w:r>
      <w:r w:rsidR="00EB330B" w:rsidRPr="00982D25">
        <w:rPr>
          <w:i/>
        </w:rPr>
        <w:t>Expanding the Economic and Innovation Opportunities of Spectrum Through Incentive Auctions</w:t>
      </w:r>
      <w:r w:rsidR="00EB330B" w:rsidRPr="00982D25">
        <w:t xml:space="preserve">, GN Docket No. 12-268, Report </w:t>
      </w:r>
      <w:r w:rsidR="00EB330B">
        <w:t>and Order, 29 FCC Rcd 6567, 6604-6607</w:t>
      </w:r>
      <w:r w:rsidR="00EB330B" w:rsidRPr="00982D25">
        <w:t>, para</w:t>
      </w:r>
      <w:r w:rsidR="00EB330B">
        <w:t>s. 81-87</w:t>
      </w:r>
      <w:r w:rsidR="00EB330B" w:rsidRPr="00982D25">
        <w:t xml:space="preserve"> (2014) (</w:t>
      </w:r>
      <w:r w:rsidR="00EB330B">
        <w:t>“</w:t>
      </w:r>
      <w:r w:rsidR="00EB330B" w:rsidRPr="00982D25">
        <w:rPr>
          <w:i/>
        </w:rPr>
        <w:t>Incentive Auction R&amp;O</w:t>
      </w:r>
      <w:r w:rsidR="00EB330B">
        <w:rPr>
          <w:i/>
        </w:rPr>
        <w:t>”</w:t>
      </w:r>
      <w:r w:rsidR="00EB330B" w:rsidRPr="00982D25">
        <w:t>)</w:t>
      </w:r>
      <w:r w:rsidR="00EB330B">
        <w:t xml:space="preserve">.  </w:t>
      </w:r>
      <w:r w:rsidR="00EB330B">
        <w:rPr>
          <w:i/>
        </w:rPr>
        <w:t xml:space="preserve">See </w:t>
      </w:r>
      <w:r w:rsidR="00EB330B" w:rsidRPr="00982D25">
        <w:rPr>
          <w:i/>
        </w:rPr>
        <w:t>Expanding the Economic and Innovation Opportunities of Spectrum Through Incentive Auctions</w:t>
      </w:r>
      <w:r w:rsidR="00EB330B" w:rsidRPr="00982D25">
        <w:t>,</w:t>
      </w:r>
      <w:r w:rsidR="00EB330B" w:rsidRPr="00982D25">
        <w:rPr>
          <w:i/>
        </w:rPr>
        <w:t xml:space="preserve"> </w:t>
      </w:r>
      <w:r w:rsidR="00EB330B" w:rsidRPr="00982D25">
        <w:t>GN Docket No. 12-268, Second Report and Order and Further Notice of Proposed Rulem</w:t>
      </w:r>
      <w:r w:rsidR="001C7A2F">
        <w:t>aking, 29 FCC Rcd 13071 (2014) (adopting methodology for use during the incentive auction to predict inter-service interference between impairing TV stations and licensed wireless services in the 600 MHz Band).</w:t>
      </w:r>
      <w:r w:rsidR="00EB330B">
        <w:t xml:space="preserve">  </w:t>
      </w:r>
      <w:r w:rsidR="00F13B17">
        <w:t xml:space="preserve"> </w:t>
      </w:r>
    </w:p>
  </w:footnote>
  <w:footnote w:id="3">
    <w:p w:rsidR="00BA608E" w:rsidRDefault="00BA608E">
      <w:pPr>
        <w:pStyle w:val="FootnoteText"/>
      </w:pPr>
      <w:r>
        <w:rPr>
          <w:rStyle w:val="FootnoteReference"/>
        </w:rPr>
        <w:footnoteRef/>
      </w:r>
      <w:r>
        <w:t xml:space="preserve"> </w:t>
      </w:r>
      <w:r w:rsidRPr="00EE1192">
        <w:rPr>
          <w:i/>
        </w:rPr>
        <w:t xml:space="preserve">Auction 1000 </w:t>
      </w:r>
      <w:r w:rsidRPr="00EE1192">
        <w:rPr>
          <w:i/>
          <w:iCs/>
        </w:rPr>
        <w:t>Comment PN</w:t>
      </w:r>
      <w:r w:rsidRPr="00F041D7">
        <w:rPr>
          <w:iCs/>
        </w:rPr>
        <w:t xml:space="preserve">, </w:t>
      </w:r>
      <w:r w:rsidRPr="00D934F9">
        <w:t xml:space="preserve">29 FCC Rcd at </w:t>
      </w:r>
      <w:r>
        <w:t>15762-69</w:t>
      </w:r>
      <w:r w:rsidRPr="00D934F9">
        <w:t>, para</w:t>
      </w:r>
      <w:r>
        <w:t>s</w:t>
      </w:r>
      <w:r w:rsidRPr="00D934F9">
        <w:t xml:space="preserve">. </w:t>
      </w:r>
      <w:r>
        <w:t xml:space="preserve">27-45. </w:t>
      </w:r>
    </w:p>
  </w:footnote>
  <w:footnote w:id="4">
    <w:p w:rsidR="00FD6A8C" w:rsidRDefault="00FD6A8C" w:rsidP="00FD6A8C">
      <w:pPr>
        <w:pStyle w:val="FootnoteText"/>
      </w:pPr>
      <w:r>
        <w:rPr>
          <w:rStyle w:val="FootnoteReference"/>
        </w:rPr>
        <w:footnoteRef/>
      </w:r>
      <w:r>
        <w:t xml:space="preserve"> </w:t>
      </w:r>
      <w:r w:rsidR="001F381D">
        <w:t xml:space="preserve">“Weighted-pops” refers to the proposed approach of weighting the population in a given PEA based on an index of area-specific prices from prior auctions and counting population in each block in the PEA.  </w:t>
      </w:r>
      <w:r w:rsidR="001F381D">
        <w:rPr>
          <w:i/>
        </w:rPr>
        <w:t>See id.</w:t>
      </w:r>
      <w:r w:rsidR="001F381D">
        <w:t xml:space="preserve">, 29 FCC Rcd at 15766-67, para. 38, 15803, paras. 162-63.  </w:t>
      </w:r>
      <w:r>
        <w:t>Th</w:t>
      </w:r>
      <w:r w:rsidR="001F381D">
        <w:t>e</w:t>
      </w:r>
      <w:r>
        <w:t xml:space="preserve"> standard</w:t>
      </w:r>
      <w:r w:rsidR="001F381D">
        <w:t xml:space="preserve"> applied in the simulations</w:t>
      </w:r>
      <w:r w:rsidR="00F13B17">
        <w:t xml:space="preserve"> would</w:t>
      </w:r>
      <w:r>
        <w:t xml:space="preserve"> allow </w:t>
      </w:r>
      <w:r w:rsidR="000471B2">
        <w:t xml:space="preserve">impairments at a smaller percentage of impaired weighted-pops at higher clearing targets and </w:t>
      </w:r>
      <w:r>
        <w:t xml:space="preserve">a larger percentage of impaired weighted-pops at lower clearing targets.  We note that “the equivalent of one block nationwide” does not mean that one block would be impaired in each market, but rather that the total number of impaired weighted-pops cannot exceed the equivalent weighted-pops of one block nationwide in the aggregate.  For example, under the </w:t>
      </w:r>
      <w:r w:rsidR="000471B2">
        <w:t xml:space="preserve">clearing targets and associated band plans </w:t>
      </w:r>
      <w:r>
        <w:t>adopted</w:t>
      </w:r>
      <w:r w:rsidR="00BA608E">
        <w:t xml:space="preserve"> in the </w:t>
      </w:r>
      <w:r w:rsidR="00BA608E">
        <w:rPr>
          <w:i/>
        </w:rPr>
        <w:t>Incentive Auction R&amp;O</w:t>
      </w:r>
      <w:r>
        <w:t xml:space="preserve">, the equivalent of one block under an 84 megahertz clearing target would be </w:t>
      </w:r>
      <w:r w:rsidR="001F381D">
        <w:t xml:space="preserve">approximately </w:t>
      </w:r>
      <w:r>
        <w:t xml:space="preserve">14 percent of total weighted-pops nationwide, the equivalent of one block under a 114 megahertz clearing target would be </w:t>
      </w:r>
      <w:r w:rsidR="001F381D">
        <w:t xml:space="preserve">approximately </w:t>
      </w:r>
      <w:r>
        <w:t>11 percent, and the equivalent of one block under a 126 megahertz clearing target would be</w:t>
      </w:r>
      <w:r w:rsidR="001F381D">
        <w:t xml:space="preserve"> </w:t>
      </w:r>
      <w:r>
        <w:t xml:space="preserve">10 percent. </w:t>
      </w:r>
    </w:p>
  </w:footnote>
  <w:footnote w:id="5">
    <w:p w:rsidR="00FD6A8C" w:rsidRPr="00D156DB" w:rsidRDefault="00FD6A8C" w:rsidP="00FD6A8C">
      <w:pPr>
        <w:pStyle w:val="FootnoteText"/>
      </w:pPr>
      <w:r>
        <w:rPr>
          <w:rStyle w:val="FootnoteReference"/>
        </w:rPr>
        <w:footnoteRef/>
      </w:r>
      <w:r>
        <w:t xml:space="preserve"> This variation</w:t>
      </w:r>
      <w:r w:rsidR="00DB7AA0">
        <w:t xml:space="preserve"> from the </w:t>
      </w:r>
      <w:r w:rsidR="00DB7AA0">
        <w:rPr>
          <w:i/>
        </w:rPr>
        <w:t>Comment PN</w:t>
      </w:r>
      <w:r>
        <w:t xml:space="preserve"> eliminates the </w:t>
      </w:r>
      <w:r w:rsidR="00BA608E">
        <w:t xml:space="preserve">proposed </w:t>
      </w:r>
      <w:r w:rsidR="009C3086">
        <w:t>weighting</w:t>
      </w:r>
      <w:r>
        <w:t xml:space="preserve"> on impairments in the </w:t>
      </w:r>
      <w:r w:rsidR="009C3086">
        <w:t>downlink</w:t>
      </w:r>
      <w:r>
        <w:t xml:space="preserve"> band</w:t>
      </w:r>
      <w:r w:rsidR="00DB7AA0">
        <w:t>,</w:t>
      </w:r>
      <w:r w:rsidR="009C3086">
        <w:t xml:space="preserve"> </w:t>
      </w:r>
      <w:r w:rsidR="00DB7AA0">
        <w:t>under which a downlink</w:t>
      </w:r>
      <w:r w:rsidR="009C3086">
        <w:t xml:space="preserve"> impairment would be counted </w:t>
      </w:r>
      <w:r w:rsidR="000471B2">
        <w:t xml:space="preserve">as impairing </w:t>
      </w:r>
      <w:r w:rsidR="009C3086">
        <w:t>the corresponding uplink band</w:t>
      </w:r>
      <w:r w:rsidR="00DB7AA0">
        <w:t>,</w:t>
      </w:r>
      <w:r w:rsidR="009C3086">
        <w:t xml:space="preserve"> but an </w:t>
      </w:r>
      <w:r w:rsidR="00DB7AA0">
        <w:t xml:space="preserve">uplink </w:t>
      </w:r>
      <w:r w:rsidR="009C3086">
        <w:t xml:space="preserve">impairment would not be counted </w:t>
      </w:r>
      <w:r w:rsidR="004B01EA">
        <w:t xml:space="preserve">as impairing </w:t>
      </w:r>
      <w:r w:rsidR="009C3086">
        <w:t xml:space="preserve">the </w:t>
      </w:r>
      <w:r w:rsidR="004B01EA">
        <w:t xml:space="preserve">corresponding </w:t>
      </w:r>
      <w:r w:rsidR="009C3086">
        <w:t>downlink band</w:t>
      </w:r>
      <w:r>
        <w:t xml:space="preserve">.  </w:t>
      </w:r>
      <w:r w:rsidRPr="00C12831">
        <w:rPr>
          <w:i/>
          <w:snapToGrid w:val="0"/>
          <w:kern w:val="28"/>
        </w:rPr>
        <w:t xml:space="preserve">Auction </w:t>
      </w:r>
      <w:r>
        <w:rPr>
          <w:i/>
          <w:snapToGrid w:val="0"/>
          <w:kern w:val="28"/>
        </w:rPr>
        <w:t xml:space="preserve">1000 </w:t>
      </w:r>
      <w:r w:rsidRPr="00C12831">
        <w:rPr>
          <w:i/>
          <w:iCs/>
          <w:snapToGrid w:val="0"/>
          <w:kern w:val="28"/>
        </w:rPr>
        <w:t>Comment PN</w:t>
      </w:r>
      <w:r>
        <w:rPr>
          <w:snapToGrid w:val="0"/>
          <w:kern w:val="28"/>
        </w:rPr>
        <w:t xml:space="preserve">, </w:t>
      </w:r>
      <w:r w:rsidRPr="00D934F9">
        <w:t>29 FCC Rcd at 157</w:t>
      </w:r>
      <w:r>
        <w:t>62</w:t>
      </w:r>
      <w:r w:rsidRPr="00D934F9">
        <w:t xml:space="preserve">, para. </w:t>
      </w:r>
      <w:r>
        <w:t>29</w:t>
      </w:r>
      <w:r w:rsidRPr="00D934F9">
        <w:t>.</w:t>
      </w:r>
      <w:r>
        <w:t xml:space="preserve">  </w:t>
      </w:r>
      <w:r w:rsidR="00DB7AA0">
        <w:t>We also</w:t>
      </w:r>
      <w:r w:rsidR="00D156DB">
        <w:t xml:space="preserve"> note that the simulations apply a 10 percent standard for treating a county’s entire population as impaired</w:t>
      </w:r>
      <w:r w:rsidR="000225DF">
        <w:t xml:space="preserve"> for the purposes of applying the primary objective</w:t>
      </w:r>
      <w:r w:rsidR="00D156DB">
        <w:t xml:space="preserve">; the </w:t>
      </w:r>
      <w:r w:rsidR="00D156DB">
        <w:rPr>
          <w:i/>
        </w:rPr>
        <w:t xml:space="preserve">Comment PN </w:t>
      </w:r>
      <w:r w:rsidR="00D156DB">
        <w:t xml:space="preserve">proposed a range between </w:t>
      </w:r>
      <w:r w:rsidR="00DB7AA0">
        <w:t>10</w:t>
      </w:r>
      <w:r w:rsidR="00D156DB">
        <w:t xml:space="preserve"> and </w:t>
      </w:r>
      <w:r w:rsidR="00DB7AA0">
        <w:t>20 percent</w:t>
      </w:r>
      <w:r w:rsidR="00DB7AA0" w:rsidRPr="001D5751">
        <w:t>.</w:t>
      </w:r>
      <w:r w:rsidR="00D156DB">
        <w:t xml:space="preserve">  </w:t>
      </w:r>
      <w:r w:rsidR="00D156DB">
        <w:rPr>
          <w:i/>
        </w:rPr>
        <w:t>See id.</w:t>
      </w:r>
    </w:p>
  </w:footnote>
  <w:footnote w:id="6">
    <w:p w:rsidR="00A65BD5" w:rsidRPr="004B760B" w:rsidRDefault="00A65BD5">
      <w:pPr>
        <w:pStyle w:val="FootnoteText"/>
      </w:pPr>
      <w:r>
        <w:rPr>
          <w:rStyle w:val="FootnoteReference"/>
        </w:rPr>
        <w:footnoteRef/>
      </w:r>
      <w:r>
        <w:t xml:space="preserve"> </w:t>
      </w:r>
      <w:r w:rsidR="00A01E4B" w:rsidRPr="006C3A8B">
        <w:rPr>
          <w:i/>
        </w:rPr>
        <w:t>See</w:t>
      </w:r>
      <w:r w:rsidR="00A01E4B">
        <w:t xml:space="preserve"> </w:t>
      </w:r>
      <w:r w:rsidR="00A01E4B">
        <w:rPr>
          <w:i/>
          <w:iCs/>
        </w:rPr>
        <w:t>Incentive Auction Task Force Releases Updated Constraint File Data Using Actual Channels and Staff Analysis Regarding Pairwise Approach to Preserving Population Served</w:t>
      </w:r>
      <w:r w:rsidR="00A01E4B">
        <w:t>, GN Docket No. 12-268, ET Docket No. 13-26, Public Notice, 29 FCC Rcd 5687, 5687 (June 2, 2014) (“</w:t>
      </w:r>
      <w:r w:rsidR="00A01E4B">
        <w:rPr>
          <w:i/>
          <w:iCs/>
        </w:rPr>
        <w:t>Aggregate Interference PN”</w:t>
      </w:r>
      <w:r w:rsidR="00A01E4B">
        <w:t>).</w:t>
      </w:r>
    </w:p>
  </w:footnote>
  <w:footnote w:id="7">
    <w:p w:rsidR="00A65BD5" w:rsidRDefault="00A65BD5">
      <w:pPr>
        <w:pStyle w:val="FootnoteText"/>
      </w:pPr>
      <w:r>
        <w:rPr>
          <w:rStyle w:val="FootnoteReference"/>
        </w:rPr>
        <w:footnoteRef/>
      </w:r>
      <w:r>
        <w:t xml:space="preserve"> </w:t>
      </w:r>
      <w:r w:rsidRPr="00EE1192">
        <w:rPr>
          <w:i/>
        </w:rPr>
        <w:t xml:space="preserve">Auction 1000 </w:t>
      </w:r>
      <w:r w:rsidRPr="00EE1192">
        <w:rPr>
          <w:i/>
          <w:iCs/>
        </w:rPr>
        <w:t>Comment PN</w:t>
      </w:r>
      <w:r w:rsidRPr="00F041D7">
        <w:rPr>
          <w:iCs/>
        </w:rPr>
        <w:t xml:space="preserve">, </w:t>
      </w:r>
      <w:r w:rsidRPr="00D934F9">
        <w:t xml:space="preserve">29 FCC Rcd at </w:t>
      </w:r>
      <w:r>
        <w:t>15753-54</w:t>
      </w:r>
      <w:r w:rsidRPr="00D934F9">
        <w:t xml:space="preserve">, para. </w:t>
      </w:r>
      <w:r>
        <w:t>7.</w:t>
      </w:r>
    </w:p>
  </w:footnote>
  <w:footnote w:id="8">
    <w:p w:rsidR="00485E18" w:rsidRDefault="00485E18" w:rsidP="00485E18">
      <w:pPr>
        <w:pStyle w:val="FootnoteText"/>
      </w:pPr>
      <w:r>
        <w:rPr>
          <w:rStyle w:val="FootnoteReference"/>
        </w:rPr>
        <w:footnoteRef/>
      </w:r>
      <w:r>
        <w:t xml:space="preserve"> We emphasize that this proposal remains pending and has not been adopted by Industry Canada.  We also note that, although Canada’s </w:t>
      </w:r>
      <w:r w:rsidRPr="002F7B4D">
        <w:rPr>
          <w:i/>
        </w:rPr>
        <w:t>Consultation</w:t>
      </w:r>
      <w:r>
        <w:t xml:space="preserve"> indicates it is considering pursuing a joint repacking plan with the United States, for purposes of the simulations we do not assume a joint repacking plan.  </w:t>
      </w:r>
      <w:r w:rsidRPr="001012B4">
        <w:rPr>
          <w:i/>
        </w:rPr>
        <w:t xml:space="preserve">See </w:t>
      </w:r>
      <w:r w:rsidRPr="001012B4">
        <w:t>Consultation on Repurposing the 600 MHz Band, Spectrum Management and Telecommunications, Industry Canada, SLPB-005-14,</w:t>
      </w:r>
      <w:r>
        <w:t xml:space="preserve"> para. 41 (rel.</w:t>
      </w:r>
      <w:r w:rsidRPr="001012B4">
        <w:t xml:space="preserve"> December 18, 2014</w:t>
      </w:r>
      <w:r>
        <w:t>)</w:t>
      </w:r>
      <w:r w:rsidRPr="001012B4">
        <w:t xml:space="preserve">, </w:t>
      </w:r>
      <w:hyperlink r:id="rId1" w:history="1">
        <w:r w:rsidRPr="001012B4">
          <w:rPr>
            <w:rStyle w:val="Hyperlink"/>
          </w:rPr>
          <w:t>http://www.ic.gc.ca/eic/site/smt-gst.nsf/eng/sf10891.html</w:t>
        </w:r>
      </w:hyperlink>
      <w:r w:rsidRPr="001012B4">
        <w:t xml:space="preserve"> (</w:t>
      </w:r>
      <w:r>
        <w:t>“</w:t>
      </w:r>
      <w:r w:rsidR="005536EA">
        <w:rPr>
          <w:i/>
        </w:rPr>
        <w:t>Consultation on Repurposing the</w:t>
      </w:r>
      <w:r w:rsidRPr="001012B4">
        <w:rPr>
          <w:i/>
        </w:rPr>
        <w:t xml:space="preserve"> 600 MHz</w:t>
      </w:r>
      <w:r w:rsidR="005536EA">
        <w:rPr>
          <w:i/>
        </w:rPr>
        <w:t xml:space="preserve"> Band</w:t>
      </w:r>
      <w:r>
        <w:rPr>
          <w:i/>
        </w:rPr>
        <w:t>”</w:t>
      </w:r>
      <w:r w:rsidRPr="001012B4">
        <w:t>)</w:t>
      </w:r>
      <w:r>
        <w:t>.</w:t>
      </w:r>
    </w:p>
  </w:footnote>
  <w:footnote w:id="9">
    <w:p w:rsidR="00485E18" w:rsidRDefault="00485E18" w:rsidP="00485E18">
      <w:pPr>
        <w:pStyle w:val="FootnoteText"/>
      </w:pPr>
      <w:r>
        <w:rPr>
          <w:rStyle w:val="FootnoteReference"/>
        </w:rPr>
        <w:footnoteRef/>
      </w:r>
      <w:r>
        <w:rPr>
          <w:i/>
        </w:rPr>
        <w:t xml:space="preserve"> </w:t>
      </w:r>
      <w:r w:rsidRPr="00560AFF">
        <w:rPr>
          <w:i/>
        </w:rPr>
        <w:t>See</w:t>
      </w:r>
      <w:r>
        <w:t xml:space="preserve"> </w:t>
      </w:r>
      <w:r w:rsidRPr="0082325A">
        <w:rPr>
          <w:i/>
        </w:rPr>
        <w:t>Incentive Auction R&amp;O</w:t>
      </w:r>
      <w:r w:rsidRPr="0082325A">
        <w:t>, 29 FCC Rcd</w:t>
      </w:r>
      <w:r w:rsidRPr="0082325A">
        <w:rPr>
          <w:i/>
        </w:rPr>
        <w:t xml:space="preserve"> </w:t>
      </w:r>
      <w:r>
        <w:t>at 6677</w:t>
      </w:r>
      <w:r w:rsidR="00A828F3">
        <w:t>-</w:t>
      </w:r>
      <w:r>
        <w:t>80, paras. 246</w:t>
      </w:r>
      <w:r w:rsidR="00A828F3">
        <w:t>-</w:t>
      </w:r>
      <w:r>
        <w:t>57.</w:t>
      </w:r>
    </w:p>
  </w:footnote>
  <w:footnote w:id="10">
    <w:p w:rsidR="00485E18" w:rsidRDefault="00485E18" w:rsidP="00485E18">
      <w:pPr>
        <w:pStyle w:val="FootnoteText"/>
      </w:pPr>
      <w:r>
        <w:rPr>
          <w:rStyle w:val="FootnoteReference"/>
        </w:rPr>
        <w:footnoteRef/>
      </w:r>
      <w:r>
        <w:t xml:space="preserve"> We anticipate </w:t>
      </w:r>
      <w:r w:rsidR="00952F8A">
        <w:t>the Commission</w:t>
      </w:r>
      <w:r>
        <w:t xml:space="preserve"> will have the data necessary to make these calculations in advance of the incentive auction, however.</w:t>
      </w:r>
      <w:r w:rsidR="005536EA">
        <w:t xml:space="preserve">  We note that including the predicted </w:t>
      </w:r>
      <w:r w:rsidR="001628CB">
        <w:t>interference from</w:t>
      </w:r>
      <w:r w:rsidR="005536EA">
        <w:t xml:space="preserve"> Mexican stations would</w:t>
      </w:r>
      <w:r w:rsidR="001628CB">
        <w:t xml:space="preserve"> increase the impairment</w:t>
      </w:r>
      <w:r w:rsidR="005536EA">
        <w:t xml:space="preserve"> level in each of the </w:t>
      </w:r>
      <w:r w:rsidR="001628CB">
        <w:t>scenarios.</w:t>
      </w:r>
      <w:r w:rsidR="00D156DB">
        <w:t xml:space="preserve">  </w:t>
      </w:r>
      <w:r w:rsidR="00D156DB">
        <w:rPr>
          <w:szCs w:val="22"/>
        </w:rPr>
        <w:t xml:space="preserve">The simulations do reflect predicted interference from Canadian TV stations into the United States.  </w:t>
      </w:r>
      <w:r w:rsidR="001628CB">
        <w:t xml:space="preserve"> </w:t>
      </w:r>
    </w:p>
  </w:footnote>
  <w:footnote w:id="11">
    <w:p w:rsidR="00516649" w:rsidRDefault="00516649">
      <w:pPr>
        <w:pStyle w:val="FootnoteText"/>
      </w:pPr>
      <w:r>
        <w:rPr>
          <w:rStyle w:val="FootnoteReference"/>
        </w:rPr>
        <w:footnoteRef/>
      </w:r>
      <w:r>
        <w:t xml:space="preserve"> </w:t>
      </w:r>
      <w:r w:rsidR="00A26A1D">
        <w:t xml:space="preserve">“High-demand markets” is defined as the 40 largest PEAs by population. </w:t>
      </w:r>
      <w:r w:rsidR="000A0E2A">
        <w:t xml:space="preserve"> </w:t>
      </w:r>
      <w:r w:rsidR="00332B34" w:rsidRPr="00C12831">
        <w:rPr>
          <w:i/>
          <w:snapToGrid w:val="0"/>
          <w:kern w:val="28"/>
        </w:rPr>
        <w:t xml:space="preserve">Auction </w:t>
      </w:r>
      <w:r w:rsidR="00332B34">
        <w:rPr>
          <w:i/>
          <w:snapToGrid w:val="0"/>
          <w:kern w:val="28"/>
        </w:rPr>
        <w:t xml:space="preserve">1000 </w:t>
      </w:r>
      <w:r w:rsidR="00332B34" w:rsidRPr="00C12831">
        <w:rPr>
          <w:i/>
          <w:iCs/>
          <w:snapToGrid w:val="0"/>
          <w:kern w:val="28"/>
        </w:rPr>
        <w:t>Comment PN</w:t>
      </w:r>
      <w:r w:rsidR="00332B34">
        <w:rPr>
          <w:snapToGrid w:val="0"/>
          <w:kern w:val="28"/>
        </w:rPr>
        <w:t xml:space="preserve">, </w:t>
      </w:r>
      <w:r w:rsidR="00332B34" w:rsidRPr="00D934F9">
        <w:t xml:space="preserve">29 FCC Rcd at </w:t>
      </w:r>
      <w:r w:rsidR="00332B34">
        <w:t>15770</w:t>
      </w:r>
      <w:r w:rsidR="00332B34" w:rsidRPr="00D934F9">
        <w:t xml:space="preserve">, para. </w:t>
      </w:r>
      <w:r w:rsidR="00332B34">
        <w:t>51</w:t>
      </w:r>
      <w:r w:rsidR="00A26A1D">
        <w:t xml:space="preserve">.  These markets are considered high demand because the geographic areas they cover </w:t>
      </w:r>
      <w:r w:rsidR="00EE1EB1">
        <w:t xml:space="preserve">have </w:t>
      </w:r>
      <w:r w:rsidR="00A26A1D">
        <w:t>usually generate</w:t>
      </w:r>
      <w:r w:rsidR="00EE1EB1">
        <w:t>d</w:t>
      </w:r>
      <w:r w:rsidR="00A26A1D">
        <w:t xml:space="preserve"> the highest average prices per MHz-pop in prior spectrum license auctions and accounted for a substantial fraction of total auction revenues.</w:t>
      </w:r>
      <w:r w:rsidR="000A0E2A">
        <w:t xml:space="preserve"> </w:t>
      </w:r>
      <w:r w:rsidR="00A26A1D">
        <w:t xml:space="preserve"> </w:t>
      </w:r>
      <w:r w:rsidR="00A26A1D" w:rsidRPr="00996253">
        <w:rPr>
          <w:i/>
        </w:rPr>
        <w:t>Id</w:t>
      </w:r>
      <w:r w:rsidR="00A26A1D">
        <w:t>.</w:t>
      </w:r>
    </w:p>
  </w:footnote>
  <w:footnote w:id="12">
    <w:p w:rsidR="006006F6" w:rsidRDefault="006006F6">
      <w:pPr>
        <w:pStyle w:val="FootnoteText"/>
      </w:pPr>
      <w:r>
        <w:rPr>
          <w:rStyle w:val="FootnoteReference"/>
        </w:rPr>
        <w:footnoteRef/>
      </w:r>
      <w:r>
        <w:t xml:space="preserve"> </w:t>
      </w:r>
      <w:r w:rsidR="001628CB" w:rsidRPr="00C12831">
        <w:rPr>
          <w:i/>
          <w:snapToGrid w:val="0"/>
          <w:kern w:val="28"/>
        </w:rPr>
        <w:t xml:space="preserve">Auction </w:t>
      </w:r>
      <w:r w:rsidR="001628CB">
        <w:rPr>
          <w:i/>
          <w:snapToGrid w:val="0"/>
          <w:kern w:val="28"/>
        </w:rPr>
        <w:t xml:space="preserve">1000 </w:t>
      </w:r>
      <w:r w:rsidR="001628CB" w:rsidRPr="00C12831">
        <w:rPr>
          <w:i/>
          <w:iCs/>
          <w:snapToGrid w:val="0"/>
          <w:kern w:val="28"/>
        </w:rPr>
        <w:t>Comment PN</w:t>
      </w:r>
      <w:r w:rsidR="001628CB">
        <w:rPr>
          <w:snapToGrid w:val="0"/>
          <w:kern w:val="28"/>
        </w:rPr>
        <w:t xml:space="preserve">, </w:t>
      </w:r>
      <w:r w:rsidR="001628CB" w:rsidRPr="00D934F9">
        <w:t xml:space="preserve">29 FCC Rcd at </w:t>
      </w:r>
      <w:r w:rsidR="001628CB">
        <w:t>15765</w:t>
      </w:r>
      <w:r w:rsidR="00BE0AA6">
        <w:t>-66</w:t>
      </w:r>
      <w:r w:rsidR="001628CB" w:rsidRPr="00D934F9">
        <w:t>, para</w:t>
      </w:r>
      <w:r w:rsidR="001628CB">
        <w:t>s</w:t>
      </w:r>
      <w:r w:rsidR="001628CB" w:rsidRPr="00D934F9">
        <w:t xml:space="preserve">. </w:t>
      </w:r>
      <w:r w:rsidR="00BE0AA6">
        <w:t>35-3</w:t>
      </w:r>
      <w:r w:rsidR="001628CB">
        <w:t>6.</w:t>
      </w:r>
      <w:r w:rsidR="007D1BAA">
        <w:t xml:space="preserve">  The Appendix refers to (1) as “protecting the duplex gap” and the alternative approach as “not protecting the duplex gap.”</w:t>
      </w:r>
    </w:p>
  </w:footnote>
  <w:footnote w:id="13">
    <w:p w:rsidR="00CD7F7D" w:rsidRDefault="00CD7F7D" w:rsidP="00CD7F7D">
      <w:pPr>
        <w:pStyle w:val="FootnoteText"/>
      </w:pPr>
      <w:r>
        <w:rPr>
          <w:rStyle w:val="FootnoteReference"/>
        </w:rPr>
        <w:footnoteRef/>
      </w:r>
      <w:r>
        <w:t xml:space="preserve"> In each of the simulations, at least </w:t>
      </w:r>
      <w:r w:rsidR="006D26AC">
        <w:t>93.4</w:t>
      </w:r>
      <w:r>
        <w:t xml:space="preserve"> percent of licenses are Category 1 licenses, and Category 2 licenses comprise at most </w:t>
      </w:r>
      <w:r w:rsidR="006D26AC">
        <w:t>1.3</w:t>
      </w:r>
      <w:r>
        <w:t xml:space="preserve"> percent of total possible licenses. </w:t>
      </w:r>
      <w:r w:rsidR="00C64ADC">
        <w:t xml:space="preserve">Under the </w:t>
      </w:r>
      <w:r w:rsidR="00C64ADC">
        <w:rPr>
          <w:i/>
        </w:rPr>
        <w:t xml:space="preserve">Comment PN </w:t>
      </w:r>
      <w:r w:rsidR="00C64ADC">
        <w:t>proposal, “Category 1” licenses are licenses that contain impairments affecting between zero and 15 percent of the population in a PEA, “Category 2” licenses are licenses that contain impairments affecting greater than 15 percent but less than or equal to 50</w:t>
      </w:r>
      <w:r w:rsidR="00C64ADC" w:rsidRPr="00C12831">
        <w:t xml:space="preserve"> percent of the population</w:t>
      </w:r>
      <w:r w:rsidR="00C64ADC">
        <w:t xml:space="preserve">, and licenses with impairments affecting more than 50 percent of the population would not be offered in the auction.  </w:t>
      </w:r>
      <w:r w:rsidR="00C64ADC">
        <w:rPr>
          <w:i/>
        </w:rPr>
        <w:t>See Auction 1000 Comment PN</w:t>
      </w:r>
      <w:r w:rsidR="00C64ADC">
        <w:t>, 29 FCC Rcd at 15797-98</w:t>
      </w:r>
      <w:r w:rsidR="00C64ADC" w:rsidRPr="00D934F9">
        <w:t>, para</w:t>
      </w:r>
      <w:r w:rsidR="00C64ADC">
        <w:t>s</w:t>
      </w:r>
      <w:r w:rsidR="00C64ADC" w:rsidRPr="00D934F9">
        <w:t xml:space="preserve">. </w:t>
      </w:r>
      <w:r w:rsidR="00C64ADC">
        <w:t xml:space="preserve">145-46.  </w:t>
      </w:r>
    </w:p>
  </w:footnote>
  <w:footnote w:id="14">
    <w:p w:rsidR="00CE3703" w:rsidRDefault="00CE3703">
      <w:pPr>
        <w:pStyle w:val="FootnoteText"/>
      </w:pPr>
      <w:r>
        <w:rPr>
          <w:rStyle w:val="FootnoteReference"/>
        </w:rPr>
        <w:footnoteRef/>
      </w:r>
      <w:r>
        <w:t xml:space="preserve"> </w:t>
      </w:r>
      <w:r w:rsidRPr="00996253">
        <w:t>We note that for purposes of this impairment analysis, the total number of licenses analyzed at each clearing target level include</w:t>
      </w:r>
      <w:r w:rsidR="007D1BAA">
        <w:t>s</w:t>
      </w:r>
      <w:r w:rsidRPr="00996253">
        <w:t xml:space="preserve"> only those licenses that could be offered in the continental United States.</w:t>
      </w:r>
    </w:p>
  </w:footnote>
  <w:footnote w:id="15">
    <w:p w:rsidR="00931AC7" w:rsidRDefault="00931AC7" w:rsidP="00931AC7">
      <w:pPr>
        <w:pStyle w:val="FootnoteText"/>
      </w:pPr>
      <w:r>
        <w:rPr>
          <w:rStyle w:val="FootnoteReference"/>
        </w:rPr>
        <w:footnoteRef/>
      </w:r>
      <w:r>
        <w:t xml:space="preserve"> For example,</w:t>
      </w:r>
      <w:r w:rsidR="00A75055">
        <w:t xml:space="preserve"> </w:t>
      </w:r>
      <w:r w:rsidR="001A0CAB">
        <w:t xml:space="preserve">out </w:t>
      </w:r>
      <w:r>
        <w:t>of 406 PEAs</w:t>
      </w:r>
      <w:r w:rsidR="00A75055">
        <w:t xml:space="preserve">, </w:t>
      </w:r>
      <w:r w:rsidR="00A00AE3">
        <w:t>all but</w:t>
      </w:r>
      <w:r w:rsidR="00A75055">
        <w:t xml:space="preserve"> 62</w:t>
      </w:r>
      <w:r>
        <w:t xml:space="preserve"> will </w:t>
      </w:r>
      <w:r w:rsidR="00A00AE3">
        <w:t>have only Category 1 licenses</w:t>
      </w:r>
      <w:r>
        <w:t xml:space="preserve"> in the 84 megahertz </w:t>
      </w:r>
      <w:r w:rsidR="00EF2267">
        <w:t xml:space="preserve">initial clearing target </w:t>
      </w:r>
      <w:r>
        <w:t>scenario</w:t>
      </w:r>
      <w:r w:rsidR="00A00AE3">
        <w:t>.</w:t>
      </w:r>
      <w:r w:rsidR="00A75055">
        <w:t xml:space="preserve"> </w:t>
      </w:r>
      <w:r w:rsidR="00A00AE3">
        <w:t>The same is true for all but</w:t>
      </w:r>
      <w:r w:rsidR="00A75055">
        <w:t xml:space="preserve"> 53 in the 114 megahertz scenario and </w:t>
      </w:r>
      <w:r w:rsidR="00A00AE3">
        <w:t>all but</w:t>
      </w:r>
      <w:r w:rsidR="00A75055">
        <w:t xml:space="preserve"> </w:t>
      </w:r>
      <w:r w:rsidR="001A0CAB">
        <w:t xml:space="preserve">47 </w:t>
      </w:r>
      <w:r w:rsidR="00A75055">
        <w:t>in the 126 megahertz scenario.</w:t>
      </w:r>
      <w:r>
        <w:t xml:space="preserve">   The total number of PEAs is 416</w:t>
      </w:r>
      <w:r w:rsidR="00A828F3">
        <w:t>,</w:t>
      </w:r>
      <w:r>
        <w:t xml:space="preserve"> but the simulations</w:t>
      </w:r>
      <w:r w:rsidR="00986D3A">
        <w:t xml:space="preserve"> results</w:t>
      </w:r>
      <w:r>
        <w:t xml:space="preserve"> </w:t>
      </w:r>
      <w:r w:rsidR="00B86DFA">
        <w:t xml:space="preserve">evaluate </w:t>
      </w:r>
      <w:r>
        <w:t>only</w:t>
      </w:r>
      <w:r w:rsidR="00B86DFA">
        <w:t xml:space="preserve"> impairments that affect</w:t>
      </w:r>
      <w:r>
        <w:t xml:space="preserve"> </w:t>
      </w:r>
      <w:r w:rsidR="001A0CAB">
        <w:t xml:space="preserve">the 406 </w:t>
      </w:r>
      <w:r>
        <w:t xml:space="preserve">PEAs in the continental United States.  </w:t>
      </w:r>
      <w:r>
        <w:rPr>
          <w:i/>
        </w:rPr>
        <w:t>S</w:t>
      </w:r>
      <w:r w:rsidRPr="000C279B">
        <w:rPr>
          <w:i/>
        </w:rPr>
        <w:t xml:space="preserve">ee </w:t>
      </w:r>
      <w:r>
        <w:rPr>
          <w:i/>
        </w:rPr>
        <w:t>generall</w:t>
      </w:r>
      <w:r w:rsidRPr="000C279B">
        <w:rPr>
          <w:i/>
        </w:rPr>
        <w:t>y</w:t>
      </w:r>
      <w:r>
        <w:rPr>
          <w:i/>
        </w:rPr>
        <w:t xml:space="preserve"> </w:t>
      </w:r>
      <w:r w:rsidRPr="00560AFF">
        <w:rPr>
          <w:i/>
        </w:rPr>
        <w:t>Wireless Telecommunications Bureau Provides Details About Partial Economic Areas</w:t>
      </w:r>
      <w:r>
        <w:t>, GN Docket No. 12-268, Public Notice, 29 FCC Rcd 6491 (June 2, 2014).</w:t>
      </w:r>
      <w:r w:rsidR="00BE0AA6">
        <w:t xml:space="preserve">  Further, </w:t>
      </w:r>
      <w:r w:rsidR="005536EA">
        <w:t xml:space="preserve">under this scenario, </w:t>
      </w:r>
      <w:r w:rsidR="00BE0AA6">
        <w:t xml:space="preserve">of the </w:t>
      </w:r>
      <w:r w:rsidR="006D26AC">
        <w:t>2654</w:t>
      </w:r>
      <w:r w:rsidR="009D3D2F">
        <w:t xml:space="preserve"> Category 1 licenses, </w:t>
      </w:r>
      <w:r w:rsidR="006D26AC">
        <w:t>2535</w:t>
      </w:r>
      <w:r w:rsidR="009D3D2F">
        <w:t xml:space="preserve"> are entirely free of impairments (i.e. zero percent of the weighted-pops </w:t>
      </w:r>
      <w:r w:rsidR="005536EA">
        <w:t xml:space="preserve">in the PEA </w:t>
      </w:r>
      <w:r w:rsidR="009D3D2F">
        <w:t>are impaired).</w:t>
      </w:r>
      <w:r w:rsidR="000225DF">
        <w:t xml:space="preserve">  In Scenario 2, of the </w:t>
      </w:r>
      <w:r w:rsidR="006D26AC">
        <w:t>3469</w:t>
      </w:r>
      <w:r w:rsidR="000225DF">
        <w:t xml:space="preserve"> Ca</w:t>
      </w:r>
      <w:r w:rsidR="00A75055">
        <w:t>t</w:t>
      </w:r>
      <w:r w:rsidR="000225DF">
        <w:t xml:space="preserve">egory 1 licenses, </w:t>
      </w:r>
      <w:r w:rsidR="006D26AC">
        <w:t>3334</w:t>
      </w:r>
      <w:r w:rsidR="000225DF">
        <w:t xml:space="preserve"> are entirely free of impairments and in Scenario 3, of the </w:t>
      </w:r>
      <w:r w:rsidR="006D26AC">
        <w:t>3886</w:t>
      </w:r>
      <w:r w:rsidR="000225DF">
        <w:t xml:space="preserve"> Category 1 licenses, </w:t>
      </w:r>
      <w:r w:rsidR="006D26AC">
        <w:t>3753</w:t>
      </w:r>
      <w:r w:rsidR="000225DF">
        <w:t xml:space="preserve"> are entirely free of impairments. </w:t>
      </w:r>
      <w:r w:rsidR="000E187D">
        <w:t xml:space="preserve"> </w:t>
      </w:r>
      <w:r w:rsidR="00CE3703" w:rsidRPr="00996253">
        <w:t>Once again, these totals reflect only those licenses that would be offered in the continental US that are subject to impairments.</w:t>
      </w:r>
    </w:p>
  </w:footnote>
  <w:footnote w:id="16">
    <w:p w:rsidR="00CD7F7D" w:rsidRDefault="00CD7F7D" w:rsidP="00CD7F7D">
      <w:pPr>
        <w:pStyle w:val="FootnoteText"/>
      </w:pPr>
      <w:r>
        <w:rPr>
          <w:rStyle w:val="FootnoteReference"/>
        </w:rPr>
        <w:footnoteRef/>
      </w:r>
      <w:r>
        <w:t xml:space="preserve"> </w:t>
      </w:r>
      <w:r w:rsidR="00986D3A">
        <w:t>In addition, t</w:t>
      </w:r>
      <w:r>
        <w:t>he simulation results reflect that protecting the duplex gap</w:t>
      </w:r>
      <w:r w:rsidR="00184725">
        <w:t xml:space="preserve"> at lower participation scenarios</w:t>
      </w:r>
      <w:r>
        <w:t xml:space="preserve"> </w:t>
      </w:r>
      <w:r w:rsidR="00986D3A">
        <w:t>would result in the selection of lower clearing targets</w:t>
      </w:r>
      <w:r>
        <w:t>.</w:t>
      </w:r>
    </w:p>
  </w:footnote>
  <w:footnote w:id="17">
    <w:p w:rsidR="00A65BD5" w:rsidRPr="00820467" w:rsidRDefault="00A65BD5" w:rsidP="00802D39">
      <w:pPr>
        <w:pStyle w:val="FootnoteText"/>
        <w:spacing w:after="120"/>
      </w:pPr>
      <w:r w:rsidRPr="00820467">
        <w:rPr>
          <w:rStyle w:val="FootnoteReference"/>
        </w:rPr>
        <w:footnoteRef/>
      </w:r>
      <w:r w:rsidRPr="00820467">
        <w:t xml:space="preserve"> 47 C</w:t>
      </w:r>
      <w:r>
        <w:t>.</w:t>
      </w:r>
      <w:r w:rsidRPr="00820467">
        <w:t>F</w:t>
      </w:r>
      <w:r>
        <w:t>.</w:t>
      </w:r>
      <w:r w:rsidRPr="00820467">
        <w:t>R</w:t>
      </w:r>
      <w:r>
        <w:t>.</w:t>
      </w:r>
      <w:r w:rsidRPr="00820467">
        <w:t xml:space="preserve"> §§ 0.31, 0.51, 0.61, 0.131.</w:t>
      </w:r>
    </w:p>
  </w:footnote>
  <w:footnote w:id="18">
    <w:p w:rsidR="00A65BD5" w:rsidRPr="00820467" w:rsidRDefault="00A65BD5" w:rsidP="00802D39">
      <w:pPr>
        <w:pStyle w:val="FootnoteText"/>
        <w:spacing w:after="120"/>
      </w:pPr>
      <w:r w:rsidRPr="00820467">
        <w:rPr>
          <w:rStyle w:val="FootnoteReference"/>
        </w:rPr>
        <w:footnoteRef/>
      </w:r>
      <w:r w:rsidRPr="00820467">
        <w:t xml:space="preserve"> </w:t>
      </w:r>
      <w:r w:rsidRPr="00820467">
        <w:rPr>
          <w:i/>
        </w:rPr>
        <w:t xml:space="preserve">See </w:t>
      </w:r>
      <w:r w:rsidRPr="00820467">
        <w:t>47 C</w:t>
      </w:r>
      <w:r>
        <w:t>.</w:t>
      </w:r>
      <w:r w:rsidRPr="00820467">
        <w:t>F</w:t>
      </w:r>
      <w:r>
        <w:t>.</w:t>
      </w:r>
      <w:r w:rsidRPr="00820467">
        <w:t>R</w:t>
      </w:r>
      <w:r>
        <w:t>.</w:t>
      </w:r>
      <w:r w:rsidRPr="00820467">
        <w:t xml:space="preserve"> § 1.1206(b)(2).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04" w:rsidRDefault="00740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04" w:rsidRDefault="00740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D5" w:rsidRDefault="00A65BD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35D108A" wp14:editId="4450410B">
          <wp:simplePos x="0" y="0"/>
          <wp:positionH relativeFrom="column">
            <wp:posOffset>443865</wp:posOffset>
          </wp:positionH>
          <wp:positionV relativeFrom="paragraph">
            <wp:posOffset>107950</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9C5CDA">
      <w:rPr>
        <w:rFonts w:ascii="Arial" w:hAnsi="Arial" w:cs="Arial"/>
        <w:b/>
        <w:kern w:val="28"/>
        <w:sz w:val="96"/>
      </w:rPr>
      <w:t>PUBLIC NOTICE</w:t>
    </w:r>
  </w:p>
  <w:p w:rsidR="00A65BD5" w:rsidRDefault="00A65BD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5DC24B4" wp14:editId="7978E1D5">
              <wp:simplePos x="0" y="0"/>
              <wp:positionH relativeFrom="column">
                <wp:posOffset>477520</wp:posOffset>
              </wp:positionH>
              <wp:positionV relativeFrom="paragraph">
                <wp:posOffset>697865</wp:posOffset>
              </wp:positionV>
              <wp:extent cx="5886450" cy="25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K/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5Ror0&#10;INFGKI7y0JnBuBICarW1oTZ6Ui9mo+l3h5SuO6L2PDJ8PRtIy0JG8iYlbJwB/N3wRTOIIQevY5tO&#10;re0DJDQAnaIa57sa/OQRhcNiNpvmB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yvx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D7C9D6B" wp14:editId="20AFE139">
              <wp:simplePos x="0" y="0"/>
              <wp:positionH relativeFrom="column">
                <wp:posOffset>381000</wp:posOffset>
              </wp:positionH>
              <wp:positionV relativeFrom="paragraph">
                <wp:posOffset>5080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BD5" w:rsidRDefault="00A65BD5">
                          <w:pPr>
                            <w:rPr>
                              <w:rFonts w:ascii="Arial" w:hAnsi="Arial"/>
                              <w:b/>
                            </w:rPr>
                          </w:pPr>
                          <w:r>
                            <w:rPr>
                              <w:rFonts w:ascii="Arial" w:hAnsi="Arial"/>
                              <w:b/>
                            </w:rPr>
                            <w:t>Federal Communications Commission</w:t>
                          </w:r>
                        </w:p>
                        <w:p w:rsidR="00A65BD5" w:rsidRDefault="00A65BD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5BD5" w:rsidRDefault="00A65BD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" o:allowincell="f" stroked="f">
              <v:textbox>
                <w:txbxContent>
                  <w:p w:rsidR="00A65BD5" w:rsidRDefault="00A65BD5">
                    <w:pPr>
                      <w:rPr>
                        <w:rFonts w:ascii="Arial" w:hAnsi="Arial"/>
                        <w:b/>
                      </w:rPr>
                    </w:pPr>
                    <w:r>
                      <w:rPr>
                        <w:rFonts w:ascii="Arial" w:hAnsi="Arial"/>
                        <w:b/>
                      </w:rPr>
                      <w:t>Federal Communications Commission</w:t>
                    </w:r>
                  </w:p>
                  <w:p w:rsidR="00A65BD5" w:rsidRDefault="00A65BD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5BD5" w:rsidRDefault="00A65BD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66008E6" wp14:editId="7D421413">
              <wp:simplePos x="0" y="0"/>
              <wp:positionH relativeFrom="column">
                <wp:posOffset>3829050</wp:posOffset>
              </wp:positionH>
              <wp:positionV relativeFrom="paragraph">
                <wp:posOffset>130175</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BD5" w:rsidRDefault="00A65BD5">
                          <w:pPr>
                            <w:spacing w:before="40"/>
                            <w:jc w:val="right"/>
                            <w:rPr>
                              <w:rFonts w:ascii="Arial" w:hAnsi="Arial"/>
                              <w:b/>
                              <w:sz w:val="16"/>
                            </w:rPr>
                          </w:pPr>
                          <w:r>
                            <w:rPr>
                              <w:rFonts w:ascii="Arial" w:hAnsi="Arial"/>
                              <w:b/>
                              <w:sz w:val="16"/>
                            </w:rPr>
                            <w:t>News Media Information 202 / 418-0500</w:t>
                          </w:r>
                        </w:p>
                        <w:p w:rsidR="00A65BD5" w:rsidRDefault="00A65B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65BD5" w:rsidRDefault="00A65BD5">
                          <w:pPr>
                            <w:jc w:val="right"/>
                            <w:rPr>
                              <w:rFonts w:ascii="Arial" w:hAnsi="Arial"/>
                              <w:b/>
                              <w:sz w:val="16"/>
                            </w:rPr>
                          </w:pPr>
                          <w:r>
                            <w:rPr>
                              <w:rFonts w:ascii="Arial" w:hAnsi="Arial"/>
                              <w:b/>
                              <w:sz w:val="16"/>
                            </w:rPr>
                            <w:t>TTY: 1-888-835-5322</w:t>
                          </w:r>
                        </w:p>
                        <w:p w:rsidR="00A65BD5" w:rsidRDefault="00A65BD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ABrAUc&#10;gAIAAA4FAAAOAAAAAAAAAAAAAAAAAC4CAABkcnMvZTJvRG9jLnhtbFBLAQItABQABgAIAAAAIQA1&#10;FHZJ4AAAAAsBAAAPAAAAAAAAAAAAAAAAANoEAABkcnMvZG93bnJldi54bWxQSwUGAAAAAAQABADz&#10;AAAA5wUAAAAA&#10;" o:allowincell="f" stroked="f">
              <v:textbox inset=",0,,0">
                <w:txbxContent>
                  <w:p w:rsidR="00A65BD5" w:rsidRDefault="00A65BD5">
                    <w:pPr>
                      <w:spacing w:before="40"/>
                      <w:jc w:val="right"/>
                      <w:rPr>
                        <w:rFonts w:ascii="Arial" w:hAnsi="Arial"/>
                        <w:b/>
                        <w:sz w:val="16"/>
                      </w:rPr>
                    </w:pPr>
                    <w:r>
                      <w:rPr>
                        <w:rFonts w:ascii="Arial" w:hAnsi="Arial"/>
                        <w:b/>
                        <w:sz w:val="16"/>
                      </w:rPr>
                      <w:t>News Media Information 202 / 418-0500</w:t>
                    </w:r>
                  </w:p>
                  <w:p w:rsidR="00A65BD5" w:rsidRDefault="00A65BD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65BD5" w:rsidRDefault="00A65BD5">
                    <w:pPr>
                      <w:jc w:val="right"/>
                      <w:rPr>
                        <w:rFonts w:ascii="Arial" w:hAnsi="Arial"/>
                        <w:b/>
                        <w:sz w:val="16"/>
                      </w:rPr>
                    </w:pPr>
                    <w:r>
                      <w:rPr>
                        <w:rFonts w:ascii="Arial" w:hAnsi="Arial"/>
                        <w:b/>
                        <w:sz w:val="16"/>
                      </w:rPr>
                      <w:t>TTY: 1-888-835-5322</w:t>
                    </w:r>
                  </w:p>
                  <w:p w:rsidR="00A65BD5" w:rsidRDefault="00A65BD5">
                    <w:pPr>
                      <w:jc w:val="right"/>
                    </w:pPr>
                  </w:p>
                </w:txbxContent>
              </v:textbox>
            </v:shape>
          </w:pict>
        </mc:Fallback>
      </mc:AlternateContent>
    </w:r>
  </w:p>
  <w:p w:rsidR="00A65BD5" w:rsidRDefault="00A65BD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43" w:rsidRPr="00E17C58" w:rsidRDefault="002B7C3D" w:rsidP="00E17C58">
    <w:pPr>
      <w:tabs>
        <w:tab w:val="center" w:pos="4680"/>
        <w:tab w:val="right" w:pos="10080"/>
      </w:tabs>
      <w:rPr>
        <w:b/>
      </w:rPr>
    </w:pPr>
    <w:r>
      <w:rPr>
        <w:noProof/>
      </w:rPr>
      <mc:AlternateContent>
        <mc:Choice Requires="wps">
          <w:drawing>
            <wp:anchor distT="0" distB="0" distL="114300" distR="114300" simplePos="0" relativeHeight="251661312" behindDoc="1" locked="0" layoutInCell="0" allowOverlap="1" wp14:anchorId="6142D87D" wp14:editId="5C782A3F">
              <wp:simplePos x="0" y="0"/>
              <wp:positionH relativeFrom="margin">
                <wp:posOffset>0</wp:posOffset>
              </wp:positionH>
              <wp:positionV relativeFrom="margin">
                <wp:posOffset>-300654</wp:posOffset>
              </wp:positionV>
              <wp:extent cx="6400800" cy="8890"/>
              <wp:effectExtent l="0"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0;margin-top:-23.65pt;width:7in;height:.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xE6gIAADU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" o:allowincell="f" fillcolor="black" stroked="f" strokeweight=".05pt">
              <w10:wrap anchorx="margin" anchory="margin"/>
            </v:rect>
          </w:pict>
        </mc:Fallback>
      </mc:AlternateContent>
    </w:r>
    <w:r w:rsidR="00D43443" w:rsidRPr="002B7C3D">
      <w:rPr>
        <w:b/>
      </w:rPr>
      <w:tab/>
      <w:t>Federal Co</w:t>
    </w:r>
    <w:r w:rsidR="002925D6">
      <w:rPr>
        <w:b/>
      </w:rPr>
      <w:t>mmunications Commission</w:t>
    </w:r>
    <w:r w:rsidR="002925D6">
      <w:rPr>
        <w:b/>
      </w:rPr>
      <w:tab/>
      <w:t>DA 15-606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D5" w:rsidRPr="00BF0730" w:rsidRDefault="00A65BD5" w:rsidP="00E07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51B"/>
    <w:multiLevelType w:val="hybridMultilevel"/>
    <w:tmpl w:val="3F48F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76872"/>
    <w:multiLevelType w:val="hybridMultilevel"/>
    <w:tmpl w:val="494424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4DF021E"/>
    <w:multiLevelType w:val="hybridMultilevel"/>
    <w:tmpl w:val="86500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7E65CA"/>
    <w:multiLevelType w:val="hybridMultilevel"/>
    <w:tmpl w:val="7F4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20A6F96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533726C"/>
    <w:multiLevelType w:val="hybridMultilevel"/>
    <w:tmpl w:val="FB64C9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3"/>
  </w:num>
  <w:num w:numId="14">
    <w:abstractNumId w:val="1"/>
  </w:num>
  <w:num w:numId="15">
    <w:abstractNumId w:val="4"/>
  </w:num>
  <w:num w:numId="16">
    <w:abstractNumId w:val="5"/>
    <w:lvlOverride w:ilvl="0">
      <w:startOverride w:val="1"/>
    </w:lvlOverride>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2C"/>
    <w:rsid w:val="0000304E"/>
    <w:rsid w:val="000032C2"/>
    <w:rsid w:val="00003A30"/>
    <w:rsid w:val="00005AB7"/>
    <w:rsid w:val="00005AD3"/>
    <w:rsid w:val="00012581"/>
    <w:rsid w:val="00014B13"/>
    <w:rsid w:val="00020055"/>
    <w:rsid w:val="000225DF"/>
    <w:rsid w:val="000265AE"/>
    <w:rsid w:val="00026C1A"/>
    <w:rsid w:val="00026E83"/>
    <w:rsid w:val="00031A7E"/>
    <w:rsid w:val="00031EE0"/>
    <w:rsid w:val="00036FA1"/>
    <w:rsid w:val="00041731"/>
    <w:rsid w:val="00046C0A"/>
    <w:rsid w:val="000471B2"/>
    <w:rsid w:val="00050857"/>
    <w:rsid w:val="0005167D"/>
    <w:rsid w:val="000518AF"/>
    <w:rsid w:val="00064031"/>
    <w:rsid w:val="00065378"/>
    <w:rsid w:val="000720D1"/>
    <w:rsid w:val="000758D3"/>
    <w:rsid w:val="00087827"/>
    <w:rsid w:val="000910A3"/>
    <w:rsid w:val="0009162A"/>
    <w:rsid w:val="000A0E2A"/>
    <w:rsid w:val="000B0FA0"/>
    <w:rsid w:val="000B3576"/>
    <w:rsid w:val="000C0144"/>
    <w:rsid w:val="000C1DFE"/>
    <w:rsid w:val="000C279B"/>
    <w:rsid w:val="000C7525"/>
    <w:rsid w:val="000D1EFE"/>
    <w:rsid w:val="000D5B5D"/>
    <w:rsid w:val="000D61F2"/>
    <w:rsid w:val="000E187D"/>
    <w:rsid w:val="000E4775"/>
    <w:rsid w:val="000E49F1"/>
    <w:rsid w:val="000E4A1E"/>
    <w:rsid w:val="000E5E1C"/>
    <w:rsid w:val="000F03A1"/>
    <w:rsid w:val="000F040C"/>
    <w:rsid w:val="000F255E"/>
    <w:rsid w:val="000F450C"/>
    <w:rsid w:val="00102709"/>
    <w:rsid w:val="0011207E"/>
    <w:rsid w:val="00113684"/>
    <w:rsid w:val="00115281"/>
    <w:rsid w:val="001211A1"/>
    <w:rsid w:val="00122DCB"/>
    <w:rsid w:val="00133134"/>
    <w:rsid w:val="00137EB6"/>
    <w:rsid w:val="00145EF5"/>
    <w:rsid w:val="00151928"/>
    <w:rsid w:val="00156090"/>
    <w:rsid w:val="00157CAE"/>
    <w:rsid w:val="001628CB"/>
    <w:rsid w:val="0016527F"/>
    <w:rsid w:val="00166DD7"/>
    <w:rsid w:val="00172195"/>
    <w:rsid w:val="001744F7"/>
    <w:rsid w:val="00174E31"/>
    <w:rsid w:val="00184725"/>
    <w:rsid w:val="00185721"/>
    <w:rsid w:val="00185DB4"/>
    <w:rsid w:val="00186AA8"/>
    <w:rsid w:val="00187DDF"/>
    <w:rsid w:val="001917AF"/>
    <w:rsid w:val="00195239"/>
    <w:rsid w:val="001A0CAB"/>
    <w:rsid w:val="001A10BB"/>
    <w:rsid w:val="001A223D"/>
    <w:rsid w:val="001A4B53"/>
    <w:rsid w:val="001B40A0"/>
    <w:rsid w:val="001B6771"/>
    <w:rsid w:val="001C1664"/>
    <w:rsid w:val="001C7A2F"/>
    <w:rsid w:val="001D0ABC"/>
    <w:rsid w:val="001D1A30"/>
    <w:rsid w:val="001D334B"/>
    <w:rsid w:val="001D5751"/>
    <w:rsid w:val="001D79D5"/>
    <w:rsid w:val="001E1338"/>
    <w:rsid w:val="001E5C2D"/>
    <w:rsid w:val="001F07B8"/>
    <w:rsid w:val="001F1DCB"/>
    <w:rsid w:val="001F381D"/>
    <w:rsid w:val="001F3969"/>
    <w:rsid w:val="001F7737"/>
    <w:rsid w:val="00207694"/>
    <w:rsid w:val="00215DC9"/>
    <w:rsid w:val="002275AA"/>
    <w:rsid w:val="002306F6"/>
    <w:rsid w:val="002404B5"/>
    <w:rsid w:val="0024339E"/>
    <w:rsid w:val="00243540"/>
    <w:rsid w:val="0026506E"/>
    <w:rsid w:val="00274750"/>
    <w:rsid w:val="0027577B"/>
    <w:rsid w:val="00276382"/>
    <w:rsid w:val="002810D5"/>
    <w:rsid w:val="00283747"/>
    <w:rsid w:val="00287E5E"/>
    <w:rsid w:val="002925D6"/>
    <w:rsid w:val="00295720"/>
    <w:rsid w:val="002B7C3D"/>
    <w:rsid w:val="002C06F6"/>
    <w:rsid w:val="002C3EC6"/>
    <w:rsid w:val="002C76D9"/>
    <w:rsid w:val="002D4F20"/>
    <w:rsid w:val="002D5E97"/>
    <w:rsid w:val="002E7AB0"/>
    <w:rsid w:val="002F1635"/>
    <w:rsid w:val="002F2E82"/>
    <w:rsid w:val="002F7B4D"/>
    <w:rsid w:val="003025CE"/>
    <w:rsid w:val="00303E7E"/>
    <w:rsid w:val="00314BB8"/>
    <w:rsid w:val="00316CF0"/>
    <w:rsid w:val="00323C4D"/>
    <w:rsid w:val="003269E7"/>
    <w:rsid w:val="00332B34"/>
    <w:rsid w:val="00341054"/>
    <w:rsid w:val="003426B9"/>
    <w:rsid w:val="00343535"/>
    <w:rsid w:val="0035280D"/>
    <w:rsid w:val="003532CD"/>
    <w:rsid w:val="00362951"/>
    <w:rsid w:val="00365A7A"/>
    <w:rsid w:val="00366D08"/>
    <w:rsid w:val="00373ECF"/>
    <w:rsid w:val="00376B08"/>
    <w:rsid w:val="00377B20"/>
    <w:rsid w:val="00381CDA"/>
    <w:rsid w:val="00387384"/>
    <w:rsid w:val="00390011"/>
    <w:rsid w:val="003907DA"/>
    <w:rsid w:val="00390C73"/>
    <w:rsid w:val="0039452E"/>
    <w:rsid w:val="003A4C9F"/>
    <w:rsid w:val="003B0EB4"/>
    <w:rsid w:val="003C1EBC"/>
    <w:rsid w:val="003D5C37"/>
    <w:rsid w:val="003E2B37"/>
    <w:rsid w:val="003F416E"/>
    <w:rsid w:val="0040239D"/>
    <w:rsid w:val="00403290"/>
    <w:rsid w:val="004057DA"/>
    <w:rsid w:val="00406140"/>
    <w:rsid w:val="004106E0"/>
    <w:rsid w:val="00423FD3"/>
    <w:rsid w:val="004241F2"/>
    <w:rsid w:val="0042681C"/>
    <w:rsid w:val="0043255D"/>
    <w:rsid w:val="00435810"/>
    <w:rsid w:val="0047191D"/>
    <w:rsid w:val="00472EF7"/>
    <w:rsid w:val="00474DCF"/>
    <w:rsid w:val="00474E93"/>
    <w:rsid w:val="00475253"/>
    <w:rsid w:val="00485E18"/>
    <w:rsid w:val="00494574"/>
    <w:rsid w:val="004972AD"/>
    <w:rsid w:val="004A1361"/>
    <w:rsid w:val="004A3B75"/>
    <w:rsid w:val="004A4495"/>
    <w:rsid w:val="004A493F"/>
    <w:rsid w:val="004A5E19"/>
    <w:rsid w:val="004B01EA"/>
    <w:rsid w:val="004B1A42"/>
    <w:rsid w:val="004B6F76"/>
    <w:rsid w:val="004B760B"/>
    <w:rsid w:val="004C1309"/>
    <w:rsid w:val="004C29F9"/>
    <w:rsid w:val="004C4095"/>
    <w:rsid w:val="004C4540"/>
    <w:rsid w:val="004C50D3"/>
    <w:rsid w:val="004D0EC5"/>
    <w:rsid w:val="004D7F70"/>
    <w:rsid w:val="004E6214"/>
    <w:rsid w:val="004F4AC3"/>
    <w:rsid w:val="005021CF"/>
    <w:rsid w:val="00503E31"/>
    <w:rsid w:val="00506519"/>
    <w:rsid w:val="00511343"/>
    <w:rsid w:val="00516649"/>
    <w:rsid w:val="005203D5"/>
    <w:rsid w:val="00520548"/>
    <w:rsid w:val="005207D0"/>
    <w:rsid w:val="005215D0"/>
    <w:rsid w:val="005226C1"/>
    <w:rsid w:val="0052608C"/>
    <w:rsid w:val="00526F47"/>
    <w:rsid w:val="005313D0"/>
    <w:rsid w:val="00531E3C"/>
    <w:rsid w:val="005403B5"/>
    <w:rsid w:val="00545BF3"/>
    <w:rsid w:val="00546B11"/>
    <w:rsid w:val="005536EA"/>
    <w:rsid w:val="00565C68"/>
    <w:rsid w:val="00566D43"/>
    <w:rsid w:val="00571D07"/>
    <w:rsid w:val="00573A61"/>
    <w:rsid w:val="00582E4D"/>
    <w:rsid w:val="00583D5F"/>
    <w:rsid w:val="00590952"/>
    <w:rsid w:val="00593B73"/>
    <w:rsid w:val="005A04C5"/>
    <w:rsid w:val="005A0DE1"/>
    <w:rsid w:val="005A3E13"/>
    <w:rsid w:val="005A42AE"/>
    <w:rsid w:val="005A5FAE"/>
    <w:rsid w:val="005C264F"/>
    <w:rsid w:val="005D21BF"/>
    <w:rsid w:val="005D6522"/>
    <w:rsid w:val="005E2313"/>
    <w:rsid w:val="005E2E81"/>
    <w:rsid w:val="005E7D09"/>
    <w:rsid w:val="005F2CF5"/>
    <w:rsid w:val="006006F6"/>
    <w:rsid w:val="00602577"/>
    <w:rsid w:val="00611267"/>
    <w:rsid w:val="00611D46"/>
    <w:rsid w:val="00613C12"/>
    <w:rsid w:val="00614E7E"/>
    <w:rsid w:val="00615039"/>
    <w:rsid w:val="006219EF"/>
    <w:rsid w:val="00623848"/>
    <w:rsid w:val="0063391D"/>
    <w:rsid w:val="00650558"/>
    <w:rsid w:val="00653C70"/>
    <w:rsid w:val="00656AD1"/>
    <w:rsid w:val="00663CA3"/>
    <w:rsid w:val="0067036D"/>
    <w:rsid w:val="00670E71"/>
    <w:rsid w:val="00682A01"/>
    <w:rsid w:val="0069348A"/>
    <w:rsid w:val="006A1744"/>
    <w:rsid w:val="006A3252"/>
    <w:rsid w:val="006B1701"/>
    <w:rsid w:val="006B7987"/>
    <w:rsid w:val="006C0BBD"/>
    <w:rsid w:val="006C1344"/>
    <w:rsid w:val="006C3A8B"/>
    <w:rsid w:val="006C4857"/>
    <w:rsid w:val="006C7EAD"/>
    <w:rsid w:val="006D1C69"/>
    <w:rsid w:val="006D26AC"/>
    <w:rsid w:val="006D27E1"/>
    <w:rsid w:val="006E18EA"/>
    <w:rsid w:val="006F3A54"/>
    <w:rsid w:val="00707242"/>
    <w:rsid w:val="007223E9"/>
    <w:rsid w:val="007231F9"/>
    <w:rsid w:val="00726840"/>
    <w:rsid w:val="00727C7A"/>
    <w:rsid w:val="00730825"/>
    <w:rsid w:val="00732ACA"/>
    <w:rsid w:val="00733572"/>
    <w:rsid w:val="00740604"/>
    <w:rsid w:val="007509F3"/>
    <w:rsid w:val="00754D13"/>
    <w:rsid w:val="007701C6"/>
    <w:rsid w:val="00774EDA"/>
    <w:rsid w:val="00775813"/>
    <w:rsid w:val="0077631D"/>
    <w:rsid w:val="00777049"/>
    <w:rsid w:val="00781C49"/>
    <w:rsid w:val="00782176"/>
    <w:rsid w:val="007835FD"/>
    <w:rsid w:val="007904DA"/>
    <w:rsid w:val="007920B7"/>
    <w:rsid w:val="00793D74"/>
    <w:rsid w:val="007A1271"/>
    <w:rsid w:val="007A18E2"/>
    <w:rsid w:val="007A4E71"/>
    <w:rsid w:val="007C0F0A"/>
    <w:rsid w:val="007C3737"/>
    <w:rsid w:val="007D1BAA"/>
    <w:rsid w:val="007D516E"/>
    <w:rsid w:val="007E07BE"/>
    <w:rsid w:val="007E26E0"/>
    <w:rsid w:val="007E4870"/>
    <w:rsid w:val="007F3E1A"/>
    <w:rsid w:val="00802D39"/>
    <w:rsid w:val="0080464A"/>
    <w:rsid w:val="00820467"/>
    <w:rsid w:val="0082218E"/>
    <w:rsid w:val="00823262"/>
    <w:rsid w:val="00823529"/>
    <w:rsid w:val="008271D8"/>
    <w:rsid w:val="0085076C"/>
    <w:rsid w:val="008516E4"/>
    <w:rsid w:val="008617E4"/>
    <w:rsid w:val="0087170C"/>
    <w:rsid w:val="00872A62"/>
    <w:rsid w:val="00883131"/>
    <w:rsid w:val="008949B8"/>
    <w:rsid w:val="00896A7E"/>
    <w:rsid w:val="008A4E09"/>
    <w:rsid w:val="008B1749"/>
    <w:rsid w:val="008B6447"/>
    <w:rsid w:val="008B6CB0"/>
    <w:rsid w:val="008C190A"/>
    <w:rsid w:val="008C2E9D"/>
    <w:rsid w:val="008D4389"/>
    <w:rsid w:val="008D44DE"/>
    <w:rsid w:val="008D4C6F"/>
    <w:rsid w:val="008E0564"/>
    <w:rsid w:val="008E4A87"/>
    <w:rsid w:val="008E7A65"/>
    <w:rsid w:val="008F144B"/>
    <w:rsid w:val="008F3E6D"/>
    <w:rsid w:val="008F465D"/>
    <w:rsid w:val="009048E3"/>
    <w:rsid w:val="00904FEC"/>
    <w:rsid w:val="00913755"/>
    <w:rsid w:val="009160E1"/>
    <w:rsid w:val="00917EFA"/>
    <w:rsid w:val="00922D73"/>
    <w:rsid w:val="00926E2C"/>
    <w:rsid w:val="0092766E"/>
    <w:rsid w:val="00927981"/>
    <w:rsid w:val="00931AC7"/>
    <w:rsid w:val="00932F09"/>
    <w:rsid w:val="00934B2F"/>
    <w:rsid w:val="00934B5F"/>
    <w:rsid w:val="009473D4"/>
    <w:rsid w:val="00947AF1"/>
    <w:rsid w:val="00950668"/>
    <w:rsid w:val="00952F8A"/>
    <w:rsid w:val="00956F3C"/>
    <w:rsid w:val="00964189"/>
    <w:rsid w:val="009723A1"/>
    <w:rsid w:val="00973010"/>
    <w:rsid w:val="00974BA7"/>
    <w:rsid w:val="00980A10"/>
    <w:rsid w:val="00984817"/>
    <w:rsid w:val="00986D3A"/>
    <w:rsid w:val="00987B32"/>
    <w:rsid w:val="00991A88"/>
    <w:rsid w:val="00994BF9"/>
    <w:rsid w:val="00996253"/>
    <w:rsid w:val="00996E89"/>
    <w:rsid w:val="009A0F2D"/>
    <w:rsid w:val="009A66EF"/>
    <w:rsid w:val="009A6C3B"/>
    <w:rsid w:val="009B0F82"/>
    <w:rsid w:val="009B1A2F"/>
    <w:rsid w:val="009B2D71"/>
    <w:rsid w:val="009C0973"/>
    <w:rsid w:val="009C3086"/>
    <w:rsid w:val="009C3ECD"/>
    <w:rsid w:val="009C481A"/>
    <w:rsid w:val="009C5CDA"/>
    <w:rsid w:val="009D089A"/>
    <w:rsid w:val="009D3D2F"/>
    <w:rsid w:val="009D40F0"/>
    <w:rsid w:val="009E05BB"/>
    <w:rsid w:val="009E7C45"/>
    <w:rsid w:val="009F1EA8"/>
    <w:rsid w:val="009F2F32"/>
    <w:rsid w:val="009F4F81"/>
    <w:rsid w:val="009F5C73"/>
    <w:rsid w:val="009F6A96"/>
    <w:rsid w:val="00A00AE3"/>
    <w:rsid w:val="00A01E4B"/>
    <w:rsid w:val="00A03F96"/>
    <w:rsid w:val="00A06B52"/>
    <w:rsid w:val="00A10371"/>
    <w:rsid w:val="00A2102C"/>
    <w:rsid w:val="00A23477"/>
    <w:rsid w:val="00A25552"/>
    <w:rsid w:val="00A26A1D"/>
    <w:rsid w:val="00A274C3"/>
    <w:rsid w:val="00A41015"/>
    <w:rsid w:val="00A42AD1"/>
    <w:rsid w:val="00A45292"/>
    <w:rsid w:val="00A51261"/>
    <w:rsid w:val="00A5676D"/>
    <w:rsid w:val="00A65BD5"/>
    <w:rsid w:val="00A66B04"/>
    <w:rsid w:val="00A67010"/>
    <w:rsid w:val="00A75055"/>
    <w:rsid w:val="00A76493"/>
    <w:rsid w:val="00A828F3"/>
    <w:rsid w:val="00A82D2A"/>
    <w:rsid w:val="00A834AC"/>
    <w:rsid w:val="00A84ADE"/>
    <w:rsid w:val="00A90242"/>
    <w:rsid w:val="00A945A9"/>
    <w:rsid w:val="00A95E4C"/>
    <w:rsid w:val="00AB11F3"/>
    <w:rsid w:val="00AB4E36"/>
    <w:rsid w:val="00AB6F12"/>
    <w:rsid w:val="00AC3ABD"/>
    <w:rsid w:val="00AD2D8C"/>
    <w:rsid w:val="00AD555A"/>
    <w:rsid w:val="00AD5E6D"/>
    <w:rsid w:val="00AE4463"/>
    <w:rsid w:val="00AE7307"/>
    <w:rsid w:val="00AF0171"/>
    <w:rsid w:val="00AF78C7"/>
    <w:rsid w:val="00B0276F"/>
    <w:rsid w:val="00B03E5F"/>
    <w:rsid w:val="00B0666F"/>
    <w:rsid w:val="00B10FEC"/>
    <w:rsid w:val="00B12A01"/>
    <w:rsid w:val="00B143F6"/>
    <w:rsid w:val="00B16D3D"/>
    <w:rsid w:val="00B26640"/>
    <w:rsid w:val="00B2706E"/>
    <w:rsid w:val="00B271C5"/>
    <w:rsid w:val="00B27ACD"/>
    <w:rsid w:val="00B519DA"/>
    <w:rsid w:val="00B52FE1"/>
    <w:rsid w:val="00B565D5"/>
    <w:rsid w:val="00B61016"/>
    <w:rsid w:val="00B6509A"/>
    <w:rsid w:val="00B6680E"/>
    <w:rsid w:val="00B82C38"/>
    <w:rsid w:val="00B83EBC"/>
    <w:rsid w:val="00B86D76"/>
    <w:rsid w:val="00B86DFA"/>
    <w:rsid w:val="00B96243"/>
    <w:rsid w:val="00BA608E"/>
    <w:rsid w:val="00BA6AF7"/>
    <w:rsid w:val="00BB2678"/>
    <w:rsid w:val="00BB30CD"/>
    <w:rsid w:val="00BB4E5B"/>
    <w:rsid w:val="00BB67EC"/>
    <w:rsid w:val="00BC10C9"/>
    <w:rsid w:val="00BC637A"/>
    <w:rsid w:val="00BD3661"/>
    <w:rsid w:val="00BD7AAD"/>
    <w:rsid w:val="00BE0AA6"/>
    <w:rsid w:val="00BE18E9"/>
    <w:rsid w:val="00BE59A4"/>
    <w:rsid w:val="00BE5FBC"/>
    <w:rsid w:val="00BF39EB"/>
    <w:rsid w:val="00BF4198"/>
    <w:rsid w:val="00BF4A69"/>
    <w:rsid w:val="00C00DDD"/>
    <w:rsid w:val="00C0173D"/>
    <w:rsid w:val="00C02245"/>
    <w:rsid w:val="00C03644"/>
    <w:rsid w:val="00C04EC1"/>
    <w:rsid w:val="00C06408"/>
    <w:rsid w:val="00C066E2"/>
    <w:rsid w:val="00C1716F"/>
    <w:rsid w:val="00C21601"/>
    <w:rsid w:val="00C34585"/>
    <w:rsid w:val="00C40B43"/>
    <w:rsid w:val="00C44BBE"/>
    <w:rsid w:val="00C47588"/>
    <w:rsid w:val="00C51B5D"/>
    <w:rsid w:val="00C56AAF"/>
    <w:rsid w:val="00C60A10"/>
    <w:rsid w:val="00C64ADC"/>
    <w:rsid w:val="00C73815"/>
    <w:rsid w:val="00C8037C"/>
    <w:rsid w:val="00C82FEE"/>
    <w:rsid w:val="00C8332D"/>
    <w:rsid w:val="00C83C42"/>
    <w:rsid w:val="00C944D5"/>
    <w:rsid w:val="00CA52F5"/>
    <w:rsid w:val="00CB01C2"/>
    <w:rsid w:val="00CC59FD"/>
    <w:rsid w:val="00CD4599"/>
    <w:rsid w:val="00CD7B08"/>
    <w:rsid w:val="00CD7F7D"/>
    <w:rsid w:val="00CE0E01"/>
    <w:rsid w:val="00CE3703"/>
    <w:rsid w:val="00CE463F"/>
    <w:rsid w:val="00CE7209"/>
    <w:rsid w:val="00D04D65"/>
    <w:rsid w:val="00D1078B"/>
    <w:rsid w:val="00D11FAA"/>
    <w:rsid w:val="00D156DB"/>
    <w:rsid w:val="00D17DC0"/>
    <w:rsid w:val="00D22080"/>
    <w:rsid w:val="00D2307C"/>
    <w:rsid w:val="00D26967"/>
    <w:rsid w:val="00D33FA2"/>
    <w:rsid w:val="00D40667"/>
    <w:rsid w:val="00D43443"/>
    <w:rsid w:val="00D46E0B"/>
    <w:rsid w:val="00D4701D"/>
    <w:rsid w:val="00D50858"/>
    <w:rsid w:val="00D517C4"/>
    <w:rsid w:val="00D60EFF"/>
    <w:rsid w:val="00D61680"/>
    <w:rsid w:val="00D62A9A"/>
    <w:rsid w:val="00D6413D"/>
    <w:rsid w:val="00D666E0"/>
    <w:rsid w:val="00D666E9"/>
    <w:rsid w:val="00D74A0D"/>
    <w:rsid w:val="00D81157"/>
    <w:rsid w:val="00D8376A"/>
    <w:rsid w:val="00D8702D"/>
    <w:rsid w:val="00D875EB"/>
    <w:rsid w:val="00D91E1B"/>
    <w:rsid w:val="00D91F28"/>
    <w:rsid w:val="00D94C58"/>
    <w:rsid w:val="00DA1803"/>
    <w:rsid w:val="00DA6419"/>
    <w:rsid w:val="00DB000E"/>
    <w:rsid w:val="00DB5FED"/>
    <w:rsid w:val="00DB66A4"/>
    <w:rsid w:val="00DB753F"/>
    <w:rsid w:val="00DB7AA0"/>
    <w:rsid w:val="00DC643E"/>
    <w:rsid w:val="00DD4913"/>
    <w:rsid w:val="00DD6D45"/>
    <w:rsid w:val="00DD7767"/>
    <w:rsid w:val="00DE2DF4"/>
    <w:rsid w:val="00DE3412"/>
    <w:rsid w:val="00DE6272"/>
    <w:rsid w:val="00DE77ED"/>
    <w:rsid w:val="00DF048E"/>
    <w:rsid w:val="00DF05F8"/>
    <w:rsid w:val="00DF58AA"/>
    <w:rsid w:val="00E00E88"/>
    <w:rsid w:val="00E01F87"/>
    <w:rsid w:val="00E05E89"/>
    <w:rsid w:val="00E079EE"/>
    <w:rsid w:val="00E13C60"/>
    <w:rsid w:val="00E17C58"/>
    <w:rsid w:val="00E27A2E"/>
    <w:rsid w:val="00E32A7B"/>
    <w:rsid w:val="00E32B72"/>
    <w:rsid w:val="00E379AC"/>
    <w:rsid w:val="00E40E52"/>
    <w:rsid w:val="00E543E7"/>
    <w:rsid w:val="00E56D4F"/>
    <w:rsid w:val="00E65ECB"/>
    <w:rsid w:val="00E662E4"/>
    <w:rsid w:val="00E70F53"/>
    <w:rsid w:val="00E80017"/>
    <w:rsid w:val="00E905F0"/>
    <w:rsid w:val="00E91243"/>
    <w:rsid w:val="00E94B2D"/>
    <w:rsid w:val="00E94D41"/>
    <w:rsid w:val="00E95298"/>
    <w:rsid w:val="00EA5825"/>
    <w:rsid w:val="00EB05E6"/>
    <w:rsid w:val="00EB330B"/>
    <w:rsid w:val="00EC67DC"/>
    <w:rsid w:val="00ED4132"/>
    <w:rsid w:val="00ED7A7F"/>
    <w:rsid w:val="00EE1EB1"/>
    <w:rsid w:val="00EE4FE4"/>
    <w:rsid w:val="00EF2267"/>
    <w:rsid w:val="00F00C06"/>
    <w:rsid w:val="00F03D7E"/>
    <w:rsid w:val="00F041D7"/>
    <w:rsid w:val="00F13B17"/>
    <w:rsid w:val="00F20C35"/>
    <w:rsid w:val="00F21245"/>
    <w:rsid w:val="00F24F3C"/>
    <w:rsid w:val="00F253DE"/>
    <w:rsid w:val="00F27114"/>
    <w:rsid w:val="00F30807"/>
    <w:rsid w:val="00F3626C"/>
    <w:rsid w:val="00F420D9"/>
    <w:rsid w:val="00F46A35"/>
    <w:rsid w:val="00F51912"/>
    <w:rsid w:val="00F56129"/>
    <w:rsid w:val="00F6003B"/>
    <w:rsid w:val="00F614E5"/>
    <w:rsid w:val="00F643C1"/>
    <w:rsid w:val="00F7047C"/>
    <w:rsid w:val="00F773C4"/>
    <w:rsid w:val="00FA4720"/>
    <w:rsid w:val="00FB6D11"/>
    <w:rsid w:val="00FC1117"/>
    <w:rsid w:val="00FC3C2C"/>
    <w:rsid w:val="00FC59CA"/>
    <w:rsid w:val="00FD1255"/>
    <w:rsid w:val="00FD6A8C"/>
    <w:rsid w:val="00FD72EC"/>
    <w:rsid w:val="00FE0F4A"/>
    <w:rsid w:val="00FE469D"/>
    <w:rsid w:val="00FF2CD5"/>
    <w:rsid w:val="00FF3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8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uiPriority w:val="9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5E7D0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5E7D09"/>
  </w:style>
  <w:style w:type="character" w:customStyle="1" w:styleId="HeaderChar">
    <w:name w:val="Header Char"/>
    <w:link w:val="Header"/>
    <w:locked/>
    <w:rsid w:val="00A95E4C"/>
    <w:rPr>
      <w:sz w:val="22"/>
    </w:rPr>
  </w:style>
  <w:style w:type="paragraph" w:styleId="ListParagraph">
    <w:name w:val="List Paragraph"/>
    <w:basedOn w:val="Normal"/>
    <w:uiPriority w:val="34"/>
    <w:qFormat/>
    <w:rsid w:val="00A95E4C"/>
    <w:pPr>
      <w:widowControl w:val="0"/>
      <w:ind w:left="720"/>
    </w:pPr>
    <w:rPr>
      <w:snapToGrid w:val="0"/>
      <w:kern w:val="28"/>
      <w:szCs w:val="24"/>
    </w:rPr>
  </w:style>
  <w:style w:type="paragraph" w:styleId="BalloonText">
    <w:name w:val="Balloon Text"/>
    <w:basedOn w:val="Normal"/>
    <w:link w:val="BalloonTextChar"/>
    <w:uiPriority w:val="99"/>
    <w:semiHidden/>
    <w:unhideWhenUsed/>
    <w:rsid w:val="00A95E4C"/>
    <w:rPr>
      <w:rFonts w:ascii="Tahoma" w:hAnsi="Tahoma" w:cs="Tahoma"/>
      <w:sz w:val="16"/>
      <w:szCs w:val="16"/>
    </w:rPr>
  </w:style>
  <w:style w:type="character" w:customStyle="1" w:styleId="BalloonTextChar">
    <w:name w:val="Balloon Text Char"/>
    <w:basedOn w:val="DefaultParagraphFont"/>
    <w:link w:val="BalloonText"/>
    <w:uiPriority w:val="99"/>
    <w:semiHidden/>
    <w:rsid w:val="00A95E4C"/>
    <w:rPr>
      <w:rFonts w:ascii="Tahoma" w:hAnsi="Tahoma" w:cs="Tahoma"/>
      <w:sz w:val="16"/>
      <w:szCs w:val="16"/>
    </w:rPr>
  </w:style>
  <w:style w:type="paragraph" w:customStyle="1" w:styleId="Para">
    <w:name w:val="Para"/>
    <w:basedOn w:val="Normal"/>
    <w:qFormat/>
    <w:rsid w:val="00E01F87"/>
    <w:pPr>
      <w:widowControl w:val="0"/>
      <w:spacing w:after="220"/>
      <w:ind w:firstLine="720"/>
      <w:jc w:val="both"/>
    </w:pPr>
  </w:style>
  <w:style w:type="character" w:styleId="CommentReference">
    <w:name w:val="annotation reference"/>
    <w:basedOn w:val="DefaultParagraphFont"/>
    <w:uiPriority w:val="99"/>
    <w:semiHidden/>
    <w:unhideWhenUsed/>
    <w:rsid w:val="008271D8"/>
    <w:rPr>
      <w:sz w:val="16"/>
      <w:szCs w:val="16"/>
    </w:rPr>
  </w:style>
  <w:style w:type="paragraph" w:styleId="CommentText">
    <w:name w:val="annotation text"/>
    <w:basedOn w:val="Normal"/>
    <w:link w:val="CommentTextChar"/>
    <w:uiPriority w:val="99"/>
    <w:semiHidden/>
    <w:unhideWhenUsed/>
    <w:rsid w:val="008271D8"/>
    <w:rPr>
      <w:sz w:val="20"/>
    </w:rPr>
  </w:style>
  <w:style w:type="character" w:customStyle="1" w:styleId="CommentTextChar">
    <w:name w:val="Comment Text Char"/>
    <w:basedOn w:val="DefaultParagraphFont"/>
    <w:link w:val="CommentText"/>
    <w:uiPriority w:val="99"/>
    <w:semiHidden/>
    <w:rsid w:val="008271D8"/>
  </w:style>
  <w:style w:type="paragraph" w:styleId="CommentSubject">
    <w:name w:val="annotation subject"/>
    <w:basedOn w:val="CommentText"/>
    <w:next w:val="CommentText"/>
    <w:link w:val="CommentSubjectChar"/>
    <w:uiPriority w:val="99"/>
    <w:semiHidden/>
    <w:unhideWhenUsed/>
    <w:rsid w:val="008271D8"/>
    <w:rPr>
      <w:b/>
      <w:bCs/>
    </w:rPr>
  </w:style>
  <w:style w:type="character" w:customStyle="1" w:styleId="CommentSubjectChar">
    <w:name w:val="Comment Subject Char"/>
    <w:basedOn w:val="CommentTextChar"/>
    <w:link w:val="CommentSubject"/>
    <w:uiPriority w:val="99"/>
    <w:semiHidden/>
    <w:rsid w:val="008271D8"/>
    <w:rPr>
      <w:b/>
      <w:bCs/>
    </w:rPr>
  </w:style>
  <w:style w:type="paragraph" w:styleId="Revision">
    <w:name w:val="Revision"/>
    <w:hidden/>
    <w:uiPriority w:val="99"/>
    <w:semiHidden/>
    <w:rsid w:val="008F144B"/>
    <w:rPr>
      <w:sz w:val="22"/>
    </w:rPr>
  </w:style>
  <w:style w:type="character" w:customStyle="1" w:styleId="FooterChar">
    <w:name w:val="Footer Char"/>
    <w:basedOn w:val="DefaultParagraphFont"/>
    <w:link w:val="Footer"/>
    <w:uiPriority w:val="99"/>
    <w:rsid w:val="00D1078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8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uiPriority w:val="9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5E7D0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5E7D09"/>
  </w:style>
  <w:style w:type="character" w:customStyle="1" w:styleId="HeaderChar">
    <w:name w:val="Header Char"/>
    <w:link w:val="Header"/>
    <w:locked/>
    <w:rsid w:val="00A95E4C"/>
    <w:rPr>
      <w:sz w:val="22"/>
    </w:rPr>
  </w:style>
  <w:style w:type="paragraph" w:styleId="ListParagraph">
    <w:name w:val="List Paragraph"/>
    <w:basedOn w:val="Normal"/>
    <w:uiPriority w:val="34"/>
    <w:qFormat/>
    <w:rsid w:val="00A95E4C"/>
    <w:pPr>
      <w:widowControl w:val="0"/>
      <w:ind w:left="720"/>
    </w:pPr>
    <w:rPr>
      <w:snapToGrid w:val="0"/>
      <w:kern w:val="28"/>
      <w:szCs w:val="24"/>
    </w:rPr>
  </w:style>
  <w:style w:type="paragraph" w:styleId="BalloonText">
    <w:name w:val="Balloon Text"/>
    <w:basedOn w:val="Normal"/>
    <w:link w:val="BalloonTextChar"/>
    <w:uiPriority w:val="99"/>
    <w:semiHidden/>
    <w:unhideWhenUsed/>
    <w:rsid w:val="00A95E4C"/>
    <w:rPr>
      <w:rFonts w:ascii="Tahoma" w:hAnsi="Tahoma" w:cs="Tahoma"/>
      <w:sz w:val="16"/>
      <w:szCs w:val="16"/>
    </w:rPr>
  </w:style>
  <w:style w:type="character" w:customStyle="1" w:styleId="BalloonTextChar">
    <w:name w:val="Balloon Text Char"/>
    <w:basedOn w:val="DefaultParagraphFont"/>
    <w:link w:val="BalloonText"/>
    <w:uiPriority w:val="99"/>
    <w:semiHidden/>
    <w:rsid w:val="00A95E4C"/>
    <w:rPr>
      <w:rFonts w:ascii="Tahoma" w:hAnsi="Tahoma" w:cs="Tahoma"/>
      <w:sz w:val="16"/>
      <w:szCs w:val="16"/>
    </w:rPr>
  </w:style>
  <w:style w:type="paragraph" w:customStyle="1" w:styleId="Para">
    <w:name w:val="Para"/>
    <w:basedOn w:val="Normal"/>
    <w:qFormat/>
    <w:rsid w:val="00E01F87"/>
    <w:pPr>
      <w:widowControl w:val="0"/>
      <w:spacing w:after="220"/>
      <w:ind w:firstLine="720"/>
      <w:jc w:val="both"/>
    </w:pPr>
  </w:style>
  <w:style w:type="character" w:styleId="CommentReference">
    <w:name w:val="annotation reference"/>
    <w:basedOn w:val="DefaultParagraphFont"/>
    <w:uiPriority w:val="99"/>
    <w:semiHidden/>
    <w:unhideWhenUsed/>
    <w:rsid w:val="008271D8"/>
    <w:rPr>
      <w:sz w:val="16"/>
      <w:szCs w:val="16"/>
    </w:rPr>
  </w:style>
  <w:style w:type="paragraph" w:styleId="CommentText">
    <w:name w:val="annotation text"/>
    <w:basedOn w:val="Normal"/>
    <w:link w:val="CommentTextChar"/>
    <w:uiPriority w:val="99"/>
    <w:semiHidden/>
    <w:unhideWhenUsed/>
    <w:rsid w:val="008271D8"/>
    <w:rPr>
      <w:sz w:val="20"/>
    </w:rPr>
  </w:style>
  <w:style w:type="character" w:customStyle="1" w:styleId="CommentTextChar">
    <w:name w:val="Comment Text Char"/>
    <w:basedOn w:val="DefaultParagraphFont"/>
    <w:link w:val="CommentText"/>
    <w:uiPriority w:val="99"/>
    <w:semiHidden/>
    <w:rsid w:val="008271D8"/>
  </w:style>
  <w:style w:type="paragraph" w:styleId="CommentSubject">
    <w:name w:val="annotation subject"/>
    <w:basedOn w:val="CommentText"/>
    <w:next w:val="CommentText"/>
    <w:link w:val="CommentSubjectChar"/>
    <w:uiPriority w:val="99"/>
    <w:semiHidden/>
    <w:unhideWhenUsed/>
    <w:rsid w:val="008271D8"/>
    <w:rPr>
      <w:b/>
      <w:bCs/>
    </w:rPr>
  </w:style>
  <w:style w:type="character" w:customStyle="1" w:styleId="CommentSubjectChar">
    <w:name w:val="Comment Subject Char"/>
    <w:basedOn w:val="CommentTextChar"/>
    <w:link w:val="CommentSubject"/>
    <w:uiPriority w:val="99"/>
    <w:semiHidden/>
    <w:rsid w:val="008271D8"/>
    <w:rPr>
      <w:b/>
      <w:bCs/>
    </w:rPr>
  </w:style>
  <w:style w:type="paragraph" w:styleId="Revision">
    <w:name w:val="Revision"/>
    <w:hidden/>
    <w:uiPriority w:val="99"/>
    <w:semiHidden/>
    <w:rsid w:val="008F144B"/>
    <w:rPr>
      <w:sz w:val="22"/>
    </w:rPr>
  </w:style>
  <w:style w:type="character" w:customStyle="1" w:styleId="FooterChar">
    <w:name w:val="Footer Char"/>
    <w:basedOn w:val="DefaultParagraphFont"/>
    <w:link w:val="Footer"/>
    <w:uiPriority w:val="99"/>
    <w:rsid w:val="00D107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adelaine.Maior@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earn"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ic.gc.ca/eic/site/smt-gst.nsf/eng/sf10891.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988</Words>
  <Characters>5412</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2015-05-12T15:06:00Z</cp:lastPrinted>
  <dcterms:created xsi:type="dcterms:W3CDTF">2015-05-20T21:12:00Z</dcterms:created>
  <dcterms:modified xsi:type="dcterms:W3CDTF">2015-05-20T21:12:00Z</dcterms:modified>
  <cp:category> </cp:category>
  <cp:contentStatus> </cp:contentStatus>
</cp:coreProperties>
</file>