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E86C29">
        <w:rPr>
          <w:b/>
          <w:spacing w:val="-2"/>
          <w:szCs w:val="22"/>
        </w:rPr>
        <w:t>611</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C52890">
        <w:rPr>
          <w:b/>
          <w:spacing w:val="-2"/>
          <w:szCs w:val="22"/>
        </w:rPr>
        <w:t>May 20</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212E17">
        <w:rPr>
          <w:b/>
        </w:rPr>
        <w:t>S</w:t>
      </w:r>
      <w:r w:rsidR="00D55EBA">
        <w:rPr>
          <w:b/>
        </w:rPr>
        <w:t xml:space="preserve"> OF </w:t>
      </w:r>
      <w:r w:rsidR="00224B7C" w:rsidRPr="00881B4E">
        <w:rPr>
          <w:b/>
          <w:szCs w:val="22"/>
        </w:rPr>
        <w:t xml:space="preserve">AT&amp;T </w:t>
      </w:r>
      <w:r w:rsidR="00E258AC">
        <w:rPr>
          <w:b/>
          <w:szCs w:val="22"/>
        </w:rPr>
        <w:t>INC.</w:t>
      </w:r>
      <w:r w:rsidR="00BC44E1">
        <w:rPr>
          <w:b/>
          <w:szCs w:val="22"/>
        </w:rPr>
        <w:t xml:space="preserve"> AND </w:t>
      </w:r>
      <w:r w:rsidR="00E258AC">
        <w:rPr>
          <w:b/>
          <w:szCs w:val="22"/>
        </w:rPr>
        <w:t>CELLULAR</w:t>
      </w:r>
      <w:r w:rsidR="00EF660B">
        <w:rPr>
          <w:b/>
          <w:szCs w:val="22"/>
        </w:rPr>
        <w:t xml:space="preserve"> </w:t>
      </w:r>
      <w:r w:rsidR="00E258AC">
        <w:rPr>
          <w:b/>
          <w:szCs w:val="22"/>
        </w:rPr>
        <w:t>PROPERTIES, INC.</w:t>
      </w:r>
      <w:r w:rsidR="00EF660B">
        <w:rPr>
          <w:b/>
          <w:szCs w:val="22"/>
        </w:rPr>
        <w:t xml:space="preserve"> </w:t>
      </w:r>
      <w:r w:rsidR="00A806EA">
        <w:rPr>
          <w:b/>
          <w:szCs w:val="22"/>
        </w:rPr>
        <w:t xml:space="preserve">FOR CONSENT TO </w:t>
      </w:r>
      <w:r w:rsidR="00D55EBA">
        <w:rPr>
          <w:b/>
          <w:szCs w:val="22"/>
        </w:rPr>
        <w:t xml:space="preserve">ASSIGN </w:t>
      </w:r>
      <w:r w:rsidR="00E258AC">
        <w:rPr>
          <w:b/>
          <w:szCs w:val="22"/>
        </w:rPr>
        <w:t>AUTHORIZATIONS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FC30BD">
        <w:rPr>
          <w:b/>
          <w:color w:val="000000"/>
          <w:szCs w:val="22"/>
        </w:rPr>
        <w:t>78</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465EDB" w:rsidP="00747C80">
      <w:pPr>
        <w:spacing w:after="220"/>
        <w:ind w:firstLine="720"/>
        <w:rPr>
          <w:szCs w:val="22"/>
        </w:rPr>
      </w:pPr>
      <w:r w:rsidRPr="00030F87">
        <w:rPr>
          <w:szCs w:val="22"/>
        </w:rPr>
        <w:t>AT&amp;T Inc. (together with its subsidiaries, “AT&amp;T</w:t>
      </w:r>
      <w:r>
        <w:rPr>
          <w:szCs w:val="22"/>
        </w:rPr>
        <w:t>”), and Cellular Properties, Inc.</w:t>
      </w:r>
      <w:r w:rsidRPr="00030F87">
        <w:rPr>
          <w:szCs w:val="22"/>
        </w:rPr>
        <w:t xml:space="preserve"> (“</w:t>
      </w:r>
      <w:r>
        <w:rPr>
          <w:szCs w:val="22"/>
        </w:rPr>
        <w:t>CPI,”</w:t>
      </w:r>
      <w:r w:rsidRPr="00030F87">
        <w:rPr>
          <w:szCs w:val="22"/>
        </w:rPr>
        <w:t xml:space="preserve"> and together with </w:t>
      </w:r>
      <w:r>
        <w:rPr>
          <w:szCs w:val="22"/>
        </w:rPr>
        <w:t>AT&amp;T</w:t>
      </w:r>
      <w:r w:rsidRPr="00030F87">
        <w:rPr>
          <w:szCs w:val="22"/>
        </w:rPr>
        <w:t>, the “Applicants”) have filed application</w:t>
      </w:r>
      <w:r>
        <w:rPr>
          <w:szCs w:val="22"/>
        </w:rPr>
        <w:t>s</w:t>
      </w:r>
      <w:r w:rsidRPr="00030F87">
        <w:rPr>
          <w:szCs w:val="22"/>
        </w:rPr>
        <w:t xml:space="preserve"> pursuant to section</w:t>
      </w:r>
      <w:r>
        <w:rPr>
          <w:szCs w:val="22"/>
        </w:rPr>
        <w:t xml:space="preserve">s 214(a) and </w:t>
      </w:r>
      <w:r w:rsidRPr="00030F87">
        <w:rPr>
          <w:szCs w:val="22"/>
        </w:rPr>
        <w:t>310(d) of the Communications Act of 1934, as amended,</w:t>
      </w:r>
      <w:r w:rsidRPr="00030F87">
        <w:rPr>
          <w:rStyle w:val="FootnoteReference"/>
          <w:szCs w:val="22"/>
        </w:rPr>
        <w:footnoteReference w:id="1"/>
      </w:r>
      <w:r>
        <w:rPr>
          <w:szCs w:val="22"/>
        </w:rPr>
        <w:t xml:space="preserve"> seeking the </w:t>
      </w:r>
      <w:r w:rsidRPr="00030F87">
        <w:rPr>
          <w:szCs w:val="22"/>
        </w:rPr>
        <w:t>assign</w:t>
      </w:r>
      <w:r>
        <w:rPr>
          <w:szCs w:val="22"/>
        </w:rPr>
        <w:t>ment of two</w:t>
      </w:r>
      <w:r w:rsidRPr="00030F87">
        <w:rPr>
          <w:szCs w:val="22"/>
        </w:rPr>
        <w:t xml:space="preserve"> </w:t>
      </w:r>
      <w:r>
        <w:rPr>
          <w:szCs w:val="22"/>
        </w:rPr>
        <w:t>cellular A Block licenses</w:t>
      </w:r>
      <w:r w:rsidR="00C52890">
        <w:rPr>
          <w:szCs w:val="22"/>
        </w:rPr>
        <w:t>,</w:t>
      </w:r>
      <w:r>
        <w:rPr>
          <w:szCs w:val="22"/>
        </w:rPr>
        <w:t xml:space="preserve"> associated common carrier fixed point-to-point microwave licenses,</w:t>
      </w:r>
      <w:r w:rsidRPr="00E1010F">
        <w:rPr>
          <w:rStyle w:val="FootnoteReference"/>
          <w:szCs w:val="22"/>
        </w:rPr>
        <w:footnoteReference w:id="2"/>
      </w:r>
      <w:r>
        <w:rPr>
          <w:szCs w:val="22"/>
        </w:rPr>
        <w:t xml:space="preserve"> and an international section 214 authorization</w:t>
      </w:r>
      <w:r>
        <w:rPr>
          <w:rStyle w:val="FootnoteReference"/>
          <w:szCs w:val="22"/>
        </w:rPr>
        <w:footnoteReference w:id="3"/>
      </w:r>
      <w:r>
        <w:rPr>
          <w:szCs w:val="22"/>
        </w:rPr>
        <w:t xml:space="preserve"> to an indirect, wholly-owned subsidiary of AT&amp;T.</w:t>
      </w:r>
      <w:r w:rsidRPr="00E1010F">
        <w:rPr>
          <w:rStyle w:val="FootnoteReference"/>
          <w:szCs w:val="22"/>
        </w:rPr>
        <w:footnoteReference w:id="4"/>
      </w:r>
      <w:r w:rsidRPr="00030F87">
        <w:rPr>
          <w:szCs w:val="22"/>
        </w:rPr>
        <w:t xml:space="preserve">  </w:t>
      </w:r>
      <w:r>
        <w:rPr>
          <w:szCs w:val="22"/>
        </w:rPr>
        <w:t>The proposed assignment of licenses involves eleven counties in all or parts of two Cellular Market Areas (“CMAs”) in Illinois</w:t>
      </w:r>
      <w:r w:rsidRPr="00677644">
        <w:rPr>
          <w:szCs w:val="22"/>
        </w:rPr>
        <w:t xml:space="preserve">.  </w:t>
      </w:r>
      <w:r w:rsidR="00D55EBA">
        <w:t>On</w:t>
      </w:r>
      <w:r w:rsidR="00782AFF">
        <w:t xml:space="preserve"> </w:t>
      </w:r>
      <w:r w:rsidR="00C52890" w:rsidRPr="00C52890">
        <w:t>May 20</w:t>
      </w:r>
      <w:r w:rsidR="00D55EBA">
        <w:t xml:space="preserve">, </w:t>
      </w:r>
      <w:r w:rsidR="00747C80">
        <w:t>2015</w:t>
      </w:r>
      <w:r w:rsidR="00782AFF">
        <w:t xml:space="preserve">, </w:t>
      </w:r>
      <w:r w:rsidR="00D55EBA">
        <w:t xml:space="preserve">the </w:t>
      </w:r>
      <w:r w:rsidR="001D27DB">
        <w:t>Commission accepted these two a</w:t>
      </w:r>
      <w:r w:rsidR="00D55EBA">
        <w:t>pplication</w:t>
      </w:r>
      <w:r w:rsidR="006F65C3">
        <w:t>s</w:t>
      </w:r>
      <w:r w:rsidR="00D55EBA">
        <w:t xml:space="preserve"> for filing and established a pleading cycle for the proposed transaction.</w:t>
      </w:r>
      <w:r w:rsidR="00D55EBA">
        <w:rPr>
          <w:rStyle w:val="FootnoteReference"/>
        </w:rPr>
        <w:footnoteReference w:id="5"/>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6"/>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w:t>
      </w:r>
      <w:r>
        <w:lastRenderedPageBreak/>
        <w:t>of the transaction.  Accordingly, subject to the provisions of a protective order (“NRUF Protective Order”) being adopted this day,</w:t>
      </w:r>
      <w:r>
        <w:rPr>
          <w:rStyle w:val="FootnoteReference"/>
        </w:rPr>
        <w:footnoteReference w:id="7"/>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and December 31, 2014 (when available).</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xml:space="preserve">, and December 31, 2014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June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8"/>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9"/>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10"/>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C52890">
        <w:rPr>
          <w:b/>
          <w:u w:val="single"/>
        </w:rPr>
        <w:t>June 1</w:t>
      </w:r>
      <w:r>
        <w:rPr>
          <w:b/>
          <w:u w:val="single"/>
        </w:rPr>
        <w:t>, 201</w:t>
      </w:r>
      <w:r w:rsidR="00BF2C0C">
        <w:rPr>
          <w:b/>
          <w:u w:val="single"/>
        </w:rPr>
        <w:t>5</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BF2C0C">
      <w:pPr>
        <w:ind w:firstLine="720"/>
      </w:pPr>
      <w:r>
        <w:lastRenderedPageBreak/>
        <w:t xml:space="preserve">If the Commission receives no opposition from affected parties by </w:t>
      </w:r>
      <w:r w:rsidR="00C52890">
        <w:t>June 1</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C52890">
        <w:t>edures set forth in 47 C.F.R. § </w:t>
      </w:r>
      <w:r>
        <w:t xml:space="preserve">0.461(i) shall apply.  All filings should refer to WT Docket No. </w:t>
      </w:r>
      <w:r w:rsidR="00BF2C0C">
        <w:t>15</w:t>
      </w:r>
      <w:r w:rsidR="00517DFC">
        <w:t>-</w:t>
      </w:r>
      <w:r w:rsidR="00FC30BD">
        <w:rPr>
          <w:szCs w:val="22"/>
        </w:rPr>
        <w:t>78</w:t>
      </w:r>
      <w:r>
        <w:t>.</w:t>
      </w:r>
    </w:p>
    <w:p w:rsidR="00DE53FC" w:rsidRDefault="00DE53FC"/>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11"/>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2"/>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F00E54">
        <w:rPr>
          <w:szCs w:val="22"/>
        </w:rPr>
        <w:t>(3) Linda Ray, Broadband Division, Wireless Telecommunications Bureau, at linda.ray@fcc.gov or (202) 418-7247 (facsimile); (4</w:t>
      </w:r>
      <w:r>
        <w:rPr>
          <w:szCs w:val="22"/>
        </w:rPr>
        <w:t xml:space="preserve">) Kate Matraves, Competition </w:t>
      </w:r>
      <w:r w:rsidR="00C52890">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F00E54">
        <w:rPr>
          <w:color w:val="000000"/>
          <w:szCs w:val="22"/>
        </w:rPr>
        <w:t>5</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E22B43">
      <w:pPr>
        <w:keepNext/>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AA" w:rsidRDefault="00936FAA">
      <w:r>
        <w:separator/>
      </w:r>
    </w:p>
  </w:endnote>
  <w:endnote w:type="continuationSeparator" w:id="0">
    <w:p w:rsidR="00936FAA" w:rsidRDefault="0093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EA1">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F" w:rsidRDefault="0044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AA" w:rsidRDefault="00936FAA">
      <w:r>
        <w:separator/>
      </w:r>
    </w:p>
  </w:footnote>
  <w:footnote w:type="continuationSeparator" w:id="0">
    <w:p w:rsidR="00936FAA" w:rsidRDefault="00936FAA">
      <w:r>
        <w:continuationSeparator/>
      </w:r>
    </w:p>
  </w:footnote>
  <w:footnote w:id="1">
    <w:p w:rsidR="00465EDB" w:rsidRDefault="00465EDB" w:rsidP="00465EDB">
      <w:pPr>
        <w:pStyle w:val="FootnoteText"/>
      </w:pPr>
      <w:r>
        <w:rPr>
          <w:rStyle w:val="FootnoteReference"/>
        </w:rPr>
        <w:footnoteRef/>
      </w:r>
      <w:r>
        <w:t xml:space="preserve"> 47 U.S.C. §§ 214(a), 310(d).  </w:t>
      </w:r>
    </w:p>
  </w:footnote>
  <w:footnote w:id="2">
    <w:p w:rsidR="00465EDB" w:rsidRPr="00E1010F" w:rsidRDefault="00465EDB" w:rsidP="00465EDB">
      <w:pPr>
        <w:pStyle w:val="FootnoteText"/>
      </w:pPr>
      <w:r w:rsidRPr="00E1010F">
        <w:rPr>
          <w:rStyle w:val="FootnoteReference"/>
        </w:rPr>
        <w:footnoteRef/>
      </w:r>
      <w:r w:rsidRPr="00E1010F">
        <w:t xml:space="preserve"> </w:t>
      </w:r>
      <w:r>
        <w:rPr>
          <w:i/>
        </w:rPr>
        <w:t xml:space="preserve">See </w:t>
      </w:r>
      <w:r>
        <w:t>Application of Centaur Acquisition Company LLC and Cellular Properties, Inc. for Consent To Assign Licenses, ULS File No.</w:t>
      </w:r>
      <w:r w:rsidRPr="0056192E">
        <w:t xml:space="preserve"> </w:t>
      </w:r>
      <w:r w:rsidRPr="00DD02C7">
        <w:rPr>
          <w:color w:val="000000"/>
        </w:rPr>
        <w:t>0006664937</w:t>
      </w:r>
      <w:r>
        <w:t>, Ex. 1 (filed Feb. 11, 2015, amended Mar. 26, 2015).</w:t>
      </w:r>
    </w:p>
  </w:footnote>
  <w:footnote w:id="3">
    <w:p w:rsidR="00465EDB" w:rsidRPr="000D0CAF" w:rsidRDefault="00465EDB" w:rsidP="00465EDB">
      <w:pPr>
        <w:pStyle w:val="FootnoteText"/>
      </w:pPr>
      <w:r w:rsidRPr="000D0CAF">
        <w:rPr>
          <w:rStyle w:val="FootnoteReference"/>
        </w:rPr>
        <w:footnoteRef/>
      </w:r>
      <w:r w:rsidRPr="000D0CAF">
        <w:t xml:space="preserve"> </w:t>
      </w:r>
      <w:r w:rsidRPr="000D0CAF">
        <w:rPr>
          <w:i/>
        </w:rPr>
        <w:t>See</w:t>
      </w:r>
      <w:r w:rsidRPr="000D0CAF">
        <w:t xml:space="preserve"> Application of Centaur Acquisition Company LLC and Cellular Properties, Inc. for Consent To Assign an International Section 214 Authorization To Provide </w:t>
      </w:r>
      <w:r w:rsidRPr="000D0CAF">
        <w:rPr>
          <w:color w:val="000000"/>
        </w:rPr>
        <w:t>Global or Limited Global Resale Service</w:t>
      </w:r>
      <w:r w:rsidRPr="000D0CAF">
        <w:t>, No. ITC-ASG-20150424-00099 (filed Apr. 24, 2015).</w:t>
      </w:r>
    </w:p>
  </w:footnote>
  <w:footnote w:id="4">
    <w:p w:rsidR="00465EDB" w:rsidRPr="00E1010F" w:rsidRDefault="00465EDB" w:rsidP="00465EDB">
      <w:pPr>
        <w:pStyle w:val="FootnoteText"/>
      </w:pPr>
      <w:r w:rsidRPr="00E1010F">
        <w:rPr>
          <w:rStyle w:val="FootnoteReference"/>
        </w:rPr>
        <w:footnoteRef/>
      </w:r>
      <w:r w:rsidRPr="00E1010F">
        <w:t xml:space="preserve"> </w:t>
      </w:r>
      <w:r>
        <w:t>The authorizations held by CPI would be assigned, just prior to closing, to a newly-formed limited liability company, Centaur Acquisition Company LLC.  At closing, ownership of Centaur Acquisition Company LLC would be transferred to AT&amp;T.</w:t>
      </w:r>
    </w:p>
  </w:footnote>
  <w:footnote w:id="5">
    <w:p w:rsidR="00DE53FC" w:rsidRDefault="00D55EBA" w:rsidP="00D941D1">
      <w:pPr>
        <w:pStyle w:val="FootnoteText"/>
      </w:pPr>
      <w:r>
        <w:rPr>
          <w:rStyle w:val="FootnoteReference"/>
        </w:rPr>
        <w:footnoteRef/>
      </w:r>
      <w:r w:rsidR="00820D6F">
        <w:t xml:space="preserve"> </w:t>
      </w:r>
      <w:r w:rsidR="00EF660B" w:rsidRPr="00224B7C">
        <w:t xml:space="preserve">AT&amp;T </w:t>
      </w:r>
      <w:r w:rsidR="00081A73">
        <w:t>Inc.</w:t>
      </w:r>
      <w:r w:rsidR="00EF660B">
        <w:t xml:space="preserve"> and </w:t>
      </w:r>
      <w:r w:rsidR="00081A73">
        <w:t>Cellular Properties, Inc.</w:t>
      </w:r>
      <w:r w:rsidR="00D941D1">
        <w:t xml:space="preserve"> </w:t>
      </w:r>
      <w:r w:rsidR="0056192E">
        <w:t xml:space="preserve">Seek FCC Consent to the Assignment of </w:t>
      </w:r>
      <w:r w:rsidR="00081A73">
        <w:t xml:space="preserve">Two Cellular A Block Licenses, Point-to-Point Microwave Licenses, and an International Section 214 Authorization, </w:t>
      </w:r>
      <w:r w:rsidR="00820D6F">
        <w:t xml:space="preserve">WT Docket No. </w:t>
      </w:r>
      <w:r w:rsidR="00081A73">
        <w:t>15</w:t>
      </w:r>
      <w:r w:rsidR="003924E8">
        <w:t>-</w:t>
      </w:r>
      <w:r w:rsidR="00FC30BD">
        <w:t>78</w:t>
      </w:r>
      <w:r w:rsidR="00820D6F">
        <w:t xml:space="preserve">, </w:t>
      </w:r>
      <w:r>
        <w:rPr>
          <w:i/>
        </w:rPr>
        <w:t>Public Notice</w:t>
      </w:r>
      <w:r w:rsidR="00081A73">
        <w:t>¸ DA 15</w:t>
      </w:r>
      <w:r>
        <w:t>-</w:t>
      </w:r>
      <w:r w:rsidR="00606166">
        <w:t>608</w:t>
      </w:r>
      <w:r>
        <w:t xml:space="preserve"> (</w:t>
      </w:r>
      <w:r w:rsidR="00820D6F">
        <w:t xml:space="preserve">WTB </w:t>
      </w:r>
      <w:r>
        <w:t xml:space="preserve">rel. </w:t>
      </w:r>
      <w:r w:rsidR="00C52890">
        <w:t>May 20</w:t>
      </w:r>
      <w:r w:rsidR="00513DCA">
        <w:t>, 201</w:t>
      </w:r>
      <w:r w:rsidR="00081A73">
        <w:t>5</w:t>
      </w:r>
      <w:r>
        <w:t>).</w:t>
      </w:r>
    </w:p>
  </w:footnote>
  <w:footnote w:id="6">
    <w:p w:rsidR="00DE53FC" w:rsidRDefault="00D55EBA">
      <w:pPr>
        <w:pStyle w:val="FootnoteText"/>
        <w:rPr>
          <w:i/>
        </w:rPr>
      </w:pPr>
      <w:r>
        <w:rPr>
          <w:rStyle w:val="FootnoteReference"/>
        </w:rPr>
        <w:footnoteRef/>
      </w:r>
      <w:r>
        <w:t xml:space="preserve"> </w:t>
      </w:r>
      <w:r>
        <w:rPr>
          <w:i/>
        </w:rPr>
        <w:t xml:space="preserve">See </w:t>
      </w:r>
      <w:r>
        <w:t>47 C.F.R. §§ 1.907, 52.5.</w:t>
      </w:r>
    </w:p>
  </w:footnote>
  <w:footnote w:id="7">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007D045D">
        <w:t>s</w:t>
      </w:r>
      <w:r w:rsidRPr="00D27ABB">
        <w:t xml:space="preserve"> of </w:t>
      </w:r>
      <w:r w:rsidR="00EF660B" w:rsidRPr="00224B7C">
        <w:t xml:space="preserve">AT&amp;T </w:t>
      </w:r>
      <w:r w:rsidR="00BF2C0C">
        <w:t>Inc.</w:t>
      </w:r>
      <w:r w:rsidR="00EF660B">
        <w:t xml:space="preserve"> and </w:t>
      </w:r>
      <w:r w:rsidR="00BF2C0C">
        <w:t>Cellular Properties, Inc.</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w:t>
      </w:r>
      <w:r w:rsidR="00BF2C0C">
        <w:t>Authorizations</w:t>
      </w:r>
      <w:r w:rsidRPr="00D27ABB">
        <w:t xml:space="preserve">, WT Docket No. </w:t>
      </w:r>
      <w:r w:rsidR="00BF2C0C">
        <w:t>15</w:t>
      </w:r>
      <w:r w:rsidR="00D27ABB" w:rsidRPr="00D27ABB">
        <w:t>-</w:t>
      </w:r>
      <w:r w:rsidR="00FC30BD">
        <w:t>78</w:t>
      </w:r>
      <w:r w:rsidRPr="00D27ABB">
        <w:t xml:space="preserve">, </w:t>
      </w:r>
      <w:r w:rsidRPr="00D27ABB">
        <w:rPr>
          <w:i/>
        </w:rPr>
        <w:t>NRUF/LNP Protective Order</w:t>
      </w:r>
      <w:r w:rsidR="00D27ABB" w:rsidRPr="00D27ABB">
        <w:t>, DA 1</w:t>
      </w:r>
      <w:r w:rsidR="00BF2C0C">
        <w:t>5</w:t>
      </w:r>
      <w:r w:rsidRPr="00D27ABB">
        <w:t>-</w:t>
      </w:r>
      <w:r w:rsidR="00606166">
        <w:t>610</w:t>
      </w:r>
      <w:r w:rsidRPr="00D27ABB">
        <w:t xml:space="preserve"> (WTB rel. </w:t>
      </w:r>
      <w:r w:rsidR="00C52890">
        <w:t>May 20</w:t>
      </w:r>
      <w:r w:rsidR="00BF2C0C">
        <w:t>, 2015</w:t>
      </w:r>
      <w:r w:rsidRPr="00D27ABB">
        <w:t>).</w:t>
      </w:r>
    </w:p>
  </w:footnote>
  <w:footnote w:id="8">
    <w:p w:rsidR="00DE53FC" w:rsidRDefault="00D55EBA">
      <w:pPr>
        <w:pStyle w:val="FootnoteText"/>
      </w:pPr>
      <w:r>
        <w:rPr>
          <w:rStyle w:val="FootnoteReference"/>
        </w:rPr>
        <w:footnoteRef/>
      </w:r>
      <w:r>
        <w:t xml:space="preserve"> 47 U.S.C. § 251.</w:t>
      </w:r>
    </w:p>
  </w:footnote>
  <w:footnote w:id="9">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10">
    <w:p w:rsidR="00DE53FC" w:rsidRDefault="00D55EBA">
      <w:pPr>
        <w:pStyle w:val="FootnoteText"/>
      </w:pPr>
      <w:r>
        <w:rPr>
          <w:rStyle w:val="FootnoteReference"/>
        </w:rPr>
        <w:footnoteRef/>
      </w:r>
      <w:r>
        <w:t xml:space="preserve"> </w:t>
      </w:r>
      <w:r>
        <w:rPr>
          <w:i/>
        </w:rPr>
        <w:t xml:space="preserve">Id. </w:t>
      </w:r>
      <w:r>
        <w:t>at 7607 ¶ 78.</w:t>
      </w:r>
    </w:p>
  </w:footnote>
  <w:footnote w:id="11">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2">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F" w:rsidRDefault="00443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F" w:rsidRDefault="00443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81A73"/>
    <w:rsid w:val="00085D36"/>
    <w:rsid w:val="000D0CAF"/>
    <w:rsid w:val="000D55AB"/>
    <w:rsid w:val="000E64EF"/>
    <w:rsid w:val="001068CD"/>
    <w:rsid w:val="001151AE"/>
    <w:rsid w:val="00116B0A"/>
    <w:rsid w:val="00131F34"/>
    <w:rsid w:val="001530F5"/>
    <w:rsid w:val="00162CBF"/>
    <w:rsid w:val="001B1E13"/>
    <w:rsid w:val="001B4273"/>
    <w:rsid w:val="001D27DB"/>
    <w:rsid w:val="00212E17"/>
    <w:rsid w:val="00224B2A"/>
    <w:rsid w:val="00224B7C"/>
    <w:rsid w:val="00252FBC"/>
    <w:rsid w:val="00281877"/>
    <w:rsid w:val="002A187B"/>
    <w:rsid w:val="002F6CBC"/>
    <w:rsid w:val="00334B32"/>
    <w:rsid w:val="00364D40"/>
    <w:rsid w:val="00385149"/>
    <w:rsid w:val="003924E8"/>
    <w:rsid w:val="003B46B8"/>
    <w:rsid w:val="003B4B21"/>
    <w:rsid w:val="003C0DF0"/>
    <w:rsid w:val="003E0808"/>
    <w:rsid w:val="003E317B"/>
    <w:rsid w:val="003E3CAC"/>
    <w:rsid w:val="003E7324"/>
    <w:rsid w:val="00415BE9"/>
    <w:rsid w:val="0044372F"/>
    <w:rsid w:val="00465EDB"/>
    <w:rsid w:val="004A24F2"/>
    <w:rsid w:val="005028CA"/>
    <w:rsid w:val="00513DCA"/>
    <w:rsid w:val="00517DFC"/>
    <w:rsid w:val="005377E5"/>
    <w:rsid w:val="0056192E"/>
    <w:rsid w:val="00573195"/>
    <w:rsid w:val="00584FD6"/>
    <w:rsid w:val="005869A5"/>
    <w:rsid w:val="005F1BE4"/>
    <w:rsid w:val="00606166"/>
    <w:rsid w:val="00687CBA"/>
    <w:rsid w:val="00696C42"/>
    <w:rsid w:val="006A0A76"/>
    <w:rsid w:val="006E07AD"/>
    <w:rsid w:val="006F65C3"/>
    <w:rsid w:val="006F7DA0"/>
    <w:rsid w:val="007344E2"/>
    <w:rsid w:val="0074095D"/>
    <w:rsid w:val="00747C80"/>
    <w:rsid w:val="00782AFF"/>
    <w:rsid w:val="007B3550"/>
    <w:rsid w:val="007B5C7B"/>
    <w:rsid w:val="007D045D"/>
    <w:rsid w:val="007E76CC"/>
    <w:rsid w:val="007F2C9E"/>
    <w:rsid w:val="008006E2"/>
    <w:rsid w:val="00814205"/>
    <w:rsid w:val="00817B5C"/>
    <w:rsid w:val="00820D6F"/>
    <w:rsid w:val="00825306"/>
    <w:rsid w:val="008B3F31"/>
    <w:rsid w:val="008D7C95"/>
    <w:rsid w:val="008E1700"/>
    <w:rsid w:val="0090098F"/>
    <w:rsid w:val="009019D5"/>
    <w:rsid w:val="00912EBA"/>
    <w:rsid w:val="00936FAA"/>
    <w:rsid w:val="00954196"/>
    <w:rsid w:val="009A2D37"/>
    <w:rsid w:val="009A51D8"/>
    <w:rsid w:val="009C279E"/>
    <w:rsid w:val="009F3E0B"/>
    <w:rsid w:val="00A0638E"/>
    <w:rsid w:val="00A436EB"/>
    <w:rsid w:val="00A43EA1"/>
    <w:rsid w:val="00A806EA"/>
    <w:rsid w:val="00A81374"/>
    <w:rsid w:val="00A8766E"/>
    <w:rsid w:val="00A9441C"/>
    <w:rsid w:val="00AE14BC"/>
    <w:rsid w:val="00AE40C6"/>
    <w:rsid w:val="00AF10A9"/>
    <w:rsid w:val="00B03696"/>
    <w:rsid w:val="00B33FD2"/>
    <w:rsid w:val="00B57948"/>
    <w:rsid w:val="00B72E25"/>
    <w:rsid w:val="00BC44E1"/>
    <w:rsid w:val="00BC7B84"/>
    <w:rsid w:val="00BF2C0C"/>
    <w:rsid w:val="00C45392"/>
    <w:rsid w:val="00C52890"/>
    <w:rsid w:val="00C81C63"/>
    <w:rsid w:val="00CA6F74"/>
    <w:rsid w:val="00CA7E3A"/>
    <w:rsid w:val="00CD023F"/>
    <w:rsid w:val="00CE70DB"/>
    <w:rsid w:val="00CF5297"/>
    <w:rsid w:val="00D27ABB"/>
    <w:rsid w:val="00D33EE3"/>
    <w:rsid w:val="00D53141"/>
    <w:rsid w:val="00D55EBA"/>
    <w:rsid w:val="00D7448D"/>
    <w:rsid w:val="00D777DF"/>
    <w:rsid w:val="00D941D1"/>
    <w:rsid w:val="00DC0A1A"/>
    <w:rsid w:val="00DD02C7"/>
    <w:rsid w:val="00DE236F"/>
    <w:rsid w:val="00DE53FC"/>
    <w:rsid w:val="00DE5E6D"/>
    <w:rsid w:val="00E22B43"/>
    <w:rsid w:val="00E258AC"/>
    <w:rsid w:val="00E26DD6"/>
    <w:rsid w:val="00E85688"/>
    <w:rsid w:val="00E86C29"/>
    <w:rsid w:val="00E936F1"/>
    <w:rsid w:val="00ED3E3A"/>
    <w:rsid w:val="00EF2688"/>
    <w:rsid w:val="00EF660B"/>
    <w:rsid w:val="00F00E54"/>
    <w:rsid w:val="00F26685"/>
    <w:rsid w:val="00F60D30"/>
    <w:rsid w:val="00F83C44"/>
    <w:rsid w:val="00F878CD"/>
    <w:rsid w:val="00FC30B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7036</Characters>
  <Application>Microsoft Office Word</Application>
  <DocSecurity>0</DocSecurity>
  <Lines>113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2015-05-20T20:15:00Z</dcterms:created>
  <dcterms:modified xsi:type="dcterms:W3CDTF">2015-05-20T20:15:00Z</dcterms:modified>
  <cp:category> </cp:category>
  <cp:contentStatus> </cp:contentStatus>
</cp:coreProperties>
</file>