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F0099C">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F0099C">
      <w:pPr>
        <w:pStyle w:val="StyleBoldCentered"/>
        <w:widowControl/>
      </w:pPr>
      <w:r>
        <w:t>F</w:t>
      </w:r>
      <w:r>
        <w:rPr>
          <w:caps w:val="0"/>
        </w:rPr>
        <w:t>ederal Communications Commission</w:t>
      </w:r>
    </w:p>
    <w:p w:rsidR="004C2EE3" w:rsidRDefault="00810B6F" w:rsidP="00F0099C">
      <w:pPr>
        <w:pStyle w:val="StyleBoldCentered"/>
        <w:widowControl/>
      </w:pPr>
      <w:r>
        <w:rPr>
          <w:caps w:val="0"/>
        </w:rPr>
        <w:t>Washington, D.C. 20554</w:t>
      </w:r>
    </w:p>
    <w:p w:rsidR="004C2EE3" w:rsidRDefault="004C2EE3" w:rsidP="00F0099C">
      <w:pPr>
        <w:widowControl/>
      </w:pPr>
    </w:p>
    <w:p w:rsidR="004C2EE3" w:rsidRDefault="004C2EE3" w:rsidP="00F0099C">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F0099C">
            <w:pPr>
              <w:widowControl/>
              <w:tabs>
                <w:tab w:val="center" w:pos="4680"/>
              </w:tabs>
              <w:suppressAutoHyphens/>
              <w:rPr>
                <w:spacing w:val="-2"/>
              </w:rPr>
            </w:pPr>
            <w:r>
              <w:rPr>
                <w:spacing w:val="-2"/>
              </w:rPr>
              <w:t>In the Matter of</w:t>
            </w:r>
          </w:p>
          <w:p w:rsidR="004C2EE3" w:rsidRDefault="004C2EE3" w:rsidP="00F0099C">
            <w:pPr>
              <w:widowControl/>
              <w:tabs>
                <w:tab w:val="center" w:pos="4680"/>
              </w:tabs>
              <w:suppressAutoHyphens/>
              <w:rPr>
                <w:spacing w:val="-2"/>
              </w:rPr>
            </w:pPr>
          </w:p>
          <w:p w:rsidR="004C2EE3" w:rsidRDefault="00C06065" w:rsidP="00F0099C">
            <w:pPr>
              <w:widowControl/>
              <w:tabs>
                <w:tab w:val="center" w:pos="4680"/>
              </w:tabs>
              <w:suppressAutoHyphens/>
              <w:rPr>
                <w:spacing w:val="-2"/>
              </w:rPr>
            </w:pPr>
            <w:r>
              <w:rPr>
                <w:spacing w:val="-2"/>
              </w:rPr>
              <w:t>County of San Bernardino, California</w:t>
            </w:r>
          </w:p>
          <w:p w:rsidR="00C06065" w:rsidRDefault="00C06065" w:rsidP="00F0099C">
            <w:pPr>
              <w:widowControl/>
              <w:tabs>
                <w:tab w:val="center" w:pos="4680"/>
              </w:tabs>
              <w:suppressAutoHyphens/>
              <w:rPr>
                <w:spacing w:val="-2"/>
              </w:rPr>
            </w:pPr>
          </w:p>
          <w:p w:rsidR="00C06065" w:rsidRDefault="00C06065" w:rsidP="00F0099C">
            <w:pPr>
              <w:widowControl/>
              <w:tabs>
                <w:tab w:val="center" w:pos="4680"/>
              </w:tabs>
              <w:suppressAutoHyphens/>
              <w:rPr>
                <w:spacing w:val="-2"/>
              </w:rPr>
            </w:pPr>
            <w:r>
              <w:rPr>
                <w:spacing w:val="-2"/>
              </w:rPr>
              <w:t>and</w:t>
            </w:r>
          </w:p>
          <w:p w:rsidR="00C06065" w:rsidRDefault="00C06065" w:rsidP="00F0099C">
            <w:pPr>
              <w:widowControl/>
              <w:tabs>
                <w:tab w:val="center" w:pos="4680"/>
              </w:tabs>
              <w:suppressAutoHyphens/>
              <w:rPr>
                <w:spacing w:val="-2"/>
              </w:rPr>
            </w:pPr>
          </w:p>
          <w:p w:rsidR="00C06065" w:rsidRPr="007115F7" w:rsidRDefault="00C06065" w:rsidP="00F0099C">
            <w:pPr>
              <w:widowControl/>
              <w:tabs>
                <w:tab w:val="center" w:pos="4680"/>
              </w:tabs>
              <w:suppressAutoHyphens/>
              <w:rPr>
                <w:spacing w:val="-2"/>
              </w:rPr>
            </w:pPr>
            <w:r>
              <w:rPr>
                <w:spacing w:val="-2"/>
              </w:rPr>
              <w:t>Nextel Communications, Inc.</w:t>
            </w:r>
          </w:p>
        </w:tc>
        <w:tc>
          <w:tcPr>
            <w:tcW w:w="630" w:type="dxa"/>
          </w:tcPr>
          <w:p w:rsidR="004C2EE3" w:rsidRDefault="004C2EE3" w:rsidP="00F0099C">
            <w:pPr>
              <w:widowControl/>
              <w:tabs>
                <w:tab w:val="center" w:pos="4680"/>
              </w:tabs>
              <w:suppressAutoHyphens/>
              <w:rPr>
                <w:b/>
                <w:spacing w:val="-2"/>
              </w:rPr>
            </w:pPr>
            <w:r>
              <w:rPr>
                <w:b/>
                <w:spacing w:val="-2"/>
              </w:rPr>
              <w:t>)</w:t>
            </w:r>
          </w:p>
          <w:p w:rsidR="004C2EE3" w:rsidRDefault="004C2EE3" w:rsidP="00F0099C">
            <w:pPr>
              <w:widowControl/>
              <w:tabs>
                <w:tab w:val="center" w:pos="4680"/>
              </w:tabs>
              <w:suppressAutoHyphens/>
              <w:rPr>
                <w:b/>
                <w:spacing w:val="-2"/>
              </w:rPr>
            </w:pPr>
            <w:r>
              <w:rPr>
                <w:b/>
                <w:spacing w:val="-2"/>
              </w:rPr>
              <w:t>)</w:t>
            </w:r>
          </w:p>
          <w:p w:rsidR="004C2EE3" w:rsidRDefault="004C2EE3" w:rsidP="00F0099C">
            <w:pPr>
              <w:widowControl/>
              <w:tabs>
                <w:tab w:val="center" w:pos="4680"/>
              </w:tabs>
              <w:suppressAutoHyphens/>
              <w:rPr>
                <w:b/>
                <w:spacing w:val="-2"/>
              </w:rPr>
            </w:pPr>
            <w:r>
              <w:rPr>
                <w:b/>
                <w:spacing w:val="-2"/>
              </w:rPr>
              <w:t>)</w:t>
            </w:r>
          </w:p>
          <w:p w:rsidR="004C2EE3" w:rsidRDefault="004C2EE3" w:rsidP="00F0099C">
            <w:pPr>
              <w:widowControl/>
              <w:tabs>
                <w:tab w:val="center" w:pos="4680"/>
              </w:tabs>
              <w:suppressAutoHyphens/>
              <w:rPr>
                <w:b/>
                <w:spacing w:val="-2"/>
              </w:rPr>
            </w:pPr>
            <w:r>
              <w:rPr>
                <w:b/>
                <w:spacing w:val="-2"/>
              </w:rPr>
              <w:t>)</w:t>
            </w:r>
          </w:p>
          <w:p w:rsidR="004C2EE3" w:rsidRDefault="004C2EE3" w:rsidP="00F0099C">
            <w:pPr>
              <w:widowControl/>
              <w:tabs>
                <w:tab w:val="center" w:pos="4680"/>
              </w:tabs>
              <w:suppressAutoHyphens/>
              <w:rPr>
                <w:b/>
                <w:spacing w:val="-2"/>
              </w:rPr>
            </w:pPr>
            <w:r>
              <w:rPr>
                <w:b/>
                <w:spacing w:val="-2"/>
              </w:rPr>
              <w:t>)</w:t>
            </w:r>
          </w:p>
          <w:p w:rsidR="004C2EE3" w:rsidRDefault="004C2EE3" w:rsidP="00F0099C">
            <w:pPr>
              <w:widowControl/>
              <w:tabs>
                <w:tab w:val="center" w:pos="4680"/>
              </w:tabs>
              <w:suppressAutoHyphens/>
              <w:rPr>
                <w:b/>
                <w:spacing w:val="-2"/>
              </w:rPr>
            </w:pPr>
            <w:r>
              <w:rPr>
                <w:b/>
                <w:spacing w:val="-2"/>
              </w:rPr>
              <w:t>)</w:t>
            </w:r>
          </w:p>
          <w:p w:rsidR="004C2EE3" w:rsidRDefault="004C2EE3" w:rsidP="00F0099C">
            <w:pPr>
              <w:widowControl/>
              <w:tabs>
                <w:tab w:val="center" w:pos="4680"/>
              </w:tabs>
              <w:suppressAutoHyphens/>
              <w:rPr>
                <w:b/>
                <w:spacing w:val="-2"/>
              </w:rPr>
            </w:pPr>
            <w:r>
              <w:rPr>
                <w:b/>
                <w:spacing w:val="-2"/>
              </w:rPr>
              <w:t>)</w:t>
            </w:r>
          </w:p>
          <w:p w:rsidR="004C2EE3" w:rsidRDefault="004C2EE3" w:rsidP="00F0099C">
            <w:pPr>
              <w:widowControl/>
              <w:tabs>
                <w:tab w:val="center" w:pos="4680"/>
              </w:tabs>
              <w:suppressAutoHyphens/>
              <w:rPr>
                <w:spacing w:val="-2"/>
              </w:rPr>
            </w:pPr>
          </w:p>
        </w:tc>
        <w:tc>
          <w:tcPr>
            <w:tcW w:w="4248" w:type="dxa"/>
          </w:tcPr>
          <w:p w:rsidR="00C06065" w:rsidRDefault="00C06065" w:rsidP="00F0099C">
            <w:pPr>
              <w:widowControl/>
              <w:tabs>
                <w:tab w:val="center" w:pos="4680"/>
              </w:tabs>
              <w:suppressAutoHyphens/>
              <w:rPr>
                <w:spacing w:val="-2"/>
              </w:rPr>
            </w:pPr>
          </w:p>
          <w:p w:rsidR="00C06065" w:rsidRDefault="00C06065" w:rsidP="00F0099C">
            <w:pPr>
              <w:widowControl/>
              <w:tabs>
                <w:tab w:val="center" w:pos="4680"/>
              </w:tabs>
              <w:suppressAutoHyphens/>
              <w:rPr>
                <w:spacing w:val="-2"/>
              </w:rPr>
            </w:pPr>
          </w:p>
          <w:p w:rsidR="004C2EE3" w:rsidRDefault="00582EBE" w:rsidP="00582EBE">
            <w:pPr>
              <w:widowControl/>
              <w:tabs>
                <w:tab w:val="center" w:pos="4680"/>
              </w:tabs>
              <w:suppressAutoHyphens/>
              <w:rPr>
                <w:spacing w:val="-2"/>
              </w:rPr>
            </w:pPr>
            <w:r>
              <w:rPr>
                <w:spacing w:val="-2"/>
              </w:rPr>
              <w:t xml:space="preserve">WT </w:t>
            </w:r>
            <w:r w:rsidR="00C06065">
              <w:rPr>
                <w:spacing w:val="-2"/>
              </w:rPr>
              <w:t>Docket 02-55</w:t>
            </w:r>
          </w:p>
          <w:p w:rsidR="00C06065" w:rsidRDefault="00C06065" w:rsidP="00582EBE">
            <w:pPr>
              <w:widowControl/>
              <w:tabs>
                <w:tab w:val="center" w:pos="4680"/>
              </w:tabs>
              <w:suppressAutoHyphens/>
              <w:rPr>
                <w:spacing w:val="-2"/>
              </w:rPr>
            </w:pPr>
            <w:r>
              <w:rPr>
                <w:spacing w:val="-2"/>
              </w:rPr>
              <w:t>Mediation No. TAM-45145</w:t>
            </w:r>
          </w:p>
        </w:tc>
      </w:tr>
    </w:tbl>
    <w:p w:rsidR="004C2EE3" w:rsidRDefault="004C2EE3" w:rsidP="00F0099C">
      <w:pPr>
        <w:widowControl/>
      </w:pPr>
    </w:p>
    <w:p w:rsidR="00841AB1" w:rsidRDefault="00C06065" w:rsidP="00F0099C">
      <w:pPr>
        <w:pStyle w:val="StyleBoldCentered"/>
        <w:widowControl/>
      </w:pPr>
      <w:r>
        <w:t xml:space="preserve">Order </w:t>
      </w:r>
    </w:p>
    <w:p w:rsidR="004C2EE3" w:rsidRDefault="004C2EE3" w:rsidP="00F0099C">
      <w:pPr>
        <w:widowControl/>
        <w:tabs>
          <w:tab w:val="left" w:pos="-720"/>
        </w:tabs>
        <w:suppressAutoHyphens/>
        <w:spacing w:line="227" w:lineRule="auto"/>
        <w:rPr>
          <w:spacing w:val="-2"/>
        </w:rPr>
      </w:pPr>
    </w:p>
    <w:p w:rsidR="004C2EE3" w:rsidRDefault="004C2EE3" w:rsidP="00F0099C">
      <w:pPr>
        <w:widowControl/>
        <w:tabs>
          <w:tab w:val="left" w:pos="720"/>
          <w:tab w:val="right" w:pos="9360"/>
        </w:tabs>
        <w:suppressAutoHyphens/>
        <w:spacing w:line="227" w:lineRule="auto"/>
        <w:rPr>
          <w:spacing w:val="-2"/>
        </w:rPr>
      </w:pPr>
      <w:r>
        <w:rPr>
          <w:b/>
          <w:spacing w:val="-2"/>
        </w:rPr>
        <w:t xml:space="preserve">Adopted:  </w:t>
      </w:r>
      <w:r w:rsidR="00E304EB">
        <w:rPr>
          <w:b/>
          <w:spacing w:val="-2"/>
        </w:rPr>
        <w:t>May 22,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304EB">
        <w:rPr>
          <w:b/>
          <w:spacing w:val="-2"/>
        </w:rPr>
        <w:t>May 22, 2015</w:t>
      </w:r>
    </w:p>
    <w:p w:rsidR="00822CE0" w:rsidRDefault="00822CE0" w:rsidP="00F0099C">
      <w:pPr>
        <w:widowControl/>
      </w:pPr>
    </w:p>
    <w:p w:rsidR="00822CE0" w:rsidRDefault="004C2EE3" w:rsidP="00F0099C">
      <w:pPr>
        <w:widowControl/>
        <w:rPr>
          <w:spacing w:val="-2"/>
        </w:rPr>
      </w:pPr>
      <w:r>
        <w:t xml:space="preserve">By </w:t>
      </w:r>
      <w:r w:rsidR="004E4A22">
        <w:t>the</w:t>
      </w:r>
      <w:r w:rsidR="00C06065">
        <w:t xml:space="preserve"> Deputy Chief, Policy and Licensing Division, Public Safety and Homeland Security Bureau</w:t>
      </w:r>
      <w:r w:rsidR="00E839C2">
        <w:t>:</w:t>
      </w:r>
      <w:r w:rsidR="00C06065">
        <w:t xml:space="preserve"> </w:t>
      </w:r>
    </w:p>
    <w:p w:rsidR="00412FC5" w:rsidRDefault="00412FC5" w:rsidP="00F0099C">
      <w:pPr>
        <w:widowControl/>
      </w:pPr>
    </w:p>
    <w:p w:rsidR="002C00E8" w:rsidRDefault="00C06065" w:rsidP="00F0099C">
      <w:pPr>
        <w:pStyle w:val="Heading1"/>
        <w:widowControl/>
      </w:pPr>
      <w:r>
        <w:t>introduction</w:t>
      </w:r>
    </w:p>
    <w:p w:rsidR="00C06065" w:rsidRDefault="00C06065" w:rsidP="00F0099C">
      <w:pPr>
        <w:pStyle w:val="ParaNum"/>
        <w:widowControl/>
      </w:pPr>
      <w:r>
        <w:t xml:space="preserve">Under consideration is the Recommended Resolution and Request for Waiver in the captioned matter submitted by the 800 MHz Transition Administrator, LLC (TA) on May 18, 2015.  The TA seeks an extension of time, until August </w:t>
      </w:r>
      <w:r w:rsidR="007A5E77">
        <w:t>21, 2015 for the County of San Bernardino (County) and Nextel Communications, Inc. (Sprint)</w:t>
      </w:r>
      <w:r w:rsidR="007A5E77">
        <w:rPr>
          <w:rStyle w:val="FootnoteReference"/>
        </w:rPr>
        <w:footnoteReference w:id="2"/>
      </w:r>
      <w:r w:rsidR="00CD6A91">
        <w:t xml:space="preserve"> (c</w:t>
      </w:r>
      <w:r w:rsidR="007A5E77">
        <w:t xml:space="preserve">ollectively, </w:t>
      </w:r>
      <w:r w:rsidR="00582EBE">
        <w:t xml:space="preserve">the </w:t>
      </w:r>
      <w:r w:rsidR="007A5E77">
        <w:t>Parties)</w:t>
      </w:r>
      <w:r w:rsidR="001E3AA8">
        <w:t xml:space="preserve"> to execute a Frequency Reconfiguration Agreement (FRA) for the rebanding of the County’s 800 </w:t>
      </w:r>
      <w:r w:rsidR="00EF31E6">
        <w:t>MHz communications system.</w:t>
      </w:r>
      <w:r w:rsidR="00582EBE">
        <w:t xml:space="preserve">  For the reasons </w:t>
      </w:r>
      <w:r w:rsidR="007A5E77">
        <w:t>set out below, we grant the requested extension.</w:t>
      </w:r>
    </w:p>
    <w:p w:rsidR="007A5E77" w:rsidRDefault="007A5E77" w:rsidP="00F0099C">
      <w:pPr>
        <w:pStyle w:val="Heading1"/>
        <w:widowControl/>
      </w:pPr>
      <w:r>
        <w:t>discussion</w:t>
      </w:r>
    </w:p>
    <w:p w:rsidR="007A5E77" w:rsidRDefault="007A5E77" w:rsidP="00F0099C">
      <w:pPr>
        <w:pStyle w:val="ParaNum"/>
        <w:widowControl/>
      </w:pPr>
      <w:r>
        <w:t xml:space="preserve">Pursuant to the </w:t>
      </w:r>
      <w:r w:rsidRPr="00EF31E6">
        <w:rPr>
          <w:i/>
        </w:rPr>
        <w:t>Fifth Report and Order</w:t>
      </w:r>
      <w:r>
        <w:t xml:space="preserve"> in this proceeding,</w:t>
      </w:r>
      <w:r w:rsidR="00287A3F">
        <w:rPr>
          <w:rStyle w:val="FootnoteReference"/>
        </w:rPr>
        <w:footnoteReference w:id="3"/>
      </w:r>
      <w:r>
        <w:t xml:space="preserve"> the County</w:t>
      </w:r>
      <w:r w:rsidR="00287A3F">
        <w:t xml:space="preserve"> was to submit a cost estimate for the rebanding of its 800 MHz system by October 9, 2014.</w:t>
      </w:r>
      <w:r w:rsidR="00E55FA8">
        <w:t xml:space="preserve">  After receiving multiple extensions of time to submit the cost estimate, the County filed its cost estimate on January 16, </w:t>
      </w:r>
      <w:r w:rsidR="00853196">
        <w:t>2015</w:t>
      </w:r>
      <w:r w:rsidR="00E55FA8">
        <w:t xml:space="preserve">.  Negotiations between the Parties </w:t>
      </w:r>
      <w:r w:rsidR="00EF31E6">
        <w:t xml:space="preserve">for an FRA </w:t>
      </w:r>
      <w:r w:rsidR="00E55FA8">
        <w:t>were not successful and they entered into compulsory mediation on February 27, 2015.  At the end of the mediation period,</w:t>
      </w:r>
      <w:r w:rsidR="00D36355">
        <w:t xml:space="preserve"> on March 27, 2015</w:t>
      </w:r>
      <w:r w:rsidR="00EF31E6">
        <w:t>,</w:t>
      </w:r>
      <w:r w:rsidR="00E55FA8">
        <w:t xml:space="preserve"> the Parties still had not </w:t>
      </w:r>
      <w:r w:rsidR="00D36355">
        <w:t xml:space="preserve">agreed on </w:t>
      </w:r>
      <w:r w:rsidR="00E55FA8">
        <w:t>a</w:t>
      </w:r>
      <w:r w:rsidR="00EF31E6">
        <w:t>n</w:t>
      </w:r>
      <w:r w:rsidR="00E55FA8">
        <w:t xml:space="preserve"> FRA</w:t>
      </w:r>
      <w:r w:rsidR="00D36355">
        <w:t xml:space="preserve"> for the rebanding of the County’s system.  </w:t>
      </w:r>
      <w:r w:rsidR="009E0DEE">
        <w:t>We granted m</w:t>
      </w:r>
      <w:r w:rsidR="00D36355">
        <w:t>ultiple extensions of the mediation period, with the last extension expiring on May 7, 2015</w:t>
      </w:r>
      <w:r w:rsidR="009E0DEE">
        <w:t>,</w:t>
      </w:r>
      <w:r w:rsidR="00D36355">
        <w:t xml:space="preserve"> without the Parties </w:t>
      </w:r>
      <w:r w:rsidR="00EF31E6">
        <w:t xml:space="preserve">executing </w:t>
      </w:r>
      <w:r w:rsidR="00D36355">
        <w:t>an FRA.</w:t>
      </w:r>
    </w:p>
    <w:p w:rsidR="009914C8" w:rsidRDefault="00D36355" w:rsidP="00F0099C">
      <w:pPr>
        <w:pStyle w:val="ParaNum"/>
        <w:widowControl/>
      </w:pPr>
      <w:r>
        <w:t xml:space="preserve">Notwithstanding </w:t>
      </w:r>
      <w:r w:rsidR="00CD6A91">
        <w:t xml:space="preserve">that </w:t>
      </w:r>
      <w:r>
        <w:t>they have not executed an FRA, the Parties represent that they “have resolved all disputed issues and are in pre-contract agreement.”</w:t>
      </w:r>
      <w:r>
        <w:rPr>
          <w:rStyle w:val="FootnoteReference"/>
        </w:rPr>
        <w:footnoteReference w:id="4"/>
      </w:r>
      <w:r>
        <w:t xml:space="preserve">  </w:t>
      </w:r>
      <w:r w:rsidR="00CD6A91">
        <w:t>The Parties</w:t>
      </w:r>
      <w:r w:rsidR="00916CEA">
        <w:t xml:space="preserve"> have agreed on a sc</w:t>
      </w:r>
      <w:r w:rsidR="00812DF3">
        <w:t xml:space="preserve">hedule for execution of the FRA and the TA has attached </w:t>
      </w:r>
      <w:r w:rsidR="00EF31E6">
        <w:t xml:space="preserve">the schedule </w:t>
      </w:r>
      <w:r w:rsidR="00812DF3">
        <w:t>to its pleading.  By June 9, 2015, Sprint is to submit a completed but unexecuted</w:t>
      </w:r>
      <w:r w:rsidR="00103019">
        <w:t xml:space="preserve"> FRA to the County.  The County</w:t>
      </w:r>
      <w:r w:rsidR="00812DF3">
        <w:t xml:space="preserve"> </w:t>
      </w:r>
      <w:r w:rsidR="00103019">
        <w:t>will</w:t>
      </w:r>
      <w:r w:rsidR="00812DF3">
        <w:t xml:space="preserve"> review the FRA and obtain the approval of the County Board of Supervisors.  We understand</w:t>
      </w:r>
      <w:r w:rsidR="009E0DEE">
        <w:t>,</w:t>
      </w:r>
      <w:r w:rsidR="00812DF3">
        <w:t xml:space="preserve"> based on a telephone conversation with the TA </w:t>
      </w:r>
      <w:r w:rsidR="00EF31E6">
        <w:t>Chief Mediator</w:t>
      </w:r>
      <w:r w:rsidR="009E0DEE">
        <w:t>,</w:t>
      </w:r>
      <w:r w:rsidR="00EF31E6">
        <w:t xml:space="preserve"> </w:t>
      </w:r>
      <w:r w:rsidR="00812DF3">
        <w:t xml:space="preserve">that in order </w:t>
      </w:r>
      <w:r w:rsidR="009E0DEE">
        <w:t xml:space="preserve">for the FRA </w:t>
      </w:r>
      <w:r w:rsidR="00812DF3">
        <w:t xml:space="preserve">to appear on the Board of Supervisor’s meeting agenda, the FRA must be submitted to the Board of Supervisors no later than one-month before </w:t>
      </w:r>
      <w:r w:rsidR="00EF31E6">
        <w:t xml:space="preserve">its </w:t>
      </w:r>
      <w:r w:rsidR="009914C8">
        <w:t xml:space="preserve">next meeting.  </w:t>
      </w:r>
      <w:r w:rsidR="009914C8">
        <w:lastRenderedPageBreak/>
        <w:t xml:space="preserve">The County expects Board of Supervisors’ approval by August 18, 2015, whereupon </w:t>
      </w:r>
      <w:r w:rsidR="009E0DEE">
        <w:t>the County</w:t>
      </w:r>
      <w:r w:rsidR="009914C8">
        <w:t xml:space="preserve"> will execute the FRA and send it to Sprint for signature, which will occur on August 21, 2015.</w:t>
      </w:r>
    </w:p>
    <w:p w:rsidR="009914C8" w:rsidRDefault="009914C8" w:rsidP="00F0099C">
      <w:pPr>
        <w:pStyle w:val="Heading1"/>
        <w:widowControl/>
      </w:pPr>
      <w:r>
        <w:t>decisioN</w:t>
      </w:r>
    </w:p>
    <w:p w:rsidR="003217F5" w:rsidRPr="006204B5" w:rsidRDefault="003217F5" w:rsidP="00F0099C">
      <w:pPr>
        <w:pStyle w:val="ParaNum"/>
        <w:widowControl/>
        <w:rPr>
          <w:szCs w:val="22"/>
        </w:rPr>
      </w:pPr>
      <w:r w:rsidRPr="003217F5">
        <w:t>Section</w:t>
      </w:r>
      <w:r w:rsidRPr="006204B5">
        <w:rPr>
          <w:szCs w:val="22"/>
        </w:rPr>
        <w:t xml:space="preserve"> 1.46(a) of the Commission’s rules states that “[i]t is the policy of the Commission that extensions of time shall not be routinely granted.”</w:t>
      </w:r>
      <w:r w:rsidRPr="006204B5">
        <w:rPr>
          <w:szCs w:val="22"/>
          <w:vertAlign w:val="superscript"/>
        </w:rPr>
        <w:footnoteReference w:id="5"/>
      </w:r>
      <w:r w:rsidRPr="006204B5">
        <w:rPr>
          <w:szCs w:val="22"/>
        </w:rPr>
        <w:t xml:space="preserve">  The Bureau has emphasized that the “import of that rule is especially relevant to 800 MHz rebanding where delay in rebanding by one licensee can cause a ‘domino effect’ delay in the rebanding efforts of other licensees that have met the Commission’s 800 MHz band reconfiguration deadlines with a consequent delay of the overall program. We therefore afford a high degree of scrutiny to the reasons licensees advance for extensions of time.”</w:t>
      </w:r>
      <w:r w:rsidRPr="006204B5">
        <w:rPr>
          <w:szCs w:val="22"/>
          <w:vertAlign w:val="superscript"/>
        </w:rPr>
        <w:footnoteReference w:id="6"/>
      </w:r>
    </w:p>
    <w:p w:rsidR="00D36355" w:rsidRDefault="00812DF3" w:rsidP="00F0099C">
      <w:pPr>
        <w:pStyle w:val="ParaNum"/>
        <w:widowControl/>
      </w:pPr>
      <w:r>
        <w:t xml:space="preserve"> </w:t>
      </w:r>
      <w:r w:rsidR="003217F5">
        <w:t xml:space="preserve">Applying that high degree of scrutiny here, and </w:t>
      </w:r>
      <w:r w:rsidR="00E839C2">
        <w:t xml:space="preserve">notwithstanding </w:t>
      </w:r>
      <w:r w:rsidR="003217F5">
        <w:t>the multiple extensions already granted to the Parties, we still believe that the latest extension request should be granted</w:t>
      </w:r>
      <w:r w:rsidR="00CD0B95">
        <w:t xml:space="preserve"> because</w:t>
      </w:r>
      <w:r w:rsidR="009E0DEE">
        <w:t xml:space="preserve"> </w:t>
      </w:r>
      <w:r w:rsidR="00CD0B95">
        <w:t xml:space="preserve">the County employees responsible for the rebanding of the County’s system </w:t>
      </w:r>
      <w:r w:rsidR="009E0DEE">
        <w:t xml:space="preserve">apparently </w:t>
      </w:r>
      <w:r w:rsidR="00CD0B95">
        <w:t xml:space="preserve">cannot control the approval protocol of the County Board of Supervisors.  The </w:t>
      </w:r>
      <w:r w:rsidR="0014742E">
        <w:t xml:space="preserve">alternative to granting the requested extension would be to direct the TA Mediator to have the parties submit proposed resolution memoranda.  That, however, would be a futile exercise since there are no disputed issues to be resolved between the parties.  </w:t>
      </w:r>
      <w:r w:rsidR="00E839C2">
        <w:t xml:space="preserve">Moreover, </w:t>
      </w:r>
      <w:r w:rsidR="00CD0B95" w:rsidRPr="00CD0B95">
        <w:t>other than the</w:t>
      </w:r>
      <w:r w:rsidR="00CD0B95">
        <w:t xml:space="preserve"> Board of Supervisors approval, </w:t>
      </w:r>
      <w:r w:rsidR="00E839C2">
        <w:t>t</w:t>
      </w:r>
      <w:r w:rsidR="0014742E">
        <w:t>he</w:t>
      </w:r>
      <w:r w:rsidR="00D93F52">
        <w:t xml:space="preserve"> times for completion of the</w:t>
      </w:r>
      <w:r w:rsidR="0014742E">
        <w:t xml:space="preserve"> tasks</w:t>
      </w:r>
      <w:r w:rsidR="00E839C2">
        <w:t xml:space="preserve"> in the schedule</w:t>
      </w:r>
      <w:r w:rsidR="00CD0B95">
        <w:t xml:space="preserve"> </w:t>
      </w:r>
      <w:r w:rsidR="00E839C2">
        <w:t>are reasonably brief</w:t>
      </w:r>
      <w:r w:rsidR="0014742E">
        <w:t>.</w:t>
      </w:r>
      <w:r w:rsidR="003217F5">
        <w:t xml:space="preserve"> </w:t>
      </w:r>
      <w:r w:rsidR="002F28B3">
        <w:t xml:space="preserve"> </w:t>
      </w:r>
    </w:p>
    <w:p w:rsidR="002F28B3" w:rsidRDefault="002F28B3" w:rsidP="00F0099C">
      <w:pPr>
        <w:pStyle w:val="Heading1"/>
        <w:widowControl/>
      </w:pPr>
      <w:r>
        <w:t>ordering clause</w:t>
      </w:r>
    </w:p>
    <w:p w:rsidR="002F28B3" w:rsidRDefault="002F28B3" w:rsidP="00F0099C">
      <w:pPr>
        <w:pStyle w:val="ParaNum"/>
        <w:widowControl/>
      </w:pPr>
      <w:r>
        <w:t>Accordingly IT IS ORDERED that the Recommended Resolution and Request for Waiver submitted May 18, 2015 by the 800 MHz Transition Administrator IS GRANTED.</w:t>
      </w:r>
    </w:p>
    <w:p w:rsidR="002F28B3" w:rsidRDefault="002F28B3" w:rsidP="00F0099C">
      <w:pPr>
        <w:pStyle w:val="ParaNum"/>
        <w:widowControl/>
      </w:pPr>
      <w:r w:rsidRPr="002F28B3">
        <w:t>This action is taken under delegated authority pursuant to Sections 0.191(a) and 0.392 of the Commission's Rules, 47 C.F.R. §§ 0.191(a), 0.392.</w:t>
      </w:r>
    </w:p>
    <w:p w:rsidR="002F28B3" w:rsidRDefault="002F28B3" w:rsidP="00F0099C">
      <w:pPr>
        <w:pStyle w:val="ParaNum"/>
        <w:widowControl/>
        <w:numPr>
          <w:ilvl w:val="0"/>
          <w:numId w:val="0"/>
        </w:numPr>
        <w:ind w:left="2880" w:firstLine="720"/>
      </w:pPr>
      <w:r>
        <w:t>FEDERAL COMMUNICATIONS COMMISSION</w:t>
      </w:r>
    </w:p>
    <w:p w:rsidR="002F28B3" w:rsidRDefault="002F28B3" w:rsidP="00F0099C">
      <w:pPr>
        <w:pStyle w:val="ParaNum"/>
        <w:widowControl/>
        <w:numPr>
          <w:ilvl w:val="0"/>
          <w:numId w:val="0"/>
        </w:numPr>
        <w:ind w:left="2880" w:firstLine="720"/>
      </w:pPr>
    </w:p>
    <w:p w:rsidR="002F28B3" w:rsidRDefault="002F28B3" w:rsidP="00F0099C">
      <w:pPr>
        <w:pStyle w:val="ParaNum"/>
        <w:widowControl/>
        <w:numPr>
          <w:ilvl w:val="0"/>
          <w:numId w:val="0"/>
        </w:numPr>
        <w:ind w:left="2880" w:firstLine="720"/>
      </w:pPr>
    </w:p>
    <w:p w:rsidR="002F28B3" w:rsidRDefault="002F28B3" w:rsidP="00F0099C">
      <w:pPr>
        <w:pStyle w:val="ParaNum"/>
        <w:widowControl/>
        <w:numPr>
          <w:ilvl w:val="0"/>
          <w:numId w:val="0"/>
        </w:numPr>
        <w:spacing w:after="0"/>
        <w:ind w:left="2880" w:firstLine="720"/>
      </w:pPr>
      <w:r>
        <w:t>Michael J. Wilhelm</w:t>
      </w:r>
    </w:p>
    <w:p w:rsidR="002F28B3" w:rsidRDefault="002F28B3" w:rsidP="00F0099C">
      <w:pPr>
        <w:pStyle w:val="ParaNum"/>
        <w:widowControl/>
        <w:numPr>
          <w:ilvl w:val="0"/>
          <w:numId w:val="0"/>
        </w:numPr>
        <w:spacing w:after="0"/>
        <w:ind w:left="2880" w:firstLine="720"/>
      </w:pPr>
      <w:r>
        <w:t>Deputy Chief, Policy and Licensing Division</w:t>
      </w:r>
    </w:p>
    <w:p w:rsidR="002F28B3" w:rsidRDefault="002F28B3" w:rsidP="00F0099C">
      <w:pPr>
        <w:pStyle w:val="ParaNum"/>
        <w:widowControl/>
        <w:numPr>
          <w:ilvl w:val="0"/>
          <w:numId w:val="0"/>
        </w:numPr>
        <w:spacing w:after="0"/>
        <w:ind w:left="2880" w:firstLine="720"/>
      </w:pPr>
      <w:r>
        <w:t>Public Safety and Homeland Security Bureau</w:t>
      </w:r>
    </w:p>
    <w:p w:rsidR="002F28B3" w:rsidRPr="002F28B3" w:rsidRDefault="002F28B3" w:rsidP="00F0099C">
      <w:pPr>
        <w:pStyle w:val="ParaNum"/>
        <w:widowControl/>
        <w:numPr>
          <w:ilvl w:val="0"/>
          <w:numId w:val="0"/>
        </w:numPr>
        <w:ind w:firstLine="720"/>
      </w:pPr>
    </w:p>
    <w:sectPr w:rsidR="002F28B3" w:rsidRPr="002F28B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A4" w:rsidRDefault="00AF37A4">
      <w:pPr>
        <w:spacing w:line="20" w:lineRule="exact"/>
      </w:pPr>
    </w:p>
  </w:endnote>
  <w:endnote w:type="continuationSeparator" w:id="0">
    <w:p w:rsidR="00AF37A4" w:rsidRDefault="00AF37A4">
      <w:r>
        <w:t xml:space="preserve"> </w:t>
      </w:r>
    </w:p>
  </w:endnote>
  <w:endnote w:type="continuationNotice" w:id="1">
    <w:p w:rsidR="00AF37A4" w:rsidRDefault="00AF37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C2" w:rsidRDefault="00E839C2">
    <w:pPr>
      <w:pStyle w:val="Footer"/>
      <w:jc w:val="center"/>
    </w:pPr>
    <w:r>
      <w:fldChar w:fldCharType="begin"/>
    </w:r>
    <w:r>
      <w:instrText xml:space="preserve"> PAGE   \* MERGEFORMAT </w:instrText>
    </w:r>
    <w:r>
      <w:fldChar w:fldCharType="separate"/>
    </w:r>
    <w:r w:rsidR="009D36BD">
      <w:rPr>
        <w:noProof/>
      </w:rPr>
      <w:t>2</w:t>
    </w:r>
    <w:r>
      <w:rPr>
        <w:noProof/>
      </w:rP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A4" w:rsidRDefault="00AF37A4">
      <w:r>
        <w:separator/>
      </w:r>
    </w:p>
  </w:footnote>
  <w:footnote w:type="continuationSeparator" w:id="0">
    <w:p w:rsidR="00AF37A4" w:rsidRDefault="00AF37A4" w:rsidP="00C721AC">
      <w:pPr>
        <w:spacing w:before="120"/>
        <w:rPr>
          <w:sz w:val="20"/>
        </w:rPr>
      </w:pPr>
      <w:r>
        <w:rPr>
          <w:sz w:val="20"/>
        </w:rPr>
        <w:t xml:space="preserve">(Continued from previous page)  </w:t>
      </w:r>
      <w:r>
        <w:rPr>
          <w:sz w:val="20"/>
        </w:rPr>
        <w:separator/>
      </w:r>
    </w:p>
  </w:footnote>
  <w:footnote w:type="continuationNotice" w:id="1">
    <w:p w:rsidR="00AF37A4" w:rsidRDefault="00AF37A4" w:rsidP="00C721AC">
      <w:pPr>
        <w:jc w:val="right"/>
        <w:rPr>
          <w:sz w:val="20"/>
        </w:rPr>
      </w:pPr>
      <w:r>
        <w:rPr>
          <w:sz w:val="20"/>
        </w:rPr>
        <w:t>(continued….)</w:t>
      </w:r>
    </w:p>
  </w:footnote>
  <w:footnote w:id="2">
    <w:p w:rsidR="007A5E77" w:rsidRDefault="007A5E77">
      <w:pPr>
        <w:pStyle w:val="FootnoteText"/>
      </w:pPr>
      <w:r>
        <w:rPr>
          <w:rStyle w:val="FootnoteReference"/>
        </w:rPr>
        <w:footnoteRef/>
      </w:r>
      <w:r>
        <w:t xml:space="preserve"> For purposes of uniformity in this docket, we refer to wholly-owned subsidiaries of Sprint Corp. by the name of their parent, Sprint.</w:t>
      </w:r>
    </w:p>
  </w:footnote>
  <w:footnote w:id="3">
    <w:p w:rsidR="00287A3F" w:rsidRPr="000912A1" w:rsidRDefault="00287A3F" w:rsidP="000912A1">
      <w:pPr>
        <w:widowControl/>
        <w:autoSpaceDE w:val="0"/>
        <w:autoSpaceDN w:val="0"/>
        <w:adjustRightInd w:val="0"/>
        <w:spacing w:after="120"/>
        <w:rPr>
          <w:snapToGrid/>
          <w:color w:val="010101"/>
          <w:kern w:val="0"/>
          <w:sz w:val="20"/>
        </w:rPr>
      </w:pPr>
      <w:r w:rsidRPr="000912A1">
        <w:rPr>
          <w:rStyle w:val="FootnoteReference"/>
        </w:rPr>
        <w:footnoteRef/>
      </w:r>
      <w:r w:rsidRPr="000912A1">
        <w:rPr>
          <w:sz w:val="20"/>
        </w:rPr>
        <w:t xml:space="preserve"> Improving Public Safety Communications in the 800 MHz Band</w:t>
      </w:r>
      <w:r w:rsidR="000912A1" w:rsidRPr="000912A1">
        <w:rPr>
          <w:sz w:val="20"/>
        </w:rPr>
        <w:t>;</w:t>
      </w:r>
      <w:r w:rsidRPr="000912A1">
        <w:rPr>
          <w:sz w:val="20"/>
        </w:rPr>
        <w:t xml:space="preserve"> </w:t>
      </w:r>
      <w:r w:rsidR="000912A1" w:rsidRPr="000912A1">
        <w:rPr>
          <w:snapToGrid/>
          <w:color w:val="010101"/>
          <w:kern w:val="0"/>
          <w:sz w:val="20"/>
        </w:rPr>
        <w:t>New 800 MHz Band Plan for U.S. – Mexico Sharing Zone</w:t>
      </w:r>
      <w:r w:rsidR="000912A1" w:rsidRPr="000912A1">
        <w:rPr>
          <w:color w:val="010101"/>
          <w:sz w:val="20"/>
        </w:rPr>
        <w:t>,</w:t>
      </w:r>
      <w:r w:rsidR="000912A1" w:rsidRPr="000912A1">
        <w:rPr>
          <w:sz w:val="20"/>
        </w:rPr>
        <w:t xml:space="preserve"> </w:t>
      </w:r>
      <w:r w:rsidR="00CD6A91" w:rsidRPr="000912A1">
        <w:rPr>
          <w:sz w:val="20"/>
        </w:rPr>
        <w:t xml:space="preserve">WT Docket 02-55, </w:t>
      </w:r>
      <w:r w:rsidRPr="000912A1">
        <w:rPr>
          <w:i/>
          <w:sz w:val="20"/>
        </w:rPr>
        <w:t>Fifth Report and Order,</w:t>
      </w:r>
      <w:r w:rsidRPr="000912A1">
        <w:rPr>
          <w:sz w:val="20"/>
        </w:rPr>
        <w:t xml:space="preserve"> 28 FCC Rcd 4085, 4104</w:t>
      </w:r>
      <w:r w:rsidR="00E013C3">
        <w:rPr>
          <w:sz w:val="20"/>
        </w:rPr>
        <w:t xml:space="preserve"> ¶ 62</w:t>
      </w:r>
      <w:r w:rsidR="00CD6A91" w:rsidRPr="000912A1">
        <w:rPr>
          <w:sz w:val="20"/>
        </w:rPr>
        <w:t xml:space="preserve"> (</w:t>
      </w:r>
      <w:r w:rsidR="000912A1" w:rsidRPr="000912A1">
        <w:rPr>
          <w:sz w:val="20"/>
        </w:rPr>
        <w:t xml:space="preserve">PSHSB </w:t>
      </w:r>
      <w:r w:rsidR="00CD6A91" w:rsidRPr="000912A1">
        <w:rPr>
          <w:sz w:val="20"/>
        </w:rPr>
        <w:t>20</w:t>
      </w:r>
      <w:r w:rsidR="000912A1" w:rsidRPr="000912A1">
        <w:rPr>
          <w:sz w:val="20"/>
        </w:rPr>
        <w:t>13</w:t>
      </w:r>
      <w:r w:rsidR="00CD6A91" w:rsidRPr="000912A1">
        <w:rPr>
          <w:sz w:val="20"/>
        </w:rPr>
        <w:t>).</w:t>
      </w:r>
    </w:p>
  </w:footnote>
  <w:footnote w:id="4">
    <w:p w:rsidR="00D36355" w:rsidRPr="000912A1" w:rsidRDefault="00D36355" w:rsidP="000912A1">
      <w:pPr>
        <w:pStyle w:val="FootnoteText"/>
      </w:pPr>
      <w:r w:rsidRPr="000912A1">
        <w:rPr>
          <w:rStyle w:val="FootnoteReference"/>
        </w:rPr>
        <w:footnoteRef/>
      </w:r>
      <w:r w:rsidRPr="000912A1">
        <w:t xml:space="preserve"> Recommended Resolution and Request for Waiver at 3</w:t>
      </w:r>
      <w:r w:rsidR="00B0761A">
        <w:t xml:space="preserve"> (dated May 18, 2015)</w:t>
      </w:r>
      <w:r w:rsidRPr="000912A1">
        <w:t>.</w:t>
      </w:r>
    </w:p>
  </w:footnote>
  <w:footnote w:id="5">
    <w:p w:rsidR="003217F5" w:rsidRDefault="003217F5" w:rsidP="003217F5">
      <w:pPr>
        <w:pStyle w:val="FootnoteText"/>
      </w:pPr>
      <w:r>
        <w:rPr>
          <w:rStyle w:val="FootnoteReference"/>
        </w:rPr>
        <w:footnoteRef/>
      </w:r>
      <w:r>
        <w:t xml:space="preserve"> 47 C.F.R. § 1.46(a).</w:t>
      </w:r>
    </w:p>
  </w:footnote>
  <w:footnote w:id="6">
    <w:p w:rsidR="003217F5" w:rsidRPr="00A80C4B" w:rsidRDefault="003217F5" w:rsidP="003217F5">
      <w:pPr>
        <w:pStyle w:val="FootnoteText"/>
      </w:pPr>
      <w:r>
        <w:rPr>
          <w:rStyle w:val="FootnoteReference"/>
        </w:rPr>
        <w:footnoteRef/>
      </w:r>
      <w:r>
        <w:t xml:space="preserve"> Regents of the University of California, </w:t>
      </w:r>
      <w:r w:rsidRPr="00A80C4B">
        <w:rPr>
          <w:i/>
        </w:rPr>
        <w:t>Order</w:t>
      </w:r>
      <w:r>
        <w:rPr>
          <w:i/>
        </w:rPr>
        <w:t xml:space="preserve">, </w:t>
      </w:r>
      <w:r>
        <w:t>28 FCC Rcd 15920, 15921 (PSHSB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A2" w:rsidRDefault="003C0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82EBE">
      <w:t>DA 15-614</w:t>
    </w:r>
  </w:p>
  <w:p w:rsidR="00D25FB5" w:rsidRDefault="00D93F5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8236497" wp14:editId="40D6CE1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93F52"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82EBE">
      <w:t>DA 15-614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65"/>
    <w:rsid w:val="00036039"/>
    <w:rsid w:val="00037F90"/>
    <w:rsid w:val="00045ECB"/>
    <w:rsid w:val="000875BF"/>
    <w:rsid w:val="000912A1"/>
    <w:rsid w:val="00096D8C"/>
    <w:rsid w:val="000C0B65"/>
    <w:rsid w:val="000E05FE"/>
    <w:rsid w:val="000E3D42"/>
    <w:rsid w:val="00103019"/>
    <w:rsid w:val="00122BD5"/>
    <w:rsid w:val="00133F79"/>
    <w:rsid w:val="0014742E"/>
    <w:rsid w:val="00194A66"/>
    <w:rsid w:val="001D6BCF"/>
    <w:rsid w:val="001E01CA"/>
    <w:rsid w:val="001E3AA8"/>
    <w:rsid w:val="00211064"/>
    <w:rsid w:val="00275CF5"/>
    <w:rsid w:val="0028301F"/>
    <w:rsid w:val="00285017"/>
    <w:rsid w:val="00287A3F"/>
    <w:rsid w:val="002A2D2E"/>
    <w:rsid w:val="002C00E8"/>
    <w:rsid w:val="002F28B3"/>
    <w:rsid w:val="003217F5"/>
    <w:rsid w:val="00343749"/>
    <w:rsid w:val="003660ED"/>
    <w:rsid w:val="003B0550"/>
    <w:rsid w:val="003B694F"/>
    <w:rsid w:val="003C07A2"/>
    <w:rsid w:val="003F171C"/>
    <w:rsid w:val="00412FC5"/>
    <w:rsid w:val="00422276"/>
    <w:rsid w:val="004242F1"/>
    <w:rsid w:val="00445A00"/>
    <w:rsid w:val="00451B0F"/>
    <w:rsid w:val="004C2EE3"/>
    <w:rsid w:val="004E4A22"/>
    <w:rsid w:val="00511968"/>
    <w:rsid w:val="0055614C"/>
    <w:rsid w:val="00582EBE"/>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A5E77"/>
    <w:rsid w:val="007B0EB2"/>
    <w:rsid w:val="007F415F"/>
    <w:rsid w:val="00810B6F"/>
    <w:rsid w:val="00812DF3"/>
    <w:rsid w:val="00822CE0"/>
    <w:rsid w:val="00841AB1"/>
    <w:rsid w:val="00853196"/>
    <w:rsid w:val="008C68F1"/>
    <w:rsid w:val="00916CEA"/>
    <w:rsid w:val="00921803"/>
    <w:rsid w:val="00926503"/>
    <w:rsid w:val="009726D8"/>
    <w:rsid w:val="009914C8"/>
    <w:rsid w:val="009D36BD"/>
    <w:rsid w:val="009E0DEE"/>
    <w:rsid w:val="009F76DB"/>
    <w:rsid w:val="00A32C3B"/>
    <w:rsid w:val="00A45F4F"/>
    <w:rsid w:val="00A600A9"/>
    <w:rsid w:val="00AA55B7"/>
    <w:rsid w:val="00AA5B9E"/>
    <w:rsid w:val="00AB2407"/>
    <w:rsid w:val="00AB53DF"/>
    <w:rsid w:val="00AF37A4"/>
    <w:rsid w:val="00B0761A"/>
    <w:rsid w:val="00B07E5C"/>
    <w:rsid w:val="00B75EA6"/>
    <w:rsid w:val="00B811F7"/>
    <w:rsid w:val="00BA5DC6"/>
    <w:rsid w:val="00BA6196"/>
    <w:rsid w:val="00BC6D8C"/>
    <w:rsid w:val="00BD48CE"/>
    <w:rsid w:val="00BF2EB5"/>
    <w:rsid w:val="00C06065"/>
    <w:rsid w:val="00C34006"/>
    <w:rsid w:val="00C426B1"/>
    <w:rsid w:val="00C66160"/>
    <w:rsid w:val="00C721AC"/>
    <w:rsid w:val="00C90D6A"/>
    <w:rsid w:val="00CA247E"/>
    <w:rsid w:val="00CC72B6"/>
    <w:rsid w:val="00CD0B95"/>
    <w:rsid w:val="00CD6A91"/>
    <w:rsid w:val="00D0218D"/>
    <w:rsid w:val="00D25FB5"/>
    <w:rsid w:val="00D36355"/>
    <w:rsid w:val="00D44223"/>
    <w:rsid w:val="00D4680D"/>
    <w:rsid w:val="00D93F52"/>
    <w:rsid w:val="00DA2529"/>
    <w:rsid w:val="00DB130A"/>
    <w:rsid w:val="00DB2EBB"/>
    <w:rsid w:val="00DC10A1"/>
    <w:rsid w:val="00DC655F"/>
    <w:rsid w:val="00DD0B59"/>
    <w:rsid w:val="00DD7EBD"/>
    <w:rsid w:val="00DF62B6"/>
    <w:rsid w:val="00E013C3"/>
    <w:rsid w:val="00E07225"/>
    <w:rsid w:val="00E304EB"/>
    <w:rsid w:val="00E5409F"/>
    <w:rsid w:val="00E55FA8"/>
    <w:rsid w:val="00E839C2"/>
    <w:rsid w:val="00EE6488"/>
    <w:rsid w:val="00EF31E6"/>
    <w:rsid w:val="00F0099C"/>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E3D42"/>
    <w:pPr>
      <w:spacing w:after="120"/>
    </w:pPr>
  </w:style>
  <w:style w:type="character" w:styleId="FootnoteReference">
    <w:name w:val="footnote reference"/>
    <w:aliases w:val="(NECG) Footnote Reference,o,fr,Style 3,Appel note de bas de p,Style 12,Style 124,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3217F5"/>
  </w:style>
  <w:style w:type="character" w:customStyle="1" w:styleId="FooterChar">
    <w:name w:val="Footer Char"/>
    <w:link w:val="Footer"/>
    <w:uiPriority w:val="99"/>
    <w:rsid w:val="00E839C2"/>
    <w:rPr>
      <w:snapToGrid w:val="0"/>
      <w:kern w:val="28"/>
      <w:sz w:val="22"/>
    </w:rPr>
  </w:style>
  <w:style w:type="character" w:styleId="CommentReference">
    <w:name w:val="annotation reference"/>
    <w:basedOn w:val="DefaultParagraphFont"/>
    <w:rsid w:val="00853196"/>
    <w:rPr>
      <w:sz w:val="16"/>
      <w:szCs w:val="16"/>
    </w:rPr>
  </w:style>
  <w:style w:type="paragraph" w:styleId="CommentText">
    <w:name w:val="annotation text"/>
    <w:basedOn w:val="Normal"/>
    <w:link w:val="CommentTextChar"/>
    <w:rsid w:val="00853196"/>
    <w:rPr>
      <w:sz w:val="20"/>
    </w:rPr>
  </w:style>
  <w:style w:type="character" w:customStyle="1" w:styleId="CommentTextChar">
    <w:name w:val="Comment Text Char"/>
    <w:basedOn w:val="DefaultParagraphFont"/>
    <w:link w:val="CommentText"/>
    <w:rsid w:val="00853196"/>
    <w:rPr>
      <w:snapToGrid w:val="0"/>
      <w:kern w:val="28"/>
    </w:rPr>
  </w:style>
  <w:style w:type="paragraph" w:styleId="CommentSubject">
    <w:name w:val="annotation subject"/>
    <w:basedOn w:val="CommentText"/>
    <w:next w:val="CommentText"/>
    <w:link w:val="CommentSubjectChar"/>
    <w:rsid w:val="00853196"/>
    <w:rPr>
      <w:b/>
      <w:bCs/>
    </w:rPr>
  </w:style>
  <w:style w:type="character" w:customStyle="1" w:styleId="CommentSubjectChar">
    <w:name w:val="Comment Subject Char"/>
    <w:basedOn w:val="CommentTextChar"/>
    <w:link w:val="CommentSubject"/>
    <w:rsid w:val="00853196"/>
    <w:rPr>
      <w:b/>
      <w:bCs/>
      <w:snapToGrid w:val="0"/>
      <w:kern w:val="28"/>
    </w:rPr>
  </w:style>
  <w:style w:type="paragraph" w:styleId="BalloonText">
    <w:name w:val="Balloon Text"/>
    <w:basedOn w:val="Normal"/>
    <w:link w:val="BalloonTextChar"/>
    <w:rsid w:val="00853196"/>
    <w:rPr>
      <w:rFonts w:ascii="Tahoma" w:hAnsi="Tahoma" w:cs="Tahoma"/>
      <w:sz w:val="16"/>
      <w:szCs w:val="16"/>
    </w:rPr>
  </w:style>
  <w:style w:type="character" w:customStyle="1" w:styleId="BalloonTextChar">
    <w:name w:val="Balloon Text Char"/>
    <w:basedOn w:val="DefaultParagraphFont"/>
    <w:link w:val="BalloonText"/>
    <w:rsid w:val="00853196"/>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E3D42"/>
    <w:pPr>
      <w:spacing w:after="120"/>
    </w:pPr>
  </w:style>
  <w:style w:type="character" w:styleId="FootnoteReference">
    <w:name w:val="footnote reference"/>
    <w:aliases w:val="(NECG) Footnote Reference,o,fr,Style 3,Appel note de bas de p,Style 12,Style 124,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3217F5"/>
  </w:style>
  <w:style w:type="character" w:customStyle="1" w:styleId="FooterChar">
    <w:name w:val="Footer Char"/>
    <w:link w:val="Footer"/>
    <w:uiPriority w:val="99"/>
    <w:rsid w:val="00E839C2"/>
    <w:rPr>
      <w:snapToGrid w:val="0"/>
      <w:kern w:val="28"/>
      <w:sz w:val="22"/>
    </w:rPr>
  </w:style>
  <w:style w:type="character" w:styleId="CommentReference">
    <w:name w:val="annotation reference"/>
    <w:basedOn w:val="DefaultParagraphFont"/>
    <w:rsid w:val="00853196"/>
    <w:rPr>
      <w:sz w:val="16"/>
      <w:szCs w:val="16"/>
    </w:rPr>
  </w:style>
  <w:style w:type="paragraph" w:styleId="CommentText">
    <w:name w:val="annotation text"/>
    <w:basedOn w:val="Normal"/>
    <w:link w:val="CommentTextChar"/>
    <w:rsid w:val="00853196"/>
    <w:rPr>
      <w:sz w:val="20"/>
    </w:rPr>
  </w:style>
  <w:style w:type="character" w:customStyle="1" w:styleId="CommentTextChar">
    <w:name w:val="Comment Text Char"/>
    <w:basedOn w:val="DefaultParagraphFont"/>
    <w:link w:val="CommentText"/>
    <w:rsid w:val="00853196"/>
    <w:rPr>
      <w:snapToGrid w:val="0"/>
      <w:kern w:val="28"/>
    </w:rPr>
  </w:style>
  <w:style w:type="paragraph" w:styleId="CommentSubject">
    <w:name w:val="annotation subject"/>
    <w:basedOn w:val="CommentText"/>
    <w:next w:val="CommentText"/>
    <w:link w:val="CommentSubjectChar"/>
    <w:rsid w:val="00853196"/>
    <w:rPr>
      <w:b/>
      <w:bCs/>
    </w:rPr>
  </w:style>
  <w:style w:type="character" w:customStyle="1" w:styleId="CommentSubjectChar">
    <w:name w:val="Comment Subject Char"/>
    <w:basedOn w:val="CommentTextChar"/>
    <w:link w:val="CommentSubject"/>
    <w:rsid w:val="00853196"/>
    <w:rPr>
      <w:b/>
      <w:bCs/>
      <w:snapToGrid w:val="0"/>
      <w:kern w:val="28"/>
    </w:rPr>
  </w:style>
  <w:style w:type="paragraph" w:styleId="BalloonText">
    <w:name w:val="Balloon Text"/>
    <w:basedOn w:val="Normal"/>
    <w:link w:val="BalloonTextChar"/>
    <w:rsid w:val="00853196"/>
    <w:rPr>
      <w:rFonts w:ascii="Tahoma" w:hAnsi="Tahoma" w:cs="Tahoma"/>
      <w:sz w:val="16"/>
      <w:szCs w:val="16"/>
    </w:rPr>
  </w:style>
  <w:style w:type="character" w:customStyle="1" w:styleId="BalloonTextChar">
    <w:name w:val="Balloon Text Char"/>
    <w:basedOn w:val="DefaultParagraphFont"/>
    <w:link w:val="BalloonText"/>
    <w:rsid w:val="00853196"/>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703</Words>
  <Characters>3639</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2015-05-21T15:39:00Z</cp:lastPrinted>
  <dcterms:created xsi:type="dcterms:W3CDTF">2015-05-21T20:03:00Z</dcterms:created>
  <dcterms:modified xsi:type="dcterms:W3CDTF">2015-05-21T20:03:00Z</dcterms:modified>
  <cp:category> </cp:category>
  <cp:contentStatus> </cp:contentStatus>
</cp:coreProperties>
</file>