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A85DEF" w:rsidP="00A85DEF">
      <w:pPr>
        <w:jc w:val="center"/>
        <w:rPr>
          <w:sz w:val="22"/>
          <w:szCs w:val="22"/>
        </w:rPr>
      </w:pPr>
      <w:bookmarkStart w:id="0" w:name="_GoBack"/>
      <w:bookmarkEnd w:id="0"/>
      <w:r>
        <w:rPr>
          <w:sz w:val="22"/>
          <w:szCs w:val="22"/>
        </w:rPr>
        <w:t>May 27, 2015</w:t>
      </w:r>
    </w:p>
    <w:p w:rsidR="00490CFE" w:rsidRDefault="00490CFE">
      <w:pPr>
        <w:rPr>
          <w:sz w:val="22"/>
          <w:szCs w:val="22"/>
        </w:rPr>
      </w:pPr>
    </w:p>
    <w:p w:rsidR="00490CFE" w:rsidRPr="00A85DEF" w:rsidRDefault="00490CFE" w:rsidP="00A85DEF">
      <w:pPr>
        <w:ind w:left="5760" w:firstLine="720"/>
        <w:rPr>
          <w:b/>
          <w:sz w:val="22"/>
          <w:szCs w:val="22"/>
        </w:rPr>
      </w:pPr>
      <w:r w:rsidRPr="00A85DEF">
        <w:rPr>
          <w:b/>
          <w:sz w:val="22"/>
          <w:szCs w:val="22"/>
        </w:rPr>
        <w:t>DA 15-</w:t>
      </w:r>
      <w:r w:rsidR="00A85DEF">
        <w:rPr>
          <w:b/>
          <w:sz w:val="22"/>
          <w:szCs w:val="22"/>
        </w:rPr>
        <w:t>629</w:t>
      </w:r>
    </w:p>
    <w:p w:rsidR="00490CFE" w:rsidRDefault="00490CFE" w:rsidP="00A85DEF">
      <w:pPr>
        <w:ind w:left="5760" w:firstLine="720"/>
        <w:rPr>
          <w:b/>
          <w:sz w:val="22"/>
          <w:szCs w:val="22"/>
        </w:rPr>
      </w:pPr>
      <w:r w:rsidRPr="00A85DEF">
        <w:rPr>
          <w:b/>
          <w:sz w:val="22"/>
          <w:szCs w:val="22"/>
        </w:rPr>
        <w:t>Released:</w:t>
      </w:r>
      <w:r w:rsidR="00A85DEF">
        <w:rPr>
          <w:b/>
          <w:sz w:val="22"/>
          <w:szCs w:val="22"/>
        </w:rPr>
        <w:t xml:space="preserve"> May 27, 2015</w:t>
      </w:r>
    </w:p>
    <w:p w:rsidR="00A85DEF" w:rsidRPr="00A85DEF" w:rsidRDefault="00A85DEF" w:rsidP="00A85DEF">
      <w:pPr>
        <w:ind w:left="5760" w:firstLine="720"/>
        <w:rPr>
          <w:b/>
          <w:sz w:val="22"/>
          <w:szCs w:val="22"/>
        </w:rPr>
      </w:pPr>
    </w:p>
    <w:p w:rsidR="00490CFE" w:rsidRDefault="00BF30B6" w:rsidP="00490CFE">
      <w:pPr>
        <w:rPr>
          <w:sz w:val="22"/>
          <w:szCs w:val="22"/>
        </w:rPr>
      </w:pPr>
      <w:r>
        <w:rPr>
          <w:sz w:val="22"/>
          <w:szCs w:val="22"/>
        </w:rPr>
        <w:t>California Oregon Broadcasting, Inc.</w:t>
      </w:r>
    </w:p>
    <w:p w:rsidR="00BF30B6" w:rsidRDefault="00BF30B6" w:rsidP="00490CFE">
      <w:pPr>
        <w:rPr>
          <w:sz w:val="22"/>
          <w:szCs w:val="22"/>
        </w:rPr>
      </w:pPr>
      <w:r>
        <w:rPr>
          <w:sz w:val="22"/>
          <w:szCs w:val="22"/>
        </w:rPr>
        <w:t>P.O. Box 1489</w:t>
      </w:r>
    </w:p>
    <w:p w:rsidR="00BF30B6" w:rsidRPr="00362E68" w:rsidRDefault="00BF30B6" w:rsidP="00490CFE">
      <w:pPr>
        <w:rPr>
          <w:sz w:val="22"/>
          <w:szCs w:val="22"/>
        </w:rPr>
      </w:pPr>
      <w:r>
        <w:rPr>
          <w:sz w:val="22"/>
          <w:szCs w:val="22"/>
        </w:rPr>
        <w:t>Medford, Oregon 97501</w:t>
      </w:r>
    </w:p>
    <w:p w:rsidR="00490CFE" w:rsidRPr="00362E68" w:rsidRDefault="00490CFE" w:rsidP="00490CFE">
      <w:pPr>
        <w:suppressAutoHyphens/>
        <w:ind w:left="5760"/>
        <w:rPr>
          <w:sz w:val="22"/>
          <w:szCs w:val="22"/>
        </w:rPr>
      </w:pPr>
    </w:p>
    <w:p w:rsidR="00490CFE" w:rsidRPr="00490CFE" w:rsidRDefault="00490CFE" w:rsidP="00490CFE">
      <w:pPr>
        <w:suppressAutoHyphens/>
        <w:ind w:left="5040"/>
        <w:rPr>
          <w:sz w:val="22"/>
          <w:szCs w:val="22"/>
        </w:rPr>
      </w:pPr>
      <w:r w:rsidRPr="00B92488">
        <w:rPr>
          <w:sz w:val="22"/>
          <w:szCs w:val="22"/>
        </w:rPr>
        <w:t>Re:</w:t>
      </w:r>
      <w:r w:rsidRPr="00B92488">
        <w:rPr>
          <w:sz w:val="22"/>
          <w:szCs w:val="22"/>
        </w:rPr>
        <w:tab/>
      </w:r>
      <w:r w:rsidR="00BF30B6">
        <w:rPr>
          <w:bCs/>
          <w:sz w:val="22"/>
          <w:szCs w:val="22"/>
        </w:rPr>
        <w:t>KOBI, Medford, Oregon</w:t>
      </w:r>
    </w:p>
    <w:p w:rsidR="00490CFE" w:rsidRPr="00BF30B6" w:rsidRDefault="00490CFE" w:rsidP="00490CFE">
      <w:pPr>
        <w:suppressAutoHyphens/>
        <w:ind w:left="5040" w:firstLine="720"/>
        <w:rPr>
          <w:sz w:val="22"/>
          <w:szCs w:val="22"/>
        </w:rPr>
      </w:pPr>
      <w:r w:rsidRPr="00BF30B6">
        <w:rPr>
          <w:sz w:val="22"/>
          <w:szCs w:val="22"/>
        </w:rPr>
        <w:t xml:space="preserve">Facility ID: </w:t>
      </w:r>
      <w:r w:rsidR="00BF30B6" w:rsidRPr="00BF30B6">
        <w:rPr>
          <w:sz w:val="22"/>
          <w:szCs w:val="22"/>
        </w:rPr>
        <w:t>8260</w:t>
      </w:r>
    </w:p>
    <w:p w:rsidR="00490CFE" w:rsidRPr="00BF30B6" w:rsidRDefault="00490CFE" w:rsidP="00490CFE">
      <w:pPr>
        <w:suppressAutoHyphens/>
        <w:ind w:left="5040" w:firstLine="720"/>
        <w:rPr>
          <w:sz w:val="22"/>
          <w:szCs w:val="22"/>
        </w:rPr>
      </w:pPr>
      <w:r w:rsidRPr="00BF30B6">
        <w:rPr>
          <w:sz w:val="22"/>
          <w:szCs w:val="22"/>
        </w:rPr>
        <w:t xml:space="preserve">FRN: </w:t>
      </w:r>
      <w:r w:rsidR="00BF30B6" w:rsidRPr="00BF30B6">
        <w:rPr>
          <w:sz w:val="22"/>
          <w:szCs w:val="22"/>
        </w:rPr>
        <w:t>0001547462</w:t>
      </w:r>
    </w:p>
    <w:p w:rsidR="00490CFE" w:rsidRPr="00362E68" w:rsidRDefault="00490CFE" w:rsidP="00490CFE">
      <w:pPr>
        <w:tabs>
          <w:tab w:val="left" w:pos="4320"/>
          <w:tab w:val="left" w:pos="5040"/>
        </w:tabs>
        <w:jc w:val="both"/>
        <w:rPr>
          <w:sz w:val="22"/>
          <w:szCs w:val="22"/>
        </w:rPr>
      </w:pPr>
    </w:p>
    <w:p w:rsidR="00490CFE" w:rsidRPr="00362E68" w:rsidRDefault="00490CFE" w:rsidP="00490CFE">
      <w:pPr>
        <w:tabs>
          <w:tab w:val="left" w:pos="4320"/>
          <w:tab w:val="left" w:pos="5040"/>
        </w:tabs>
        <w:jc w:val="both"/>
        <w:rPr>
          <w:sz w:val="22"/>
          <w:szCs w:val="22"/>
        </w:rPr>
      </w:pPr>
      <w:r w:rsidRPr="00362E68">
        <w:rPr>
          <w:sz w:val="22"/>
          <w:szCs w:val="22"/>
        </w:rPr>
        <w:t>Dear Licensee:</w:t>
      </w:r>
    </w:p>
    <w:p w:rsidR="00490CFE" w:rsidRPr="00362E68" w:rsidRDefault="00490CFE" w:rsidP="00490CFE">
      <w:pPr>
        <w:jc w:val="both"/>
        <w:rPr>
          <w:sz w:val="22"/>
          <w:szCs w:val="22"/>
        </w:rPr>
      </w:pPr>
    </w:p>
    <w:p w:rsidR="00490CFE" w:rsidRPr="00362E68" w:rsidRDefault="00490CFE" w:rsidP="00490CFE">
      <w:pPr>
        <w:spacing w:after="240"/>
        <w:ind w:firstLine="720"/>
        <w:jc w:val="both"/>
        <w:rPr>
          <w:sz w:val="22"/>
          <w:szCs w:val="22"/>
        </w:rPr>
      </w:pPr>
      <w:r w:rsidRPr="00362E68">
        <w:rPr>
          <w:sz w:val="22"/>
          <w:szCs w:val="22"/>
        </w:rPr>
        <w:t xml:space="preserve">This letter is in reference to </w:t>
      </w:r>
      <w:r>
        <w:rPr>
          <w:sz w:val="22"/>
          <w:szCs w:val="22"/>
        </w:rPr>
        <w:t xml:space="preserve">the license renewal application for </w:t>
      </w:r>
      <w:r w:rsidR="00162C34">
        <w:rPr>
          <w:sz w:val="22"/>
          <w:szCs w:val="22"/>
        </w:rPr>
        <w:t>KOBI, Medford, Oregon</w:t>
      </w:r>
      <w:r w:rsidRPr="00362E68">
        <w:rPr>
          <w:sz w:val="22"/>
          <w:szCs w:val="22"/>
        </w:rPr>
        <w:t xml:space="preserve"> (the “Station”), which is licensed to</w:t>
      </w:r>
      <w:r w:rsidR="009C72B9">
        <w:rPr>
          <w:sz w:val="22"/>
          <w:szCs w:val="22"/>
        </w:rPr>
        <w:t xml:space="preserve"> </w:t>
      </w:r>
      <w:r w:rsidR="00162C34">
        <w:rPr>
          <w:sz w:val="22"/>
          <w:szCs w:val="22"/>
        </w:rPr>
        <w:t>California Oregon Broadcasting, Inc.</w:t>
      </w:r>
      <w:r w:rsidRPr="00362E68">
        <w:rPr>
          <w:sz w:val="22"/>
          <w:szCs w:val="22"/>
        </w:rPr>
        <w:t xml:space="preserve"> (the “Licensee”).</w:t>
      </w:r>
      <w:r>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490CFE" w:rsidRPr="00362E68" w:rsidRDefault="00490CFE" w:rsidP="00490CFE">
      <w:pPr>
        <w:spacing w:after="240"/>
        <w:ind w:firstLine="720"/>
        <w:jc w:val="both"/>
        <w:rPr>
          <w:sz w:val="22"/>
          <w:szCs w:val="22"/>
        </w:rPr>
      </w:pPr>
      <w:r w:rsidRPr="00362E68">
        <w:rPr>
          <w:sz w:val="22"/>
          <w:szCs w:val="22"/>
        </w:rPr>
        <w:t>In the Children's Television Act of 1990</w:t>
      </w:r>
      <w:r>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w:t>
      </w:r>
      <w:r w:rsidR="003A2006">
        <w:rPr>
          <w:sz w:val="22"/>
          <w:szCs w:val="22"/>
        </w:rPr>
        <w:t>(a)</w:t>
      </w:r>
      <w:r w:rsidRPr="00362E68">
        <w:rPr>
          <w:sz w:val="22"/>
          <w:szCs w:val="22"/>
        </w:rPr>
        <w:t xml:space="preserve"> of the Rules, 47 C.F.R. § 73.670</w:t>
      </w:r>
      <w:r w:rsidR="003A2006">
        <w:rPr>
          <w:sz w:val="22"/>
          <w:szCs w:val="22"/>
        </w:rPr>
        <w:t>(a)</w:t>
      </w:r>
      <w:r w:rsidRPr="00362E68">
        <w:rPr>
          <w:sz w:val="22"/>
          <w:szCs w:val="22"/>
        </w:rPr>
        <w:t>,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490CFE" w:rsidRPr="00362E68" w:rsidRDefault="00490CFE" w:rsidP="00490CFE">
      <w:pPr>
        <w:spacing w:after="240"/>
        <w:ind w:firstLine="720"/>
        <w:jc w:val="both"/>
        <w:rPr>
          <w:sz w:val="22"/>
          <w:szCs w:val="22"/>
        </w:rPr>
      </w:pPr>
      <w:r w:rsidRPr="00362E68">
        <w:rPr>
          <w:sz w:val="22"/>
          <w:szCs w:val="22"/>
        </w:rPr>
        <w:t xml:space="preserve">In furtherance of the CTA’s underlying purpose to protect children from excessive and inappropriate commercial messages, </w:t>
      </w:r>
      <w:r w:rsidRPr="00362E68">
        <w:rPr>
          <w:sz w:val="22"/>
          <w:szCs w:val="22"/>
          <w:vertAlign w:val="superscript"/>
        </w:rPr>
        <w:t xml:space="preserve"> </w:t>
      </w:r>
      <w:r w:rsidRPr="00362E68">
        <w:rPr>
          <w:sz w:val="22"/>
          <w:szCs w:val="22"/>
        </w:rPr>
        <w:t>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w:t>
      </w:r>
      <w:r w:rsidRPr="00362E68">
        <w:rPr>
          <w:sz w:val="22"/>
          <w:szCs w:val="22"/>
        </w:rPr>
        <w:lastRenderedPageBreak/>
        <w:t>children ages 12 and under.</w:t>
      </w:r>
      <w:r w:rsidRPr="00C22ABC">
        <w:rPr>
          <w:sz w:val="22"/>
          <w:szCs w:val="22"/>
          <w:vertAlign w:val="superscript"/>
        </w:rPr>
        <w:footnoteReference w:id="5"/>
      </w:r>
      <w:r>
        <w:rPr>
          <w:sz w:val="22"/>
          <w:szCs w:val="22"/>
        </w:rPr>
        <w:t xml:space="preserve">  </w:t>
      </w:r>
      <w:r w:rsidRPr="00362E68">
        <w:rPr>
          <w:sz w:val="22"/>
          <w:szCs w:val="22"/>
        </w:rPr>
        <w:t>Specifically, Section 73.670(b) permits the display of Internet website addresses during program material or promotional material not counted as commercial time only if</w:t>
      </w:r>
      <w:r w:rsidRPr="00C22ABC">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116C4E">
        <w:rPr>
          <w:sz w:val="22"/>
          <w:szCs w:val="22"/>
          <w:vertAlign w:val="superscript"/>
        </w:rPr>
        <w:footnoteReference w:id="6"/>
      </w:r>
      <w:r w:rsidRPr="00362E68">
        <w:rPr>
          <w:sz w:val="22"/>
          <w:szCs w:val="22"/>
        </w:rPr>
        <w:t xml:space="preserve">  </w:t>
      </w:r>
    </w:p>
    <w:p w:rsidR="00AE6363" w:rsidRPr="003A2006" w:rsidRDefault="00490CFE" w:rsidP="00AE6363">
      <w:pPr>
        <w:autoSpaceDE w:val="0"/>
        <w:autoSpaceDN w:val="0"/>
        <w:adjustRightInd w:val="0"/>
        <w:spacing w:after="240"/>
        <w:ind w:firstLine="720"/>
        <w:jc w:val="both"/>
        <w:rPr>
          <w:sz w:val="22"/>
          <w:szCs w:val="22"/>
        </w:rPr>
      </w:pPr>
      <w:r w:rsidRPr="003A2006">
        <w:rPr>
          <w:sz w:val="22"/>
          <w:szCs w:val="22"/>
        </w:rPr>
        <w:t xml:space="preserve">On September 30, 2014, Licensee filed the above-referenced license renewal application for the Station. In Exhibit 22 to the application, </w:t>
      </w:r>
      <w:r w:rsidR="00AE6363" w:rsidRPr="003A2006">
        <w:rPr>
          <w:sz w:val="22"/>
          <w:szCs w:val="22"/>
        </w:rPr>
        <w:t>Licensee admitted that on October 12, 2013, the Station aired the URL address for the website “www.lazytown.com,” which appeared during the closing credits of the children’s program “LazyTown.” The program was supplied to the Station, through the NBC network, by Sprout as part of the NBC Kids Saturday Morning E/I Block.</w:t>
      </w:r>
      <w:r w:rsidR="00AE6363" w:rsidRPr="003A2006">
        <w:rPr>
          <w:rStyle w:val="FootnoteReference"/>
          <w:sz w:val="22"/>
          <w:szCs w:val="22"/>
        </w:rPr>
        <w:footnoteReference w:id="7"/>
      </w:r>
      <w:r w:rsidR="00AE6363" w:rsidRPr="003A2006">
        <w:rPr>
          <w:sz w:val="22"/>
          <w:szCs w:val="22"/>
        </w:rPr>
        <w:t xml:space="preserve">  The inclusion of the website address is described as being “inadvertently included” and “fleeting.”  </w:t>
      </w:r>
    </w:p>
    <w:p w:rsidR="00490CFE" w:rsidRPr="00362E68" w:rsidRDefault="00490CFE" w:rsidP="00490CFE">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Pr>
          <w:color w:val="010101"/>
          <w:sz w:val="22"/>
          <w:szCs w:val="22"/>
        </w:rPr>
        <w:t xml:space="preserve"> a short duration (estimated at one-half of one </w:t>
      </w:r>
      <w:r w:rsidRPr="00362E68">
        <w:rPr>
          <w:color w:val="010101"/>
          <w:sz w:val="22"/>
          <w:szCs w:val="22"/>
        </w:rPr>
        <w:t xml:space="preserve">second), the display of a website address during program material, for any period of time, that does not comply with the four-prong </w:t>
      </w:r>
      <w:r w:rsidRPr="00362E68">
        <w:rPr>
          <w:sz w:val="22"/>
          <w:szCs w:val="22"/>
        </w:rPr>
        <w:t>test is a violation of Section 73.670(b)</w:t>
      </w:r>
      <w:r w:rsidRPr="00C22ABC">
        <w:rPr>
          <w:sz w:val="22"/>
          <w:szCs w:val="22"/>
        </w:rPr>
        <w:t xml:space="preserve">. </w:t>
      </w:r>
      <w:r w:rsidRPr="00362E68">
        <w:rPr>
          <w:sz w:val="22"/>
          <w:szCs w:val="22"/>
        </w:rPr>
        <w:t>No evidence has been provided demonstrating that the website complies with the four-prong test set forth in Section 73.670(b)</w:t>
      </w:r>
      <w:r>
        <w:rPr>
          <w:sz w:val="22"/>
          <w:szCs w:val="22"/>
        </w:rPr>
        <w:t>.</w:t>
      </w:r>
      <w:r w:rsidRPr="00362E68">
        <w:rPr>
          <w:sz w:val="22"/>
          <w:szCs w:val="22"/>
        </w:rPr>
        <w:t xml:space="preserve"> </w:t>
      </w:r>
      <w:r>
        <w:rPr>
          <w:sz w:val="22"/>
          <w:szCs w:val="22"/>
        </w:rPr>
        <w:t xml:space="preserve">As </w:t>
      </w:r>
      <w:r w:rsidRPr="00D831FF">
        <w:rPr>
          <w:sz w:val="22"/>
          <w:szCs w:val="22"/>
        </w:rPr>
        <w:t xml:space="preserve">recently as July 2, 2014, </w:t>
      </w:r>
      <w:r w:rsidRPr="00362E68">
        <w:rPr>
          <w:sz w:val="22"/>
          <w:szCs w:val="22"/>
        </w:rPr>
        <w:t xml:space="preserve">the top of the </w:t>
      </w:r>
      <w:r w:rsidRPr="00D831FF">
        <w:rPr>
          <w:sz w:val="22"/>
          <w:szCs w:val="22"/>
        </w:rPr>
        <w:t>homepage of the website contained</w:t>
      </w:r>
      <w:r w:rsidRPr="00362E68">
        <w:rPr>
          <w:sz w:val="22"/>
          <w:szCs w:val="22"/>
        </w:rPr>
        <w:t xml:space="preserve"> content of a commercial nature in the form of a link labeled “</w:t>
      </w:r>
      <w:r>
        <w:rPr>
          <w:sz w:val="22"/>
          <w:szCs w:val="22"/>
        </w:rPr>
        <w:t>shop,</w:t>
      </w:r>
      <w:r w:rsidRPr="00362E68">
        <w:rPr>
          <w:sz w:val="22"/>
          <w:szCs w:val="22"/>
        </w:rPr>
        <w:t>”</w:t>
      </w:r>
      <w:r>
        <w:rPr>
          <w:sz w:val="22"/>
          <w:szCs w:val="22"/>
        </w:rPr>
        <w:t xml:space="preserve"> in violation of the fourth prong of the test.</w:t>
      </w:r>
      <w:r w:rsidRPr="00D831FF">
        <w:rPr>
          <w:rStyle w:val="FootnoteReference"/>
          <w:sz w:val="22"/>
          <w:szCs w:val="22"/>
        </w:rPr>
        <w:footnoteReference w:id="8"/>
      </w:r>
      <w:r w:rsidRPr="00362E68">
        <w:rPr>
          <w:sz w:val="22"/>
          <w:szCs w:val="22"/>
        </w:rPr>
        <w:t xml:space="preserve"> </w:t>
      </w:r>
      <w:r>
        <w:rPr>
          <w:sz w:val="22"/>
          <w:szCs w:val="22"/>
        </w:rPr>
        <w:t xml:space="preserve"> </w:t>
      </w:r>
      <w:r w:rsidRPr="00362E68">
        <w:rPr>
          <w:sz w:val="22"/>
          <w:szCs w:val="22"/>
        </w:rPr>
        <w:t xml:space="preserve"> Furthermore, while the website address was only displayed during the closing credits, the Commission </w:t>
      </w:r>
      <w:r w:rsidRPr="00362E68">
        <w:rPr>
          <w:color w:val="010101"/>
          <w:sz w:val="22"/>
          <w:szCs w:val="22"/>
        </w:rPr>
        <w:t>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490CFE" w:rsidRDefault="00490CFE" w:rsidP="00490CFE">
      <w:pPr>
        <w:autoSpaceDE w:val="0"/>
        <w:autoSpaceDN w:val="0"/>
        <w:adjustRightInd w:val="0"/>
        <w:spacing w:after="240"/>
        <w:ind w:firstLine="720"/>
        <w:jc w:val="both"/>
        <w:rPr>
          <w:color w:val="000000"/>
          <w:sz w:val="22"/>
          <w:szCs w:val="22"/>
        </w:rPr>
      </w:pPr>
      <w:r w:rsidRPr="00362E68">
        <w:rPr>
          <w:sz w:val="22"/>
          <w:szCs w:val="22"/>
        </w:rPr>
        <w:t>We note that while the commercial matter may have been inserted into the program by the Station’s television network</w:t>
      </w:r>
      <w:r>
        <w:rPr>
          <w:sz w:val="22"/>
          <w:szCs w:val="22"/>
        </w:rPr>
        <w:t xml:space="preserve"> or program supplier</w:t>
      </w:r>
      <w:r w:rsidRPr="00362E68">
        <w:rPr>
          <w:sz w:val="22"/>
          <w:szCs w:val="22"/>
        </w:rPr>
        <w:t xml:space="preserve"> (</w:t>
      </w:r>
      <w:r w:rsidRPr="0061272B">
        <w:rPr>
          <w:i/>
          <w:sz w:val="22"/>
          <w:szCs w:val="22"/>
        </w:rPr>
        <w:t>e.g.</w:t>
      </w:r>
      <w:r>
        <w:rPr>
          <w:sz w:val="22"/>
          <w:szCs w:val="22"/>
        </w:rPr>
        <w:t xml:space="preserve">, NBC Network or </w:t>
      </w:r>
      <w:r w:rsidRPr="00362E68">
        <w:rPr>
          <w:sz w:val="22"/>
          <w:szCs w:val="22"/>
        </w:rPr>
        <w:t xml:space="preserve">Sprout), this does not relieve the Station of responsibility for the violations.  In this regard, the Commission has consistently held that </w:t>
      </w:r>
      <w:r w:rsidRPr="00362E68">
        <w:rPr>
          <w:sz w:val="22"/>
          <w:szCs w:val="22"/>
        </w:rPr>
        <w:lastRenderedPageBreak/>
        <w:t>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rsidR="00AE6363" w:rsidRPr="00E922FD" w:rsidRDefault="00AE6363" w:rsidP="00AE6363">
      <w:pPr>
        <w:autoSpaceDE w:val="0"/>
        <w:autoSpaceDN w:val="0"/>
        <w:adjustRightInd w:val="0"/>
        <w:spacing w:after="240"/>
        <w:ind w:firstLine="720"/>
        <w:jc w:val="both"/>
        <w:rPr>
          <w:sz w:val="22"/>
          <w:szCs w:val="22"/>
        </w:rPr>
      </w:pPr>
      <w:r w:rsidRPr="00E922FD">
        <w:rPr>
          <w:sz w:val="22"/>
          <w:szCs w:val="22"/>
        </w:rPr>
        <w:t xml:space="preserve">Furthermore, Licensee also admitted in Exhibit 22 to its renewal application that on Sunday, July 6, 2008, extra commercials ran during the 3 PM to 4 PM hour resulting in commercial time totaling 12.5 minutes, which constitutes a two-minute overage of the amount of commercial </w:t>
      </w:r>
      <w:r w:rsidR="00761E0F" w:rsidRPr="00E922FD">
        <w:rPr>
          <w:sz w:val="22"/>
          <w:szCs w:val="22"/>
        </w:rPr>
        <w:t>time</w:t>
      </w:r>
      <w:r w:rsidRPr="00E922FD">
        <w:rPr>
          <w:sz w:val="22"/>
          <w:szCs w:val="22"/>
        </w:rPr>
        <w:t xml:space="preserve"> permitted on weekends. Licensee states that this violation was due to an extended sports overrun and an inadvertent error by the board operator on duty at the station who misconstrued his supervisor’s instructions.  Licensee states that it immediately took precautions to ensure the error would not happen again.</w:t>
      </w:r>
      <w:r w:rsidR="007F20C9" w:rsidRPr="00E922FD">
        <w:rPr>
          <w:sz w:val="22"/>
          <w:szCs w:val="22"/>
        </w:rPr>
        <w:t xml:space="preserve"> Despite </w:t>
      </w:r>
      <w:r w:rsidR="005F33CE" w:rsidRPr="00E922FD">
        <w:rPr>
          <w:sz w:val="22"/>
          <w:szCs w:val="22"/>
        </w:rPr>
        <w:t>the fact that this</w:t>
      </w:r>
      <w:r w:rsidR="007F20C9" w:rsidRPr="00E922FD">
        <w:rPr>
          <w:sz w:val="22"/>
          <w:szCs w:val="22"/>
        </w:rPr>
        <w:t xml:space="preserve"> </w:t>
      </w:r>
      <w:r w:rsidR="005F33CE" w:rsidRPr="00E922FD">
        <w:rPr>
          <w:sz w:val="22"/>
          <w:szCs w:val="22"/>
        </w:rPr>
        <w:t xml:space="preserve">violation </w:t>
      </w:r>
      <w:r w:rsidR="00761E0F" w:rsidRPr="00E922FD">
        <w:rPr>
          <w:sz w:val="22"/>
          <w:szCs w:val="22"/>
        </w:rPr>
        <w:t>was inadvertent</w:t>
      </w:r>
      <w:r w:rsidR="005F33CE" w:rsidRPr="00E922FD">
        <w:rPr>
          <w:sz w:val="22"/>
          <w:szCs w:val="22"/>
        </w:rPr>
        <w:t xml:space="preserve"> </w:t>
      </w:r>
      <w:r w:rsidR="007F20C9" w:rsidRPr="00E922FD">
        <w:rPr>
          <w:sz w:val="22"/>
          <w:szCs w:val="22"/>
        </w:rPr>
        <w:t xml:space="preserve">and </w:t>
      </w:r>
      <w:r w:rsidR="003A2006" w:rsidRPr="00E922FD">
        <w:rPr>
          <w:sz w:val="22"/>
          <w:szCs w:val="22"/>
        </w:rPr>
        <w:t>preventative</w:t>
      </w:r>
      <w:r w:rsidR="007F20C9" w:rsidRPr="00E922FD">
        <w:rPr>
          <w:sz w:val="22"/>
          <w:szCs w:val="22"/>
        </w:rPr>
        <w:t xml:space="preserve"> steps </w:t>
      </w:r>
      <w:r w:rsidR="005F33CE" w:rsidRPr="00E922FD">
        <w:rPr>
          <w:sz w:val="22"/>
          <w:szCs w:val="22"/>
        </w:rPr>
        <w:t xml:space="preserve">were </w:t>
      </w:r>
      <w:r w:rsidR="007F20C9" w:rsidRPr="00E922FD">
        <w:rPr>
          <w:sz w:val="22"/>
          <w:szCs w:val="22"/>
        </w:rPr>
        <w:t>taken</w:t>
      </w:r>
      <w:r w:rsidR="003A2006" w:rsidRPr="00E922FD">
        <w:rPr>
          <w:sz w:val="22"/>
          <w:szCs w:val="22"/>
        </w:rPr>
        <w:t xml:space="preserve"> by the Licensee</w:t>
      </w:r>
      <w:r w:rsidR="007F20C9" w:rsidRPr="00E922FD">
        <w:rPr>
          <w:sz w:val="22"/>
          <w:szCs w:val="22"/>
        </w:rPr>
        <w:t xml:space="preserve">, this instance still amounts to a violation of Section 73.670(a) of the Commission’s rules.  </w:t>
      </w:r>
    </w:p>
    <w:p w:rsidR="00490CFE" w:rsidRPr="00362E68" w:rsidRDefault="00490CFE" w:rsidP="00490CFE">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Pr>
          <w:color w:val="000000"/>
          <w:sz w:val="22"/>
          <w:szCs w:val="22"/>
        </w:rPr>
        <w:t>,</w:t>
      </w:r>
      <w:r w:rsidRPr="00A82B70">
        <w:rPr>
          <w:color w:val="000000"/>
          <w:sz w:val="22"/>
          <w:szCs w:val="22"/>
        </w:rPr>
        <w:t xml:space="preserve"> </w:t>
      </w:r>
      <w:r>
        <w:rPr>
          <w:color w:val="000000"/>
          <w:sz w:val="22"/>
          <w:szCs w:val="22"/>
        </w:rPr>
        <w:t>however,</w:t>
      </w:r>
      <w:r w:rsidRPr="005D445A">
        <w:rPr>
          <w:color w:val="000000"/>
          <w:sz w:val="22"/>
          <w:szCs w:val="22"/>
        </w:rPr>
        <w:t xml:space="preserve"> the violation</w:t>
      </w:r>
      <w:r w:rsidR="00F62FB7">
        <w:rPr>
          <w:color w:val="000000"/>
          <w:sz w:val="22"/>
          <w:szCs w:val="22"/>
        </w:rPr>
        <w:t>s</w:t>
      </w:r>
      <w:r w:rsidRPr="005D445A">
        <w:rPr>
          <w:color w:val="000000"/>
          <w:sz w:val="22"/>
          <w:szCs w:val="22"/>
        </w:rPr>
        <w:t xml:space="preserve"> described in </w:t>
      </w:r>
      <w:r>
        <w:rPr>
          <w:color w:val="000000"/>
          <w:sz w:val="22"/>
          <w:szCs w:val="22"/>
        </w:rPr>
        <w:t>the Licensee’s</w:t>
      </w:r>
      <w:r w:rsidRPr="005D445A">
        <w:rPr>
          <w:color w:val="000000"/>
          <w:sz w:val="22"/>
          <w:szCs w:val="22"/>
        </w:rPr>
        <w:t xml:space="preserve"> lic</w:t>
      </w:r>
      <w:r w:rsidR="00F62FB7">
        <w:rPr>
          <w:color w:val="000000"/>
          <w:sz w:val="22"/>
          <w:szCs w:val="22"/>
        </w:rPr>
        <w:t>ense renewal application appear</w:t>
      </w:r>
      <w:r w:rsidRPr="005D445A">
        <w:rPr>
          <w:color w:val="000000"/>
          <w:sz w:val="22"/>
          <w:szCs w:val="22"/>
        </w:rPr>
        <w:t xml:space="preserve">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w:t>
      </w:r>
      <w:r w:rsidR="00F62FB7">
        <w:rPr>
          <w:color w:val="000000"/>
          <w:sz w:val="22"/>
          <w:szCs w:val="22"/>
        </w:rPr>
        <w:t>s</w:t>
      </w:r>
      <w:r w:rsidRPr="00362E68">
        <w:rPr>
          <w:color w:val="000000"/>
          <w:sz w:val="22"/>
          <w:szCs w:val="22"/>
        </w:rPr>
        <w:t xml:space="preserve"> of Section</w:t>
      </w:r>
      <w:r w:rsidR="00C70932">
        <w:rPr>
          <w:color w:val="000000"/>
          <w:sz w:val="22"/>
          <w:szCs w:val="22"/>
        </w:rPr>
        <w:t>s</w:t>
      </w:r>
      <w:r w:rsidRPr="00362E68">
        <w:rPr>
          <w:color w:val="000000"/>
          <w:sz w:val="22"/>
          <w:szCs w:val="22"/>
        </w:rPr>
        <w:t xml:space="preserve"> 73.670</w:t>
      </w:r>
      <w:r w:rsidR="003A2006">
        <w:rPr>
          <w:color w:val="000000"/>
          <w:sz w:val="22"/>
          <w:szCs w:val="22"/>
        </w:rPr>
        <w:t xml:space="preserve">(a) and </w:t>
      </w:r>
      <w:r w:rsidRPr="00362E68">
        <w:rPr>
          <w:color w:val="000000"/>
          <w:sz w:val="22"/>
          <w:szCs w:val="22"/>
        </w:rPr>
        <w:t>(b) of the Commission’s rules.  We remind the Licensee that the Commission expects all commercial television licensees to comply with the limits o</w:t>
      </w:r>
      <w:bookmarkStart w:id="8" w:name="SR;1416"/>
      <w:bookmarkEnd w:id="8"/>
      <w:r w:rsidR="00FF4D09">
        <w:rPr>
          <w:color w:val="000000"/>
          <w:sz w:val="22"/>
          <w:szCs w:val="22"/>
        </w:rPr>
        <w:t>n commercial matter and the display of website addresses</w:t>
      </w:r>
      <w:r w:rsidRPr="00362E68">
        <w:rPr>
          <w:color w:val="000000"/>
          <w:sz w:val="22"/>
          <w:szCs w:val="22"/>
        </w:rPr>
        <w:t xml:space="preserve">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490CFE" w:rsidRPr="00362E68" w:rsidRDefault="00490CFE" w:rsidP="00490CFE">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490CFE" w:rsidRPr="00362E68" w:rsidRDefault="00490CFE" w:rsidP="00490CFE">
      <w:pPr>
        <w:ind w:firstLine="720"/>
        <w:jc w:val="both"/>
        <w:rPr>
          <w:color w:val="000000"/>
          <w:sz w:val="22"/>
          <w:szCs w:val="22"/>
        </w:rPr>
      </w:pPr>
    </w:p>
    <w:p w:rsidR="00490CFE" w:rsidRPr="00362E68" w:rsidRDefault="00490CFE" w:rsidP="00490CFE">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490CFE" w:rsidRPr="00362E68" w:rsidRDefault="00490CFE" w:rsidP="00490CFE">
      <w:pPr>
        <w:rPr>
          <w:sz w:val="22"/>
          <w:szCs w:val="22"/>
        </w:rPr>
      </w:pPr>
    </w:p>
    <w:p w:rsidR="00490CFE" w:rsidRPr="00362E68" w:rsidRDefault="00490CFE" w:rsidP="00490CFE">
      <w:pPr>
        <w:rPr>
          <w:sz w:val="22"/>
          <w:szCs w:val="22"/>
        </w:rPr>
      </w:pPr>
    </w:p>
    <w:p w:rsidR="00490CFE" w:rsidRPr="00362E68" w:rsidRDefault="00490CFE" w:rsidP="00490CFE">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490CFE" w:rsidRPr="00362E68" w:rsidRDefault="00490CFE" w:rsidP="00490CFE">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490CFE" w:rsidRPr="00362E68" w:rsidRDefault="00490CFE" w:rsidP="00490CFE">
      <w:pPr>
        <w:rPr>
          <w:sz w:val="22"/>
          <w:szCs w:val="22"/>
        </w:rPr>
      </w:pPr>
    </w:p>
    <w:p w:rsidR="00490CFE" w:rsidRPr="00362E68" w:rsidRDefault="00490CFE" w:rsidP="00490CFE">
      <w:pPr>
        <w:rPr>
          <w:sz w:val="22"/>
          <w:szCs w:val="22"/>
        </w:rPr>
      </w:pPr>
      <w:r w:rsidRPr="00362E68">
        <w:rPr>
          <w:sz w:val="22"/>
          <w:szCs w:val="22"/>
        </w:rPr>
        <w:t>cc:</w:t>
      </w:r>
    </w:p>
    <w:p w:rsidR="00490CFE" w:rsidRDefault="00BF30B6" w:rsidP="00490CFE">
      <w:pPr>
        <w:rPr>
          <w:sz w:val="22"/>
          <w:szCs w:val="22"/>
        </w:rPr>
      </w:pPr>
      <w:r>
        <w:rPr>
          <w:sz w:val="22"/>
          <w:szCs w:val="22"/>
        </w:rPr>
        <w:t>Marnie K. Sarver, Esq.</w:t>
      </w:r>
    </w:p>
    <w:p w:rsidR="00BF30B6" w:rsidRDefault="00BF30B6" w:rsidP="00490CFE">
      <w:pPr>
        <w:rPr>
          <w:sz w:val="22"/>
          <w:szCs w:val="22"/>
        </w:rPr>
      </w:pPr>
      <w:r>
        <w:rPr>
          <w:sz w:val="22"/>
          <w:szCs w:val="22"/>
        </w:rPr>
        <w:t>Wiley Rein LLP</w:t>
      </w:r>
    </w:p>
    <w:p w:rsidR="00BF30B6" w:rsidRDefault="00BF30B6" w:rsidP="00490CFE">
      <w:pPr>
        <w:rPr>
          <w:sz w:val="22"/>
          <w:szCs w:val="22"/>
        </w:rPr>
      </w:pPr>
      <w:r>
        <w:rPr>
          <w:sz w:val="22"/>
          <w:szCs w:val="22"/>
        </w:rPr>
        <w:t>1776 K Street, NW</w:t>
      </w:r>
    </w:p>
    <w:p w:rsidR="00BF30B6" w:rsidRPr="00362E68" w:rsidRDefault="00BF30B6" w:rsidP="00490CFE">
      <w:pPr>
        <w:rPr>
          <w:sz w:val="22"/>
          <w:szCs w:val="22"/>
        </w:rPr>
      </w:pPr>
      <w:r>
        <w:rPr>
          <w:sz w:val="22"/>
          <w:szCs w:val="22"/>
        </w:rPr>
        <w:t>Washington, DC 20006</w:t>
      </w: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rsidP="00490CFE">
      <w:pPr>
        <w:rPr>
          <w:sz w:val="22"/>
          <w:szCs w:val="22"/>
        </w:rPr>
      </w:pPr>
    </w:p>
    <w:p w:rsidR="00490CFE" w:rsidRPr="00204CE3" w:rsidRDefault="00490CFE">
      <w:pPr>
        <w:rPr>
          <w:sz w:val="22"/>
          <w:szCs w:val="22"/>
        </w:rPr>
      </w:pPr>
    </w:p>
    <w:sectPr w:rsidR="00490CFE"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32" w:rsidRDefault="00420332">
      <w:r>
        <w:separator/>
      </w:r>
    </w:p>
  </w:endnote>
  <w:endnote w:type="continuationSeparator" w:id="0">
    <w:p w:rsidR="00420332" w:rsidRDefault="0042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8" w:rsidRDefault="008871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8" w:rsidRDefault="008871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8" w:rsidRDefault="00887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32" w:rsidRDefault="00420332">
      <w:r>
        <w:separator/>
      </w:r>
    </w:p>
  </w:footnote>
  <w:footnote w:type="continuationSeparator" w:id="0">
    <w:p w:rsidR="00420332" w:rsidRDefault="00420332">
      <w:r>
        <w:continuationSeparator/>
      </w:r>
    </w:p>
  </w:footnote>
  <w:footnote w:id="1">
    <w:p w:rsidR="00490CFE" w:rsidRDefault="00490CFE" w:rsidP="00490CFE">
      <w:pPr>
        <w:pStyle w:val="FootnoteText"/>
        <w:spacing w:after="120"/>
      </w:pPr>
      <w:r>
        <w:rPr>
          <w:rStyle w:val="FootnoteReference"/>
        </w:rPr>
        <w:footnoteRef/>
      </w:r>
      <w:r>
        <w:t xml:space="preserve"> File No. </w:t>
      </w:r>
      <w:r w:rsidR="00162C34">
        <w:t xml:space="preserve">BRCDT - 20140930AJO  </w:t>
      </w:r>
      <w:r>
        <w:t>(“</w:t>
      </w:r>
      <w:r w:rsidR="009C72B9">
        <w:t>K</w:t>
      </w:r>
      <w:r w:rsidR="00162C34">
        <w:t xml:space="preserve">OBI </w:t>
      </w:r>
      <w:r>
        <w:t xml:space="preserve">Renewal”). </w:t>
      </w:r>
    </w:p>
  </w:footnote>
  <w:footnote w:id="2">
    <w:p w:rsidR="00490CFE" w:rsidRPr="00205327" w:rsidRDefault="00490CFE"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490CFE" w:rsidRPr="00205327" w:rsidRDefault="00490CFE" w:rsidP="00490CFE">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490CFE" w:rsidRPr="00205327" w:rsidRDefault="00490CFE" w:rsidP="00490CFE">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xml:space="preserve">”); </w:t>
      </w:r>
      <w:r w:rsidRPr="00023E9E">
        <w:rPr>
          <w:i/>
        </w:rPr>
        <w:t>see also</w:t>
      </w:r>
      <w:r>
        <w:t xml:space="preserve"> 47 C.F.R. § 73.670(b), (c), and (d).</w:t>
      </w:r>
      <w:r w:rsidRPr="00205327">
        <w:t xml:space="preserve"> </w:t>
      </w:r>
    </w:p>
  </w:footnote>
  <w:footnote w:id="5">
    <w:p w:rsidR="00490CFE" w:rsidRPr="00205327" w:rsidRDefault="00490CFE" w:rsidP="00490CFE">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490CFE" w:rsidRPr="00807875" w:rsidRDefault="00490CFE" w:rsidP="00490CFE">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went on to clarify that “broadcasters are free to display the addresses of website</w:t>
      </w:r>
      <w:r w:rsidR="007F1FDA">
        <w:t>s</w:t>
      </w:r>
      <w:r w:rsidRPr="00807875">
        <w:t xml:space="preserv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AE6363" w:rsidRDefault="00AE6363" w:rsidP="00AE6363">
      <w:pPr>
        <w:pStyle w:val="FootnoteText"/>
        <w:spacing w:after="120"/>
      </w:pPr>
      <w:r>
        <w:rPr>
          <w:rStyle w:val="FootnoteReference"/>
        </w:rPr>
        <w:footnoteRef/>
      </w:r>
      <w:r>
        <w:t xml:space="preserve"> KOBI Renewal, Exhibit 22.</w:t>
      </w:r>
    </w:p>
  </w:footnote>
  <w:footnote w:id="8">
    <w:p w:rsidR="00490CFE" w:rsidRDefault="00490CFE" w:rsidP="00490CFE">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Admonishment Letter, 29 FCC Rcd 9692 (Vid. Div</w:t>
      </w:r>
      <w:r w:rsidR="00002064">
        <w:t>. 2014).  When viewed on May 6</w:t>
      </w:r>
      <w:r>
        <w:t>,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 Tube channel.  </w:t>
      </w:r>
    </w:p>
  </w:footnote>
  <w:footnote w:id="9">
    <w:p w:rsidR="00490CFE" w:rsidRPr="00205327" w:rsidRDefault="00490CFE" w:rsidP="00490CFE">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490CFE" w:rsidRPr="00205327" w:rsidRDefault="00490CFE" w:rsidP="00490CFE">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8" w:rsidRDefault="008871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C8" w:rsidRDefault="00887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295B5E">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4164409"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FE"/>
    <w:rsid w:val="00002064"/>
    <w:rsid w:val="000A4CA0"/>
    <w:rsid w:val="00162C34"/>
    <w:rsid w:val="00204CE3"/>
    <w:rsid w:val="00295B5E"/>
    <w:rsid w:val="002B54DB"/>
    <w:rsid w:val="003A2006"/>
    <w:rsid w:val="00420332"/>
    <w:rsid w:val="00490CFE"/>
    <w:rsid w:val="004D3B53"/>
    <w:rsid w:val="005D2169"/>
    <w:rsid w:val="005F33CE"/>
    <w:rsid w:val="0060197E"/>
    <w:rsid w:val="00761E0F"/>
    <w:rsid w:val="007F1FDA"/>
    <w:rsid w:val="007F20C9"/>
    <w:rsid w:val="008871C8"/>
    <w:rsid w:val="00973450"/>
    <w:rsid w:val="00984AD6"/>
    <w:rsid w:val="009C72B9"/>
    <w:rsid w:val="009D15F9"/>
    <w:rsid w:val="00A4762A"/>
    <w:rsid w:val="00A85DEF"/>
    <w:rsid w:val="00AE6363"/>
    <w:rsid w:val="00B016AC"/>
    <w:rsid w:val="00BF30B6"/>
    <w:rsid w:val="00C4069E"/>
    <w:rsid w:val="00C70932"/>
    <w:rsid w:val="00DA78E6"/>
    <w:rsid w:val="00E922FD"/>
    <w:rsid w:val="00F62FB7"/>
    <w:rsid w:val="00F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styleId="BalloonText">
    <w:name w:val="Balloon Text"/>
    <w:basedOn w:val="Normal"/>
    <w:link w:val="BalloonTextChar"/>
    <w:uiPriority w:val="99"/>
    <w:semiHidden/>
    <w:unhideWhenUsed/>
    <w:rsid w:val="00A85DEF"/>
    <w:rPr>
      <w:rFonts w:ascii="Tahoma" w:hAnsi="Tahoma" w:cs="Tahoma"/>
      <w:sz w:val="16"/>
      <w:szCs w:val="16"/>
    </w:rPr>
  </w:style>
  <w:style w:type="character" w:customStyle="1" w:styleId="BalloonTextChar">
    <w:name w:val="Balloon Text Char"/>
    <w:basedOn w:val="DefaultParagraphFont"/>
    <w:link w:val="BalloonText"/>
    <w:uiPriority w:val="99"/>
    <w:semiHidden/>
    <w:rsid w:val="00A85D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490CFE"/>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490CFE"/>
  </w:style>
  <w:style w:type="character" w:styleId="FootnoteReference">
    <w:name w:val="footnote reference"/>
    <w:semiHidden/>
    <w:rsid w:val="00490CFE"/>
    <w:rPr>
      <w:vertAlign w:val="superscript"/>
    </w:rPr>
  </w:style>
  <w:style w:type="character" w:styleId="Hyperlink">
    <w:name w:val="Hyperlink"/>
    <w:rsid w:val="00490CFE"/>
    <w:rPr>
      <w:color w:val="0000FF"/>
      <w:u w:val="single"/>
    </w:rPr>
  </w:style>
  <w:style w:type="character" w:styleId="FollowedHyperlink">
    <w:name w:val="FollowedHyperlink"/>
    <w:basedOn w:val="DefaultParagraphFont"/>
    <w:uiPriority w:val="99"/>
    <w:semiHidden/>
    <w:unhideWhenUsed/>
    <w:rsid w:val="00490CFE"/>
    <w:rPr>
      <w:color w:val="800080" w:themeColor="followedHyperlink"/>
      <w:u w:val="single"/>
    </w:rPr>
  </w:style>
  <w:style w:type="paragraph" w:styleId="BalloonText">
    <w:name w:val="Balloon Text"/>
    <w:basedOn w:val="Normal"/>
    <w:link w:val="BalloonTextChar"/>
    <w:uiPriority w:val="99"/>
    <w:semiHidden/>
    <w:unhideWhenUsed/>
    <w:rsid w:val="00A85DEF"/>
    <w:rPr>
      <w:rFonts w:ascii="Tahoma" w:hAnsi="Tahoma" w:cs="Tahoma"/>
      <w:sz w:val="16"/>
      <w:szCs w:val="16"/>
    </w:rPr>
  </w:style>
  <w:style w:type="character" w:customStyle="1" w:styleId="BalloonTextChar">
    <w:name w:val="Balloon Text Char"/>
    <w:basedOn w:val="DefaultParagraphFont"/>
    <w:link w:val="BalloonText"/>
    <w:uiPriority w:val="99"/>
    <w:semiHidden/>
    <w:rsid w:val="00A85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959</Words>
  <Characters>5251</Characters>
  <Application>Microsoft Office Word</Application>
  <DocSecurity>0</DocSecurity>
  <Lines>97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2015-05-26T15:32:00Z</cp:lastPrinted>
  <dcterms:created xsi:type="dcterms:W3CDTF">2015-05-26T20:54:00Z</dcterms:created>
  <dcterms:modified xsi:type="dcterms:W3CDTF">2015-05-26T20:54:00Z</dcterms:modified>
  <cp:category> </cp:category>
  <cp:contentStatus> </cp:contentStatus>
</cp:coreProperties>
</file>