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14" w:rsidRPr="00263241" w:rsidRDefault="00A10E14">
      <w:pPr>
        <w:jc w:val="center"/>
        <w:rPr>
          <w:b/>
        </w:rPr>
      </w:pPr>
      <w:bookmarkStart w:id="0" w:name="_GoBack"/>
      <w:bookmarkEnd w:id="0"/>
      <w:r w:rsidRPr="00263241">
        <w:rPr>
          <w:b/>
        </w:rPr>
        <w:t>Before the</w:t>
      </w:r>
    </w:p>
    <w:p w:rsidR="00A10E14" w:rsidRPr="00263241" w:rsidRDefault="00A10E14">
      <w:pPr>
        <w:jc w:val="center"/>
        <w:rPr>
          <w:b/>
        </w:rPr>
      </w:pPr>
      <w:r w:rsidRPr="00263241">
        <w:rPr>
          <w:b/>
        </w:rPr>
        <w:t>Federal Communications Commission</w:t>
      </w:r>
    </w:p>
    <w:p w:rsidR="00A10E14" w:rsidRPr="00263241" w:rsidRDefault="00A10E14">
      <w:pPr>
        <w:jc w:val="center"/>
        <w:rPr>
          <w:b/>
        </w:rPr>
      </w:pPr>
      <w:r w:rsidRPr="00263241">
        <w:rPr>
          <w:b/>
        </w:rPr>
        <w:t>Washington, D.C. 20554</w:t>
      </w:r>
    </w:p>
    <w:p w:rsidR="00A10E14" w:rsidRPr="00263241" w:rsidRDefault="00A10E14"/>
    <w:p w:rsidR="00A10E14" w:rsidRPr="00263241" w:rsidRDefault="00A10E14"/>
    <w:tbl>
      <w:tblPr>
        <w:tblW w:w="0" w:type="auto"/>
        <w:tblLayout w:type="fixed"/>
        <w:tblLook w:val="0000" w:firstRow="0" w:lastRow="0" w:firstColumn="0" w:lastColumn="0" w:noHBand="0" w:noVBand="0"/>
      </w:tblPr>
      <w:tblGrid>
        <w:gridCol w:w="4698"/>
        <w:gridCol w:w="720"/>
        <w:gridCol w:w="4230"/>
      </w:tblGrid>
      <w:tr w:rsidR="00A10E14" w:rsidRPr="00263241">
        <w:tc>
          <w:tcPr>
            <w:tcW w:w="4698" w:type="dxa"/>
          </w:tcPr>
          <w:p w:rsidR="00A10E14" w:rsidRPr="00263241" w:rsidRDefault="00A10E14">
            <w:pPr>
              <w:ind w:right="-18"/>
            </w:pPr>
            <w:r w:rsidRPr="00263241">
              <w:t xml:space="preserve">In the </w:t>
            </w:r>
            <w:r w:rsidR="001A1258">
              <w:t>M</w:t>
            </w:r>
            <w:r w:rsidRPr="00263241">
              <w:t>atter of</w:t>
            </w:r>
          </w:p>
          <w:p w:rsidR="00A10E14" w:rsidRPr="00263241" w:rsidRDefault="00A10E14">
            <w:pPr>
              <w:ind w:right="-18"/>
            </w:pPr>
          </w:p>
          <w:p w:rsidR="005E5A59" w:rsidRPr="00263241" w:rsidRDefault="006D4DD9" w:rsidP="006D4DD9">
            <w:pPr>
              <w:ind w:right="-18"/>
            </w:pPr>
            <w:r>
              <w:t xml:space="preserve">United </w:t>
            </w:r>
            <w:r w:rsidR="00416D5A">
              <w:t>S</w:t>
            </w:r>
            <w:r>
              <w:t>tates</w:t>
            </w:r>
            <w:r w:rsidR="00416D5A">
              <w:t xml:space="preserve"> C</w:t>
            </w:r>
            <w:r>
              <w:t>ellular</w:t>
            </w:r>
            <w:r w:rsidR="00416D5A">
              <w:t xml:space="preserve"> Corporation</w:t>
            </w:r>
            <w:r w:rsidR="00165137" w:rsidRPr="00263241">
              <w:t xml:space="preserve"> </w:t>
            </w:r>
            <w:r w:rsidR="00416D5A">
              <w:t>Request</w:t>
            </w:r>
            <w:r w:rsidR="00165137" w:rsidRPr="00263241">
              <w:t xml:space="preserve"> </w:t>
            </w:r>
            <w:r w:rsidR="00E2284C" w:rsidRPr="00263241">
              <w:t>for Waiver</w:t>
            </w:r>
            <w:r w:rsidR="00B41AD7" w:rsidRPr="00263241">
              <w:t xml:space="preserve"> of</w:t>
            </w:r>
            <w:r w:rsidR="005E5A59" w:rsidRPr="00263241">
              <w:t xml:space="preserve"> </w:t>
            </w:r>
            <w:r w:rsidR="00E2284C" w:rsidRPr="00263241">
              <w:t xml:space="preserve">47 C.F.R. § </w:t>
            </w:r>
            <w:r w:rsidR="005E5A59" w:rsidRPr="00263241">
              <w:t>17.47(b)</w:t>
            </w:r>
            <w:r w:rsidR="00C94C77" w:rsidRPr="00263241">
              <w:t xml:space="preserve"> </w:t>
            </w:r>
          </w:p>
        </w:tc>
        <w:tc>
          <w:tcPr>
            <w:tcW w:w="720" w:type="dxa"/>
          </w:tcPr>
          <w:p w:rsidR="00A10E14" w:rsidRPr="00263241" w:rsidRDefault="00A10E14">
            <w:pPr>
              <w:rPr>
                <w:b/>
              </w:rPr>
            </w:pPr>
            <w:r w:rsidRPr="00263241">
              <w:rPr>
                <w:b/>
              </w:rPr>
              <w:t>)</w:t>
            </w:r>
          </w:p>
          <w:p w:rsidR="00A10E14" w:rsidRPr="00263241" w:rsidRDefault="00A10E14">
            <w:pPr>
              <w:rPr>
                <w:b/>
              </w:rPr>
            </w:pPr>
            <w:r w:rsidRPr="00263241">
              <w:rPr>
                <w:b/>
              </w:rPr>
              <w:t>)</w:t>
            </w:r>
          </w:p>
          <w:p w:rsidR="00A10E14" w:rsidRPr="00263241" w:rsidRDefault="00A10E14">
            <w:pPr>
              <w:rPr>
                <w:b/>
              </w:rPr>
            </w:pPr>
            <w:r w:rsidRPr="00263241">
              <w:rPr>
                <w:b/>
              </w:rPr>
              <w:t>)</w:t>
            </w:r>
          </w:p>
          <w:p w:rsidR="00A10E14" w:rsidRPr="00263241" w:rsidRDefault="00A10E14">
            <w:pPr>
              <w:rPr>
                <w:b/>
              </w:rPr>
            </w:pPr>
            <w:r w:rsidRPr="00263241">
              <w:rPr>
                <w:b/>
              </w:rPr>
              <w:t>)</w:t>
            </w:r>
          </w:p>
          <w:p w:rsidR="00FB3FFD" w:rsidRPr="00263241" w:rsidRDefault="00FB3FFD">
            <w:pPr>
              <w:rPr>
                <w:b/>
              </w:rPr>
            </w:pPr>
            <w:r w:rsidRPr="00263241">
              <w:rPr>
                <w:b/>
              </w:rPr>
              <w:t>)</w:t>
            </w:r>
          </w:p>
          <w:p w:rsidR="00FB3FFD" w:rsidRPr="00263241" w:rsidRDefault="00FB3FFD">
            <w:pPr>
              <w:rPr>
                <w:b/>
              </w:rPr>
            </w:pPr>
            <w:r w:rsidRPr="00263241">
              <w:rPr>
                <w:b/>
              </w:rPr>
              <w:t>)</w:t>
            </w:r>
          </w:p>
        </w:tc>
        <w:tc>
          <w:tcPr>
            <w:tcW w:w="4230" w:type="dxa"/>
          </w:tcPr>
          <w:p w:rsidR="00A10E14" w:rsidRPr="00263241" w:rsidRDefault="00A10E14"/>
          <w:p w:rsidR="00A10E14" w:rsidRPr="00263241" w:rsidRDefault="00A10E14"/>
          <w:p w:rsidR="00A10E14" w:rsidRPr="00263241" w:rsidRDefault="00A10E14"/>
          <w:p w:rsidR="00A10E14" w:rsidRPr="00263241" w:rsidRDefault="00A10E14"/>
        </w:tc>
      </w:tr>
    </w:tbl>
    <w:p w:rsidR="00A10E14" w:rsidRPr="00263241" w:rsidRDefault="00A10E14"/>
    <w:p w:rsidR="00A10E14" w:rsidRPr="00263241" w:rsidRDefault="005E5A59">
      <w:pPr>
        <w:spacing w:before="120"/>
        <w:jc w:val="center"/>
        <w:rPr>
          <w:b/>
          <w:szCs w:val="22"/>
        </w:rPr>
      </w:pPr>
      <w:r w:rsidRPr="00263241">
        <w:rPr>
          <w:b/>
          <w:spacing w:val="-2"/>
          <w:szCs w:val="22"/>
        </w:rPr>
        <w:t>MEMORANDUM OPINION AND ORDER</w:t>
      </w:r>
    </w:p>
    <w:p w:rsidR="005B7FDA" w:rsidRPr="00263241" w:rsidRDefault="005B7FDA" w:rsidP="005B7FDA">
      <w:pPr>
        <w:tabs>
          <w:tab w:val="left" w:pos="5760"/>
        </w:tabs>
        <w:jc w:val="both"/>
        <w:rPr>
          <w:szCs w:val="22"/>
        </w:rPr>
      </w:pPr>
    </w:p>
    <w:p w:rsidR="00A10E14" w:rsidRPr="00263241" w:rsidRDefault="00A10E14" w:rsidP="005B7FDA">
      <w:pPr>
        <w:tabs>
          <w:tab w:val="left" w:pos="5760"/>
        </w:tabs>
        <w:jc w:val="both"/>
        <w:rPr>
          <w:b/>
          <w:szCs w:val="22"/>
        </w:rPr>
      </w:pPr>
      <w:r w:rsidRPr="00263241">
        <w:rPr>
          <w:b/>
          <w:szCs w:val="22"/>
        </w:rPr>
        <w:t xml:space="preserve">Adopted:  </w:t>
      </w:r>
      <w:r w:rsidR="008455B2">
        <w:rPr>
          <w:b/>
          <w:szCs w:val="22"/>
        </w:rPr>
        <w:t>May 27</w:t>
      </w:r>
      <w:r w:rsidR="00B45B5A">
        <w:rPr>
          <w:b/>
          <w:szCs w:val="22"/>
        </w:rPr>
        <w:t>, 2015</w:t>
      </w:r>
      <w:r w:rsidRPr="00263241">
        <w:rPr>
          <w:b/>
          <w:szCs w:val="22"/>
        </w:rPr>
        <w:tab/>
      </w:r>
      <w:r w:rsidR="00B9110E" w:rsidRPr="00263241">
        <w:rPr>
          <w:b/>
          <w:szCs w:val="22"/>
        </w:rPr>
        <w:t xml:space="preserve">         </w:t>
      </w:r>
      <w:r w:rsidR="00D12230" w:rsidRPr="00263241">
        <w:rPr>
          <w:b/>
          <w:szCs w:val="22"/>
        </w:rPr>
        <w:t xml:space="preserve">   Released: </w:t>
      </w:r>
      <w:r w:rsidR="008455B2">
        <w:rPr>
          <w:b/>
          <w:szCs w:val="22"/>
        </w:rPr>
        <w:t>May 27</w:t>
      </w:r>
      <w:r w:rsidR="00B45B5A">
        <w:rPr>
          <w:b/>
          <w:szCs w:val="22"/>
        </w:rPr>
        <w:t>, 2015</w:t>
      </w:r>
    </w:p>
    <w:p w:rsidR="00A10E14" w:rsidRPr="00263241" w:rsidRDefault="00A10E14">
      <w:pPr>
        <w:tabs>
          <w:tab w:val="left" w:pos="5760"/>
        </w:tabs>
        <w:rPr>
          <w:b/>
          <w:szCs w:val="22"/>
        </w:rPr>
      </w:pPr>
    </w:p>
    <w:p w:rsidR="0035238E" w:rsidRDefault="00A10E14">
      <w:pPr>
        <w:tabs>
          <w:tab w:val="left" w:pos="5760"/>
        </w:tabs>
        <w:rPr>
          <w:spacing w:val="-2"/>
          <w:szCs w:val="22"/>
        </w:rPr>
      </w:pPr>
      <w:r w:rsidRPr="00263241">
        <w:rPr>
          <w:szCs w:val="22"/>
        </w:rPr>
        <w:t>By the</w:t>
      </w:r>
      <w:r w:rsidR="00BD42F1" w:rsidRPr="00263241">
        <w:rPr>
          <w:spacing w:val="-2"/>
          <w:szCs w:val="22"/>
        </w:rPr>
        <w:t xml:space="preserve"> </w:t>
      </w:r>
      <w:r w:rsidR="005163BD" w:rsidRPr="00263241">
        <w:rPr>
          <w:spacing w:val="-2"/>
          <w:szCs w:val="22"/>
        </w:rPr>
        <w:t xml:space="preserve">Associate </w:t>
      </w:r>
      <w:r w:rsidR="00BD42F1" w:rsidRPr="00263241">
        <w:rPr>
          <w:spacing w:val="-2"/>
          <w:szCs w:val="22"/>
        </w:rPr>
        <w:t xml:space="preserve">Chief, </w:t>
      </w:r>
      <w:r w:rsidR="0035238E">
        <w:rPr>
          <w:spacing w:val="-2"/>
          <w:szCs w:val="22"/>
        </w:rPr>
        <w:t xml:space="preserve"> </w:t>
      </w:r>
    </w:p>
    <w:p w:rsidR="00A10E14" w:rsidRPr="00263241" w:rsidRDefault="00BD42F1">
      <w:pPr>
        <w:tabs>
          <w:tab w:val="left" w:pos="5760"/>
        </w:tabs>
        <w:rPr>
          <w:spacing w:val="-2"/>
          <w:szCs w:val="22"/>
        </w:rPr>
      </w:pPr>
      <w:r w:rsidRPr="00263241">
        <w:rPr>
          <w:spacing w:val="-2"/>
          <w:szCs w:val="22"/>
        </w:rPr>
        <w:t>Wireless Telecommunications Bureau</w:t>
      </w:r>
      <w:r w:rsidR="00A10E14" w:rsidRPr="00263241">
        <w:rPr>
          <w:spacing w:val="-2"/>
          <w:szCs w:val="22"/>
        </w:rPr>
        <w:t>:</w:t>
      </w:r>
    </w:p>
    <w:p w:rsidR="005E5A59" w:rsidRPr="00263241" w:rsidRDefault="005E5A59">
      <w:pPr>
        <w:tabs>
          <w:tab w:val="left" w:pos="5760"/>
        </w:tabs>
        <w:rPr>
          <w:spacing w:val="-2"/>
          <w:szCs w:val="22"/>
        </w:rPr>
      </w:pPr>
    </w:p>
    <w:p w:rsidR="005E5A59" w:rsidRPr="00263241" w:rsidRDefault="005E5A59">
      <w:pPr>
        <w:tabs>
          <w:tab w:val="left" w:pos="5760"/>
        </w:tabs>
        <w:rPr>
          <w:spacing w:val="-2"/>
          <w:szCs w:val="22"/>
        </w:rPr>
      </w:pPr>
    </w:p>
    <w:p w:rsidR="005E5A59" w:rsidRPr="00263241" w:rsidRDefault="005E5A59" w:rsidP="00F54E66">
      <w:pPr>
        <w:pStyle w:val="Heading1"/>
      </w:pPr>
      <w:r w:rsidRPr="00263241">
        <w:t>INTRODUCTIOn</w:t>
      </w:r>
    </w:p>
    <w:p w:rsidR="005E5A59" w:rsidRPr="0016082D" w:rsidRDefault="003F0306" w:rsidP="007C2A46">
      <w:pPr>
        <w:pStyle w:val="ParaNum"/>
      </w:pPr>
      <w:r w:rsidRPr="001F10E0">
        <w:t xml:space="preserve">This </w:t>
      </w:r>
      <w:r w:rsidRPr="00B14CD5">
        <w:rPr>
          <w:i/>
        </w:rPr>
        <w:t>Memorandum Opinion and Order</w:t>
      </w:r>
      <w:r w:rsidRPr="001F10E0">
        <w:t xml:space="preserve"> addresses</w:t>
      </w:r>
      <w:r w:rsidR="005E5A59" w:rsidRPr="001F10E0">
        <w:t xml:space="preserve"> </w:t>
      </w:r>
      <w:r w:rsidR="005C37A2" w:rsidRPr="00AD6EB9">
        <w:t>the</w:t>
      </w:r>
      <w:r w:rsidR="005E5A59" w:rsidRPr="00AD6EB9">
        <w:t xml:space="preserve"> </w:t>
      </w:r>
      <w:r w:rsidR="00044A2F" w:rsidRPr="00AD6EB9">
        <w:t>request</w:t>
      </w:r>
      <w:r w:rsidR="005E5A59" w:rsidRPr="00AD6EB9">
        <w:t xml:space="preserve"> </w:t>
      </w:r>
      <w:r w:rsidR="005C37A2" w:rsidRPr="00AD6EB9">
        <w:t xml:space="preserve">of </w:t>
      </w:r>
      <w:r w:rsidR="00601FDD">
        <w:t>United States Cellular Corporation</w:t>
      </w:r>
      <w:r w:rsidR="00601FDD" w:rsidRPr="00263241">
        <w:t xml:space="preserve"> </w:t>
      </w:r>
      <w:r w:rsidR="00044A2F" w:rsidRPr="00AD6EB9">
        <w:t>(</w:t>
      </w:r>
      <w:r w:rsidR="00601FDD">
        <w:t>USCC</w:t>
      </w:r>
      <w:r w:rsidR="00044A2F" w:rsidRPr="00AD6EB9">
        <w:t>)</w:t>
      </w:r>
      <w:r w:rsidR="005C37A2" w:rsidRPr="00AD6EB9">
        <w:t xml:space="preserve"> </w:t>
      </w:r>
      <w:r w:rsidR="00B41AD7" w:rsidRPr="00AD6EB9">
        <w:t>for</w:t>
      </w:r>
      <w:r w:rsidR="005E5A59" w:rsidRPr="00AD6EB9">
        <w:t xml:space="preserve"> waive</w:t>
      </w:r>
      <w:r w:rsidR="00B41AD7" w:rsidRPr="00AD6EB9">
        <w:t>r of</w:t>
      </w:r>
      <w:r w:rsidR="005E5A59" w:rsidRPr="00AD6EB9">
        <w:t xml:space="preserve"> Section 17.47(b) of </w:t>
      </w:r>
      <w:r w:rsidR="00B45B5A">
        <w:t xml:space="preserve">the </w:t>
      </w:r>
      <w:r w:rsidR="005E5A59" w:rsidRPr="00AD6EB9">
        <w:t xml:space="preserve">Commission’s </w:t>
      </w:r>
      <w:r w:rsidR="00B45B5A">
        <w:t>r</w:t>
      </w:r>
      <w:r w:rsidR="005E5A59" w:rsidRPr="00AD6EB9">
        <w:t>ule</w:t>
      </w:r>
      <w:r w:rsidR="00B45B5A">
        <w:t xml:space="preserve">s, </w:t>
      </w:r>
      <w:r w:rsidR="005E5A59" w:rsidRPr="00AD6EB9">
        <w:t>47 C.F.R. § 17.47(b)</w:t>
      </w:r>
      <w:r w:rsidR="00B41AD7" w:rsidRPr="00AD6EB9">
        <w:t xml:space="preserve">. </w:t>
      </w:r>
      <w:r w:rsidR="00254158" w:rsidRPr="00AD6EB9">
        <w:t xml:space="preserve"> </w:t>
      </w:r>
      <w:r w:rsidR="00B41AD7" w:rsidRPr="00AD6EB9">
        <w:t xml:space="preserve">Section 17.47(b) </w:t>
      </w:r>
      <w:r w:rsidR="005E5A59" w:rsidRPr="00AD6EB9">
        <w:t xml:space="preserve">provides that the owner of any antenna structure </w:t>
      </w:r>
      <w:r w:rsidR="00B41AD7" w:rsidRPr="00AD6EB9">
        <w:t>that</w:t>
      </w:r>
      <w:r w:rsidR="005E5A59" w:rsidRPr="00AD6EB9">
        <w:t xml:space="preserve"> is registered </w:t>
      </w:r>
      <w:r w:rsidR="005E5A59" w:rsidRPr="00AD6EB9">
        <w:rPr>
          <w:szCs w:val="22"/>
        </w:rPr>
        <w:t>with</w:t>
      </w:r>
      <w:r w:rsidR="005E5A59" w:rsidRPr="00AD6EB9">
        <w:t xml:space="preserve"> the Commission and has been assigned lighting specifications pursuant to Part 17 “[s]hall inspect at intervals not to exceed 3 months all automatic or mechanical control devices, indicators, and alarm systems associated with the antenna structure lighting to insure that such apparatus is functioning properly.”</w:t>
      </w:r>
      <w:r w:rsidR="005E5A59" w:rsidRPr="00AD6EB9">
        <w:rPr>
          <w:rStyle w:val="FootnoteReference"/>
          <w:szCs w:val="22"/>
        </w:rPr>
        <w:footnoteReference w:id="2"/>
      </w:r>
      <w:r w:rsidR="005E5A59" w:rsidRPr="00AD6EB9">
        <w:t xml:space="preserve">  </w:t>
      </w:r>
      <w:r w:rsidR="00DA0E45" w:rsidRPr="0016082D">
        <w:t xml:space="preserve">  </w:t>
      </w:r>
    </w:p>
    <w:p w:rsidR="00107FA0" w:rsidRDefault="00196067" w:rsidP="00044A2F">
      <w:pPr>
        <w:pStyle w:val="ParaNum"/>
      </w:pPr>
      <w:r>
        <w:t xml:space="preserve">In </w:t>
      </w:r>
      <w:r w:rsidR="00107FA0">
        <w:t xml:space="preserve">its waiver request, </w:t>
      </w:r>
      <w:r>
        <w:t>USCC</w:t>
      </w:r>
      <w:r w:rsidRPr="00AD6EB9">
        <w:t xml:space="preserve"> </w:t>
      </w:r>
      <w:r>
        <w:t xml:space="preserve">states that </w:t>
      </w:r>
      <w:r w:rsidRPr="00AD6EB9">
        <w:t>it use</w:t>
      </w:r>
      <w:r>
        <w:t>s</w:t>
      </w:r>
      <w:r w:rsidRPr="00AD6EB9">
        <w:t xml:space="preserve"> the </w:t>
      </w:r>
      <w:r>
        <w:t>“</w:t>
      </w:r>
      <w:r w:rsidRPr="007361C7">
        <w:t>Network Operations Center Tower Alarm Monitoring Process</w:t>
      </w:r>
      <w:r>
        <w:t>”</w:t>
      </w:r>
      <w:r w:rsidRPr="007361C7">
        <w:t xml:space="preserve"> (NTAM)</w:t>
      </w:r>
      <w:r w:rsidRPr="00EE76E1">
        <w:rPr>
          <w:szCs w:val="22"/>
        </w:rPr>
        <w:t xml:space="preserve"> </w:t>
      </w:r>
      <w:r w:rsidR="001C6DAA">
        <w:rPr>
          <w:szCs w:val="22"/>
        </w:rPr>
        <w:t xml:space="preserve">system </w:t>
      </w:r>
      <w:r>
        <w:t xml:space="preserve">for all but 187 of its approximately </w:t>
      </w:r>
      <w:r w:rsidRPr="0016082D">
        <w:t>2,414 FCC-registered towers</w:t>
      </w:r>
      <w:r>
        <w:t>.</w:t>
      </w:r>
      <w:r w:rsidRPr="0016082D">
        <w:rPr>
          <w:rStyle w:val="FootnoteReference"/>
        </w:rPr>
        <w:footnoteReference w:id="3"/>
      </w:r>
      <w:r>
        <w:t xml:space="preserve">  </w:t>
      </w:r>
      <w:r w:rsidR="006A4973">
        <w:t>USCC states that its</w:t>
      </w:r>
      <w:r>
        <w:t xml:space="preserve"> NTAM system</w:t>
      </w:r>
      <w:r w:rsidR="00107FA0">
        <w:t xml:space="preserve"> </w:t>
      </w:r>
      <w:r w:rsidR="00BF4AA9">
        <w:t xml:space="preserve">“can and does continuously monitor these towers remotely </w:t>
      </w:r>
      <w:r>
        <w:t>to ensure that lighting failures are detected and rapidly corrected.</w:t>
      </w:r>
      <w:r w:rsidR="00BF4AA9">
        <w:t>”</w:t>
      </w:r>
      <w:r w:rsidR="00BF4AA9">
        <w:rPr>
          <w:rStyle w:val="FootnoteReference"/>
        </w:rPr>
        <w:footnoteReference w:id="4"/>
      </w:r>
      <w:r>
        <w:t xml:space="preserve">  USCC asserts that inspecting these towers on a quarterly basis is burdensome and expensive and, as a result of the NTAM system, unnecessary.</w:t>
      </w:r>
      <w:r w:rsidR="00BF4AA9">
        <w:rPr>
          <w:rStyle w:val="FootnoteReference"/>
        </w:rPr>
        <w:footnoteReference w:id="5"/>
      </w:r>
      <w:r w:rsidR="00BF4AA9">
        <w:t xml:space="preserve">  USCC </w:t>
      </w:r>
      <w:r w:rsidR="00CD73B7" w:rsidRPr="003F2D0B">
        <w:t>ask</w:t>
      </w:r>
      <w:r w:rsidR="003F2D0B" w:rsidRPr="003F2D0B">
        <w:t>s</w:t>
      </w:r>
      <w:r w:rsidR="00CD73B7" w:rsidRPr="003F2D0B">
        <w:t xml:space="preserve"> the Commission</w:t>
      </w:r>
      <w:r w:rsidR="00310BC4" w:rsidRPr="003F2D0B">
        <w:t xml:space="preserve"> to waive the </w:t>
      </w:r>
      <w:r w:rsidR="00BF4AA9">
        <w:t xml:space="preserve">quarterly inspection </w:t>
      </w:r>
      <w:r w:rsidR="00310BC4" w:rsidRPr="003F2D0B">
        <w:t>rule to permit annual inspections instead</w:t>
      </w:r>
      <w:r w:rsidR="00CD73B7" w:rsidRPr="003F2D0B">
        <w:t xml:space="preserve"> for</w:t>
      </w:r>
      <w:r w:rsidR="00652AD5" w:rsidRPr="003F2D0B">
        <w:t xml:space="preserve"> </w:t>
      </w:r>
      <w:r w:rsidR="00155256" w:rsidRPr="003F2D0B">
        <w:t>antenna structures that use th</w:t>
      </w:r>
      <w:r w:rsidR="00BF4AA9">
        <w:t xml:space="preserve">e NTAM </w:t>
      </w:r>
      <w:r w:rsidR="00155256" w:rsidRPr="003F2D0B">
        <w:t>system</w:t>
      </w:r>
      <w:r w:rsidR="00310BC4" w:rsidRPr="003F2D0B">
        <w:t>.</w:t>
      </w:r>
      <w:r w:rsidR="00F23BBB">
        <w:rPr>
          <w:rStyle w:val="FootnoteReference"/>
        </w:rPr>
        <w:footnoteReference w:id="6"/>
      </w:r>
    </w:p>
    <w:p w:rsidR="00310BC4" w:rsidRPr="003F2D0B" w:rsidRDefault="00685D87" w:rsidP="00044A2F">
      <w:pPr>
        <w:pStyle w:val="ParaNum"/>
      </w:pPr>
      <w:r w:rsidRPr="003F2D0B">
        <w:t xml:space="preserve">For the reasons set forth below, we </w:t>
      </w:r>
      <w:r w:rsidR="00310BC4" w:rsidRPr="003F2D0B">
        <w:t>grant</w:t>
      </w:r>
      <w:r w:rsidR="00C626BA" w:rsidRPr="003F2D0B">
        <w:t xml:space="preserve"> </w:t>
      </w:r>
      <w:r w:rsidR="003F2D0B" w:rsidRPr="003F2D0B">
        <w:t>USCC</w:t>
      </w:r>
      <w:r w:rsidR="00BF4AA9">
        <w:t>’s</w:t>
      </w:r>
      <w:r w:rsidR="00155256" w:rsidRPr="003F2D0B">
        <w:t xml:space="preserve"> </w:t>
      </w:r>
      <w:r w:rsidR="00310BC4" w:rsidRPr="003F2D0B">
        <w:t>request for relief</w:t>
      </w:r>
      <w:r w:rsidR="00FB5235" w:rsidRPr="003F2D0B">
        <w:t xml:space="preserve"> from its obligation as tower owner under</w:t>
      </w:r>
      <w:r w:rsidR="00DD743B" w:rsidRPr="003F2D0B">
        <w:t xml:space="preserve"> Section 17.47(b) </w:t>
      </w:r>
      <w:r w:rsidR="00F75F19" w:rsidRPr="003F2D0B">
        <w:t>to perform quarterly inspections of the monitoring systems on these towers</w:t>
      </w:r>
      <w:r w:rsidR="00DD743B" w:rsidRPr="003F2D0B">
        <w:t>.</w:t>
      </w:r>
      <w:r w:rsidR="00EE76E1">
        <w:t xml:space="preserve">  A</w:t>
      </w:r>
      <w:r w:rsidR="009B653B">
        <w:t>lthough USCC requests a waiver allowing it to conduct annual rather than quarterly inspections,</w:t>
      </w:r>
      <w:r w:rsidR="00D12A6D">
        <w:t xml:space="preserve"> </w:t>
      </w:r>
      <w:r w:rsidR="00AC2827">
        <w:t>the Commission ha</w:t>
      </w:r>
      <w:r w:rsidR="000F3E0C">
        <w:t>s</w:t>
      </w:r>
      <w:r w:rsidR="00AC2827">
        <w:t xml:space="preserve"> since amended its rules by adding new Section 17.47(c), which authorizes the Wireless Telecommunications Bureau (WTB) to relieve all inspection obligations for </w:t>
      </w:r>
      <w:r w:rsidR="00AC2827">
        <w:lastRenderedPageBreak/>
        <w:t>antenna structure owners using monitoring systems that meet the prior waiver criteria</w:t>
      </w:r>
      <w:r w:rsidR="00EE76E1">
        <w:t>.</w:t>
      </w:r>
      <w:r w:rsidR="00D47F1D">
        <w:rPr>
          <w:rStyle w:val="FootnoteReference"/>
        </w:rPr>
        <w:footnoteReference w:id="7"/>
      </w:r>
      <w:r w:rsidR="00AC2827">
        <w:t xml:space="preserve">  Accordingly, on our own motion, we treat USCC’s waiver request as a petition for relief under Section 17.47(c), find that quarterly inspections are unnecessary for towers monitored using the NTAM system, and relieve USCC of all inspection requirements, including annual inspections, for these towers.</w:t>
      </w:r>
      <w:r w:rsidR="00406A8E">
        <w:t xml:space="preserve">  </w:t>
      </w:r>
      <w:r w:rsidR="00923791">
        <w:t xml:space="preserve">  </w:t>
      </w:r>
      <w:r w:rsidR="00343539" w:rsidRPr="003F2D0B">
        <w:t xml:space="preserve">  </w:t>
      </w:r>
    </w:p>
    <w:p w:rsidR="005E5A59" w:rsidRPr="003F2D0B" w:rsidRDefault="00310BC4" w:rsidP="00F54E66">
      <w:pPr>
        <w:pStyle w:val="Heading1"/>
      </w:pPr>
      <w:r w:rsidRPr="003F2D0B">
        <w:t>BACKGROUND</w:t>
      </w:r>
    </w:p>
    <w:p w:rsidR="00CA0444" w:rsidRDefault="006A4973" w:rsidP="00176DD4">
      <w:pPr>
        <w:pStyle w:val="ParaNum"/>
      </w:pPr>
      <w:r>
        <w:t>In 2007, t</w:t>
      </w:r>
      <w:r w:rsidR="00E128AC">
        <w:t xml:space="preserve">he Commission </w:t>
      </w:r>
      <w:r w:rsidR="000202DC">
        <w:t xml:space="preserve">granted </w:t>
      </w:r>
      <w:r w:rsidR="00FE3906">
        <w:t xml:space="preserve">requests for </w:t>
      </w:r>
      <w:r w:rsidR="00976073">
        <w:t xml:space="preserve">limited </w:t>
      </w:r>
      <w:r w:rsidR="000770B7" w:rsidRPr="003F2D0B">
        <w:t xml:space="preserve">waiver of Section 17.47(b) </w:t>
      </w:r>
      <w:r w:rsidR="00FE3906">
        <w:t>filed by American Tower Corporation (ATC) and Global Signal, Inc. (GSI)</w:t>
      </w:r>
      <w:r w:rsidR="00B26A8D">
        <w:t xml:space="preserve"> and permitted the antenna structure owners to conduct annual rather than quarterly inspections</w:t>
      </w:r>
      <w:r w:rsidR="00FE3906">
        <w:t>.</w:t>
      </w:r>
      <w:r w:rsidR="00FE3906">
        <w:rPr>
          <w:rStyle w:val="FootnoteReference"/>
        </w:rPr>
        <w:footnoteReference w:id="8"/>
      </w:r>
      <w:r w:rsidR="00FE3906">
        <w:t xml:space="preserve">  The Commission </w:t>
      </w:r>
      <w:r w:rsidR="00061C29">
        <w:t xml:space="preserve">concluded in the </w:t>
      </w:r>
      <w:r w:rsidR="00061C29" w:rsidRPr="00061C29">
        <w:rPr>
          <w:i/>
        </w:rPr>
        <w:t>ATC/GSI Waiver Order</w:t>
      </w:r>
      <w:r w:rsidR="00061C29">
        <w:t xml:space="preserve"> </w:t>
      </w:r>
      <w:r w:rsidR="00FE3906">
        <w:t xml:space="preserve">that </w:t>
      </w:r>
      <w:r w:rsidR="00E128AC">
        <w:t xml:space="preserve">the antenna structure owners </w:t>
      </w:r>
      <w:r w:rsidR="00FE3906">
        <w:t xml:space="preserve">had </w:t>
      </w:r>
      <w:r w:rsidR="000770B7" w:rsidRPr="003F2D0B">
        <w:t>demonstrate</w:t>
      </w:r>
      <w:r w:rsidR="0086496A" w:rsidRPr="003F2D0B">
        <w:t>d</w:t>
      </w:r>
      <w:r w:rsidR="000770B7" w:rsidRPr="003F2D0B">
        <w:t xml:space="preserve"> that they were operating safe and reliable monitoring systems</w:t>
      </w:r>
      <w:r w:rsidR="00AB0DED" w:rsidRPr="003F2D0B">
        <w:t xml:space="preserve"> that</w:t>
      </w:r>
      <w:r w:rsidR="000770B7" w:rsidRPr="003F2D0B">
        <w:t xml:space="preserve"> provide</w:t>
      </w:r>
      <w:r w:rsidR="00061C29">
        <w:t>d</w:t>
      </w:r>
      <w:r w:rsidR="000770B7" w:rsidRPr="003F2D0B">
        <w:t xml:space="preserve"> sufficiently robust monitoring of the control devices, indicators</w:t>
      </w:r>
      <w:r w:rsidR="00910D4D">
        <w:t>,</w:t>
      </w:r>
      <w:r w:rsidR="000770B7" w:rsidRPr="003F2D0B">
        <w:t xml:space="preserve"> and alarm systems so as to render quarterly inspections unnecessary.</w:t>
      </w:r>
      <w:r w:rsidR="000770B7" w:rsidRPr="003F2D0B">
        <w:rPr>
          <w:rStyle w:val="FootnoteReference"/>
          <w:szCs w:val="22"/>
        </w:rPr>
        <w:footnoteReference w:id="9"/>
      </w:r>
      <w:r w:rsidR="00F75F19" w:rsidRPr="003F2D0B">
        <w:t xml:space="preserve">  </w:t>
      </w:r>
      <w:r>
        <w:t>In granting these requests for waiver, the Commission noted that t</w:t>
      </w:r>
      <w:r w:rsidR="00F75F19" w:rsidRPr="003F2D0B">
        <w:t xml:space="preserve">he Airspace and Rules Group of the Federal Aviation Administration </w:t>
      </w:r>
      <w:r w:rsidR="00A65FF5" w:rsidRPr="003F2D0B">
        <w:t xml:space="preserve">(FAA) </w:t>
      </w:r>
      <w:r w:rsidR="00F75F19" w:rsidRPr="003F2D0B">
        <w:t>is not opposed to such waivers “provided the applicant can demonstrate a safe and reliable automatic monitoring system with tracking mechanisms to evaluate the remote monitoring technology.”</w:t>
      </w:r>
      <w:r w:rsidR="00F75F19" w:rsidRPr="003F2D0B">
        <w:rPr>
          <w:rStyle w:val="FootnoteReference"/>
          <w:szCs w:val="22"/>
        </w:rPr>
        <w:footnoteReference w:id="10"/>
      </w:r>
      <w:r w:rsidR="00976073">
        <w:t xml:space="preserve">  </w:t>
      </w:r>
      <w:r w:rsidR="00342292">
        <w:t xml:space="preserve">On delegated authority, WTB </w:t>
      </w:r>
      <w:r w:rsidR="00976073">
        <w:t xml:space="preserve">subsequently granted </w:t>
      </w:r>
      <w:r w:rsidR="00B26A8D">
        <w:t xml:space="preserve">requests for limited waivers </w:t>
      </w:r>
      <w:r w:rsidR="00976073">
        <w:t>of Section 17.47(b) f</w:t>
      </w:r>
      <w:r w:rsidR="00B26A8D">
        <w:t>iled by other antenna structure owners using advanced monitoring systems.</w:t>
      </w:r>
      <w:r w:rsidR="00B26A8D">
        <w:rPr>
          <w:rStyle w:val="FootnoteReference"/>
        </w:rPr>
        <w:footnoteReference w:id="11"/>
      </w:r>
      <w:r w:rsidR="00976073">
        <w:t xml:space="preserve"> </w:t>
      </w:r>
    </w:p>
    <w:p w:rsidR="00CA0444" w:rsidRDefault="00CA0444" w:rsidP="00A175F0">
      <w:pPr>
        <w:pStyle w:val="ParaNum"/>
      </w:pPr>
      <w:r>
        <w:t xml:space="preserve">In the </w:t>
      </w:r>
      <w:r w:rsidRPr="0037232A">
        <w:rPr>
          <w:i/>
        </w:rPr>
        <w:t>Antenna Structure Report and Order</w:t>
      </w:r>
      <w:r w:rsidRPr="00C02756">
        <w:t xml:space="preserve"> </w:t>
      </w:r>
      <w:r>
        <w:t>adopted in August 2014, the Commission streamlined and eliminated a number of outdated provisions of the Part 17 rules to improve efficiency, reduce regulatory burdens, and enhance compliance with antenna structure painting and lighting requirements.</w:t>
      </w:r>
      <w:r>
        <w:rPr>
          <w:rStyle w:val="FootnoteReference"/>
        </w:rPr>
        <w:footnoteReference w:id="12"/>
      </w:r>
      <w:r>
        <w:t xml:space="preserve">  The </w:t>
      </w:r>
      <w:r w:rsidRPr="0037232A">
        <w:rPr>
          <w:i/>
        </w:rPr>
        <w:t>Antenna Structure Report and Order</w:t>
      </w:r>
      <w:r>
        <w:t xml:space="preserve"> added to Section 17.47 a provision that exempts antenna structures from quarterly inspection </w:t>
      </w:r>
      <w:r w:rsidR="00AC2827">
        <w:t>requirements</w:t>
      </w:r>
      <w:r>
        <w:t xml:space="preserve"> if they are monitored by a system </w:t>
      </w:r>
      <w:r w:rsidR="00972624">
        <w:t>operated from a network operations center (NOC) as long as the system</w:t>
      </w:r>
      <w:r>
        <w:t xml:space="preserve"> has been found to be sufficiently robust.</w:t>
      </w:r>
      <w:r>
        <w:rPr>
          <w:rStyle w:val="FootnoteReference"/>
        </w:rPr>
        <w:footnoteReference w:id="13"/>
      </w:r>
      <w:r>
        <w:t xml:space="preserve">  Specifically, Section 17.47(c) provides that an antenna structure is exempt from the inspection requirements in Section 17.47(b) if it is “monitored by a system that the Wireless Telecommunications Bureau has determined includes self-diagnostic features sufficient to render quarterly inspections unnecessary</w:t>
      </w:r>
      <w:r w:rsidR="00342292">
        <w:t>.</w:t>
      </w:r>
      <w:r>
        <w:t>”</w:t>
      </w:r>
      <w:r>
        <w:rPr>
          <w:rStyle w:val="FootnoteReference"/>
        </w:rPr>
        <w:footnoteReference w:id="14"/>
      </w:r>
      <w:r>
        <w:t xml:space="preserve">  The Commission noted that the NOC-based monitoring systems approved in prior waiver orders “employ self-diagnostic functions (such as alarm notification, 24-hour polling, and manual contact), an operations center staffed with trained personnel capable of responding to alarms 24 hours per day, 365 days per year,</w:t>
      </w:r>
      <w:r w:rsidR="001622FE">
        <w:t>” as well as</w:t>
      </w:r>
      <w:r>
        <w:t xml:space="preserve"> a backup </w:t>
      </w:r>
      <w:r w:rsidR="00972624">
        <w:t>o</w:t>
      </w:r>
      <w:r>
        <w:t xml:space="preserve">perations </w:t>
      </w:r>
      <w:r w:rsidR="00972624">
        <w:t>c</w:t>
      </w:r>
      <w:r>
        <w:t xml:space="preserve">enter that can </w:t>
      </w:r>
      <w:r w:rsidR="001622FE">
        <w:t xml:space="preserve">provide the necessary </w:t>
      </w:r>
      <w:r>
        <w:t>monitor</w:t>
      </w:r>
      <w:r w:rsidR="001622FE">
        <w:t>ing</w:t>
      </w:r>
      <w:r w:rsidR="001B5CC0">
        <w:t xml:space="preserve"> if </w:t>
      </w:r>
      <w:r w:rsidR="001622FE">
        <w:t xml:space="preserve">the </w:t>
      </w:r>
      <w:r>
        <w:t xml:space="preserve">system </w:t>
      </w:r>
      <w:r w:rsidR="001B5CC0">
        <w:t xml:space="preserve">fails due to a </w:t>
      </w:r>
      <w:r>
        <w:t xml:space="preserve">catastrophic </w:t>
      </w:r>
      <w:r w:rsidR="00B44B41">
        <w:t>event</w:t>
      </w:r>
      <w:r>
        <w:t>.</w:t>
      </w:r>
      <w:r>
        <w:rPr>
          <w:rStyle w:val="FootnoteReference"/>
        </w:rPr>
        <w:footnoteReference w:id="15"/>
      </w:r>
      <w:r>
        <w:t xml:space="preserve">  The Commission reaffirmed the determination in prior orders that systems with these features are sufficiently robust as to make quarterly inspections unnecessary to ensure that the control devices, indicators, and alarm systems on the antenna structures are operating properly.</w:t>
      </w:r>
      <w:r>
        <w:rPr>
          <w:rStyle w:val="FootnoteReference"/>
        </w:rPr>
        <w:footnoteReference w:id="16"/>
      </w:r>
      <w:r>
        <w:t xml:space="preserve">  Further, the Commission found that completely eliminating the inspection requirement for qualifying systems with these features would lessen the burden on antenna structure owners without hindering aircraft navigation</w:t>
      </w:r>
      <w:r w:rsidR="00AC2827">
        <w:t xml:space="preserve"> safety</w:t>
      </w:r>
      <w:r>
        <w:t>.</w:t>
      </w:r>
      <w:r>
        <w:rPr>
          <w:rStyle w:val="FootnoteReference"/>
        </w:rPr>
        <w:footnoteReference w:id="17"/>
      </w:r>
    </w:p>
    <w:p w:rsidR="00B972BA" w:rsidRPr="003F2D0B" w:rsidRDefault="00CA0444" w:rsidP="00A175F0">
      <w:pPr>
        <w:pStyle w:val="ParaNum"/>
      </w:pPr>
      <w:r>
        <w:t xml:space="preserve">The </w:t>
      </w:r>
      <w:r w:rsidRPr="00113641">
        <w:rPr>
          <w:i/>
        </w:rPr>
        <w:t>Antenna Structure Report and Order</w:t>
      </w:r>
      <w:r>
        <w:t xml:space="preserve"> noted that the </w:t>
      </w:r>
      <w:r w:rsidR="00A165BA">
        <w:t xml:space="preserve">complete </w:t>
      </w:r>
      <w:r>
        <w:t xml:space="preserve">exemption in Section 17.47(c) </w:t>
      </w:r>
      <w:r w:rsidR="00AC2827">
        <w:t>benefits</w:t>
      </w:r>
      <w:r>
        <w:t xml:space="preserve"> three specific groups of antenna structure owners.</w:t>
      </w:r>
      <w:r>
        <w:rPr>
          <w:rStyle w:val="FootnoteReference"/>
        </w:rPr>
        <w:footnoteReference w:id="18"/>
      </w:r>
      <w:r>
        <w:t xml:space="preserve">  The first group consists of antenna structure owners that were previously granted a waiver for their</w:t>
      </w:r>
      <w:r w:rsidR="00AC2827">
        <w:t xml:space="preserve"> towers monitored by</w:t>
      </w:r>
      <w:r>
        <w:t xml:space="preserve"> NOC-based systems.  These owners are exempt from all inspection obligations so long as they continue to meet the advanced monitoring obligations in the order granting their waiver request.</w:t>
      </w:r>
      <w:r>
        <w:rPr>
          <w:rStyle w:val="FootnoteReference"/>
        </w:rPr>
        <w:footnoteReference w:id="19"/>
      </w:r>
      <w:r>
        <w:t xml:space="preserve">  The second group consists of antenna structure owners that have not yet sought a waiver but use an advanced monitoring system previously approved by the Commission</w:t>
      </w:r>
      <w:r w:rsidR="00AC2827">
        <w:t xml:space="preserve"> or WTB</w:t>
      </w:r>
      <w:r>
        <w:t>.  These owners may certify that they are eligible for an exemption from the inspection obligations for any antenna structure using the</w:t>
      </w:r>
      <w:r w:rsidR="00AC2827">
        <w:t xml:space="preserve"> approved</w:t>
      </w:r>
      <w:r>
        <w:t xml:space="preserve"> NOC-based system.</w:t>
      </w:r>
      <w:r>
        <w:rPr>
          <w:rStyle w:val="FootnoteReference"/>
        </w:rPr>
        <w:footnoteReference w:id="20"/>
      </w:r>
      <w:r>
        <w:t xml:space="preserve">  The third group consists of antenna structure owners that employ systems not yet approved by the Commission</w:t>
      </w:r>
      <w:r w:rsidR="00AC2827">
        <w:t xml:space="preserve"> or WTB</w:t>
      </w:r>
      <w:r>
        <w:t>.  They may continue to petition WTB, which will evaluate such requests under the standards established in prior waiver orders.</w:t>
      </w:r>
      <w:r>
        <w:rPr>
          <w:rStyle w:val="FootnoteReference"/>
        </w:rPr>
        <w:footnoteReference w:id="21"/>
      </w:r>
      <w:r w:rsidR="000770B7" w:rsidRPr="003F2D0B">
        <w:t xml:space="preserve">  </w:t>
      </w:r>
    </w:p>
    <w:p w:rsidR="0001305D" w:rsidRDefault="00D779F7" w:rsidP="006E515A">
      <w:pPr>
        <w:pStyle w:val="ParaNum"/>
      </w:pPr>
      <w:r w:rsidRPr="003F2D0B">
        <w:t>USCC</w:t>
      </w:r>
      <w:r w:rsidRPr="001A079F">
        <w:t xml:space="preserve"> </w:t>
      </w:r>
      <w:r w:rsidR="00311C4A" w:rsidRPr="001A079F">
        <w:t xml:space="preserve">filed </w:t>
      </w:r>
      <w:r w:rsidR="00BF4AA9">
        <w:t>its</w:t>
      </w:r>
      <w:r w:rsidR="00311C4A" w:rsidRPr="001A079F">
        <w:t xml:space="preserve"> waiver request </w:t>
      </w:r>
      <w:r w:rsidR="00311C4A" w:rsidRPr="00D779F7">
        <w:t xml:space="preserve">on </w:t>
      </w:r>
      <w:r w:rsidRPr="00D779F7">
        <w:t>July 24, 2014</w:t>
      </w:r>
      <w:r w:rsidR="00E128AC">
        <w:t>.  P</w:t>
      </w:r>
      <w:r w:rsidR="008F6D48">
        <w:t xml:space="preserve">ursuant to requests </w:t>
      </w:r>
      <w:r w:rsidR="00CF5D88">
        <w:t xml:space="preserve">from </w:t>
      </w:r>
      <w:r w:rsidR="005E71F2">
        <w:t>WTB</w:t>
      </w:r>
      <w:r w:rsidR="008F6D48">
        <w:t xml:space="preserve">, </w:t>
      </w:r>
      <w:r w:rsidR="00E128AC">
        <w:t xml:space="preserve">USCC </w:t>
      </w:r>
      <w:r w:rsidR="008F6D48">
        <w:t xml:space="preserve">supplemented </w:t>
      </w:r>
      <w:r w:rsidR="00E128AC">
        <w:t xml:space="preserve">the waiver request </w:t>
      </w:r>
      <w:r w:rsidR="008F6D48">
        <w:t>on January 6, 2015</w:t>
      </w:r>
      <w:r w:rsidR="006D4653">
        <w:t xml:space="preserve"> and </w:t>
      </w:r>
      <w:r w:rsidR="008F6D48">
        <w:t>March 26, 2015.</w:t>
      </w:r>
      <w:r w:rsidR="00270859" w:rsidRPr="00A24E7B">
        <w:rPr>
          <w:rStyle w:val="FootnoteReference"/>
          <w:szCs w:val="22"/>
        </w:rPr>
        <w:footnoteReference w:id="22"/>
      </w:r>
      <w:r w:rsidR="00311C4A" w:rsidRPr="00A24E7B">
        <w:t xml:space="preserve">  </w:t>
      </w:r>
      <w:r w:rsidR="00E0726C" w:rsidRPr="00CA0444">
        <w:rPr>
          <w:szCs w:val="22"/>
        </w:rPr>
        <w:t xml:space="preserve">USCC states that it owns and/or maintains approximately 2,414 registered towers </w:t>
      </w:r>
      <w:r w:rsidR="00B44B41">
        <w:rPr>
          <w:szCs w:val="22"/>
        </w:rPr>
        <w:t>that</w:t>
      </w:r>
      <w:r w:rsidR="00E0726C" w:rsidRPr="00CA0444">
        <w:rPr>
          <w:szCs w:val="22"/>
        </w:rPr>
        <w:t xml:space="preserve"> are subject to the Commission’s marking and lighting requirements and that it seeks a waiver for all but 187 of these towers and for all towers it will construct in the future</w:t>
      </w:r>
      <w:r w:rsidR="00630853">
        <w:rPr>
          <w:szCs w:val="22"/>
        </w:rPr>
        <w:t xml:space="preserve"> served by the NTAM system</w:t>
      </w:r>
      <w:r w:rsidR="00E0726C" w:rsidRPr="00CA0444">
        <w:rPr>
          <w:szCs w:val="22"/>
        </w:rPr>
        <w:t>.</w:t>
      </w:r>
      <w:r w:rsidR="00E0726C">
        <w:rPr>
          <w:rStyle w:val="FootnoteReference"/>
          <w:szCs w:val="22"/>
        </w:rPr>
        <w:footnoteReference w:id="23"/>
      </w:r>
      <w:r w:rsidR="00E0726C" w:rsidRPr="00CA0444">
        <w:rPr>
          <w:szCs w:val="22"/>
        </w:rPr>
        <w:t xml:space="preserve">  </w:t>
      </w:r>
      <w:r w:rsidR="00E0726C">
        <w:t>Further,</w:t>
      </w:r>
      <w:r w:rsidR="00FA0D0B">
        <w:t xml:space="preserve"> </w:t>
      </w:r>
      <w:r w:rsidR="00E0726C">
        <w:t>USCC a</w:t>
      </w:r>
      <w:r w:rsidR="00311C4A" w:rsidRPr="00A24E7B">
        <w:t>ssert</w:t>
      </w:r>
      <w:r w:rsidRPr="00A24E7B">
        <w:t>s</w:t>
      </w:r>
      <w:r w:rsidR="00311C4A" w:rsidRPr="00A24E7B">
        <w:t xml:space="preserve"> in </w:t>
      </w:r>
      <w:r w:rsidR="00A24E7B">
        <w:t xml:space="preserve">its </w:t>
      </w:r>
      <w:r w:rsidR="00311C4A" w:rsidRPr="00A24E7B">
        <w:t>request that the</w:t>
      </w:r>
      <w:r w:rsidR="00D7090A" w:rsidRPr="00A24E7B">
        <w:t xml:space="preserve"> </w:t>
      </w:r>
      <w:r w:rsidR="007D08FF" w:rsidRPr="00A24E7B">
        <w:t xml:space="preserve">features and functionality of the </w:t>
      </w:r>
      <w:r w:rsidR="00A24E7B">
        <w:t>NTAM system meet</w:t>
      </w:r>
      <w:r w:rsidR="00E30CDE">
        <w:t xml:space="preserve"> </w:t>
      </w:r>
      <w:r w:rsidR="00A24E7B">
        <w:t xml:space="preserve">the criteria </w:t>
      </w:r>
      <w:r w:rsidR="00E30CDE">
        <w:t xml:space="preserve">in </w:t>
      </w:r>
      <w:r w:rsidR="00F450DB">
        <w:t xml:space="preserve">the </w:t>
      </w:r>
      <w:r w:rsidR="00F450DB" w:rsidRPr="00CA0444">
        <w:rPr>
          <w:i/>
        </w:rPr>
        <w:t>ATC/GSI Waiver Order</w:t>
      </w:r>
      <w:r w:rsidR="00F450DB">
        <w:t xml:space="preserve"> and subsequent decisions by </w:t>
      </w:r>
      <w:r w:rsidR="00460F15">
        <w:t>WTB</w:t>
      </w:r>
      <w:r w:rsidR="00AC2827">
        <w:t xml:space="preserve"> or their equivalent,</w:t>
      </w:r>
      <w:r w:rsidR="00F450DB">
        <w:t xml:space="preserve"> </w:t>
      </w:r>
      <w:r w:rsidR="00E30CDE">
        <w:t xml:space="preserve">and therefore that the Commission should grant its </w:t>
      </w:r>
      <w:r w:rsidR="008623F1">
        <w:t>request for waiver</w:t>
      </w:r>
      <w:r w:rsidR="004D1D15" w:rsidRPr="00A24E7B">
        <w:t>.</w:t>
      </w:r>
      <w:r w:rsidR="00BB2883" w:rsidRPr="00A24E7B">
        <w:rPr>
          <w:rStyle w:val="FootnoteReference"/>
          <w:szCs w:val="22"/>
        </w:rPr>
        <w:footnoteReference w:id="24"/>
      </w:r>
    </w:p>
    <w:p w:rsidR="00EE6EB4" w:rsidRPr="00F54E66" w:rsidRDefault="00890C90" w:rsidP="00EE6EB4">
      <w:pPr>
        <w:pStyle w:val="ParaNum"/>
        <w:rPr>
          <w:szCs w:val="22"/>
        </w:rPr>
      </w:pPr>
      <w:r>
        <w:rPr>
          <w:szCs w:val="22"/>
        </w:rPr>
        <w:t xml:space="preserve">In its waiver request, </w:t>
      </w:r>
      <w:r w:rsidR="00EE6EB4">
        <w:rPr>
          <w:szCs w:val="22"/>
        </w:rPr>
        <w:t>USCC states that the NTAM system generates an alarm in the event of any failure of the beacon, strobe, or side lights by which USCC lights its towers.</w:t>
      </w:r>
      <w:r w:rsidR="00EE6EB4">
        <w:rPr>
          <w:rStyle w:val="FootnoteReference"/>
          <w:szCs w:val="22"/>
        </w:rPr>
        <w:footnoteReference w:id="25"/>
      </w:r>
      <w:r w:rsidR="00EE6EB4">
        <w:rPr>
          <w:szCs w:val="22"/>
        </w:rPr>
        <w:t xml:space="preserve">  USCC also </w:t>
      </w:r>
      <w:r w:rsidR="00E66FB7">
        <w:rPr>
          <w:szCs w:val="22"/>
        </w:rPr>
        <w:t>states</w:t>
      </w:r>
      <w:r w:rsidR="00EE6EB4">
        <w:rPr>
          <w:szCs w:val="22"/>
        </w:rPr>
        <w:t xml:space="preserve"> that through the NTAM system it “can and does continuously monitor [its] towers remotely to ensure that lighting failures are detected and rapidly corrected.”</w:t>
      </w:r>
      <w:r w:rsidR="00EE6EB4">
        <w:rPr>
          <w:rStyle w:val="FootnoteReference"/>
          <w:szCs w:val="22"/>
        </w:rPr>
        <w:footnoteReference w:id="26"/>
      </w:r>
      <w:r w:rsidR="00EE6EB4">
        <w:rPr>
          <w:szCs w:val="22"/>
        </w:rPr>
        <w:t xml:space="preserve">  Further, USCC states, the NTAM system “will detect any failure, whether a failure of its tower lighting systems or other alarm systems, far sooner than would be discovered by quarterly inspections, rendering such inspections redundant and wasteful.”</w:t>
      </w:r>
      <w:r w:rsidR="00EE6EB4">
        <w:rPr>
          <w:rStyle w:val="FootnoteReference"/>
          <w:szCs w:val="22"/>
        </w:rPr>
        <w:footnoteReference w:id="27"/>
      </w:r>
      <w:r w:rsidR="00EE6EB4">
        <w:rPr>
          <w:szCs w:val="22"/>
        </w:rPr>
        <w:t xml:space="preserve"> </w:t>
      </w:r>
      <w:r w:rsidR="00EA6BD9">
        <w:rPr>
          <w:szCs w:val="22"/>
        </w:rPr>
        <w:t xml:space="preserve"> USCC explains that its personnel </w:t>
      </w:r>
      <w:r w:rsidR="00AC2827">
        <w:rPr>
          <w:szCs w:val="22"/>
        </w:rPr>
        <w:t>request</w:t>
      </w:r>
      <w:r w:rsidR="00EA6BD9">
        <w:rPr>
          <w:szCs w:val="22"/>
        </w:rPr>
        <w:t xml:space="preserve"> a Notice to Airmen (NOTAM) </w:t>
      </w:r>
      <w:r w:rsidR="00AC2827">
        <w:rPr>
          <w:szCs w:val="22"/>
        </w:rPr>
        <w:t>from</w:t>
      </w:r>
      <w:r w:rsidR="00EA6BD9">
        <w:rPr>
          <w:szCs w:val="22"/>
        </w:rPr>
        <w:t xml:space="preserve"> the FAA immediately after receiving an alarm indicating a lighting failure.</w:t>
      </w:r>
      <w:r w:rsidR="007F254D">
        <w:rPr>
          <w:rStyle w:val="FootnoteReference"/>
          <w:szCs w:val="22"/>
        </w:rPr>
        <w:footnoteReference w:id="28"/>
      </w:r>
    </w:p>
    <w:p w:rsidR="00EE6EB4" w:rsidRPr="00F1047F" w:rsidRDefault="00EE6EB4" w:rsidP="00EE6EB4">
      <w:pPr>
        <w:pStyle w:val="ParaNum"/>
        <w:rPr>
          <w:szCs w:val="22"/>
        </w:rPr>
      </w:pPr>
      <w:r>
        <w:rPr>
          <w:szCs w:val="22"/>
        </w:rPr>
        <w:t xml:space="preserve">In support of these contentions, USCC describes </w:t>
      </w:r>
      <w:r w:rsidRPr="00F1047F">
        <w:rPr>
          <w:szCs w:val="22"/>
        </w:rPr>
        <w:t xml:space="preserve">the following features of the </w:t>
      </w:r>
      <w:r>
        <w:rPr>
          <w:szCs w:val="22"/>
        </w:rPr>
        <w:t>NTAM system</w:t>
      </w:r>
      <w:r w:rsidRPr="00F1047F">
        <w:rPr>
          <w:szCs w:val="22"/>
        </w:rPr>
        <w:t xml:space="preserve">:  </w:t>
      </w:r>
    </w:p>
    <w:p w:rsidR="00EE6EB4" w:rsidRPr="00F54E66" w:rsidRDefault="00EE6EB4" w:rsidP="00C4321B">
      <w:pPr>
        <w:numPr>
          <w:ilvl w:val="0"/>
          <w:numId w:val="5"/>
        </w:numPr>
        <w:autoSpaceDE w:val="0"/>
        <w:autoSpaceDN w:val="0"/>
        <w:adjustRightInd w:val="0"/>
        <w:rPr>
          <w:szCs w:val="22"/>
        </w:rPr>
      </w:pPr>
      <w:r w:rsidRPr="00C605B4">
        <w:rPr>
          <w:i/>
          <w:szCs w:val="22"/>
        </w:rPr>
        <w:t>Alarm notification</w:t>
      </w:r>
      <w:r w:rsidRPr="00C605B4">
        <w:rPr>
          <w:szCs w:val="22"/>
        </w:rPr>
        <w:t xml:space="preserve">.  </w:t>
      </w:r>
      <w:r w:rsidR="00E66FB7">
        <w:rPr>
          <w:szCs w:val="22"/>
        </w:rPr>
        <w:t>USCC states that t</w:t>
      </w:r>
      <w:r w:rsidRPr="00C605B4">
        <w:rPr>
          <w:szCs w:val="22"/>
        </w:rPr>
        <w:t xml:space="preserve">he NTAM system </w:t>
      </w:r>
      <w:r w:rsidR="00E518A4">
        <w:rPr>
          <w:szCs w:val="22"/>
        </w:rPr>
        <w:t>includes</w:t>
      </w:r>
      <w:r w:rsidRPr="00C605B4">
        <w:rPr>
          <w:szCs w:val="22"/>
        </w:rPr>
        <w:t xml:space="preserve"> tower light controllers that are part of the larger system for monitoring alarms at each base station.</w:t>
      </w:r>
      <w:r>
        <w:rPr>
          <w:rStyle w:val="FootnoteReference"/>
          <w:szCs w:val="22"/>
        </w:rPr>
        <w:footnoteReference w:id="29"/>
      </w:r>
      <w:r w:rsidRPr="00C605B4">
        <w:rPr>
          <w:szCs w:val="22"/>
        </w:rPr>
        <w:t xml:space="preserve">  The tower light controllers are connected through USCC’s wireless system to USCC’s National Network Operations Center (NNOC).</w:t>
      </w:r>
      <w:r>
        <w:rPr>
          <w:rStyle w:val="FootnoteReference"/>
          <w:szCs w:val="22"/>
        </w:rPr>
        <w:footnoteReference w:id="30"/>
      </w:r>
      <w:r w:rsidRPr="00C605B4">
        <w:rPr>
          <w:szCs w:val="22"/>
        </w:rPr>
        <w:t xml:space="preserve">  USCC </w:t>
      </w:r>
      <w:r w:rsidR="00E66FB7">
        <w:rPr>
          <w:szCs w:val="22"/>
        </w:rPr>
        <w:t xml:space="preserve">states that it </w:t>
      </w:r>
      <w:r w:rsidRPr="00C605B4">
        <w:rPr>
          <w:szCs w:val="22"/>
        </w:rPr>
        <w:t xml:space="preserve">also uses an automated fault management system called Netcool, an IBM web-based application that processes wireless network events and “presents </w:t>
      </w:r>
      <w:r w:rsidR="003C304A">
        <w:rPr>
          <w:szCs w:val="22"/>
        </w:rPr>
        <w:t>‘</w:t>
      </w:r>
      <w:r w:rsidRPr="00C605B4">
        <w:rPr>
          <w:szCs w:val="22"/>
        </w:rPr>
        <w:t>event data</w:t>
      </w:r>
      <w:r w:rsidR="003C304A">
        <w:rPr>
          <w:szCs w:val="22"/>
        </w:rPr>
        <w:t>’</w:t>
      </w:r>
      <w:r w:rsidRPr="00C605B4">
        <w:rPr>
          <w:szCs w:val="22"/>
        </w:rPr>
        <w:t xml:space="preserve"> to N</w:t>
      </w:r>
      <w:r w:rsidR="003C304A">
        <w:rPr>
          <w:szCs w:val="22"/>
        </w:rPr>
        <w:t xml:space="preserve">etwork Operations Center </w:t>
      </w:r>
      <w:r w:rsidRPr="00C605B4">
        <w:rPr>
          <w:szCs w:val="22"/>
        </w:rPr>
        <w:t>operators in real time.”</w:t>
      </w:r>
      <w:r>
        <w:rPr>
          <w:rStyle w:val="FootnoteReference"/>
          <w:szCs w:val="22"/>
        </w:rPr>
        <w:footnoteReference w:id="31"/>
      </w:r>
    </w:p>
    <w:p w:rsidR="00EE6EB4" w:rsidRDefault="00EE6EB4" w:rsidP="00EE6EB4">
      <w:pPr>
        <w:autoSpaceDE w:val="0"/>
        <w:autoSpaceDN w:val="0"/>
        <w:adjustRightInd w:val="0"/>
        <w:ind w:left="1080"/>
        <w:rPr>
          <w:szCs w:val="22"/>
        </w:rPr>
      </w:pPr>
    </w:p>
    <w:p w:rsidR="00EE6EB4" w:rsidRPr="00F54E66" w:rsidRDefault="00E66FB7" w:rsidP="00EE6EB4">
      <w:pPr>
        <w:autoSpaceDE w:val="0"/>
        <w:autoSpaceDN w:val="0"/>
        <w:adjustRightInd w:val="0"/>
        <w:ind w:left="1080"/>
        <w:rPr>
          <w:szCs w:val="22"/>
        </w:rPr>
      </w:pPr>
      <w:r>
        <w:rPr>
          <w:szCs w:val="22"/>
        </w:rPr>
        <w:t>According to USCC, t</w:t>
      </w:r>
      <w:r w:rsidR="00EE6EB4" w:rsidRPr="00C605B4">
        <w:rPr>
          <w:szCs w:val="22"/>
        </w:rPr>
        <w:t xml:space="preserve">he alarm card at each base station is programmed to accept either a closed or open circuit for each piece of equipment </w:t>
      </w:r>
      <w:r w:rsidR="00EE6EB4">
        <w:rPr>
          <w:szCs w:val="22"/>
        </w:rPr>
        <w:t xml:space="preserve">that </w:t>
      </w:r>
      <w:r w:rsidR="00EE6EB4" w:rsidRPr="00C605B4">
        <w:rPr>
          <w:szCs w:val="22"/>
        </w:rPr>
        <w:t>is alarmed (</w:t>
      </w:r>
      <w:r w:rsidR="00EE6EB4" w:rsidRPr="006024A8">
        <w:rPr>
          <w:i/>
          <w:szCs w:val="22"/>
        </w:rPr>
        <w:t>e.g.</w:t>
      </w:r>
      <w:r w:rsidR="00EE6EB4" w:rsidRPr="00C605B4">
        <w:rPr>
          <w:szCs w:val="22"/>
        </w:rPr>
        <w:t xml:space="preserve">, door, tower lights, etc.) when the relevant piece of equipment is in a “normal” state.  If the relevant piece of equipment fails, </w:t>
      </w:r>
      <w:r>
        <w:rPr>
          <w:szCs w:val="22"/>
        </w:rPr>
        <w:t xml:space="preserve">USCC states, </w:t>
      </w:r>
      <w:r w:rsidR="00EE6EB4" w:rsidRPr="00C605B4">
        <w:rPr>
          <w:szCs w:val="22"/>
        </w:rPr>
        <w:t>it either opens or closes the specific alarm circuit and alerts the radio base station alarm controller which, in turn, is connected to USCC’s NNOC by leased line circuit or microwave facilities.</w:t>
      </w:r>
      <w:r w:rsidR="00EE6EB4">
        <w:rPr>
          <w:rStyle w:val="FootnoteReference"/>
          <w:szCs w:val="22"/>
        </w:rPr>
        <w:footnoteReference w:id="32"/>
      </w:r>
      <w:r w:rsidR="00EE6EB4" w:rsidRPr="00C605B4">
        <w:rPr>
          <w:szCs w:val="22"/>
        </w:rPr>
        <w:t xml:space="preserve">  </w:t>
      </w:r>
      <w:r>
        <w:rPr>
          <w:szCs w:val="22"/>
        </w:rPr>
        <w:t>USCC explains that e</w:t>
      </w:r>
      <w:r w:rsidR="00EE6EB4" w:rsidRPr="00C605B4">
        <w:rPr>
          <w:szCs w:val="22"/>
        </w:rPr>
        <w:t>ach alarm point at the base station is programmed with specific language regarding the equipment it monitors so that personnel at the NNOC can take appropriate action once the alarm is presented on the NNOC’s Netcool console.  The system also classifies the alarms as “critical” or “major” based on the severity of the problem.  For example, USCC states, the failure of a beacon light would be classified as critical, while a tower side light failure would be considered major, “i.e. important but slightly less urgent than a critical failure.”</w:t>
      </w:r>
      <w:r w:rsidR="00EE6EB4">
        <w:rPr>
          <w:rStyle w:val="FootnoteReference"/>
          <w:szCs w:val="22"/>
        </w:rPr>
        <w:footnoteReference w:id="33"/>
      </w:r>
    </w:p>
    <w:p w:rsidR="00EE6EB4" w:rsidRDefault="00EE6EB4" w:rsidP="00EE6EB4">
      <w:pPr>
        <w:autoSpaceDE w:val="0"/>
        <w:autoSpaceDN w:val="0"/>
        <w:adjustRightInd w:val="0"/>
        <w:ind w:left="1080"/>
        <w:rPr>
          <w:i/>
          <w:szCs w:val="22"/>
        </w:rPr>
      </w:pPr>
    </w:p>
    <w:p w:rsidR="00EE6EB4" w:rsidRDefault="00E66FB7" w:rsidP="00EE6EB4">
      <w:pPr>
        <w:autoSpaceDE w:val="0"/>
        <w:autoSpaceDN w:val="0"/>
        <w:adjustRightInd w:val="0"/>
        <w:ind w:left="1080"/>
        <w:rPr>
          <w:szCs w:val="22"/>
        </w:rPr>
      </w:pPr>
      <w:r>
        <w:rPr>
          <w:szCs w:val="22"/>
        </w:rPr>
        <w:t>USCC states that a</w:t>
      </w:r>
      <w:r w:rsidR="00EE6EB4">
        <w:rPr>
          <w:szCs w:val="22"/>
        </w:rPr>
        <w:t>ny alarm fault, including a lighting outage, is reported instantaneously to the NNOC through the Netcool system, which “rides” on USCC’s internal communications network.</w:t>
      </w:r>
      <w:r w:rsidR="00EE6EB4">
        <w:rPr>
          <w:rStyle w:val="FootnoteReference"/>
          <w:szCs w:val="22"/>
        </w:rPr>
        <w:footnoteReference w:id="34"/>
      </w:r>
      <w:r w:rsidR="00EE6EB4">
        <w:rPr>
          <w:szCs w:val="22"/>
        </w:rPr>
        <w:t xml:space="preserve">  When the NNOC receives a strobe or beacon light fault alarm from a given cell site, </w:t>
      </w:r>
      <w:r>
        <w:rPr>
          <w:szCs w:val="22"/>
        </w:rPr>
        <w:t xml:space="preserve">USCC states, </w:t>
      </w:r>
      <w:r w:rsidR="00EE6EB4">
        <w:rPr>
          <w:szCs w:val="22"/>
        </w:rPr>
        <w:t>a NNOC technician immediately calls in a NOTAM to the appropriate FAA facility.</w:t>
      </w:r>
      <w:r w:rsidR="00EE6EB4">
        <w:rPr>
          <w:rStyle w:val="FootnoteReference"/>
          <w:szCs w:val="22"/>
        </w:rPr>
        <w:footnoteReference w:id="35"/>
      </w:r>
      <w:r w:rsidR="00EE6EB4">
        <w:rPr>
          <w:szCs w:val="22"/>
        </w:rPr>
        <w:t xml:space="preserve">  </w:t>
      </w:r>
      <w:r>
        <w:rPr>
          <w:szCs w:val="22"/>
        </w:rPr>
        <w:t>According to USCC, t</w:t>
      </w:r>
      <w:r w:rsidR="00EE6EB4">
        <w:rPr>
          <w:szCs w:val="22"/>
        </w:rPr>
        <w:t xml:space="preserve">he fault is also immediately identified by the Netcool fault management tool, and a trouble ticket is created for internal tracking.  The NNOC then immediately routes the ticket to the appropriate USCC </w:t>
      </w:r>
      <w:r w:rsidR="00EA6BD9">
        <w:rPr>
          <w:szCs w:val="22"/>
        </w:rPr>
        <w:t>regional office</w:t>
      </w:r>
      <w:r w:rsidR="00EE6EB4">
        <w:rPr>
          <w:szCs w:val="22"/>
        </w:rPr>
        <w:t xml:space="preserve"> for investigation and repair of the light.</w:t>
      </w:r>
      <w:r w:rsidR="00EE6EB4">
        <w:rPr>
          <w:rStyle w:val="FootnoteReference"/>
          <w:szCs w:val="22"/>
        </w:rPr>
        <w:footnoteReference w:id="36"/>
      </w:r>
    </w:p>
    <w:p w:rsidR="00EE6EB4" w:rsidRDefault="00EE6EB4" w:rsidP="00EE6EB4">
      <w:pPr>
        <w:autoSpaceDE w:val="0"/>
        <w:autoSpaceDN w:val="0"/>
        <w:adjustRightInd w:val="0"/>
        <w:ind w:left="1080"/>
        <w:rPr>
          <w:szCs w:val="22"/>
        </w:rPr>
      </w:pPr>
    </w:p>
    <w:p w:rsidR="00EE6EB4" w:rsidRDefault="00E66FB7" w:rsidP="00EE6EB4">
      <w:pPr>
        <w:autoSpaceDE w:val="0"/>
        <w:autoSpaceDN w:val="0"/>
        <w:adjustRightInd w:val="0"/>
        <w:ind w:left="1080"/>
        <w:rPr>
          <w:szCs w:val="22"/>
        </w:rPr>
      </w:pPr>
      <w:r>
        <w:rPr>
          <w:szCs w:val="22"/>
        </w:rPr>
        <w:t>USCC states that t</w:t>
      </w:r>
      <w:r w:rsidR="00EE6EB4">
        <w:rPr>
          <w:szCs w:val="22"/>
        </w:rPr>
        <w:t>he types of failures monitored by the NTAM system include failure of the beacon, strobe, or side lights,</w:t>
      </w:r>
      <w:r w:rsidR="00EE6EB4">
        <w:rPr>
          <w:rStyle w:val="FootnoteReference"/>
          <w:szCs w:val="22"/>
        </w:rPr>
        <w:footnoteReference w:id="37"/>
      </w:r>
      <w:r w:rsidR="00EE6EB4">
        <w:rPr>
          <w:szCs w:val="22"/>
        </w:rPr>
        <w:t xml:space="preserve"> as well as low flash energy, consecutive missed flashes, site communication failure, power failure (AC and/or DC), and low battery.</w:t>
      </w:r>
      <w:r w:rsidR="00EE6EB4">
        <w:rPr>
          <w:rStyle w:val="FootnoteReference"/>
          <w:szCs w:val="22"/>
        </w:rPr>
        <w:footnoteReference w:id="38"/>
      </w:r>
      <w:r w:rsidR="00EE6EB4">
        <w:rPr>
          <w:szCs w:val="22"/>
        </w:rPr>
        <w:t xml:space="preserve">  In addition, </w:t>
      </w:r>
      <w:r>
        <w:rPr>
          <w:szCs w:val="22"/>
        </w:rPr>
        <w:t xml:space="preserve">USCC states, </w:t>
      </w:r>
      <w:r w:rsidR="00EE6EB4">
        <w:rPr>
          <w:szCs w:val="22"/>
        </w:rPr>
        <w:t>the alarm cards themselves are monitored so that if a card were to fail, an alarm would be presented in the system even if the base station were still operational.</w:t>
      </w:r>
      <w:r w:rsidR="00EE6EB4">
        <w:rPr>
          <w:rStyle w:val="FootnoteReference"/>
          <w:szCs w:val="22"/>
        </w:rPr>
        <w:footnoteReference w:id="39"/>
      </w:r>
      <w:r w:rsidR="00EE6EB4">
        <w:rPr>
          <w:szCs w:val="22"/>
        </w:rPr>
        <w:t xml:space="preserve">  </w:t>
      </w:r>
      <w:r>
        <w:rPr>
          <w:szCs w:val="22"/>
        </w:rPr>
        <w:t>USCC explains that n</w:t>
      </w:r>
      <w:r w:rsidR="00EE6EB4">
        <w:rPr>
          <w:szCs w:val="22"/>
        </w:rPr>
        <w:t xml:space="preserve">ine of </w:t>
      </w:r>
      <w:r>
        <w:rPr>
          <w:szCs w:val="22"/>
        </w:rPr>
        <w:t>its</w:t>
      </w:r>
      <w:r w:rsidR="00EE6EB4">
        <w:rPr>
          <w:szCs w:val="22"/>
        </w:rPr>
        <w:t xml:space="preserve"> antenna sites use a mo</w:t>
      </w:r>
      <w:r w:rsidR="00D85867">
        <w:rPr>
          <w:szCs w:val="22"/>
        </w:rPr>
        <w:t>torized</w:t>
      </w:r>
      <w:r w:rsidR="00EE6EB4">
        <w:rPr>
          <w:szCs w:val="22"/>
        </w:rPr>
        <w:t xml:space="preserve"> “red sleeve filter” which is programmed to cover strobe lights for night use.</w:t>
      </w:r>
      <w:r w:rsidR="00EE6EB4">
        <w:rPr>
          <w:rStyle w:val="FootnoteReference"/>
          <w:szCs w:val="22"/>
        </w:rPr>
        <w:footnoteReference w:id="40"/>
      </w:r>
      <w:r w:rsidR="00EE6EB4">
        <w:rPr>
          <w:szCs w:val="22"/>
        </w:rPr>
        <w:t xml:space="preserve">  The filters at these nine sites are alarmed, and any filter failure would trigger an alarm.</w:t>
      </w:r>
      <w:r w:rsidR="00EE6EB4">
        <w:rPr>
          <w:rStyle w:val="FootnoteReference"/>
          <w:szCs w:val="22"/>
        </w:rPr>
        <w:footnoteReference w:id="41"/>
      </w:r>
      <w:r w:rsidR="00EE6EB4">
        <w:rPr>
          <w:szCs w:val="22"/>
        </w:rPr>
        <w:t xml:space="preserve">  </w:t>
      </w:r>
      <w:r>
        <w:rPr>
          <w:szCs w:val="22"/>
        </w:rPr>
        <w:t>USCC explains that t</w:t>
      </w:r>
      <w:r w:rsidR="00EE6EB4">
        <w:rPr>
          <w:szCs w:val="22"/>
        </w:rPr>
        <w:t>he rest of the antenna systems have either a separate strobe light for day use and beacon for night use or simply a strobe light with the intensity o</w:t>
      </w:r>
      <w:r w:rsidR="00D85867">
        <w:rPr>
          <w:szCs w:val="22"/>
        </w:rPr>
        <w:t>f</w:t>
      </w:r>
      <w:r w:rsidR="00EE6EB4">
        <w:rPr>
          <w:szCs w:val="22"/>
        </w:rPr>
        <w:t xml:space="preserve"> the light automatically adjusted for day or night use.</w:t>
      </w:r>
      <w:r w:rsidR="00EE6EB4">
        <w:rPr>
          <w:rStyle w:val="FootnoteReference"/>
          <w:szCs w:val="22"/>
        </w:rPr>
        <w:footnoteReference w:id="42"/>
      </w:r>
      <w:r w:rsidR="00EE6EB4">
        <w:rPr>
          <w:szCs w:val="22"/>
        </w:rPr>
        <w:t xml:space="preserve">  </w:t>
      </w:r>
      <w:r>
        <w:rPr>
          <w:szCs w:val="22"/>
        </w:rPr>
        <w:t>USCC states that t</w:t>
      </w:r>
      <w:r w:rsidR="00EE6EB4">
        <w:rPr>
          <w:szCs w:val="22"/>
        </w:rPr>
        <w:t>he photocell that determines when to switch from daytime to nighttime lighting at the antenna sites is also alarmed.</w:t>
      </w:r>
      <w:r w:rsidR="00EE6EB4">
        <w:rPr>
          <w:rStyle w:val="FootnoteReference"/>
          <w:szCs w:val="22"/>
        </w:rPr>
        <w:footnoteReference w:id="43"/>
      </w:r>
    </w:p>
    <w:p w:rsidR="00EE6EB4" w:rsidRPr="00D951BA" w:rsidRDefault="00EE6EB4" w:rsidP="00EE6EB4">
      <w:pPr>
        <w:autoSpaceDE w:val="0"/>
        <w:autoSpaceDN w:val="0"/>
        <w:adjustRightInd w:val="0"/>
        <w:ind w:left="720"/>
        <w:rPr>
          <w:szCs w:val="22"/>
        </w:rPr>
      </w:pPr>
    </w:p>
    <w:p w:rsidR="00EE6EB4" w:rsidRPr="00644934" w:rsidRDefault="00EE6EB4" w:rsidP="00C4321B">
      <w:pPr>
        <w:numPr>
          <w:ilvl w:val="0"/>
          <w:numId w:val="5"/>
        </w:numPr>
        <w:autoSpaceDE w:val="0"/>
        <w:autoSpaceDN w:val="0"/>
        <w:adjustRightInd w:val="0"/>
        <w:rPr>
          <w:szCs w:val="22"/>
        </w:rPr>
      </w:pPr>
      <w:r w:rsidRPr="00644934">
        <w:rPr>
          <w:i/>
          <w:szCs w:val="22"/>
        </w:rPr>
        <w:t>24-hour polling</w:t>
      </w:r>
      <w:r w:rsidRPr="00644934">
        <w:rPr>
          <w:szCs w:val="22"/>
        </w:rPr>
        <w:t xml:space="preserve">.  </w:t>
      </w:r>
      <w:r>
        <w:rPr>
          <w:szCs w:val="22"/>
        </w:rPr>
        <w:t xml:space="preserve">USCC </w:t>
      </w:r>
      <w:r w:rsidR="00E66FB7">
        <w:rPr>
          <w:szCs w:val="22"/>
        </w:rPr>
        <w:t xml:space="preserve">states that it </w:t>
      </w:r>
      <w:r>
        <w:rPr>
          <w:szCs w:val="22"/>
        </w:rPr>
        <w:t>does not poll its base stations from the NNOC on a regular basis.</w:t>
      </w:r>
      <w:r w:rsidR="00D85867">
        <w:rPr>
          <w:rStyle w:val="FootnoteReference"/>
          <w:szCs w:val="22"/>
        </w:rPr>
        <w:footnoteReference w:id="44"/>
      </w:r>
      <w:r>
        <w:rPr>
          <w:szCs w:val="22"/>
        </w:rPr>
        <w:t xml:space="preserve">  However, </w:t>
      </w:r>
      <w:r w:rsidR="00C911B9">
        <w:rPr>
          <w:szCs w:val="22"/>
        </w:rPr>
        <w:t xml:space="preserve">USCC </w:t>
      </w:r>
      <w:r w:rsidR="00E66FB7">
        <w:rPr>
          <w:szCs w:val="22"/>
        </w:rPr>
        <w:t xml:space="preserve">explains that </w:t>
      </w:r>
      <w:r>
        <w:rPr>
          <w:szCs w:val="22"/>
        </w:rPr>
        <w:t xml:space="preserve">the connectivity between base stations and the NNOC is </w:t>
      </w:r>
      <w:r w:rsidR="00D85867">
        <w:rPr>
          <w:szCs w:val="22"/>
        </w:rPr>
        <w:t>“</w:t>
      </w:r>
      <w:r>
        <w:rPr>
          <w:szCs w:val="22"/>
        </w:rPr>
        <w:t>constant and two-way.</w:t>
      </w:r>
      <w:r w:rsidR="00D85867">
        <w:rPr>
          <w:szCs w:val="22"/>
        </w:rPr>
        <w:t>”</w:t>
      </w:r>
      <w:r w:rsidR="00D85867">
        <w:rPr>
          <w:rStyle w:val="FootnoteReference"/>
          <w:szCs w:val="22"/>
        </w:rPr>
        <w:footnoteReference w:id="45"/>
      </w:r>
      <w:r>
        <w:rPr>
          <w:szCs w:val="22"/>
        </w:rPr>
        <w:t xml:space="preserve">  Any time that link is broken, </w:t>
      </w:r>
      <w:r w:rsidR="00E66FB7">
        <w:rPr>
          <w:szCs w:val="22"/>
        </w:rPr>
        <w:t xml:space="preserve">according to USCC, </w:t>
      </w:r>
      <w:r>
        <w:rPr>
          <w:szCs w:val="22"/>
        </w:rPr>
        <w:t>alarms are presented in the Netcool system.</w:t>
      </w:r>
      <w:r>
        <w:rPr>
          <w:rStyle w:val="FootnoteReference"/>
          <w:szCs w:val="22"/>
        </w:rPr>
        <w:footnoteReference w:id="46"/>
      </w:r>
      <w:r w:rsidRPr="00644934">
        <w:rPr>
          <w:szCs w:val="22"/>
        </w:rPr>
        <w:t xml:space="preserve"> </w:t>
      </w:r>
    </w:p>
    <w:p w:rsidR="00EE6EB4" w:rsidRPr="00D951BA" w:rsidRDefault="00EE6EB4" w:rsidP="00EE6EB4">
      <w:pPr>
        <w:autoSpaceDE w:val="0"/>
        <w:autoSpaceDN w:val="0"/>
        <w:adjustRightInd w:val="0"/>
        <w:ind w:left="720"/>
        <w:rPr>
          <w:szCs w:val="22"/>
        </w:rPr>
      </w:pPr>
    </w:p>
    <w:p w:rsidR="00EE6EB4" w:rsidRPr="004C4E50" w:rsidRDefault="00EE6EB4" w:rsidP="00C4321B">
      <w:pPr>
        <w:numPr>
          <w:ilvl w:val="0"/>
          <w:numId w:val="5"/>
        </w:numPr>
        <w:autoSpaceDE w:val="0"/>
        <w:autoSpaceDN w:val="0"/>
        <w:adjustRightInd w:val="0"/>
        <w:rPr>
          <w:szCs w:val="22"/>
        </w:rPr>
      </w:pPr>
      <w:r w:rsidRPr="004C4E50">
        <w:rPr>
          <w:i/>
          <w:szCs w:val="22"/>
        </w:rPr>
        <w:t>Manual contact</w:t>
      </w:r>
      <w:r w:rsidRPr="004C4E50">
        <w:rPr>
          <w:szCs w:val="22"/>
        </w:rPr>
        <w:t xml:space="preserve">.  </w:t>
      </w:r>
      <w:r>
        <w:rPr>
          <w:szCs w:val="22"/>
        </w:rPr>
        <w:t xml:space="preserve">USCC </w:t>
      </w:r>
      <w:r w:rsidR="00E66FB7">
        <w:rPr>
          <w:szCs w:val="22"/>
        </w:rPr>
        <w:t xml:space="preserve">states that it </w:t>
      </w:r>
      <w:r>
        <w:rPr>
          <w:szCs w:val="22"/>
        </w:rPr>
        <w:t>cannot access its lighting systems remotely from the NNOC.</w:t>
      </w:r>
      <w:r w:rsidR="00095F4A">
        <w:rPr>
          <w:rStyle w:val="FootnoteReference"/>
          <w:szCs w:val="22"/>
        </w:rPr>
        <w:footnoteReference w:id="47"/>
      </w:r>
      <w:r>
        <w:rPr>
          <w:szCs w:val="22"/>
        </w:rPr>
        <w:t xml:space="preserve">  However, </w:t>
      </w:r>
      <w:r w:rsidR="00E66FB7">
        <w:rPr>
          <w:szCs w:val="22"/>
        </w:rPr>
        <w:t xml:space="preserve">USCC states, </w:t>
      </w:r>
      <w:r w:rsidR="00587B9A">
        <w:rPr>
          <w:szCs w:val="22"/>
        </w:rPr>
        <w:t>“</w:t>
      </w:r>
      <w:r>
        <w:rPr>
          <w:szCs w:val="22"/>
        </w:rPr>
        <w:t>the NNOC can check base station status and external alarm status by entering the system at the relevant switch to check the alarm status of the cell</w:t>
      </w:r>
      <w:r w:rsidR="00872965">
        <w:rPr>
          <w:szCs w:val="22"/>
        </w:rPr>
        <w:t xml:space="preserve"> </w:t>
      </w:r>
      <w:r>
        <w:rPr>
          <w:szCs w:val="22"/>
        </w:rPr>
        <w:t>sites associated with that switch.</w:t>
      </w:r>
      <w:r w:rsidR="00587B9A">
        <w:rPr>
          <w:szCs w:val="22"/>
        </w:rPr>
        <w:t>”</w:t>
      </w:r>
      <w:r>
        <w:rPr>
          <w:rStyle w:val="FootnoteReference"/>
          <w:szCs w:val="22"/>
        </w:rPr>
        <w:footnoteReference w:id="48"/>
      </w:r>
      <w:r>
        <w:rPr>
          <w:szCs w:val="22"/>
        </w:rPr>
        <w:t xml:space="preserve">  In addition, USCC </w:t>
      </w:r>
      <w:r w:rsidR="00E66FB7">
        <w:rPr>
          <w:szCs w:val="22"/>
        </w:rPr>
        <w:t xml:space="preserve">states that its </w:t>
      </w:r>
      <w:r>
        <w:rPr>
          <w:szCs w:val="22"/>
        </w:rPr>
        <w:t>technicians manually “interrogate” the lighting and power systems at a given base station when they are dispatched to the site following an alarm.</w:t>
      </w:r>
      <w:r>
        <w:rPr>
          <w:rStyle w:val="FootnoteReference"/>
          <w:szCs w:val="22"/>
        </w:rPr>
        <w:footnoteReference w:id="49"/>
      </w:r>
    </w:p>
    <w:p w:rsidR="00EE6EB4" w:rsidRPr="00D951BA" w:rsidRDefault="00EE6EB4" w:rsidP="00EE6EB4">
      <w:pPr>
        <w:autoSpaceDE w:val="0"/>
        <w:autoSpaceDN w:val="0"/>
        <w:adjustRightInd w:val="0"/>
        <w:ind w:left="720"/>
        <w:rPr>
          <w:szCs w:val="22"/>
        </w:rPr>
      </w:pPr>
    </w:p>
    <w:p w:rsidR="00EE6EB4" w:rsidRPr="00D951BA" w:rsidRDefault="00EE6EB4" w:rsidP="00EE6EB4">
      <w:pPr>
        <w:pStyle w:val="ParaNum"/>
      </w:pPr>
      <w:r>
        <w:t>USCC</w:t>
      </w:r>
      <w:r w:rsidR="00E66FB7">
        <w:t xml:space="preserve"> states that its </w:t>
      </w:r>
      <w:r>
        <w:t>NNOC is st</w:t>
      </w:r>
      <w:r w:rsidRPr="00850005">
        <w:t>affed with technicians capable of responding to alarms 24 hours per day, seven days a week</w:t>
      </w:r>
      <w:r>
        <w:t>, 365 days per year.</w:t>
      </w:r>
      <w:r w:rsidRPr="00850005">
        <w:rPr>
          <w:rStyle w:val="FootnoteReference"/>
          <w:szCs w:val="22"/>
        </w:rPr>
        <w:footnoteReference w:id="50"/>
      </w:r>
      <w:r w:rsidRPr="00850005">
        <w:t xml:space="preserve">  </w:t>
      </w:r>
      <w:r>
        <w:t>The primary NNOC is located in Schaumburg, IL.</w:t>
      </w:r>
      <w:r w:rsidR="00095F4A">
        <w:rPr>
          <w:rStyle w:val="FootnoteReference"/>
        </w:rPr>
        <w:footnoteReference w:id="51"/>
      </w:r>
      <w:r>
        <w:t xml:space="preserve">  In the event of a system failure or disaster at the Schaumburg facility, USCC </w:t>
      </w:r>
      <w:r w:rsidR="00E66FB7">
        <w:t xml:space="preserve">states that it </w:t>
      </w:r>
      <w:r>
        <w:t>has a fully redundant backup NNOC in Peoria, IL and would activate that facility and transfer all calls and alarms there.</w:t>
      </w:r>
      <w:r>
        <w:rPr>
          <w:rStyle w:val="FootnoteReference"/>
        </w:rPr>
        <w:footnoteReference w:id="52"/>
      </w:r>
      <w:r>
        <w:t xml:space="preserve">  </w:t>
      </w:r>
      <w:r w:rsidR="00095F4A">
        <w:t xml:space="preserve">The </w:t>
      </w:r>
      <w:r>
        <w:t xml:space="preserve">Peoria facility would </w:t>
      </w:r>
      <w:r w:rsidR="00EA6BD9">
        <w:t xml:space="preserve">also </w:t>
      </w:r>
      <w:r>
        <w:t xml:space="preserve">be used for long-term relocations.  USCC </w:t>
      </w:r>
      <w:r w:rsidR="00E66FB7">
        <w:t xml:space="preserve">states that it </w:t>
      </w:r>
      <w:r>
        <w:t>has an additional backup NNOC in Bensenville, IL.</w:t>
      </w:r>
      <w:r w:rsidR="00095F4A">
        <w:rPr>
          <w:rStyle w:val="FootnoteReference"/>
        </w:rPr>
        <w:footnoteReference w:id="53"/>
      </w:r>
      <w:r>
        <w:t xml:space="preserve">  The Bensenville facility is designed for short-term relocations and would be used if, for example, severe weather or other emergency temporarily rendered the Schaumburg facility inaccessible.  However, the Bensenville facility could be staffed indefinitely if needed.</w:t>
      </w:r>
      <w:r>
        <w:rPr>
          <w:rStyle w:val="FootnoteReference"/>
        </w:rPr>
        <w:footnoteReference w:id="54"/>
      </w:r>
      <w:r>
        <w:t xml:space="preserve">  </w:t>
      </w:r>
      <w:r w:rsidR="00E66FB7">
        <w:t xml:space="preserve">USCC explains that it could also set up an </w:t>
      </w:r>
      <w:r>
        <w:t>emergency NNOC facility at USCC’s data center in Knoxville, TN.</w:t>
      </w:r>
      <w:r>
        <w:rPr>
          <w:rStyle w:val="FootnoteReference"/>
        </w:rPr>
        <w:footnoteReference w:id="55"/>
      </w:r>
      <w:r>
        <w:t xml:space="preserve">  In addition, </w:t>
      </w:r>
      <w:r w:rsidR="00E66FB7">
        <w:t xml:space="preserve">USCC states that </w:t>
      </w:r>
      <w:r>
        <w:t>if the NNOC could not function, each USCC local switching facility would be able to monitor its own base station alarm systems and could provide any necessary notification to the FAA.</w:t>
      </w:r>
      <w:r>
        <w:rPr>
          <w:rStyle w:val="FootnoteReference"/>
        </w:rPr>
        <w:footnoteReference w:id="56"/>
      </w:r>
      <w:r>
        <w:t xml:space="preserve">  </w:t>
      </w:r>
      <w:r w:rsidR="00C14575">
        <w:t xml:space="preserve">According to USCC, all of its </w:t>
      </w:r>
      <w:r>
        <w:t>NNOC facilities have internal alarms related to operational stability and function.</w:t>
      </w:r>
      <w:r>
        <w:rPr>
          <w:rStyle w:val="FootnoteReference"/>
        </w:rPr>
        <w:footnoteReference w:id="57"/>
      </w:r>
      <w:r>
        <w:t xml:space="preserve">  USCC </w:t>
      </w:r>
      <w:r w:rsidR="00E66FB7">
        <w:t xml:space="preserve">states that it </w:t>
      </w:r>
      <w:r>
        <w:t>tests these facilities twice per year to ensure that NNOC functions can be carried out at each facility.</w:t>
      </w:r>
      <w:r>
        <w:rPr>
          <w:rStyle w:val="FootnoteReference"/>
        </w:rPr>
        <w:footnoteReference w:id="58"/>
      </w:r>
      <w:r>
        <w:t xml:space="preserve">  In addition, </w:t>
      </w:r>
      <w:r w:rsidR="00E66FB7">
        <w:t xml:space="preserve">USCC states that </w:t>
      </w:r>
      <w:r>
        <w:t xml:space="preserve">Netcool is a “webtop” program </w:t>
      </w:r>
      <w:r w:rsidR="00E66FB7">
        <w:t xml:space="preserve">and </w:t>
      </w:r>
      <w:r>
        <w:t>is accessible from any USCC</w:t>
      </w:r>
      <w:r w:rsidR="00E518A4">
        <w:t>-</w:t>
      </w:r>
      <w:r>
        <w:t>owned LAN/WAN access point, (</w:t>
      </w:r>
      <w:r w:rsidRPr="00051644">
        <w:rPr>
          <w:i/>
        </w:rPr>
        <w:t>e.g</w:t>
      </w:r>
      <w:r>
        <w:t>., USCC business office or switch) or from a technician’s home location via USCC’s secure VPN portal.</w:t>
      </w:r>
      <w:r>
        <w:rPr>
          <w:rStyle w:val="FootnoteReference"/>
        </w:rPr>
        <w:footnoteReference w:id="59"/>
      </w:r>
      <w:r>
        <w:t xml:space="preserve"> </w:t>
      </w:r>
    </w:p>
    <w:p w:rsidR="00EE6EB4" w:rsidRPr="00D951BA" w:rsidRDefault="00AB1DC1" w:rsidP="00EE6EB4">
      <w:pPr>
        <w:pStyle w:val="ParaNum"/>
      </w:pPr>
      <w:r>
        <w:t>USCC states that t</w:t>
      </w:r>
      <w:r w:rsidR="00EE6EB4">
        <w:t xml:space="preserve">he hardware and software for the </w:t>
      </w:r>
      <w:r w:rsidR="00C14575">
        <w:t xml:space="preserve">NNOC “alarming platform” </w:t>
      </w:r>
      <w:r w:rsidR="00EE6EB4">
        <w:t>run on Linux servers.</w:t>
      </w:r>
      <w:r w:rsidR="00EE6EB4">
        <w:rPr>
          <w:rStyle w:val="FootnoteReference"/>
        </w:rPr>
        <w:footnoteReference w:id="60"/>
      </w:r>
      <w:r w:rsidR="00EE6EB4">
        <w:t xml:space="preserve">  USCC has two Linux servers at both the Schaumburg NNOC facility and the Knoxville data center.</w:t>
      </w:r>
      <w:r w:rsidR="00EE6EB4">
        <w:rPr>
          <w:rStyle w:val="FootnoteReference"/>
        </w:rPr>
        <w:footnoteReference w:id="61"/>
      </w:r>
      <w:r w:rsidR="00EE6EB4">
        <w:t xml:space="preserve">  If the Schaumburg NNOC were to</w:t>
      </w:r>
      <w:r w:rsidR="00A14D81">
        <w:t xml:space="preserve"> </w:t>
      </w:r>
      <w:r w:rsidR="00F9529E">
        <w:t>experience a</w:t>
      </w:r>
      <w:r w:rsidR="00A14D81">
        <w:t xml:space="preserve"> power outage</w:t>
      </w:r>
      <w:r w:rsidR="00EE6EB4">
        <w:t xml:space="preserve">, </w:t>
      </w:r>
      <w:r>
        <w:t xml:space="preserve">USCC states, </w:t>
      </w:r>
      <w:r w:rsidR="00EE6EB4">
        <w:t xml:space="preserve">there would be an immediate alarm to tell NNOC personnel that NNOC connectivity had been lost to the system.  An alarm also would be sent throughout the USCC network by email.  In that event, </w:t>
      </w:r>
      <w:r>
        <w:t xml:space="preserve">according to USCC, it </w:t>
      </w:r>
      <w:r w:rsidR="00EE6EB4">
        <w:t>would switch to the backup server.</w:t>
      </w:r>
      <w:r w:rsidR="00EE6EB4">
        <w:rPr>
          <w:rStyle w:val="FootnoteReference"/>
        </w:rPr>
        <w:footnoteReference w:id="62"/>
      </w:r>
      <w:r w:rsidR="00EE6EB4">
        <w:t xml:space="preserve">  If both servers failed at the Schaumburg facility, the system would be switched to a server in Knoxville.</w:t>
      </w:r>
      <w:r w:rsidR="00EE6EB4">
        <w:rPr>
          <w:rStyle w:val="FootnoteReference"/>
        </w:rPr>
        <w:footnoteReference w:id="63"/>
      </w:r>
      <w:r w:rsidR="00EE6EB4">
        <w:t xml:space="preserve">  </w:t>
      </w:r>
      <w:r>
        <w:t>USCC states that t</w:t>
      </w:r>
      <w:r w:rsidR="00EE6EB4">
        <w:t>he NNOC has a permanent generator with a 1700</w:t>
      </w:r>
      <w:r w:rsidR="00E518A4">
        <w:t>-</w:t>
      </w:r>
      <w:r w:rsidR="00EE6EB4">
        <w:t>gallon diesel fuel tank capable of maintaining power for up to 48 hours.</w:t>
      </w:r>
      <w:r w:rsidR="00EE6EB4">
        <w:rPr>
          <w:rStyle w:val="FootnoteReference"/>
        </w:rPr>
        <w:footnoteReference w:id="64"/>
      </w:r>
      <w:r w:rsidR="00EE6EB4">
        <w:t xml:space="preserve">  </w:t>
      </w:r>
      <w:r>
        <w:t xml:space="preserve">USCC also states that it </w:t>
      </w:r>
      <w:r w:rsidR="00EE6EB4">
        <w:t>would schedule refueling immediately during any commercial power outage.  If fuel could not be delivered, USCC would move operations to one of the alternate NNOC facilities.</w:t>
      </w:r>
      <w:r w:rsidR="00EE6EB4">
        <w:rPr>
          <w:rStyle w:val="FootnoteReference"/>
        </w:rPr>
        <w:footnoteReference w:id="65"/>
      </w:r>
    </w:p>
    <w:p w:rsidR="003009A4" w:rsidRDefault="00EE6EB4" w:rsidP="00EE6EB4">
      <w:pPr>
        <w:pStyle w:val="ParaNum"/>
      </w:pPr>
      <w:r>
        <w:t>USCC</w:t>
      </w:r>
      <w:r w:rsidR="00AB1DC1">
        <w:t xml:space="preserve"> notes that its </w:t>
      </w:r>
      <w:r>
        <w:t>cell sites are operated by commercial electric power, supported by batteries and generators.</w:t>
      </w:r>
      <w:r>
        <w:rPr>
          <w:rStyle w:val="FootnoteReference"/>
        </w:rPr>
        <w:footnoteReference w:id="66"/>
      </w:r>
      <w:r>
        <w:t xml:space="preserve">  Each USCC cell site has at least eight hours of backup battery power or a permanent generator.</w:t>
      </w:r>
      <w:r>
        <w:rPr>
          <w:rStyle w:val="FootnoteReference"/>
        </w:rPr>
        <w:footnoteReference w:id="67"/>
      </w:r>
      <w:r>
        <w:t xml:space="preserve">  If a cell site loses power, </w:t>
      </w:r>
      <w:r w:rsidR="00AB1DC1">
        <w:t xml:space="preserve">USCC states, </w:t>
      </w:r>
      <w:r>
        <w:t>the site remains in service running on battery power.</w:t>
      </w:r>
      <w:r w:rsidR="009C5159">
        <w:rPr>
          <w:rStyle w:val="FootnoteReference"/>
        </w:rPr>
        <w:footnoteReference w:id="68"/>
      </w:r>
      <w:r>
        <w:t xml:space="preserve">  If the site has a permanent generator, the generator automatically takes over to supply power to the cell site immediately in the event of a power failure.  </w:t>
      </w:r>
      <w:r w:rsidR="00AB1DC1">
        <w:t>USCC also states that i</w:t>
      </w:r>
      <w:r>
        <w:t xml:space="preserve">f there is an extended commercial power outage, </w:t>
      </w:r>
      <w:r w:rsidR="00AB1DC1">
        <w:t xml:space="preserve">it </w:t>
      </w:r>
      <w:r>
        <w:t>strives to deploy portable generators to those sites remaining on batteries.</w:t>
      </w:r>
      <w:r>
        <w:rPr>
          <w:rStyle w:val="FootnoteReference"/>
        </w:rPr>
        <w:footnoteReference w:id="69"/>
      </w:r>
      <w:r>
        <w:t xml:space="preserve">  Each of these steps is monitored through the NNOC.</w:t>
      </w:r>
      <w:r>
        <w:rPr>
          <w:rStyle w:val="FootnoteReference"/>
        </w:rPr>
        <w:footnoteReference w:id="70"/>
      </w:r>
    </w:p>
    <w:p w:rsidR="00A53A6F" w:rsidRPr="00E7708F" w:rsidRDefault="003009A4" w:rsidP="00EE6EB4">
      <w:pPr>
        <w:pStyle w:val="ParaNum"/>
      </w:pPr>
      <w:r w:rsidRPr="00157FF6">
        <w:t xml:space="preserve">USCC </w:t>
      </w:r>
      <w:r>
        <w:t>estimates that its total annual cost to perform quarterly tower inspections is $683,207 and states that this is burdensome, expensive, and unnecessary.</w:t>
      </w:r>
      <w:r>
        <w:rPr>
          <w:rStyle w:val="FootnoteReference"/>
        </w:rPr>
        <w:footnoteReference w:id="71"/>
      </w:r>
      <w:r>
        <w:t xml:space="preserve">  Further, USCC </w:t>
      </w:r>
      <w:r w:rsidR="00AB1DC1">
        <w:t>states</w:t>
      </w:r>
      <w:r>
        <w:t xml:space="preserve"> that the NTAM system has had no failures and has reliably identified all “NOTAM worthy” lighting outages.</w:t>
      </w:r>
      <w:r>
        <w:rPr>
          <w:rStyle w:val="FootnoteReference"/>
        </w:rPr>
        <w:footnoteReference w:id="72"/>
      </w:r>
      <w:r>
        <w:t xml:space="preserve">  USCC notes that between December 1</w:t>
      </w:r>
      <w:r w:rsidR="009C5159">
        <w:t>2</w:t>
      </w:r>
      <w:r>
        <w:t>, 2013 and June 12, 2014, the NNOC captured and logged 22,866 tower light alarms</w:t>
      </w:r>
      <w:r w:rsidR="000F3E0C">
        <w:t>,</w:t>
      </w:r>
      <w:r>
        <w:t xml:space="preserve"> and</w:t>
      </w:r>
      <w:r w:rsidR="00E518A4">
        <w:t xml:space="preserve"> it</w:t>
      </w:r>
      <w:r>
        <w:t xml:space="preserve"> followed established FAA reporting procedures in each instance.</w:t>
      </w:r>
      <w:r>
        <w:rPr>
          <w:rStyle w:val="FootnoteReference"/>
        </w:rPr>
        <w:footnoteReference w:id="73"/>
      </w:r>
      <w:r>
        <w:t xml:space="preserve">  USCC further states that it has never been the subject of an FCC forfeiture notice regarding a lighting outage.</w:t>
      </w:r>
      <w:r>
        <w:rPr>
          <w:rStyle w:val="FootnoteReference"/>
        </w:rPr>
        <w:footnoteReference w:id="74"/>
      </w:r>
      <w:r w:rsidR="001C6DAA">
        <w:t xml:space="preserve">  </w:t>
      </w:r>
      <w:r w:rsidR="004D1D15" w:rsidRPr="001A079F">
        <w:t xml:space="preserve">  </w:t>
      </w:r>
      <w:r w:rsidR="00311C4A" w:rsidRPr="001A079F">
        <w:t xml:space="preserve">  </w:t>
      </w:r>
    </w:p>
    <w:p w:rsidR="000F1D12" w:rsidRPr="00E7708F" w:rsidRDefault="000F1D12" w:rsidP="0037711E">
      <w:pPr>
        <w:pStyle w:val="Heading1"/>
      </w:pPr>
      <w:r w:rsidRPr="00E7708F">
        <w:t>DISCUSSION</w:t>
      </w:r>
    </w:p>
    <w:p w:rsidR="00475108" w:rsidRPr="00D951BA" w:rsidRDefault="000A23C0" w:rsidP="0037711E">
      <w:pPr>
        <w:pStyle w:val="ParaNum"/>
        <w:rPr>
          <w:szCs w:val="22"/>
        </w:rPr>
      </w:pPr>
      <w:r w:rsidRPr="00E518A4">
        <w:rPr>
          <w:szCs w:val="22"/>
        </w:rPr>
        <w:t xml:space="preserve"> In </w:t>
      </w:r>
      <w:r w:rsidR="00750B5E" w:rsidRPr="00E518A4">
        <w:rPr>
          <w:szCs w:val="22"/>
        </w:rPr>
        <w:t xml:space="preserve">the </w:t>
      </w:r>
      <w:r w:rsidR="00750B5E" w:rsidRPr="00E518A4">
        <w:rPr>
          <w:i/>
          <w:szCs w:val="22"/>
        </w:rPr>
        <w:t>ATC/GSI Waiver Order</w:t>
      </w:r>
      <w:r w:rsidR="00750B5E" w:rsidRPr="00E518A4">
        <w:rPr>
          <w:szCs w:val="22"/>
        </w:rPr>
        <w:t xml:space="preserve">, </w:t>
      </w:r>
      <w:r w:rsidRPr="00E518A4">
        <w:rPr>
          <w:szCs w:val="22"/>
        </w:rPr>
        <w:t xml:space="preserve">the Commission </w:t>
      </w:r>
      <w:r w:rsidR="00A803B4" w:rsidRPr="00E518A4">
        <w:rPr>
          <w:szCs w:val="22"/>
        </w:rPr>
        <w:t>found</w:t>
      </w:r>
      <w:r w:rsidR="00DD5203" w:rsidRPr="00E518A4">
        <w:rPr>
          <w:szCs w:val="22"/>
        </w:rPr>
        <w:t xml:space="preserve"> that the monitoring systems used by ATC and GSI </w:t>
      </w:r>
      <w:r w:rsidR="00A803B4" w:rsidRPr="00E518A4">
        <w:rPr>
          <w:szCs w:val="22"/>
        </w:rPr>
        <w:t>met the standard</w:t>
      </w:r>
      <w:r w:rsidR="00E518A4" w:rsidRPr="00E518A4">
        <w:rPr>
          <w:szCs w:val="22"/>
        </w:rPr>
        <w:t xml:space="preserve"> for waiver of the quarterly inspection rule</w:t>
      </w:r>
      <w:r w:rsidR="00E518A4" w:rsidRPr="00E7708F">
        <w:rPr>
          <w:rStyle w:val="FootnoteReference"/>
          <w:szCs w:val="22"/>
        </w:rPr>
        <w:footnoteReference w:id="75"/>
      </w:r>
      <w:r w:rsidR="00E518A4" w:rsidRPr="00E518A4">
        <w:rPr>
          <w:szCs w:val="22"/>
        </w:rPr>
        <w:t xml:space="preserve"> </w:t>
      </w:r>
      <w:r w:rsidR="00A803B4" w:rsidRPr="00E518A4">
        <w:rPr>
          <w:szCs w:val="22"/>
        </w:rPr>
        <w:t xml:space="preserve">by employing </w:t>
      </w:r>
      <w:r w:rsidR="00B132FB" w:rsidRPr="00E518A4">
        <w:rPr>
          <w:szCs w:val="22"/>
        </w:rPr>
        <w:t xml:space="preserve">self-diagnostic functions </w:t>
      </w:r>
      <w:r w:rsidR="00475108" w:rsidRPr="00E518A4">
        <w:rPr>
          <w:szCs w:val="22"/>
        </w:rPr>
        <w:t>(</w:t>
      </w:r>
      <w:r w:rsidR="00B132FB" w:rsidRPr="00E518A4">
        <w:rPr>
          <w:szCs w:val="22"/>
        </w:rPr>
        <w:t xml:space="preserve">such as alarm </w:t>
      </w:r>
      <w:r w:rsidR="00B132FB" w:rsidRPr="00F54E66">
        <w:t>notification</w:t>
      </w:r>
      <w:r w:rsidR="00B132FB" w:rsidRPr="00E518A4">
        <w:rPr>
          <w:szCs w:val="22"/>
        </w:rPr>
        <w:t>, 24-hour polling, and manual contact</w:t>
      </w:r>
      <w:r w:rsidR="00475108" w:rsidRPr="00E518A4">
        <w:rPr>
          <w:szCs w:val="22"/>
        </w:rPr>
        <w:t xml:space="preserve">), a NOC </w:t>
      </w:r>
      <w:r w:rsidR="00B132FB" w:rsidRPr="00E518A4">
        <w:rPr>
          <w:szCs w:val="22"/>
        </w:rPr>
        <w:t xml:space="preserve">staffed with trained personnel </w:t>
      </w:r>
      <w:r w:rsidR="00B132FB" w:rsidRPr="00F54E66">
        <w:t>capable</w:t>
      </w:r>
      <w:r w:rsidR="00B132FB" w:rsidRPr="00E518A4">
        <w:rPr>
          <w:szCs w:val="22"/>
        </w:rPr>
        <w:t xml:space="preserve"> of responding to alarms 24 hours per day, 365 d</w:t>
      </w:r>
      <w:r w:rsidR="00475108" w:rsidRPr="00E518A4">
        <w:rPr>
          <w:szCs w:val="22"/>
        </w:rPr>
        <w:t>ay</w:t>
      </w:r>
      <w:r w:rsidR="00B132FB" w:rsidRPr="00E518A4">
        <w:rPr>
          <w:szCs w:val="22"/>
        </w:rPr>
        <w:t>s per year</w:t>
      </w:r>
      <w:r w:rsidR="00475108" w:rsidRPr="00E518A4">
        <w:rPr>
          <w:szCs w:val="22"/>
        </w:rPr>
        <w:t>,</w:t>
      </w:r>
      <w:r w:rsidR="00B132FB" w:rsidRPr="00E518A4">
        <w:rPr>
          <w:szCs w:val="22"/>
        </w:rPr>
        <w:t xml:space="preserve"> and a backup operations center that ha</w:t>
      </w:r>
      <w:r w:rsidR="00750B5E" w:rsidRPr="00E518A4">
        <w:rPr>
          <w:szCs w:val="22"/>
        </w:rPr>
        <w:t>d</w:t>
      </w:r>
      <w:r w:rsidR="00B132FB" w:rsidRPr="00E518A4">
        <w:rPr>
          <w:szCs w:val="22"/>
        </w:rPr>
        <w:t xml:space="preserve"> specific procedures for transferring the monitoring duties of the system in the event of a catastrophic failure at the primary NOC.</w:t>
      </w:r>
      <w:r w:rsidR="00B132FB">
        <w:rPr>
          <w:rStyle w:val="FootnoteReference"/>
          <w:szCs w:val="22"/>
        </w:rPr>
        <w:footnoteReference w:id="76"/>
      </w:r>
      <w:r w:rsidR="004A4A06" w:rsidRPr="00E518A4">
        <w:rPr>
          <w:szCs w:val="22"/>
        </w:rPr>
        <w:t xml:space="preserve">  </w:t>
      </w:r>
      <w:r w:rsidR="00E518A4" w:rsidRPr="00E518A4">
        <w:rPr>
          <w:szCs w:val="22"/>
        </w:rPr>
        <w:t>Specifically, the Commission determined that monitoring systems with the above-mentioned features are sufficiently robust as to make quarterly inspections unnecessary to ensure that the control devices, indicators, and alarm systems on the antenna structures are operating properly.</w:t>
      </w:r>
      <w:r w:rsidR="00E518A4">
        <w:rPr>
          <w:rStyle w:val="FootnoteReference"/>
          <w:szCs w:val="22"/>
        </w:rPr>
        <w:footnoteReference w:id="77"/>
      </w:r>
      <w:r w:rsidR="00E518A4" w:rsidRPr="00E518A4">
        <w:rPr>
          <w:szCs w:val="22"/>
        </w:rPr>
        <w:t xml:space="preserve">  </w:t>
      </w:r>
      <w:r w:rsidR="001546A7" w:rsidRPr="00E518A4">
        <w:rPr>
          <w:szCs w:val="22"/>
        </w:rPr>
        <w:t xml:space="preserve">WTB made similar findings on delegated authority when it subsequently granted a number of </w:t>
      </w:r>
      <w:r w:rsidR="00515590" w:rsidRPr="00E518A4">
        <w:rPr>
          <w:szCs w:val="22"/>
        </w:rPr>
        <w:t xml:space="preserve">other </w:t>
      </w:r>
      <w:r w:rsidR="001546A7" w:rsidRPr="00C04A41">
        <w:rPr>
          <w:szCs w:val="22"/>
        </w:rPr>
        <w:t>requests for limited waivers of Section 17.47(b) filed by antenna structure owners using advanced monitoring systems.</w:t>
      </w:r>
      <w:r w:rsidR="00EF3B5A">
        <w:rPr>
          <w:rStyle w:val="FootnoteReference"/>
          <w:szCs w:val="22"/>
        </w:rPr>
        <w:footnoteReference w:id="78"/>
      </w:r>
      <w:r w:rsidR="001546A7" w:rsidRPr="00E518A4">
        <w:rPr>
          <w:szCs w:val="22"/>
        </w:rPr>
        <w:t xml:space="preserve">  </w:t>
      </w:r>
      <w:r w:rsidR="00E518A4">
        <w:rPr>
          <w:szCs w:val="22"/>
        </w:rPr>
        <w:t xml:space="preserve">In the </w:t>
      </w:r>
      <w:r w:rsidR="00E518A4">
        <w:rPr>
          <w:i/>
          <w:szCs w:val="22"/>
        </w:rPr>
        <w:t>Antenna Structure Report and Order</w:t>
      </w:r>
      <w:r w:rsidR="00E518A4">
        <w:rPr>
          <w:szCs w:val="22"/>
        </w:rPr>
        <w:t>, the Commission determined that monitoring systems meeting these criteria would support relief from all periodic inspection requirements, not merely extension to an annual cycle, and it codified this determination in a rule.</w:t>
      </w:r>
      <w:r w:rsidR="00C04A41">
        <w:rPr>
          <w:rStyle w:val="FootnoteReference"/>
          <w:szCs w:val="22"/>
        </w:rPr>
        <w:footnoteReference w:id="79"/>
      </w:r>
      <w:r w:rsidR="00C04A41" w:rsidRPr="00665288">
        <w:rPr>
          <w:szCs w:val="22"/>
        </w:rPr>
        <w:t xml:space="preserve"> </w:t>
      </w:r>
    </w:p>
    <w:p w:rsidR="00DD7A27" w:rsidRPr="00FD3672" w:rsidRDefault="00E050BE" w:rsidP="0050170D">
      <w:pPr>
        <w:pStyle w:val="ParaNum"/>
      </w:pPr>
      <w:r w:rsidRPr="00665288">
        <w:rPr>
          <w:szCs w:val="22"/>
        </w:rPr>
        <w:t xml:space="preserve">As discussed below, </w:t>
      </w:r>
      <w:r w:rsidR="00961708" w:rsidRPr="00665288">
        <w:rPr>
          <w:szCs w:val="22"/>
        </w:rPr>
        <w:t>we grant USCC’s request</w:t>
      </w:r>
      <w:r w:rsidR="00C04A41">
        <w:rPr>
          <w:szCs w:val="22"/>
        </w:rPr>
        <w:t xml:space="preserve"> for relief</w:t>
      </w:r>
      <w:r w:rsidR="00961708" w:rsidRPr="00665288">
        <w:rPr>
          <w:szCs w:val="22"/>
        </w:rPr>
        <w:t xml:space="preserve"> </w:t>
      </w:r>
      <w:r w:rsidR="00961708">
        <w:rPr>
          <w:szCs w:val="22"/>
        </w:rPr>
        <w:t>because its</w:t>
      </w:r>
      <w:r w:rsidR="00EF3B5A">
        <w:rPr>
          <w:szCs w:val="22"/>
        </w:rPr>
        <w:t xml:space="preserve"> </w:t>
      </w:r>
      <w:r w:rsidR="00701B2D" w:rsidRPr="00665288">
        <w:rPr>
          <w:szCs w:val="22"/>
        </w:rPr>
        <w:t xml:space="preserve">NTAM system meets the </w:t>
      </w:r>
      <w:r w:rsidR="00961708">
        <w:rPr>
          <w:szCs w:val="22"/>
        </w:rPr>
        <w:t xml:space="preserve">standard adopted </w:t>
      </w:r>
      <w:r w:rsidR="00EF3B5A">
        <w:rPr>
          <w:szCs w:val="22"/>
        </w:rPr>
        <w:t xml:space="preserve">by the Commission </w:t>
      </w:r>
      <w:r w:rsidR="00701B2D" w:rsidRPr="00665288">
        <w:rPr>
          <w:szCs w:val="22"/>
        </w:rPr>
        <w:t xml:space="preserve">in the </w:t>
      </w:r>
      <w:r w:rsidR="00750B5E" w:rsidRPr="00750B5E">
        <w:rPr>
          <w:i/>
          <w:szCs w:val="22"/>
        </w:rPr>
        <w:t>ATC/GSI Waiver Order</w:t>
      </w:r>
      <w:r w:rsidR="00701B2D" w:rsidRPr="00665288">
        <w:rPr>
          <w:szCs w:val="22"/>
        </w:rPr>
        <w:t xml:space="preserve">, </w:t>
      </w:r>
      <w:r w:rsidR="001546A7">
        <w:rPr>
          <w:szCs w:val="22"/>
        </w:rPr>
        <w:t xml:space="preserve">as well as subsequent waiver orders </w:t>
      </w:r>
      <w:r w:rsidR="00961708">
        <w:rPr>
          <w:szCs w:val="22"/>
        </w:rPr>
        <w:t xml:space="preserve">adopted </w:t>
      </w:r>
      <w:r w:rsidR="001546A7">
        <w:rPr>
          <w:szCs w:val="22"/>
        </w:rPr>
        <w:t>by WTB</w:t>
      </w:r>
      <w:r w:rsidR="00961708">
        <w:rPr>
          <w:szCs w:val="22"/>
        </w:rPr>
        <w:t xml:space="preserve"> on delegated authority.</w:t>
      </w:r>
      <w:r w:rsidR="00C04A41">
        <w:rPr>
          <w:szCs w:val="22"/>
        </w:rPr>
        <w:t xml:space="preserve"> </w:t>
      </w:r>
      <w:r w:rsidR="00701B2D" w:rsidRPr="00665288">
        <w:rPr>
          <w:szCs w:val="22"/>
        </w:rPr>
        <w:t xml:space="preserve"> </w:t>
      </w:r>
      <w:r w:rsidR="00961708">
        <w:rPr>
          <w:szCs w:val="22"/>
        </w:rPr>
        <w:t xml:space="preserve">Accordingly, </w:t>
      </w:r>
      <w:r w:rsidR="00C04A41">
        <w:rPr>
          <w:szCs w:val="22"/>
        </w:rPr>
        <w:t xml:space="preserve">consistent with the Commission’s holding in the </w:t>
      </w:r>
      <w:r w:rsidR="00C04A41">
        <w:rPr>
          <w:i/>
          <w:szCs w:val="22"/>
        </w:rPr>
        <w:t>Antenna Structure Report and Order</w:t>
      </w:r>
      <w:r w:rsidR="00C04A41">
        <w:rPr>
          <w:szCs w:val="22"/>
        </w:rPr>
        <w:t>,</w:t>
      </w:r>
      <w:r w:rsidR="00753E80">
        <w:rPr>
          <w:szCs w:val="22"/>
        </w:rPr>
        <w:t xml:space="preserve"> a</w:t>
      </w:r>
      <w:r w:rsidRPr="00665288">
        <w:rPr>
          <w:szCs w:val="22"/>
        </w:rPr>
        <w:t xml:space="preserve">pplication of the quarterly inspection requirements of Section 17.47(b) to </w:t>
      </w:r>
      <w:r w:rsidR="00753E80">
        <w:rPr>
          <w:szCs w:val="22"/>
        </w:rPr>
        <w:t>USCC’s</w:t>
      </w:r>
      <w:r w:rsidRPr="00665288">
        <w:rPr>
          <w:szCs w:val="22"/>
        </w:rPr>
        <w:t xml:space="preserve"> towers is not necessary to </w:t>
      </w:r>
      <w:r w:rsidR="00A1747A" w:rsidRPr="00A803B4">
        <w:rPr>
          <w:szCs w:val="22"/>
        </w:rPr>
        <w:t>ensure that the control devices, indicators, and alarm systems on the antenna structures are operating properly</w:t>
      </w:r>
      <w:r w:rsidR="009241E6">
        <w:rPr>
          <w:szCs w:val="22"/>
        </w:rPr>
        <w:t xml:space="preserve">.  We </w:t>
      </w:r>
      <w:r w:rsidR="00753E80">
        <w:rPr>
          <w:szCs w:val="22"/>
        </w:rPr>
        <w:t xml:space="preserve">determine that </w:t>
      </w:r>
      <w:r w:rsidR="00A1747A">
        <w:rPr>
          <w:szCs w:val="22"/>
        </w:rPr>
        <w:t xml:space="preserve">the monitoring system used by </w:t>
      </w:r>
      <w:r w:rsidR="00D73045">
        <w:rPr>
          <w:szCs w:val="22"/>
        </w:rPr>
        <w:t>USCC meet</w:t>
      </w:r>
      <w:r w:rsidR="00A1747A">
        <w:rPr>
          <w:szCs w:val="22"/>
        </w:rPr>
        <w:t>s</w:t>
      </w:r>
      <w:r w:rsidR="00D73045">
        <w:rPr>
          <w:szCs w:val="22"/>
        </w:rPr>
        <w:t xml:space="preserve"> this purpose with self-diagnostic features that ensure timely detection of alarm system failures</w:t>
      </w:r>
      <w:r w:rsidR="009241E6">
        <w:rPr>
          <w:szCs w:val="22"/>
        </w:rPr>
        <w:t xml:space="preserve">, an </w:t>
      </w:r>
      <w:r w:rsidR="00D73045">
        <w:rPr>
          <w:szCs w:val="22"/>
        </w:rPr>
        <w:t xml:space="preserve">operations center staffed </w:t>
      </w:r>
      <w:r w:rsidR="00D73045" w:rsidRPr="00A803B4">
        <w:rPr>
          <w:szCs w:val="22"/>
        </w:rPr>
        <w:t xml:space="preserve">with trained personnel capable of responding to alarms 24 hours per day, 365 days per year, and a backup </w:t>
      </w:r>
      <w:r w:rsidR="009241E6">
        <w:rPr>
          <w:szCs w:val="22"/>
        </w:rPr>
        <w:t>o</w:t>
      </w:r>
      <w:r w:rsidR="00D73045" w:rsidRPr="00A803B4">
        <w:rPr>
          <w:szCs w:val="22"/>
        </w:rPr>
        <w:t xml:space="preserve">perations </w:t>
      </w:r>
      <w:r w:rsidR="009241E6">
        <w:rPr>
          <w:szCs w:val="22"/>
        </w:rPr>
        <w:t>c</w:t>
      </w:r>
      <w:r w:rsidR="00D73045" w:rsidRPr="00A803B4">
        <w:rPr>
          <w:szCs w:val="22"/>
        </w:rPr>
        <w:t>enter that can monitor systems in the event of catastrophic failure.</w:t>
      </w:r>
      <w:r w:rsidR="00A803B4">
        <w:rPr>
          <w:szCs w:val="22"/>
        </w:rPr>
        <w:t xml:space="preserve">  </w:t>
      </w:r>
    </w:p>
    <w:p w:rsidR="0019786C" w:rsidRPr="00FD3672" w:rsidRDefault="00A1747A" w:rsidP="007D08FF">
      <w:pPr>
        <w:pStyle w:val="ParaNum"/>
      </w:pPr>
      <w:r>
        <w:rPr>
          <w:szCs w:val="22"/>
        </w:rPr>
        <w:t>We find that USCC’s</w:t>
      </w:r>
      <w:r w:rsidR="00D42DBC" w:rsidRPr="000A23C0">
        <w:rPr>
          <w:szCs w:val="22"/>
        </w:rPr>
        <w:t xml:space="preserve"> </w:t>
      </w:r>
      <w:r w:rsidR="00DD5203">
        <w:rPr>
          <w:szCs w:val="22"/>
        </w:rPr>
        <w:t xml:space="preserve">NTAM system </w:t>
      </w:r>
      <w:r w:rsidR="00D42DBC" w:rsidRPr="000A23C0">
        <w:rPr>
          <w:szCs w:val="22"/>
        </w:rPr>
        <w:t xml:space="preserve">is similar </w:t>
      </w:r>
      <w:r w:rsidR="003F5488" w:rsidRPr="000A23C0">
        <w:rPr>
          <w:szCs w:val="22"/>
        </w:rPr>
        <w:t xml:space="preserve">or equivalent </w:t>
      </w:r>
      <w:r w:rsidR="00D42DBC" w:rsidRPr="000A23C0">
        <w:rPr>
          <w:szCs w:val="22"/>
        </w:rPr>
        <w:t xml:space="preserve">to </w:t>
      </w:r>
      <w:r w:rsidR="007941BF">
        <w:rPr>
          <w:szCs w:val="22"/>
        </w:rPr>
        <w:t xml:space="preserve">the </w:t>
      </w:r>
      <w:r w:rsidR="00DD5203">
        <w:rPr>
          <w:szCs w:val="22"/>
        </w:rPr>
        <w:t xml:space="preserve">monitoring systems </w:t>
      </w:r>
      <w:r w:rsidR="00EA146C">
        <w:rPr>
          <w:szCs w:val="22"/>
        </w:rPr>
        <w:t xml:space="preserve">evaluated </w:t>
      </w:r>
      <w:r w:rsidR="007941BF">
        <w:rPr>
          <w:szCs w:val="22"/>
        </w:rPr>
        <w:t xml:space="preserve">in </w:t>
      </w:r>
      <w:r>
        <w:rPr>
          <w:szCs w:val="22"/>
        </w:rPr>
        <w:t>prior waiver order</w:t>
      </w:r>
      <w:r w:rsidR="00F050C8">
        <w:rPr>
          <w:szCs w:val="22"/>
        </w:rPr>
        <w:t>s</w:t>
      </w:r>
      <w:r>
        <w:rPr>
          <w:szCs w:val="22"/>
        </w:rPr>
        <w:t xml:space="preserve"> because it</w:t>
      </w:r>
      <w:r w:rsidR="00885429">
        <w:rPr>
          <w:szCs w:val="22"/>
        </w:rPr>
        <w:t xml:space="preserve"> </w:t>
      </w:r>
      <w:r w:rsidR="003D40CF">
        <w:rPr>
          <w:szCs w:val="22"/>
        </w:rPr>
        <w:t xml:space="preserve">has </w:t>
      </w:r>
      <w:r w:rsidR="00D42DBC" w:rsidRPr="000A23C0">
        <w:rPr>
          <w:szCs w:val="22"/>
        </w:rPr>
        <w:t>continuous and permanent two-way link</w:t>
      </w:r>
      <w:r w:rsidR="002A43A2" w:rsidRPr="000A23C0">
        <w:rPr>
          <w:szCs w:val="22"/>
        </w:rPr>
        <w:t>s</w:t>
      </w:r>
      <w:r w:rsidR="00D42DBC" w:rsidRPr="000A23C0">
        <w:rPr>
          <w:szCs w:val="22"/>
        </w:rPr>
        <w:t xml:space="preserve"> between tower site</w:t>
      </w:r>
      <w:r w:rsidR="002A43A2" w:rsidRPr="000A23C0">
        <w:rPr>
          <w:szCs w:val="22"/>
        </w:rPr>
        <w:t>s</w:t>
      </w:r>
      <w:r w:rsidR="00D42DBC" w:rsidRPr="000A23C0">
        <w:rPr>
          <w:szCs w:val="22"/>
        </w:rPr>
        <w:t xml:space="preserve"> and the response center</w:t>
      </w:r>
      <w:r w:rsidR="00C81273">
        <w:rPr>
          <w:szCs w:val="22"/>
        </w:rPr>
        <w:t xml:space="preserve">, </w:t>
      </w:r>
      <w:r w:rsidR="00D42DBC" w:rsidRPr="000A23C0">
        <w:rPr>
          <w:szCs w:val="22"/>
        </w:rPr>
        <w:t>timely reporting of potential problems</w:t>
      </w:r>
      <w:r w:rsidR="00C81273">
        <w:rPr>
          <w:szCs w:val="22"/>
        </w:rPr>
        <w:t xml:space="preserve">, a </w:t>
      </w:r>
      <w:r w:rsidR="00D42DBC" w:rsidRPr="000A23C0">
        <w:rPr>
          <w:szCs w:val="22"/>
        </w:rPr>
        <w:t>continuously staffed response center</w:t>
      </w:r>
      <w:r w:rsidR="00C81273">
        <w:rPr>
          <w:szCs w:val="22"/>
        </w:rPr>
        <w:t xml:space="preserve">, </w:t>
      </w:r>
      <w:r w:rsidR="00D42DBC" w:rsidRPr="000A23C0">
        <w:rPr>
          <w:szCs w:val="22"/>
        </w:rPr>
        <w:t>24-hour polling of both lighting and communications systems</w:t>
      </w:r>
      <w:r w:rsidR="0043531E" w:rsidRPr="000A23C0">
        <w:rPr>
          <w:szCs w:val="22"/>
        </w:rPr>
        <w:t xml:space="preserve"> (or the equivalent)</w:t>
      </w:r>
      <w:r w:rsidR="00C81273">
        <w:rPr>
          <w:szCs w:val="22"/>
        </w:rPr>
        <w:t xml:space="preserve">, </w:t>
      </w:r>
      <w:r w:rsidR="00D42DBC" w:rsidRPr="000A23C0">
        <w:rPr>
          <w:szCs w:val="22"/>
        </w:rPr>
        <w:t>on demand interrogation capabilities</w:t>
      </w:r>
      <w:r w:rsidR="00C81273">
        <w:rPr>
          <w:szCs w:val="22"/>
        </w:rPr>
        <w:t>, b</w:t>
      </w:r>
      <w:r w:rsidR="00D42DBC" w:rsidRPr="000A23C0">
        <w:rPr>
          <w:szCs w:val="22"/>
        </w:rPr>
        <w:t>ackup response centers</w:t>
      </w:r>
      <w:r w:rsidR="00C81273">
        <w:rPr>
          <w:szCs w:val="22"/>
        </w:rPr>
        <w:t xml:space="preserve">, </w:t>
      </w:r>
      <w:r w:rsidR="00D42DBC" w:rsidRPr="000A23C0">
        <w:rPr>
          <w:szCs w:val="22"/>
        </w:rPr>
        <w:t>and essentially uninterrupted communications between the response center and the towers during power outages.</w:t>
      </w:r>
      <w:r w:rsidR="00D42DBC" w:rsidRPr="00676380">
        <w:rPr>
          <w:rStyle w:val="FootnoteReference"/>
          <w:szCs w:val="22"/>
        </w:rPr>
        <w:footnoteReference w:id="80"/>
      </w:r>
      <w:r w:rsidR="007C755E" w:rsidRPr="000A23C0">
        <w:rPr>
          <w:szCs w:val="22"/>
        </w:rPr>
        <w:t xml:space="preserve">  Although USCC does not poll its sites remotely from the NNOC, the NNOC’s link to all base stations is continuous and “real time</w:t>
      </w:r>
      <w:r w:rsidR="00677CEE">
        <w:rPr>
          <w:szCs w:val="22"/>
        </w:rPr>
        <w:t>,</w:t>
      </w:r>
      <w:r w:rsidR="007C755E" w:rsidRPr="000A23C0">
        <w:rPr>
          <w:szCs w:val="22"/>
        </w:rPr>
        <w:t>” and the system generates an alarm whenever th</w:t>
      </w:r>
      <w:r w:rsidR="00D145B4" w:rsidRPr="000A23C0">
        <w:rPr>
          <w:szCs w:val="22"/>
        </w:rPr>
        <w:t>at link is broken</w:t>
      </w:r>
      <w:r w:rsidR="007C755E" w:rsidRPr="000A23C0">
        <w:rPr>
          <w:szCs w:val="22"/>
        </w:rPr>
        <w:t>.</w:t>
      </w:r>
      <w:r w:rsidR="007C755E">
        <w:rPr>
          <w:rStyle w:val="FootnoteReference"/>
          <w:szCs w:val="22"/>
        </w:rPr>
        <w:footnoteReference w:id="81"/>
      </w:r>
      <w:r w:rsidR="00C81273">
        <w:rPr>
          <w:szCs w:val="22"/>
        </w:rPr>
        <w:t xml:space="preserve"> </w:t>
      </w:r>
    </w:p>
    <w:p w:rsidR="00D42DBC" w:rsidRPr="008B0E30" w:rsidRDefault="00D42DBC" w:rsidP="00D42DBC">
      <w:pPr>
        <w:pStyle w:val="ParaNum"/>
        <w:rPr>
          <w:szCs w:val="22"/>
        </w:rPr>
      </w:pPr>
      <w:r w:rsidRPr="008B0E30">
        <w:rPr>
          <w:szCs w:val="22"/>
        </w:rPr>
        <w:t xml:space="preserve">For the reasons cited </w:t>
      </w:r>
      <w:r w:rsidR="00A1747A">
        <w:rPr>
          <w:szCs w:val="22"/>
        </w:rPr>
        <w:t xml:space="preserve">in </w:t>
      </w:r>
      <w:r w:rsidR="00C04A41">
        <w:rPr>
          <w:szCs w:val="22"/>
        </w:rPr>
        <w:t>the earlier</w:t>
      </w:r>
      <w:r w:rsidR="00A1747A">
        <w:rPr>
          <w:szCs w:val="22"/>
        </w:rPr>
        <w:t xml:space="preserve"> waiver</w:t>
      </w:r>
      <w:r w:rsidRPr="008B0E30">
        <w:rPr>
          <w:szCs w:val="22"/>
        </w:rPr>
        <w:t xml:space="preserve"> orders, </w:t>
      </w:r>
      <w:r w:rsidR="003D40CF">
        <w:rPr>
          <w:szCs w:val="22"/>
        </w:rPr>
        <w:t>w</w:t>
      </w:r>
      <w:r w:rsidR="003D40CF" w:rsidRPr="008B0E30">
        <w:rPr>
          <w:szCs w:val="22"/>
        </w:rPr>
        <w:t xml:space="preserve">e conclude that </w:t>
      </w:r>
      <w:r w:rsidR="003D40CF">
        <w:t>USCC</w:t>
      </w:r>
      <w:r w:rsidR="003D40CF" w:rsidRPr="008B0E30">
        <w:rPr>
          <w:szCs w:val="22"/>
        </w:rPr>
        <w:t xml:space="preserve"> is operating a safe and reliable monitoring system with tracking mechanisms to evaluate the remote monitoring technology</w:t>
      </w:r>
      <w:r w:rsidR="00677CEE">
        <w:rPr>
          <w:szCs w:val="22"/>
        </w:rPr>
        <w:t xml:space="preserve">.  </w:t>
      </w:r>
      <w:r w:rsidR="00976073">
        <w:rPr>
          <w:szCs w:val="22"/>
        </w:rPr>
        <w:t xml:space="preserve">Moreover, </w:t>
      </w:r>
      <w:r w:rsidR="003D40CF" w:rsidRPr="008B0E30">
        <w:rPr>
          <w:szCs w:val="22"/>
        </w:rPr>
        <w:t>features of this system provide sufficiently robust monitoring of the control devices, indicators</w:t>
      </w:r>
      <w:r w:rsidR="003D40CF">
        <w:rPr>
          <w:szCs w:val="22"/>
        </w:rPr>
        <w:t>,</w:t>
      </w:r>
      <w:r w:rsidR="003D40CF" w:rsidRPr="008B0E30">
        <w:rPr>
          <w:szCs w:val="22"/>
        </w:rPr>
        <w:t xml:space="preserve"> and alarm systems so as to render quarterly inspections unnecessary</w:t>
      </w:r>
      <w:r w:rsidRPr="008B0E30">
        <w:rPr>
          <w:szCs w:val="22"/>
        </w:rPr>
        <w:t>.</w:t>
      </w:r>
      <w:r w:rsidRPr="008B0E30">
        <w:rPr>
          <w:rStyle w:val="FootnoteReference"/>
          <w:szCs w:val="22"/>
        </w:rPr>
        <w:footnoteReference w:id="82"/>
      </w:r>
      <w:r w:rsidRPr="008B0E30">
        <w:rPr>
          <w:szCs w:val="22"/>
        </w:rPr>
        <w:t xml:space="preserve">  </w:t>
      </w:r>
      <w:r w:rsidR="009777DB">
        <w:rPr>
          <w:szCs w:val="22"/>
        </w:rPr>
        <w:t>The NTAM system, like systems</w:t>
      </w:r>
      <w:r w:rsidR="00C04A41">
        <w:rPr>
          <w:szCs w:val="22"/>
        </w:rPr>
        <w:t xml:space="preserve"> that</w:t>
      </w:r>
      <w:r w:rsidR="00A1747A">
        <w:rPr>
          <w:szCs w:val="22"/>
        </w:rPr>
        <w:t xml:space="preserve"> previously </w:t>
      </w:r>
      <w:r w:rsidR="00C04A41">
        <w:rPr>
          <w:szCs w:val="22"/>
        </w:rPr>
        <w:t>supported</w:t>
      </w:r>
      <w:r w:rsidR="00A1747A">
        <w:rPr>
          <w:szCs w:val="22"/>
        </w:rPr>
        <w:t xml:space="preserve"> a waiver</w:t>
      </w:r>
      <w:r w:rsidR="009777DB">
        <w:rPr>
          <w:szCs w:val="22"/>
        </w:rPr>
        <w:t>, reliably diagnoses problems, including any failures of control devices, indicators</w:t>
      </w:r>
      <w:r w:rsidR="00677CEE">
        <w:rPr>
          <w:szCs w:val="22"/>
        </w:rPr>
        <w:t>,</w:t>
      </w:r>
      <w:r w:rsidR="009777DB">
        <w:rPr>
          <w:szCs w:val="22"/>
        </w:rPr>
        <w:t xml:space="preserve"> and alarm systems, within real time.</w:t>
      </w:r>
      <w:r w:rsidR="009777DB">
        <w:rPr>
          <w:rStyle w:val="FootnoteReference"/>
          <w:szCs w:val="22"/>
        </w:rPr>
        <w:footnoteReference w:id="83"/>
      </w:r>
      <w:r w:rsidR="009777DB">
        <w:rPr>
          <w:szCs w:val="22"/>
        </w:rPr>
        <w:t xml:space="preserve">  </w:t>
      </w:r>
      <w:r w:rsidRPr="008B0E30">
        <w:rPr>
          <w:szCs w:val="22"/>
        </w:rPr>
        <w:t xml:space="preserve">Indeed, such advanced technology provides the benefits of more rapid response where there has been a lighting failure, and thus the public interest is served with respect to aircraft safety.  In addition, granting </w:t>
      </w:r>
      <w:r w:rsidR="00C04A41">
        <w:rPr>
          <w:szCs w:val="22"/>
        </w:rPr>
        <w:t>relief</w:t>
      </w:r>
      <w:r w:rsidRPr="008B0E30">
        <w:rPr>
          <w:szCs w:val="22"/>
        </w:rPr>
        <w:t xml:space="preserve"> to </w:t>
      </w:r>
      <w:r w:rsidR="00C87833">
        <w:t>USCC</w:t>
      </w:r>
      <w:r w:rsidR="00FB79D4" w:rsidRPr="008B0E30">
        <w:rPr>
          <w:szCs w:val="22"/>
        </w:rPr>
        <w:t xml:space="preserve"> </w:t>
      </w:r>
      <w:r w:rsidRPr="008B0E30">
        <w:rPr>
          <w:szCs w:val="22"/>
        </w:rPr>
        <w:t xml:space="preserve">will save </w:t>
      </w:r>
      <w:r w:rsidR="009348C2">
        <w:rPr>
          <w:szCs w:val="22"/>
        </w:rPr>
        <w:t xml:space="preserve">substantial resources </w:t>
      </w:r>
      <w:r w:rsidRPr="008B0E30">
        <w:rPr>
          <w:szCs w:val="22"/>
        </w:rPr>
        <w:t xml:space="preserve">that </w:t>
      </w:r>
      <w:r w:rsidR="009348C2">
        <w:rPr>
          <w:szCs w:val="22"/>
        </w:rPr>
        <w:t>would otherwise be devoted</w:t>
      </w:r>
      <w:r w:rsidRPr="008B0E30">
        <w:rPr>
          <w:szCs w:val="22"/>
        </w:rPr>
        <w:t xml:space="preserve"> unnecessarily </w:t>
      </w:r>
      <w:r w:rsidR="009348C2">
        <w:rPr>
          <w:szCs w:val="22"/>
        </w:rPr>
        <w:t xml:space="preserve">to </w:t>
      </w:r>
      <w:r w:rsidRPr="008B0E30">
        <w:rPr>
          <w:szCs w:val="22"/>
        </w:rPr>
        <w:t xml:space="preserve">quarterly inspections where </w:t>
      </w:r>
      <w:r w:rsidR="009348C2">
        <w:rPr>
          <w:szCs w:val="22"/>
        </w:rPr>
        <w:t>it</w:t>
      </w:r>
      <w:r w:rsidRPr="008B0E30">
        <w:rPr>
          <w:szCs w:val="22"/>
        </w:rPr>
        <w:t xml:space="preserve"> ha</w:t>
      </w:r>
      <w:r w:rsidR="00B44B41">
        <w:rPr>
          <w:szCs w:val="22"/>
        </w:rPr>
        <w:t>s</w:t>
      </w:r>
      <w:r w:rsidRPr="008B0E30">
        <w:rPr>
          <w:szCs w:val="22"/>
        </w:rPr>
        <w:t xml:space="preserve"> deployed this advanced technology. </w:t>
      </w:r>
    </w:p>
    <w:p w:rsidR="009D70F6" w:rsidRPr="000A23C0" w:rsidRDefault="00EE76E1" w:rsidP="00AB7235">
      <w:pPr>
        <w:pStyle w:val="ParaNum"/>
        <w:rPr>
          <w:szCs w:val="22"/>
        </w:rPr>
      </w:pPr>
      <w:r w:rsidRPr="00640922">
        <w:rPr>
          <w:szCs w:val="22"/>
        </w:rPr>
        <w:t>In addition, although USCC request</w:t>
      </w:r>
      <w:r w:rsidR="00CD4EEA" w:rsidRPr="00640922">
        <w:rPr>
          <w:szCs w:val="22"/>
        </w:rPr>
        <w:t>ed</w:t>
      </w:r>
      <w:r w:rsidRPr="00640922">
        <w:rPr>
          <w:szCs w:val="22"/>
        </w:rPr>
        <w:t xml:space="preserve"> a waiver allowing it to conduct annual inspections in lieu of quarterly inspections, we do not require it to conduct inspections on any periodic basis, </w:t>
      </w:r>
      <w:r w:rsidR="009D70F6" w:rsidRPr="00640922">
        <w:rPr>
          <w:szCs w:val="22"/>
        </w:rPr>
        <w:t>including annually</w:t>
      </w:r>
      <w:r w:rsidRPr="00640922">
        <w:rPr>
          <w:szCs w:val="22"/>
        </w:rPr>
        <w:t xml:space="preserve">.  </w:t>
      </w:r>
      <w:r w:rsidR="0019786C" w:rsidRPr="00640922">
        <w:rPr>
          <w:szCs w:val="22"/>
        </w:rPr>
        <w:t xml:space="preserve">As noted above, Section 17.47 as revised in the </w:t>
      </w:r>
      <w:r w:rsidR="00D47F1D" w:rsidRPr="00640922">
        <w:rPr>
          <w:i/>
        </w:rPr>
        <w:t xml:space="preserve">Antenna Structure </w:t>
      </w:r>
      <w:r w:rsidR="00524B70" w:rsidRPr="00640922">
        <w:rPr>
          <w:i/>
        </w:rPr>
        <w:t>Report and Order</w:t>
      </w:r>
      <w:r w:rsidR="00524B70">
        <w:t xml:space="preserve"> </w:t>
      </w:r>
      <w:r>
        <w:t xml:space="preserve">exempts from </w:t>
      </w:r>
      <w:r w:rsidR="009348C2">
        <w:t>any periodic</w:t>
      </w:r>
      <w:r w:rsidR="0019786C">
        <w:t xml:space="preserve"> monitoring </w:t>
      </w:r>
      <w:r w:rsidR="009348C2">
        <w:t>all</w:t>
      </w:r>
      <w:r>
        <w:t xml:space="preserve"> antenna structure</w:t>
      </w:r>
      <w:r w:rsidR="009348C2">
        <w:t>s</w:t>
      </w:r>
      <w:r>
        <w:t xml:space="preserve"> </w:t>
      </w:r>
      <w:r w:rsidR="00D12A6D">
        <w:t xml:space="preserve">that WTB finds are </w:t>
      </w:r>
      <w:r>
        <w:t xml:space="preserve">monitored by a </w:t>
      </w:r>
      <w:r w:rsidR="00D12A6D">
        <w:t xml:space="preserve">qualified </w:t>
      </w:r>
      <w:r w:rsidR="0019786C">
        <w:t xml:space="preserve">NOC-based </w:t>
      </w:r>
      <w:r>
        <w:t>system</w:t>
      </w:r>
      <w:r w:rsidR="0019786C">
        <w:t>.</w:t>
      </w:r>
      <w:r>
        <w:rPr>
          <w:rStyle w:val="FootnoteReference"/>
        </w:rPr>
        <w:footnoteReference w:id="84"/>
      </w:r>
      <w:r>
        <w:t xml:space="preserve">  In light of our approval of USCC’s NTAM system in this </w:t>
      </w:r>
      <w:r w:rsidR="004652D7">
        <w:t xml:space="preserve">Memorandum Opinion and </w:t>
      </w:r>
      <w:r>
        <w:t xml:space="preserve">Order, </w:t>
      </w:r>
      <w:r w:rsidR="00013630">
        <w:t xml:space="preserve">any </w:t>
      </w:r>
      <w:r>
        <w:t xml:space="preserve">other antenna structure owners who use the same system will be exempt from </w:t>
      </w:r>
      <w:r w:rsidR="009D70F6">
        <w:t xml:space="preserve">the inspection requirements in </w:t>
      </w:r>
      <w:r>
        <w:t xml:space="preserve">Section 17.47(b), provided they meet the certification requirements, and will not have to inspect on any periodic basis.  </w:t>
      </w:r>
      <w:r w:rsidR="00524B70">
        <w:t xml:space="preserve">Consistent with this, we </w:t>
      </w:r>
      <w:r w:rsidR="009348C2">
        <w:t>do</w:t>
      </w:r>
      <w:r w:rsidR="00524B70">
        <w:t xml:space="preserve"> not requir</w:t>
      </w:r>
      <w:r w:rsidR="00A6753E">
        <w:t>e</w:t>
      </w:r>
      <w:r w:rsidR="00524B70">
        <w:t xml:space="preserve"> USCC to inspect on any periodic basis, </w:t>
      </w:r>
      <w:r w:rsidR="0019786C">
        <w:t>whether quarterly or annually.</w:t>
      </w:r>
    </w:p>
    <w:p w:rsidR="000A23C0" w:rsidRPr="00640922" w:rsidRDefault="000A23C0" w:rsidP="00AB7235">
      <w:pPr>
        <w:pStyle w:val="ParaNum"/>
        <w:rPr>
          <w:szCs w:val="22"/>
        </w:rPr>
      </w:pPr>
      <w:r>
        <w:t>Finally, we note that USCC excludes 187 of its towers from its waiver request because the photocells that determine when to switch from daytime to nighttime lighting at these sites are not currently configured to report photocell failure and low flash energy to the NNOC.</w:t>
      </w:r>
      <w:r>
        <w:rPr>
          <w:rStyle w:val="FootnoteReference"/>
        </w:rPr>
        <w:footnoteReference w:id="85"/>
      </w:r>
      <w:r>
        <w:t xml:space="preserve">  USCC notes that these towers remain alarmed with respect to their strobe, beacon, and side lights and that in almost all instances USCC is rapidly made aware of any problems with its photocells by persons living near the towers.</w:t>
      </w:r>
      <w:r>
        <w:rPr>
          <w:rStyle w:val="FootnoteReference"/>
        </w:rPr>
        <w:footnoteReference w:id="86"/>
      </w:r>
      <w:r>
        <w:t xml:space="preserve">  USCC states that it is excluding these towers from its waiver request out of an abundance of caution and will continue to perform quarterly inspections at these sites.</w:t>
      </w:r>
      <w:r>
        <w:rPr>
          <w:rStyle w:val="FootnoteReference"/>
        </w:rPr>
        <w:footnoteReference w:id="87"/>
      </w:r>
      <w:r>
        <w:t xml:space="preserve">  Accordingly, the relief provided herein does not include these 187 towers, which remain subject to the quarterly inspection requirement.</w:t>
      </w:r>
    </w:p>
    <w:p w:rsidR="00923B4D" w:rsidRPr="00176DD4" w:rsidRDefault="00B457F2" w:rsidP="0037711E">
      <w:pPr>
        <w:pStyle w:val="Heading1"/>
      </w:pPr>
      <w:r w:rsidRPr="00176DD4">
        <w:t>CONCLUSION</w:t>
      </w:r>
    </w:p>
    <w:p w:rsidR="008C1921" w:rsidRDefault="00F60DBF" w:rsidP="00B0754B">
      <w:pPr>
        <w:pStyle w:val="ParaNum"/>
        <w:rPr>
          <w:szCs w:val="22"/>
        </w:rPr>
        <w:sectPr w:rsidR="008C1921" w:rsidSect="00F54E6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docGrid w:linePitch="299"/>
        </w:sectPr>
      </w:pPr>
      <w:r w:rsidRPr="00503ADE">
        <w:t xml:space="preserve">For the reasons discussed above, we </w:t>
      </w:r>
      <w:r w:rsidR="00C04A41" w:rsidRPr="00503ADE">
        <w:t>grant USCC relief under Section 17.47(c) from its obligation to perform quarterly inspections und</w:t>
      </w:r>
      <w:r w:rsidR="00C04A41" w:rsidRPr="00B0754B">
        <w:rPr>
          <w:szCs w:val="22"/>
        </w:rPr>
        <w:t>er</w:t>
      </w:r>
      <w:r w:rsidRPr="00B0754B">
        <w:rPr>
          <w:szCs w:val="22"/>
        </w:rPr>
        <w:t xml:space="preserve"> </w:t>
      </w:r>
      <w:r w:rsidRPr="00503ADE">
        <w:t>Section 17.47(b) for</w:t>
      </w:r>
      <w:r w:rsidR="00223088" w:rsidRPr="00503ADE">
        <w:t xml:space="preserve"> </w:t>
      </w:r>
      <w:r w:rsidR="002C4048" w:rsidRPr="00503ADE">
        <w:t xml:space="preserve">its </w:t>
      </w:r>
      <w:r w:rsidRPr="00503ADE">
        <w:t>towers monitored using the</w:t>
      </w:r>
      <w:r w:rsidR="0091762D" w:rsidRPr="00503ADE">
        <w:t xml:space="preserve"> </w:t>
      </w:r>
      <w:r w:rsidR="009D70F6" w:rsidRPr="00503ADE">
        <w:t>NTAM system</w:t>
      </w:r>
      <w:r w:rsidR="00BD3B74" w:rsidRPr="00503ADE">
        <w:t>.</w:t>
      </w:r>
      <w:r w:rsidR="009D70F6" w:rsidRPr="00503ADE">
        <w:t xml:space="preserve">  </w:t>
      </w:r>
      <w:r w:rsidR="002E4A98" w:rsidRPr="00503ADE">
        <w:t>The</w:t>
      </w:r>
      <w:r w:rsidR="009D70F6" w:rsidRPr="00503ADE">
        <w:t xml:space="preserve"> NTAM system </w:t>
      </w:r>
      <w:r w:rsidR="002E4A98" w:rsidRPr="00503ADE">
        <w:t>reliably diagnose</w:t>
      </w:r>
      <w:r w:rsidR="009D70F6" w:rsidRPr="00503ADE">
        <w:t>s</w:t>
      </w:r>
      <w:r w:rsidR="002E4A98" w:rsidRPr="00503ADE">
        <w:t xml:space="preserve"> problems in real time and therefore render</w:t>
      </w:r>
      <w:r w:rsidR="009D70F6" w:rsidRPr="00503ADE">
        <w:t>s</w:t>
      </w:r>
      <w:r w:rsidR="002E4A98" w:rsidRPr="00503ADE">
        <w:t xml:space="preserve"> application of </w:t>
      </w:r>
      <w:r w:rsidR="00013630" w:rsidRPr="00503ADE">
        <w:t xml:space="preserve">Section 17.47(b) </w:t>
      </w:r>
      <w:r w:rsidR="002E4A98" w:rsidRPr="00503ADE">
        <w:t xml:space="preserve">unnecessary to </w:t>
      </w:r>
      <w:r w:rsidR="00013630" w:rsidRPr="00503ADE">
        <w:t>ensure that control devices, indicators, and alarm systems</w:t>
      </w:r>
      <w:r w:rsidR="0037711E">
        <w:t xml:space="preserve"> </w:t>
      </w:r>
      <w:r w:rsidR="00013630" w:rsidRPr="00503ADE">
        <w:t>on the antenna structures are operating properly</w:t>
      </w:r>
      <w:r w:rsidR="002E4A98" w:rsidRPr="00503ADE">
        <w:t>.</w:t>
      </w:r>
      <w:r w:rsidR="0037711E">
        <w:t xml:space="preserve">  </w:t>
      </w:r>
      <w:r w:rsidR="002E4A98" w:rsidRPr="00B0754B">
        <w:rPr>
          <w:szCs w:val="22"/>
        </w:rPr>
        <w:t xml:space="preserve">Moreover, our action will relieve </w:t>
      </w:r>
      <w:r w:rsidR="00131FA3">
        <w:t>USCC</w:t>
      </w:r>
      <w:r w:rsidR="00131FA3" w:rsidRPr="00263241">
        <w:t xml:space="preserve"> </w:t>
      </w:r>
      <w:r w:rsidR="002E4A98" w:rsidRPr="00B0754B">
        <w:rPr>
          <w:szCs w:val="22"/>
        </w:rPr>
        <w:t>of the burden</w:t>
      </w:r>
    </w:p>
    <w:p w:rsidR="0091762D" w:rsidRPr="001F10E0" w:rsidRDefault="002E4A98" w:rsidP="008C1921">
      <w:pPr>
        <w:pStyle w:val="ParaNum"/>
        <w:numPr>
          <w:ilvl w:val="0"/>
          <w:numId w:val="0"/>
        </w:numPr>
      </w:pPr>
      <w:r w:rsidRPr="00B0754B">
        <w:rPr>
          <w:szCs w:val="22"/>
        </w:rPr>
        <w:t xml:space="preserve">of performing unnecessary quarterly inspections.  In addition, </w:t>
      </w:r>
      <w:r w:rsidR="00C04A41" w:rsidRPr="00B0754B">
        <w:rPr>
          <w:szCs w:val="22"/>
        </w:rPr>
        <w:t>our action</w:t>
      </w:r>
      <w:r w:rsidR="009D70F6" w:rsidRPr="00B0754B">
        <w:rPr>
          <w:szCs w:val="22"/>
        </w:rPr>
        <w:t xml:space="preserve"> </w:t>
      </w:r>
      <w:r w:rsidRPr="00B0754B">
        <w:rPr>
          <w:szCs w:val="22"/>
        </w:rPr>
        <w:t>will further encourage tower owners to invest in state-of-the-art technologies so that they</w:t>
      </w:r>
      <w:r w:rsidR="00BD3B74" w:rsidRPr="00B0754B">
        <w:rPr>
          <w:szCs w:val="22"/>
        </w:rPr>
        <w:t>,</w:t>
      </w:r>
      <w:r w:rsidRPr="00B0754B">
        <w:rPr>
          <w:szCs w:val="22"/>
        </w:rPr>
        <w:t xml:space="preserve"> too</w:t>
      </w:r>
      <w:r w:rsidR="00BD3B74" w:rsidRPr="00B0754B">
        <w:rPr>
          <w:szCs w:val="22"/>
        </w:rPr>
        <w:t>,</w:t>
      </w:r>
      <w:r w:rsidRPr="00B0754B">
        <w:rPr>
          <w:szCs w:val="22"/>
        </w:rPr>
        <w:t xml:space="preserve"> will become capable of continuous monitoring of both their lighting systems and control devices</w:t>
      </w:r>
      <w:r w:rsidR="009167F3" w:rsidRPr="00B0754B">
        <w:rPr>
          <w:szCs w:val="22"/>
        </w:rPr>
        <w:t>.</w:t>
      </w:r>
      <w:r w:rsidR="000864DA" w:rsidRPr="001F10E0">
        <w:t xml:space="preserve"> </w:t>
      </w:r>
    </w:p>
    <w:p w:rsidR="00B457F2" w:rsidRPr="001F10E0" w:rsidRDefault="004F4E4A" w:rsidP="0037711E">
      <w:pPr>
        <w:pStyle w:val="Heading1"/>
      </w:pPr>
      <w:r w:rsidRPr="001F10E0">
        <w:t>ORDERING CLAUSE</w:t>
      </w:r>
    </w:p>
    <w:p w:rsidR="005E7AF3" w:rsidRPr="00176DD4" w:rsidRDefault="00CB06A6" w:rsidP="00AB7235">
      <w:pPr>
        <w:pStyle w:val="ParaNum"/>
        <w:rPr>
          <w:szCs w:val="22"/>
        </w:rPr>
      </w:pPr>
      <w:r w:rsidRPr="00A27480">
        <w:rPr>
          <w:szCs w:val="22"/>
        </w:rPr>
        <w:t xml:space="preserve">Pursuant to </w:t>
      </w:r>
      <w:r w:rsidR="00B55637" w:rsidRPr="00A27480">
        <w:rPr>
          <w:szCs w:val="22"/>
        </w:rPr>
        <w:t xml:space="preserve">Sections 4(i), 303(q), and 303(r) of the Communications Act of 1934, as amended, 47 U.S.C. §§ 154(i), 303(q), 303(r), and pursuant to </w:t>
      </w:r>
      <w:r w:rsidRPr="00A27480">
        <w:rPr>
          <w:szCs w:val="22"/>
        </w:rPr>
        <w:t>Section</w:t>
      </w:r>
      <w:r w:rsidR="00977A8F" w:rsidRPr="00A27480">
        <w:rPr>
          <w:szCs w:val="22"/>
        </w:rPr>
        <w:t>s 0.131, 0.331,</w:t>
      </w:r>
      <w:r w:rsidR="0096366E" w:rsidRPr="00A27480">
        <w:rPr>
          <w:szCs w:val="22"/>
        </w:rPr>
        <w:t xml:space="preserve"> </w:t>
      </w:r>
      <w:r w:rsidR="00977A8F" w:rsidRPr="00A27480">
        <w:rPr>
          <w:szCs w:val="22"/>
        </w:rPr>
        <w:t xml:space="preserve">and </w:t>
      </w:r>
      <w:r w:rsidR="00C04A41">
        <w:rPr>
          <w:szCs w:val="22"/>
        </w:rPr>
        <w:t>17.47(c)</w:t>
      </w:r>
      <w:r w:rsidRPr="00A27480">
        <w:rPr>
          <w:szCs w:val="22"/>
        </w:rPr>
        <w:t xml:space="preserve"> of the Commission’s Rules,</w:t>
      </w:r>
      <w:r w:rsidR="003C2760" w:rsidRPr="00A27480">
        <w:rPr>
          <w:szCs w:val="22"/>
        </w:rPr>
        <w:t xml:space="preserve"> 47 C.F.R. </w:t>
      </w:r>
      <w:r w:rsidR="00977A8F" w:rsidRPr="00A27480">
        <w:rPr>
          <w:szCs w:val="22"/>
        </w:rPr>
        <w:t>§</w:t>
      </w:r>
      <w:r w:rsidR="003C2760" w:rsidRPr="00A27480">
        <w:rPr>
          <w:szCs w:val="22"/>
        </w:rPr>
        <w:t xml:space="preserve">§ </w:t>
      </w:r>
      <w:r w:rsidR="00977A8F" w:rsidRPr="00A27480">
        <w:rPr>
          <w:szCs w:val="22"/>
        </w:rPr>
        <w:t xml:space="preserve">0.131, 0.331, </w:t>
      </w:r>
      <w:r w:rsidR="00C04A41">
        <w:rPr>
          <w:szCs w:val="22"/>
        </w:rPr>
        <w:t>17.47(c)</w:t>
      </w:r>
      <w:r w:rsidR="003C2760" w:rsidRPr="00A27480">
        <w:rPr>
          <w:szCs w:val="22"/>
        </w:rPr>
        <w:t xml:space="preserve">, the </w:t>
      </w:r>
      <w:r w:rsidR="001F10E0" w:rsidRPr="00176DD4">
        <w:rPr>
          <w:szCs w:val="22"/>
        </w:rPr>
        <w:t>Request</w:t>
      </w:r>
      <w:r w:rsidRPr="00176DD4">
        <w:rPr>
          <w:szCs w:val="22"/>
        </w:rPr>
        <w:t xml:space="preserve"> for Waiver filed by </w:t>
      </w:r>
      <w:r w:rsidR="009D0285">
        <w:t>United States Cellular Corporation</w:t>
      </w:r>
      <w:r w:rsidR="009D0285" w:rsidRPr="00263241">
        <w:t xml:space="preserve"> </w:t>
      </w:r>
      <w:r w:rsidR="003C2760" w:rsidRPr="00176DD4">
        <w:rPr>
          <w:szCs w:val="22"/>
        </w:rPr>
        <w:t>IS</w:t>
      </w:r>
      <w:r w:rsidRPr="00176DD4">
        <w:rPr>
          <w:szCs w:val="22"/>
        </w:rPr>
        <w:t xml:space="preserve"> GRANTED</w:t>
      </w:r>
      <w:r w:rsidR="00C04A41">
        <w:rPr>
          <w:szCs w:val="22"/>
        </w:rPr>
        <w:t xml:space="preserve"> in substance and additional relief IS ORDERED as described herein</w:t>
      </w:r>
      <w:r w:rsidRPr="00176DD4">
        <w:rPr>
          <w:szCs w:val="22"/>
        </w:rPr>
        <w:t>.</w:t>
      </w:r>
    </w:p>
    <w:p w:rsidR="004F4E4A" w:rsidRPr="00176DD4" w:rsidRDefault="004F4E4A" w:rsidP="00685D87">
      <w:pPr>
        <w:rPr>
          <w:szCs w:val="22"/>
        </w:rPr>
      </w:pPr>
    </w:p>
    <w:p w:rsidR="0037711E" w:rsidRDefault="0037711E" w:rsidP="00685D87">
      <w:pPr>
        <w:ind w:left="4320"/>
        <w:rPr>
          <w:szCs w:val="22"/>
        </w:rPr>
      </w:pPr>
    </w:p>
    <w:p w:rsidR="0037711E" w:rsidRDefault="0037711E" w:rsidP="00685D87">
      <w:pPr>
        <w:ind w:left="4320"/>
        <w:rPr>
          <w:szCs w:val="22"/>
        </w:rPr>
      </w:pPr>
    </w:p>
    <w:p w:rsidR="00B127C2" w:rsidRPr="00176DD4" w:rsidRDefault="00B127C2" w:rsidP="00685D87">
      <w:pPr>
        <w:ind w:left="4320"/>
        <w:rPr>
          <w:szCs w:val="22"/>
        </w:rPr>
      </w:pPr>
      <w:r w:rsidRPr="00176DD4">
        <w:rPr>
          <w:szCs w:val="22"/>
        </w:rPr>
        <w:t>FEDERAL COMMUNICATIONS COMMISSION</w:t>
      </w:r>
    </w:p>
    <w:p w:rsidR="00B127C2" w:rsidRPr="00176DD4" w:rsidRDefault="00B127C2" w:rsidP="00685D87">
      <w:pPr>
        <w:ind w:left="4320"/>
        <w:rPr>
          <w:szCs w:val="22"/>
        </w:rPr>
      </w:pPr>
    </w:p>
    <w:p w:rsidR="004F4E4A" w:rsidRPr="001F10E0" w:rsidRDefault="004F4E4A" w:rsidP="00685D87">
      <w:pPr>
        <w:rPr>
          <w:szCs w:val="22"/>
        </w:rPr>
      </w:pPr>
    </w:p>
    <w:p w:rsidR="004F4E4A" w:rsidRPr="001F10E0" w:rsidRDefault="004F4E4A" w:rsidP="00685D87">
      <w:pPr>
        <w:rPr>
          <w:szCs w:val="22"/>
        </w:rPr>
      </w:pPr>
    </w:p>
    <w:p w:rsidR="005B7FDA" w:rsidRPr="001F10E0" w:rsidRDefault="005B7FDA" w:rsidP="00685D87">
      <w:pPr>
        <w:rPr>
          <w:szCs w:val="22"/>
        </w:rPr>
      </w:pPr>
    </w:p>
    <w:p w:rsidR="00B127C2" w:rsidRPr="001F10E0" w:rsidRDefault="004F4E4A" w:rsidP="00685D87">
      <w:pPr>
        <w:rPr>
          <w:szCs w:val="22"/>
        </w:rPr>
      </w:pPr>
      <w:r w:rsidRPr="001F10E0">
        <w:rPr>
          <w:szCs w:val="22"/>
        </w:rPr>
        <w:tab/>
      </w:r>
      <w:r w:rsidRPr="001F10E0">
        <w:rPr>
          <w:szCs w:val="22"/>
        </w:rPr>
        <w:tab/>
      </w:r>
      <w:r w:rsidRPr="001F10E0">
        <w:rPr>
          <w:szCs w:val="22"/>
        </w:rPr>
        <w:tab/>
      </w:r>
      <w:r w:rsidRPr="001F10E0">
        <w:rPr>
          <w:szCs w:val="22"/>
        </w:rPr>
        <w:tab/>
      </w:r>
      <w:r w:rsidRPr="001F10E0">
        <w:rPr>
          <w:szCs w:val="22"/>
        </w:rPr>
        <w:tab/>
      </w:r>
      <w:r w:rsidRPr="001F10E0">
        <w:rPr>
          <w:szCs w:val="22"/>
        </w:rPr>
        <w:tab/>
      </w:r>
      <w:r w:rsidR="009D0285" w:rsidRPr="009D0285">
        <w:rPr>
          <w:szCs w:val="22"/>
        </w:rPr>
        <w:t>Chad Breckinridge</w:t>
      </w:r>
    </w:p>
    <w:p w:rsidR="004F4E4A" w:rsidRDefault="002C4048" w:rsidP="00B127C2">
      <w:pPr>
        <w:ind w:left="3600" w:firstLine="720"/>
      </w:pPr>
      <w:r w:rsidRPr="00690679">
        <w:rPr>
          <w:szCs w:val="22"/>
        </w:rPr>
        <w:t>Associate</w:t>
      </w:r>
      <w:r w:rsidRPr="001F10E0">
        <w:rPr>
          <w:szCs w:val="22"/>
        </w:rPr>
        <w:t xml:space="preserve"> </w:t>
      </w:r>
      <w:r w:rsidR="0003351D" w:rsidRPr="001F10E0">
        <w:rPr>
          <w:szCs w:val="22"/>
        </w:rPr>
        <w:t>Chief, Wireless T</w:t>
      </w:r>
      <w:r w:rsidR="0003351D" w:rsidRPr="001F10E0">
        <w:t>elecommunications Bureau</w:t>
      </w:r>
    </w:p>
    <w:p w:rsidR="00A27480" w:rsidRPr="001F10E0" w:rsidRDefault="00A27480" w:rsidP="00B127C2">
      <w:pPr>
        <w:ind w:left="3600" w:firstLine="720"/>
      </w:pPr>
    </w:p>
    <w:sectPr w:rsidR="00A27480" w:rsidRPr="001F10E0" w:rsidSect="008C1921">
      <w:footerReference w:type="first" r:id="rId14"/>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67" w:rsidRDefault="00F03E67">
      <w:r>
        <w:separator/>
      </w:r>
    </w:p>
  </w:endnote>
  <w:endnote w:type="continuationSeparator" w:id="0">
    <w:p w:rsidR="00F03E67" w:rsidRDefault="00F03E67">
      <w:r>
        <w:continuationSeparator/>
      </w:r>
    </w:p>
  </w:endnote>
  <w:endnote w:type="continuationNotice" w:id="1">
    <w:p w:rsidR="00F03E67" w:rsidRDefault="00F03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14" w:rsidRDefault="00CA5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28" w:rsidRDefault="008D2428">
    <w:pPr>
      <w:pStyle w:val="Footer"/>
      <w:jc w:val="center"/>
    </w:pPr>
    <w:r>
      <w:rPr>
        <w:rStyle w:val="PageNumber"/>
      </w:rPr>
      <w:fldChar w:fldCharType="begin"/>
    </w:r>
    <w:r>
      <w:rPr>
        <w:rStyle w:val="PageNumber"/>
      </w:rPr>
      <w:instrText xml:space="preserve"> PAGE </w:instrText>
    </w:r>
    <w:r>
      <w:rPr>
        <w:rStyle w:val="PageNumber"/>
      </w:rPr>
      <w:fldChar w:fldCharType="separate"/>
    </w:r>
    <w:r w:rsidR="00C91BFD">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18766"/>
      <w:docPartObj>
        <w:docPartGallery w:val="Page Numbers (Bottom of Page)"/>
        <w:docPartUnique/>
      </w:docPartObj>
    </w:sdtPr>
    <w:sdtEndPr>
      <w:rPr>
        <w:noProof/>
      </w:rPr>
    </w:sdtEndPr>
    <w:sdtContent>
      <w:p w:rsidR="008C1921" w:rsidRDefault="008C1921">
        <w:pPr>
          <w:pStyle w:val="Footer"/>
          <w:jc w:val="center"/>
        </w:pPr>
        <w:r>
          <w:fldChar w:fldCharType="begin"/>
        </w:r>
        <w:r>
          <w:instrText xml:space="preserve"> PAGE   \* MERGEFORMAT </w:instrText>
        </w:r>
        <w:r>
          <w:fldChar w:fldCharType="separate"/>
        </w:r>
        <w:r w:rsidR="005D114A">
          <w:rPr>
            <w:noProof/>
          </w:rPr>
          <w:t>1</w:t>
        </w:r>
        <w:r>
          <w:rPr>
            <w:noProof/>
          </w:rPr>
          <w:fldChar w:fldCharType="end"/>
        </w:r>
      </w:p>
    </w:sdtContent>
  </w:sdt>
  <w:p w:rsidR="00F54E66" w:rsidRDefault="00F54E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595549"/>
      <w:docPartObj>
        <w:docPartGallery w:val="Page Numbers (Bottom of Page)"/>
        <w:docPartUnique/>
      </w:docPartObj>
    </w:sdtPr>
    <w:sdtEndPr>
      <w:rPr>
        <w:noProof/>
      </w:rPr>
    </w:sdtEndPr>
    <w:sdtContent>
      <w:p w:rsidR="008C1921" w:rsidRDefault="008C1921">
        <w:pPr>
          <w:pStyle w:val="Footer"/>
          <w:jc w:val="center"/>
        </w:pPr>
        <w:r>
          <w:fldChar w:fldCharType="begin"/>
        </w:r>
        <w:r>
          <w:instrText xml:space="preserve"> PAGE   \* MERGEFORMAT </w:instrText>
        </w:r>
        <w:r>
          <w:fldChar w:fldCharType="separate"/>
        </w:r>
        <w:r w:rsidR="00C91BFD">
          <w:rPr>
            <w:noProof/>
          </w:rPr>
          <w:t>10</w:t>
        </w:r>
        <w:r>
          <w:rPr>
            <w:noProof/>
          </w:rPr>
          <w:fldChar w:fldCharType="end"/>
        </w:r>
      </w:p>
    </w:sdtContent>
  </w:sdt>
  <w:p w:rsidR="008C1921" w:rsidRDefault="008C1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67" w:rsidRDefault="00F03E67">
      <w:pPr>
        <w:rPr>
          <w:sz w:val="20"/>
        </w:rPr>
      </w:pPr>
      <w:r>
        <w:rPr>
          <w:sz w:val="20"/>
        </w:rPr>
        <w:separator/>
      </w:r>
    </w:p>
  </w:footnote>
  <w:footnote w:type="continuationSeparator" w:id="0">
    <w:p w:rsidR="00F03E67" w:rsidRDefault="00F03E67">
      <w:pPr>
        <w:rPr>
          <w:sz w:val="20"/>
        </w:rPr>
      </w:pPr>
      <w:r>
        <w:rPr>
          <w:sz w:val="20"/>
        </w:rPr>
        <w:separator/>
      </w:r>
    </w:p>
    <w:p w:rsidR="00F03E67" w:rsidRDefault="00F03E67">
      <w:pPr>
        <w:rPr>
          <w:sz w:val="20"/>
        </w:rPr>
      </w:pPr>
      <w:r>
        <w:rPr>
          <w:sz w:val="20"/>
        </w:rPr>
        <w:t>(...continued from previous page)</w:t>
      </w:r>
    </w:p>
  </w:footnote>
  <w:footnote w:type="continuationNotice" w:id="1">
    <w:p w:rsidR="00F03E67" w:rsidRDefault="00F03E67">
      <w:pPr>
        <w:jc w:val="right"/>
        <w:rPr>
          <w:sz w:val="20"/>
        </w:rPr>
      </w:pPr>
      <w:r>
        <w:rPr>
          <w:sz w:val="20"/>
        </w:rPr>
        <w:t>(continued....)</w:t>
      </w:r>
    </w:p>
  </w:footnote>
  <w:footnote w:id="2">
    <w:p w:rsidR="005612C0" w:rsidRDefault="008D2428" w:rsidP="00283989">
      <w:pPr>
        <w:pStyle w:val="FootnoteText"/>
      </w:pPr>
      <w:r w:rsidRPr="004358F5">
        <w:rPr>
          <w:rStyle w:val="FootnoteReference"/>
        </w:rPr>
        <w:footnoteRef/>
      </w:r>
      <w:r w:rsidRPr="004358F5">
        <w:t xml:space="preserve"> </w:t>
      </w:r>
      <w:r>
        <w:t xml:space="preserve"> 47 C.F.R. § 17.47(b). </w:t>
      </w:r>
    </w:p>
  </w:footnote>
  <w:footnote w:id="3">
    <w:p w:rsidR="00196067" w:rsidRDefault="00196067" w:rsidP="00283989">
      <w:pPr>
        <w:pStyle w:val="FootnoteText"/>
      </w:pPr>
      <w:r>
        <w:rPr>
          <w:rStyle w:val="FootnoteReference"/>
        </w:rPr>
        <w:footnoteRef/>
      </w:r>
      <w:r>
        <w:t xml:space="preserve"> United States Cellular Corporation</w:t>
      </w:r>
      <w:r w:rsidRPr="00263241">
        <w:t xml:space="preserve"> </w:t>
      </w:r>
      <w:r>
        <w:t>Request F</w:t>
      </w:r>
      <w:r w:rsidRPr="00263241">
        <w:t xml:space="preserve">or Waiver of </w:t>
      </w:r>
      <w:r w:rsidR="001A3A0A" w:rsidRPr="008030BC">
        <w:t>47 C.F.R. § 17.47(b)</w:t>
      </w:r>
      <w:r w:rsidRPr="005E676A">
        <w:t xml:space="preserve">, </w:t>
      </w:r>
      <w:r>
        <w:t xml:space="preserve">dated and </w:t>
      </w:r>
      <w:r w:rsidRPr="005E676A">
        <w:t xml:space="preserve">filed </w:t>
      </w:r>
      <w:r>
        <w:t>July 24</w:t>
      </w:r>
      <w:r w:rsidRPr="005E676A">
        <w:t>, 201</w:t>
      </w:r>
      <w:r>
        <w:t>4</w:t>
      </w:r>
      <w:r w:rsidRPr="005E676A">
        <w:t xml:space="preserve"> (</w:t>
      </w:r>
      <w:r w:rsidRPr="005D259B">
        <w:rPr>
          <w:i/>
        </w:rPr>
        <w:t>U</w:t>
      </w:r>
      <w:r w:rsidRPr="00F70D43">
        <w:rPr>
          <w:i/>
        </w:rPr>
        <w:t>S</w:t>
      </w:r>
      <w:r>
        <w:rPr>
          <w:i/>
        </w:rPr>
        <w:t>CC</w:t>
      </w:r>
      <w:r w:rsidRPr="00DE78E2">
        <w:rPr>
          <w:i/>
        </w:rPr>
        <w:t xml:space="preserve"> </w:t>
      </w:r>
      <w:r w:rsidRPr="00BB51B4">
        <w:rPr>
          <w:i/>
        </w:rPr>
        <w:t xml:space="preserve">Waiver </w:t>
      </w:r>
      <w:r>
        <w:rPr>
          <w:i/>
        </w:rPr>
        <w:t>Request</w:t>
      </w:r>
      <w:r w:rsidRPr="005E676A">
        <w:t xml:space="preserve">) </w:t>
      </w:r>
      <w:r w:rsidRPr="00AD6EB9">
        <w:t xml:space="preserve">at </w:t>
      </w:r>
      <w:r>
        <w:t>2-3</w:t>
      </w:r>
      <w:r w:rsidRPr="00AD6EB9">
        <w:t>.</w:t>
      </w:r>
    </w:p>
  </w:footnote>
  <w:footnote w:id="4">
    <w:p w:rsidR="00BF4AA9" w:rsidRDefault="00BF4AA9" w:rsidP="00283989">
      <w:pPr>
        <w:pStyle w:val="FootnoteText"/>
      </w:pPr>
      <w:r>
        <w:rPr>
          <w:rStyle w:val="FootnoteReference"/>
        </w:rPr>
        <w:footnoteRef/>
      </w:r>
      <w:r>
        <w:t xml:space="preserve"> </w:t>
      </w:r>
      <w:r w:rsidR="00D54FA3" w:rsidRPr="00D54FA3">
        <w:rPr>
          <w:i/>
        </w:rPr>
        <w:t>Id</w:t>
      </w:r>
      <w:r w:rsidR="00D54FA3">
        <w:t>.</w:t>
      </w:r>
      <w:r>
        <w:t xml:space="preserve"> at 2.</w:t>
      </w:r>
    </w:p>
  </w:footnote>
  <w:footnote w:id="5">
    <w:p w:rsidR="00BF4AA9" w:rsidRDefault="00BF4AA9" w:rsidP="00283989">
      <w:pPr>
        <w:pStyle w:val="FootnoteText"/>
      </w:pPr>
      <w:r>
        <w:rPr>
          <w:rStyle w:val="FootnoteReference"/>
        </w:rPr>
        <w:footnoteRef/>
      </w:r>
      <w:r>
        <w:t xml:space="preserve"> </w:t>
      </w:r>
      <w:r w:rsidR="00D54FA3" w:rsidRPr="00D54FA3">
        <w:rPr>
          <w:i/>
        </w:rPr>
        <w:t>Id</w:t>
      </w:r>
      <w:r w:rsidR="00D54FA3">
        <w:t>.</w:t>
      </w:r>
    </w:p>
  </w:footnote>
  <w:footnote w:id="6">
    <w:p w:rsidR="00F23BBB" w:rsidRDefault="00F23BBB" w:rsidP="00283989">
      <w:pPr>
        <w:pStyle w:val="FootnoteText"/>
      </w:pPr>
      <w:r>
        <w:rPr>
          <w:rStyle w:val="FootnoteReference"/>
        </w:rPr>
        <w:footnoteRef/>
      </w:r>
      <w:r>
        <w:t xml:space="preserve"> </w:t>
      </w:r>
      <w:r w:rsidR="00D54FA3" w:rsidRPr="00D54FA3">
        <w:rPr>
          <w:i/>
        </w:rPr>
        <w:t>Id</w:t>
      </w:r>
      <w:r w:rsidR="00D54FA3">
        <w:t>.</w:t>
      </w:r>
      <w:r>
        <w:t xml:space="preserve"> at 9.</w:t>
      </w:r>
    </w:p>
  </w:footnote>
  <w:footnote w:id="7">
    <w:p w:rsidR="00D47F1D" w:rsidRDefault="00D47F1D" w:rsidP="00283989">
      <w:pPr>
        <w:pStyle w:val="FootnoteText"/>
      </w:pPr>
      <w:r>
        <w:rPr>
          <w:rStyle w:val="FootnoteReference"/>
        </w:rPr>
        <w:footnoteRef/>
      </w:r>
      <w:r>
        <w:t xml:space="preserve"> </w:t>
      </w:r>
      <w:r w:rsidRPr="00D47F1D">
        <w:rPr>
          <w:i/>
        </w:rPr>
        <w:t>See</w:t>
      </w:r>
      <w:r>
        <w:t xml:space="preserve"> 2004 and 2006 Biennial Regulatory Reviews – Streamlining and Other Revisions of Parts 1 and 17 of the Commission’s Rules Governing Construction, Marking and Lighting of Antenna Structure</w:t>
      </w:r>
      <w:r w:rsidR="006672FB">
        <w:t>s</w:t>
      </w:r>
      <w:r>
        <w:t xml:space="preserve">; Amendments to Modernize and Clarify Part 17 of the Commission’s Rules Concerning Construction, Marking and Lighting of Antenna Structures, WT Docket No. 10-88, RM-11349, </w:t>
      </w:r>
      <w:r w:rsidRPr="00842C25">
        <w:rPr>
          <w:i/>
        </w:rPr>
        <w:t>Report and Order</w:t>
      </w:r>
      <w:r>
        <w:t>, 29 FCC Rcd 9787 (2014) (</w:t>
      </w:r>
      <w:r w:rsidRPr="00CD4EEA">
        <w:rPr>
          <w:i/>
        </w:rPr>
        <w:t xml:space="preserve">Antenna Structure </w:t>
      </w:r>
      <w:r>
        <w:rPr>
          <w:i/>
        </w:rPr>
        <w:t xml:space="preserve">Report and </w:t>
      </w:r>
      <w:r w:rsidRPr="00CD4EEA">
        <w:rPr>
          <w:i/>
        </w:rPr>
        <w:t>Order</w:t>
      </w:r>
      <w:r>
        <w:t>).</w:t>
      </w:r>
    </w:p>
  </w:footnote>
  <w:footnote w:id="8">
    <w:p w:rsidR="00FE3906" w:rsidRDefault="00FE3906" w:rsidP="00283989">
      <w:pPr>
        <w:pStyle w:val="FootnoteText"/>
      </w:pPr>
      <w:r>
        <w:rPr>
          <w:rStyle w:val="FootnoteReference"/>
        </w:rPr>
        <w:footnoteRef/>
      </w:r>
      <w:r>
        <w:t xml:space="preserve"> </w:t>
      </w:r>
      <w:r w:rsidRPr="000770B7">
        <w:rPr>
          <w:i/>
        </w:rPr>
        <w:t>See</w:t>
      </w:r>
      <w:r>
        <w:t xml:space="preserve"> Requests of American Tower Corporation and Global Signal, Inc. to Waive Section 17.47(b) of the Commission’s Rules, WT Docket No. 05-326, </w:t>
      </w:r>
      <w:r>
        <w:rPr>
          <w:i/>
        </w:rPr>
        <w:t>Memorandum Opinion and Order</w:t>
      </w:r>
      <w:r>
        <w:t>, 22 FCC Rcd 97</w:t>
      </w:r>
      <w:r w:rsidR="006672FB">
        <w:t>43</w:t>
      </w:r>
      <w:r>
        <w:t xml:space="preserve"> (2007) (</w:t>
      </w:r>
      <w:r w:rsidRPr="0043531E">
        <w:rPr>
          <w:i/>
        </w:rPr>
        <w:t>ATC/G</w:t>
      </w:r>
      <w:r>
        <w:rPr>
          <w:i/>
        </w:rPr>
        <w:t>S</w:t>
      </w:r>
      <w:r w:rsidRPr="0043531E">
        <w:rPr>
          <w:i/>
        </w:rPr>
        <w:t>I Waiver Order</w:t>
      </w:r>
      <w:r>
        <w:t xml:space="preserve">). </w:t>
      </w:r>
    </w:p>
  </w:footnote>
  <w:footnote w:id="9">
    <w:p w:rsidR="005612C0" w:rsidRPr="00D951BA" w:rsidRDefault="008D2428" w:rsidP="00283989">
      <w:pPr>
        <w:pStyle w:val="FootnoteText"/>
      </w:pPr>
      <w:r>
        <w:rPr>
          <w:rStyle w:val="FootnoteReference"/>
        </w:rPr>
        <w:footnoteRef/>
      </w:r>
      <w:r>
        <w:t xml:space="preserve"> </w:t>
      </w:r>
      <w:r w:rsidR="00D10C44" w:rsidRPr="00016A63">
        <w:rPr>
          <w:i/>
        </w:rPr>
        <w:t>S</w:t>
      </w:r>
      <w:r w:rsidR="000202DC" w:rsidRPr="000202DC">
        <w:rPr>
          <w:i/>
        </w:rPr>
        <w:t>ee</w:t>
      </w:r>
      <w:r w:rsidR="000202DC">
        <w:t xml:space="preserve"> </w:t>
      </w:r>
      <w:r w:rsidR="00D54FA3" w:rsidRPr="00D54FA3">
        <w:rPr>
          <w:i/>
        </w:rPr>
        <w:t>id</w:t>
      </w:r>
      <w:r w:rsidR="00D54FA3">
        <w:t>.</w:t>
      </w:r>
      <w:r w:rsidR="00061C29">
        <w:t xml:space="preserve"> at 9747</w:t>
      </w:r>
      <w:r w:rsidR="00BF23D9">
        <w:t xml:space="preserve"> para.</w:t>
      </w:r>
      <w:r w:rsidR="00061C29">
        <w:t xml:space="preserve"> 11, 9748</w:t>
      </w:r>
      <w:r w:rsidR="00BF23D9" w:rsidRPr="00BF23D9">
        <w:t xml:space="preserve"> </w:t>
      </w:r>
      <w:r w:rsidR="00BF23D9">
        <w:t>para.</w:t>
      </w:r>
      <w:r w:rsidR="00061C29">
        <w:t xml:space="preserve"> 17</w:t>
      </w:r>
      <w:r w:rsidR="00B26A8D">
        <w:t>.</w:t>
      </w:r>
      <w:r w:rsidR="00061C29">
        <w:t xml:space="preserve"> </w:t>
      </w:r>
    </w:p>
  </w:footnote>
  <w:footnote w:id="10">
    <w:p w:rsidR="005612C0" w:rsidRDefault="008D2428" w:rsidP="00283989">
      <w:pPr>
        <w:pStyle w:val="FootnoteText"/>
      </w:pPr>
      <w:r>
        <w:rPr>
          <w:rStyle w:val="FootnoteReference"/>
        </w:rPr>
        <w:footnoteRef/>
      </w:r>
      <w:r>
        <w:t xml:space="preserve"> </w:t>
      </w:r>
      <w:r w:rsidR="00B7603B" w:rsidRPr="00016A63">
        <w:rPr>
          <w:i/>
        </w:rPr>
        <w:t>S</w:t>
      </w:r>
      <w:r w:rsidR="00B7603B" w:rsidRPr="000202DC">
        <w:rPr>
          <w:i/>
        </w:rPr>
        <w:t>ee</w:t>
      </w:r>
      <w:r w:rsidR="00B7603B">
        <w:t xml:space="preserve"> </w:t>
      </w:r>
      <w:r w:rsidR="00D54FA3" w:rsidRPr="00D54FA3">
        <w:rPr>
          <w:i/>
        </w:rPr>
        <w:t>id</w:t>
      </w:r>
      <w:r w:rsidR="00D54FA3">
        <w:t>.</w:t>
      </w:r>
      <w:r w:rsidR="009D59EE">
        <w:t xml:space="preserve"> </w:t>
      </w:r>
      <w:r w:rsidR="00B7603B">
        <w:t xml:space="preserve">at 9744 </w:t>
      </w:r>
      <w:r w:rsidR="00BF23D9">
        <w:t>para.</w:t>
      </w:r>
      <w:r w:rsidR="00B7603B">
        <w:t xml:space="preserve"> 4 (</w:t>
      </w:r>
      <w:r w:rsidR="00B7603B" w:rsidRPr="00016A63">
        <w:rPr>
          <w:i/>
        </w:rPr>
        <w:t>citing</w:t>
      </w:r>
      <w:r w:rsidR="00B7603B">
        <w:t xml:space="preserve"> </w:t>
      </w:r>
      <w:r>
        <w:t>Brief Comment of Office of Airspace and Rules, FAA, WT Docket No. 05-326, filed December 4, 2006</w:t>
      </w:r>
      <w:r w:rsidR="00B7603B">
        <w:t>)</w:t>
      </w:r>
      <w:r>
        <w:t>.</w:t>
      </w:r>
    </w:p>
  </w:footnote>
  <w:footnote w:id="11">
    <w:p w:rsidR="00B26A8D" w:rsidRDefault="00B26A8D" w:rsidP="00283989">
      <w:pPr>
        <w:pStyle w:val="FootnoteText"/>
      </w:pPr>
      <w:r>
        <w:rPr>
          <w:rStyle w:val="FootnoteReference"/>
        </w:rPr>
        <w:footnoteRef/>
      </w:r>
      <w:r>
        <w:t xml:space="preserve"> </w:t>
      </w:r>
      <w:r w:rsidRPr="00B26A8D">
        <w:rPr>
          <w:i/>
        </w:rPr>
        <w:t>See</w:t>
      </w:r>
      <w:r>
        <w:t xml:space="preserve"> Petition of Optasite Towers L.L.C. for Waiver of Section 17.47(b) of the Commission’s Rules, </w:t>
      </w:r>
      <w:r>
        <w:rPr>
          <w:i/>
        </w:rPr>
        <w:t>Memorandum Opinion and Order</w:t>
      </w:r>
      <w:r>
        <w:t xml:space="preserve">, </w:t>
      </w:r>
      <w:r w:rsidRPr="00772EC0">
        <w:t>22 FCC Rcd 18456</w:t>
      </w:r>
      <w:r w:rsidRPr="00E33B29">
        <w:rPr>
          <w:color w:val="FF0000"/>
        </w:rPr>
        <w:t xml:space="preserve"> </w:t>
      </w:r>
      <w:r>
        <w:t>(WTB 2007) (</w:t>
      </w:r>
      <w:r>
        <w:rPr>
          <w:i/>
        </w:rPr>
        <w:t>Optasite Waiver Order</w:t>
      </w:r>
      <w:r>
        <w:t xml:space="preserve">); Crown Castle USA Inc. Request for Waiver of 47 C.F.R. § 17.47(b), </w:t>
      </w:r>
      <w:r w:rsidRPr="00C4699D">
        <w:rPr>
          <w:i/>
        </w:rPr>
        <w:t xml:space="preserve">Memorandum Opinion and </w:t>
      </w:r>
      <w:r w:rsidRPr="00D54226">
        <w:t>Order</w:t>
      </w:r>
      <w:r w:rsidRPr="00C4699D">
        <w:t>,</w:t>
      </w:r>
      <w:r w:rsidRPr="00C4699D">
        <w:rPr>
          <w:color w:val="FF0000"/>
        </w:rPr>
        <w:t xml:space="preserve"> </w:t>
      </w:r>
      <w:r w:rsidRPr="00593A58">
        <w:t>22 FCC Rcd 21881 (</w:t>
      </w:r>
      <w:r>
        <w:t xml:space="preserve">WTB </w:t>
      </w:r>
      <w:r w:rsidRPr="00593A58">
        <w:t>2007)</w:t>
      </w:r>
      <w:r w:rsidRPr="00C4699D">
        <w:rPr>
          <w:color w:val="FF0000"/>
        </w:rPr>
        <w:t xml:space="preserve"> </w:t>
      </w:r>
      <w:r>
        <w:t>(</w:t>
      </w:r>
      <w:r w:rsidRPr="00C8288A">
        <w:rPr>
          <w:i/>
        </w:rPr>
        <w:t xml:space="preserve">Crown Castle </w:t>
      </w:r>
      <w:r>
        <w:rPr>
          <w:i/>
        </w:rPr>
        <w:t>Waiver Order</w:t>
      </w:r>
      <w:r>
        <w:t>);</w:t>
      </w:r>
      <w:r w:rsidRPr="00E12F21">
        <w:t xml:space="preserve"> </w:t>
      </w:r>
      <w:r>
        <w:t xml:space="preserve">Request of Global Tower LLC for Waiver of 47 C.F.R. § 17.47(b), </w:t>
      </w:r>
      <w:r w:rsidRPr="00C4699D">
        <w:rPr>
          <w:i/>
        </w:rPr>
        <w:t>Memorandum Opinion and Order</w:t>
      </w:r>
      <w:r w:rsidRPr="00C4699D">
        <w:t>,</w:t>
      </w:r>
      <w:r w:rsidRPr="00C4699D">
        <w:rPr>
          <w:color w:val="FF0000"/>
        </w:rPr>
        <w:t xml:space="preserve"> </w:t>
      </w:r>
      <w:r w:rsidRPr="00593A58">
        <w:t>2</w:t>
      </w:r>
      <w:r>
        <w:t>3</w:t>
      </w:r>
      <w:r w:rsidRPr="00593A58">
        <w:t xml:space="preserve"> FCC Rcd </w:t>
      </w:r>
      <w:r>
        <w:t>16531</w:t>
      </w:r>
      <w:r w:rsidRPr="00593A58">
        <w:t xml:space="preserve"> (</w:t>
      </w:r>
      <w:r>
        <w:t xml:space="preserve">WTB </w:t>
      </w:r>
      <w:r w:rsidRPr="00593A58">
        <w:t>200</w:t>
      </w:r>
      <w:r>
        <w:t>8</w:t>
      </w:r>
      <w:r w:rsidRPr="00593A58">
        <w:t>)</w:t>
      </w:r>
      <w:r w:rsidRPr="00C4699D">
        <w:rPr>
          <w:color w:val="FF0000"/>
        </w:rPr>
        <w:t xml:space="preserve"> </w:t>
      </w:r>
      <w:r>
        <w:t>(</w:t>
      </w:r>
      <w:r w:rsidRPr="00A4615C">
        <w:rPr>
          <w:i/>
        </w:rPr>
        <w:t>Global Tower</w:t>
      </w:r>
      <w:r w:rsidRPr="00C8288A">
        <w:rPr>
          <w:i/>
        </w:rPr>
        <w:t xml:space="preserve"> </w:t>
      </w:r>
      <w:r>
        <w:rPr>
          <w:i/>
        </w:rPr>
        <w:t>Waiver Order</w:t>
      </w:r>
      <w:r>
        <w:t xml:space="preserve">); Request of Mobilitie, LLC for Waiver of 47 C.F.R. § 17.47(b), </w:t>
      </w:r>
      <w:r w:rsidRPr="00DA40EF">
        <w:rPr>
          <w:i/>
        </w:rPr>
        <w:t>Memorandum Opinion and Order</w:t>
      </w:r>
      <w:r>
        <w:t>, 24 FCC Rcd 11949 (WTB 2009);</w:t>
      </w:r>
      <w:r w:rsidRPr="008030BC">
        <w:t xml:space="preserve"> </w:t>
      </w:r>
      <w:r>
        <w:t>T</w:t>
      </w:r>
      <w:r w:rsidRPr="008030BC">
        <w:t xml:space="preserve">owerSentry LLC Request for Waiver of 47 C.F.R. § 17.47(b) and Joint Petition of Diamond Communications LLC and Diamond Towers LLC for Waiver of 47 C.F.R. § 17.47(b), </w:t>
      </w:r>
      <w:r w:rsidRPr="008030BC">
        <w:rPr>
          <w:i/>
        </w:rPr>
        <w:t>Memorandum Opinion and Order</w:t>
      </w:r>
      <w:r w:rsidRPr="008030BC">
        <w:t>, 24 FCC Rcd 10274 (WTB 2009)</w:t>
      </w:r>
      <w:r>
        <w:t xml:space="preserve">; Petition of Insite Towers LLC and TowerCo Assets LLC and TowerCo II LLC </w:t>
      </w:r>
      <w:r w:rsidRPr="008030BC">
        <w:t xml:space="preserve">for Waiver of 47 C.F.R. § 17.47(b), </w:t>
      </w:r>
      <w:r w:rsidRPr="008030BC">
        <w:rPr>
          <w:i/>
        </w:rPr>
        <w:t>Memorandum Opinion and Order</w:t>
      </w:r>
      <w:r w:rsidRPr="008030BC">
        <w:t xml:space="preserve">, </w:t>
      </w:r>
      <w:r w:rsidRPr="00D54226">
        <w:t xml:space="preserve">25 FCC Rcd 14542 </w:t>
      </w:r>
      <w:r w:rsidRPr="008030BC">
        <w:t xml:space="preserve"> (WTB 20</w:t>
      </w:r>
      <w:r>
        <w:t>10</w:t>
      </w:r>
      <w:r w:rsidRPr="008030BC">
        <w:t>)</w:t>
      </w:r>
      <w:r w:rsidR="00395758">
        <w:t xml:space="preserve"> (</w:t>
      </w:r>
      <w:r w:rsidR="00395758" w:rsidRPr="00395758">
        <w:rPr>
          <w:i/>
        </w:rPr>
        <w:t>Insite Waiver Order</w:t>
      </w:r>
      <w:r w:rsidR="00395758">
        <w:t>)</w:t>
      </w:r>
      <w:r>
        <w:t xml:space="preserve">; </w:t>
      </w:r>
      <w:r w:rsidRPr="00016A63">
        <w:t>Crown Castle USA Inc., AT&amp;T Services Inc. Request for Waiver of 47 C.F.R. § 17.47(b)</w:t>
      </w:r>
      <w:r w:rsidRPr="00D13B12">
        <w:t xml:space="preserve">, </w:t>
      </w:r>
      <w:r w:rsidRPr="00016A63">
        <w:rPr>
          <w:i/>
        </w:rPr>
        <w:t>Memorandum Opinion and Order</w:t>
      </w:r>
      <w:r w:rsidRPr="00D13B12">
        <w:t xml:space="preserve">, 27 FCC Rcd 4313 (WTB 2012); </w:t>
      </w:r>
      <w:r w:rsidRPr="00016A63">
        <w:t>Joint Petition of Diamond Communications LLC, Diamond Towers LLC, Diamond Towers II LLC, and Diamond Towers III LLC for Waiver of 47 C.F.R. § 17.47(b)</w:t>
      </w:r>
      <w:r w:rsidRPr="00D13B12">
        <w:t xml:space="preserve">, </w:t>
      </w:r>
      <w:r w:rsidRPr="00016A63">
        <w:rPr>
          <w:i/>
        </w:rPr>
        <w:t>Memorandum Opinion and Order</w:t>
      </w:r>
      <w:r w:rsidRPr="00D13B12">
        <w:t xml:space="preserve">, 27 FCC Rcd 11101 (WTB 2012); </w:t>
      </w:r>
      <w:r w:rsidRPr="00016A63">
        <w:t>American Tower Corporation Request for Waiver of 47 C.F.R. § 17.47</w:t>
      </w:r>
      <w:r w:rsidRPr="00D13B12">
        <w:t xml:space="preserve">, </w:t>
      </w:r>
      <w:r w:rsidRPr="00016A63">
        <w:rPr>
          <w:i/>
        </w:rPr>
        <w:t>Memorandum Opinion and Order</w:t>
      </w:r>
      <w:r w:rsidRPr="00D13B12">
        <w:t>, 28 FCC Rcd 294 (WTB 2013)</w:t>
      </w:r>
      <w:r w:rsidR="00C244B4">
        <w:t xml:space="preserve"> (</w:t>
      </w:r>
      <w:r w:rsidR="00C244B4" w:rsidRPr="00C244B4">
        <w:rPr>
          <w:i/>
        </w:rPr>
        <w:t>American Tower Waiver Order</w:t>
      </w:r>
      <w:r w:rsidR="00C244B4">
        <w:t>)</w:t>
      </w:r>
      <w:r w:rsidRPr="00D13B12">
        <w:t xml:space="preserve">; </w:t>
      </w:r>
      <w:r w:rsidRPr="00016A63">
        <w:t>Southern Company Services, Inc. Request for Waiver of 47 C.F.R. § 17.47(b)</w:t>
      </w:r>
      <w:r w:rsidRPr="00D13B12">
        <w:t xml:space="preserve">, </w:t>
      </w:r>
      <w:r w:rsidRPr="00016A63">
        <w:rPr>
          <w:i/>
        </w:rPr>
        <w:t>Memorandum Opinion and Order</w:t>
      </w:r>
      <w:r w:rsidRPr="00D13B12">
        <w:t>, 28 FCC Rcd 300 (WTB 2013) (</w:t>
      </w:r>
      <w:r w:rsidRPr="00D13B12">
        <w:rPr>
          <w:i/>
        </w:rPr>
        <w:t>Southern Waiver Order</w:t>
      </w:r>
      <w:r w:rsidRPr="00D13B12">
        <w:t xml:space="preserve">); </w:t>
      </w:r>
      <w:r w:rsidRPr="00016A63">
        <w:t>SBA Communications Corporation and International Tower Lighting, LLC Request for Waiver of 47 C.F.R. § 17.47(b)</w:t>
      </w:r>
      <w:r w:rsidRPr="00D13B12">
        <w:t xml:space="preserve">, </w:t>
      </w:r>
      <w:r w:rsidRPr="00016A63">
        <w:rPr>
          <w:i/>
        </w:rPr>
        <w:t>Memorandum Opinion and Order</w:t>
      </w:r>
      <w:r w:rsidRPr="00D13B12">
        <w:t>, 29 FCC Rcd 1749 (</w:t>
      </w:r>
      <w:r w:rsidR="00C244B4">
        <w:t xml:space="preserve">WTB </w:t>
      </w:r>
      <w:r w:rsidRPr="00D13B12">
        <w:t>2014)</w:t>
      </w:r>
      <w:r w:rsidR="00C244B4">
        <w:t xml:space="preserve"> (</w:t>
      </w:r>
      <w:r w:rsidR="00C244B4" w:rsidRPr="00C244B4">
        <w:rPr>
          <w:i/>
        </w:rPr>
        <w:t>SBA Waiver Order</w:t>
      </w:r>
      <w:r w:rsidR="00C244B4">
        <w:t>)</w:t>
      </w:r>
      <w:r w:rsidRPr="00D13B12">
        <w:t>.</w:t>
      </w:r>
    </w:p>
  </w:footnote>
  <w:footnote w:id="12">
    <w:p w:rsidR="00CA0444" w:rsidRDefault="00CA0444" w:rsidP="00283989">
      <w:pPr>
        <w:pStyle w:val="FootnoteText"/>
      </w:pPr>
      <w:r>
        <w:rPr>
          <w:rStyle w:val="FootnoteReference"/>
        </w:rPr>
        <w:footnoteRef/>
      </w:r>
      <w:r>
        <w:t xml:space="preserve"> </w:t>
      </w:r>
      <w:r w:rsidRPr="0037232A">
        <w:rPr>
          <w:i/>
        </w:rPr>
        <w:t>Antenna Structure Report and Order</w:t>
      </w:r>
      <w:r>
        <w:t xml:space="preserve">, 29 FCC Rcd at 9788 </w:t>
      </w:r>
      <w:r w:rsidR="00BF23D9">
        <w:t>para.</w:t>
      </w:r>
      <w:r>
        <w:t xml:space="preserve"> 1.   </w:t>
      </w:r>
    </w:p>
  </w:footnote>
  <w:footnote w:id="13">
    <w:p w:rsidR="00CA0444" w:rsidRDefault="00CA0444" w:rsidP="00283989">
      <w:pPr>
        <w:pStyle w:val="FootnoteText"/>
      </w:pPr>
      <w:r>
        <w:rPr>
          <w:rStyle w:val="FootnoteReference"/>
        </w:rPr>
        <w:footnoteRef/>
      </w:r>
      <w:r>
        <w:t xml:space="preserve"> </w:t>
      </w:r>
      <w:r w:rsidR="009D59EE" w:rsidRPr="009D59EE">
        <w:rPr>
          <w:i/>
        </w:rPr>
        <w:t>Id.</w:t>
      </w:r>
      <w:r>
        <w:t xml:space="preserve"> at 9800 </w:t>
      </w:r>
      <w:r w:rsidR="00BF23D9">
        <w:t>para.</w:t>
      </w:r>
      <w:r>
        <w:t xml:space="preserve"> 31.</w:t>
      </w:r>
    </w:p>
  </w:footnote>
  <w:footnote w:id="14">
    <w:p w:rsidR="00CA0444" w:rsidRDefault="00CA0444" w:rsidP="00283989">
      <w:pPr>
        <w:pStyle w:val="FootnoteText"/>
      </w:pPr>
      <w:r>
        <w:rPr>
          <w:rStyle w:val="FootnoteReference"/>
        </w:rPr>
        <w:footnoteRef/>
      </w:r>
      <w:r>
        <w:t xml:space="preserve"> </w:t>
      </w:r>
      <w:r w:rsidRPr="00B75C3A">
        <w:rPr>
          <w:i/>
        </w:rPr>
        <w:t>See</w:t>
      </w:r>
      <w:r>
        <w:t xml:space="preserve"> 47 C.F.R. 17.47(c); </w:t>
      </w:r>
      <w:r w:rsidRPr="00632FEE">
        <w:rPr>
          <w:i/>
        </w:rPr>
        <w:t>s</w:t>
      </w:r>
      <w:r w:rsidRPr="00B75C3A">
        <w:rPr>
          <w:i/>
        </w:rPr>
        <w:t>ee also</w:t>
      </w:r>
      <w:r>
        <w:t xml:space="preserve"> </w:t>
      </w:r>
      <w:r w:rsidRPr="00CD4EEA">
        <w:rPr>
          <w:i/>
        </w:rPr>
        <w:t xml:space="preserve">Antenna Structure </w:t>
      </w:r>
      <w:r>
        <w:rPr>
          <w:i/>
        </w:rPr>
        <w:t xml:space="preserve">Report and </w:t>
      </w:r>
      <w:r w:rsidRPr="00CD4EEA">
        <w:rPr>
          <w:i/>
        </w:rPr>
        <w:t>Order</w:t>
      </w:r>
      <w:r>
        <w:t xml:space="preserve">, 29 FCC Rcd at 9800-01 </w:t>
      </w:r>
      <w:r w:rsidR="00BF23D9">
        <w:t>paras.</w:t>
      </w:r>
      <w:r>
        <w:t xml:space="preserve"> 31-34.</w:t>
      </w:r>
    </w:p>
  </w:footnote>
  <w:footnote w:id="15">
    <w:p w:rsidR="00CA0444" w:rsidRDefault="00CA0444" w:rsidP="00283989">
      <w:pPr>
        <w:pStyle w:val="FootnoteText"/>
      </w:pPr>
      <w:r>
        <w:rPr>
          <w:rStyle w:val="FootnoteReference"/>
        </w:rPr>
        <w:footnoteRef/>
      </w:r>
      <w:r>
        <w:t xml:space="preserve"> </w:t>
      </w:r>
      <w:r w:rsidRPr="0037232A">
        <w:rPr>
          <w:i/>
        </w:rPr>
        <w:t>Antenna Structure Report and Order</w:t>
      </w:r>
      <w:r>
        <w:t xml:space="preserve">, 29 FCC Rcd at 9800 </w:t>
      </w:r>
      <w:r w:rsidR="00BF23D9">
        <w:t>para.</w:t>
      </w:r>
      <w:r>
        <w:t xml:space="preserve"> 31.</w:t>
      </w:r>
    </w:p>
  </w:footnote>
  <w:footnote w:id="16">
    <w:p w:rsidR="00CA0444" w:rsidRDefault="00CA0444" w:rsidP="00283989">
      <w:pPr>
        <w:pStyle w:val="FootnoteText"/>
      </w:pPr>
      <w:r>
        <w:rPr>
          <w:rStyle w:val="FootnoteReference"/>
        </w:rPr>
        <w:footnoteRef/>
      </w:r>
      <w:r>
        <w:t xml:space="preserve"> </w:t>
      </w:r>
      <w:r w:rsidR="00854AF5" w:rsidRPr="00854AF5">
        <w:rPr>
          <w:i/>
        </w:rPr>
        <w:t>Id</w:t>
      </w:r>
      <w:r w:rsidR="00854AF5">
        <w:t>.</w:t>
      </w:r>
    </w:p>
  </w:footnote>
  <w:footnote w:id="17">
    <w:p w:rsidR="00CA0444" w:rsidRDefault="00CA0444" w:rsidP="00283989">
      <w:pPr>
        <w:pStyle w:val="FootnoteText"/>
      </w:pPr>
      <w:r>
        <w:rPr>
          <w:rStyle w:val="FootnoteReference"/>
        </w:rPr>
        <w:footnoteRef/>
      </w:r>
      <w:r>
        <w:t xml:space="preserve"> </w:t>
      </w:r>
      <w:r w:rsidR="00854AF5" w:rsidRPr="00854AF5">
        <w:rPr>
          <w:i/>
        </w:rPr>
        <w:t>Id</w:t>
      </w:r>
      <w:r w:rsidR="00854AF5">
        <w:t>.</w:t>
      </w:r>
    </w:p>
  </w:footnote>
  <w:footnote w:id="18">
    <w:p w:rsidR="00CA0444" w:rsidRDefault="00CA0444" w:rsidP="00283989">
      <w:pPr>
        <w:pStyle w:val="FootnoteText"/>
      </w:pPr>
      <w:r>
        <w:rPr>
          <w:rStyle w:val="FootnoteReference"/>
        </w:rPr>
        <w:footnoteRef/>
      </w:r>
      <w:r>
        <w:t xml:space="preserve"> </w:t>
      </w:r>
      <w:r w:rsidR="00854AF5" w:rsidRPr="00854AF5">
        <w:rPr>
          <w:i/>
        </w:rPr>
        <w:t>Id</w:t>
      </w:r>
      <w:r w:rsidR="00854AF5">
        <w:t>.</w:t>
      </w:r>
      <w:r>
        <w:t xml:space="preserve"> at 9801 </w:t>
      </w:r>
      <w:r w:rsidR="00BF23D9">
        <w:t>paras.</w:t>
      </w:r>
      <w:r>
        <w:t xml:space="preserve"> 33-34</w:t>
      </w:r>
      <w:r w:rsidR="005F123F">
        <w:t>.</w:t>
      </w:r>
    </w:p>
  </w:footnote>
  <w:footnote w:id="19">
    <w:p w:rsidR="00CA0444" w:rsidRDefault="00CA0444" w:rsidP="00283989">
      <w:pPr>
        <w:pStyle w:val="FootnoteText"/>
      </w:pPr>
      <w:r>
        <w:rPr>
          <w:rStyle w:val="FootnoteReference"/>
        </w:rPr>
        <w:footnoteRef/>
      </w:r>
      <w:r>
        <w:t xml:space="preserve"> </w:t>
      </w:r>
      <w:r w:rsidR="00854AF5" w:rsidRPr="00854AF5">
        <w:rPr>
          <w:i/>
        </w:rPr>
        <w:t>Id</w:t>
      </w:r>
      <w:r w:rsidR="00854AF5">
        <w:t>.</w:t>
      </w:r>
      <w:r>
        <w:t xml:space="preserve"> at 9801</w:t>
      </w:r>
      <w:r w:rsidR="00BF23D9" w:rsidRPr="00BF23D9">
        <w:t xml:space="preserve"> </w:t>
      </w:r>
      <w:r w:rsidR="00BF23D9">
        <w:t>para.</w:t>
      </w:r>
      <w:r>
        <w:t xml:space="preserve"> 34.  </w:t>
      </w:r>
      <w:r w:rsidRPr="006D4653">
        <w:t>These antenna structure owners are not required to continue to monitor annually, so long as they meet the other monitoring requirements in the relevant waiver order.</w:t>
      </w:r>
      <w:r w:rsidR="005E71F2">
        <w:t xml:space="preserve">  </w:t>
      </w:r>
      <w:r w:rsidR="005E71F2" w:rsidRPr="005E71F2">
        <w:rPr>
          <w:i/>
        </w:rPr>
        <w:t>See id</w:t>
      </w:r>
      <w:r w:rsidR="005E71F2">
        <w:t>.</w:t>
      </w:r>
    </w:p>
  </w:footnote>
  <w:footnote w:id="20">
    <w:p w:rsidR="00CA0444" w:rsidRDefault="00CA0444" w:rsidP="00283989">
      <w:pPr>
        <w:pStyle w:val="FootnoteText"/>
      </w:pPr>
      <w:r>
        <w:rPr>
          <w:rStyle w:val="FootnoteReference"/>
        </w:rPr>
        <w:footnoteRef/>
      </w:r>
      <w:r>
        <w:t xml:space="preserve"> </w:t>
      </w:r>
      <w:r w:rsidR="00854AF5" w:rsidRPr="00854AF5">
        <w:rPr>
          <w:i/>
        </w:rPr>
        <w:t>Id</w:t>
      </w:r>
      <w:r w:rsidR="00854AF5">
        <w:t>.</w:t>
      </w:r>
      <w:r>
        <w:t xml:space="preserve">  </w:t>
      </w:r>
    </w:p>
  </w:footnote>
  <w:footnote w:id="21">
    <w:p w:rsidR="00CA0444" w:rsidRDefault="00CA0444" w:rsidP="00283989">
      <w:pPr>
        <w:pStyle w:val="FootnoteText"/>
      </w:pPr>
      <w:r>
        <w:rPr>
          <w:rStyle w:val="FootnoteReference"/>
        </w:rPr>
        <w:footnoteRef/>
      </w:r>
      <w:r>
        <w:t xml:space="preserve"> </w:t>
      </w:r>
      <w:r w:rsidR="00854AF5" w:rsidRPr="00854AF5">
        <w:rPr>
          <w:i/>
        </w:rPr>
        <w:t>Id</w:t>
      </w:r>
      <w:r w:rsidR="00854AF5">
        <w:t xml:space="preserve">. </w:t>
      </w:r>
      <w:r>
        <w:t xml:space="preserve">at 9801 </w:t>
      </w:r>
      <w:r w:rsidR="00BF23D9">
        <w:t>paras.</w:t>
      </w:r>
      <w:r>
        <w:t xml:space="preserve"> 33-34.</w:t>
      </w:r>
    </w:p>
  </w:footnote>
  <w:footnote w:id="22">
    <w:p w:rsidR="005612C0" w:rsidRDefault="00270859" w:rsidP="00283989">
      <w:pPr>
        <w:pStyle w:val="FootnoteText"/>
      </w:pPr>
      <w:r w:rsidRPr="00270859">
        <w:rPr>
          <w:rStyle w:val="FootnoteReference"/>
        </w:rPr>
        <w:footnoteRef/>
      </w:r>
      <w:r>
        <w:t xml:space="preserve"> </w:t>
      </w:r>
      <w:r w:rsidRPr="008F6D48">
        <w:rPr>
          <w:i/>
        </w:rPr>
        <w:t>See</w:t>
      </w:r>
      <w:r w:rsidRPr="008F6D48">
        <w:t xml:space="preserve"> </w:t>
      </w:r>
      <w:r w:rsidR="008F6D48">
        <w:t xml:space="preserve">Letter from Peter M. Connolly, Holland &amp; Knight LLP, to Jeffrey Steinberg, Deputy Chief, </w:t>
      </w:r>
      <w:r w:rsidRPr="008F6D48">
        <w:t>S</w:t>
      </w:r>
      <w:r w:rsidR="006C2EA8">
        <w:t>pectrum and Competition Policy Division, W</w:t>
      </w:r>
      <w:r w:rsidR="00460F15">
        <w:t>TB</w:t>
      </w:r>
      <w:r w:rsidR="006C2EA8">
        <w:t xml:space="preserve"> (Jan. 6, 2015) (</w:t>
      </w:r>
      <w:r w:rsidR="006C2EA8" w:rsidRPr="006C2EA8">
        <w:rPr>
          <w:i/>
        </w:rPr>
        <w:t>USCC Supplement I</w:t>
      </w:r>
      <w:r w:rsidR="006C2EA8">
        <w:t>); Letter from Peter M. Connolly, Holland &amp; Knight LLP, to Jeffrey Steinberg, Deputy Chief, Spectrum and Competition Policy Division, W</w:t>
      </w:r>
      <w:r w:rsidR="00460F15">
        <w:t>TB</w:t>
      </w:r>
      <w:r w:rsidR="006C2EA8">
        <w:t xml:space="preserve"> (March 26, 2015) (</w:t>
      </w:r>
      <w:r w:rsidR="006C2EA8" w:rsidRPr="006C2EA8">
        <w:rPr>
          <w:i/>
        </w:rPr>
        <w:t>USCC Supplement II</w:t>
      </w:r>
      <w:r w:rsidR="006C2EA8">
        <w:t>)</w:t>
      </w:r>
      <w:r w:rsidR="006D4653">
        <w:t>.</w:t>
      </w:r>
      <w:r w:rsidR="006C2EA8">
        <w:t xml:space="preserve">  This additional information was provided in response </w:t>
      </w:r>
      <w:r w:rsidR="004F44B3">
        <w:t xml:space="preserve">to </w:t>
      </w:r>
      <w:r w:rsidR="006C2EA8">
        <w:t>request</w:t>
      </w:r>
      <w:r w:rsidR="004F44B3">
        <w:t>s</w:t>
      </w:r>
      <w:r w:rsidR="006C2EA8">
        <w:t xml:space="preserve"> by </w:t>
      </w:r>
      <w:r w:rsidR="00460F15">
        <w:t xml:space="preserve">WTB’s </w:t>
      </w:r>
      <w:r w:rsidR="006C2EA8">
        <w:t>Spectrum and Competition Policy Division</w:t>
      </w:r>
      <w:r w:rsidR="004F44B3">
        <w:t xml:space="preserve"> via letter dated Dec. 8, 2014 and via telephone on March</w:t>
      </w:r>
      <w:r w:rsidR="00360C53">
        <w:t xml:space="preserve"> 9</w:t>
      </w:r>
      <w:r w:rsidR="004F44B3">
        <w:t xml:space="preserve">, 2015.  </w:t>
      </w:r>
      <w:r w:rsidR="004F44B3" w:rsidRPr="004F44B3">
        <w:rPr>
          <w:i/>
        </w:rPr>
        <w:t>S</w:t>
      </w:r>
      <w:r w:rsidR="004F44B3" w:rsidRPr="006C2EA8">
        <w:rPr>
          <w:i/>
        </w:rPr>
        <w:t>ee</w:t>
      </w:r>
      <w:r w:rsidR="004F44B3">
        <w:t xml:space="preserve"> Letter from Jeffrey S. Steinberg, Deputy Chief, </w:t>
      </w:r>
      <w:r w:rsidR="004F44B3" w:rsidRPr="008F6D48">
        <w:t>S</w:t>
      </w:r>
      <w:r w:rsidR="004F44B3">
        <w:t>pectrum and Competition Policy Division, W</w:t>
      </w:r>
      <w:r w:rsidR="00460F15">
        <w:t>TB</w:t>
      </w:r>
      <w:r w:rsidR="004F44B3">
        <w:t>, to Peter M. Connolly, Esq., Holland &amp; Knight LLP (Dec. 8, 2014).</w:t>
      </w:r>
      <w:r w:rsidRPr="000B6108">
        <w:rPr>
          <w:color w:val="FF0000"/>
        </w:rPr>
        <w:t xml:space="preserve">  </w:t>
      </w:r>
    </w:p>
  </w:footnote>
  <w:footnote w:id="23">
    <w:p w:rsidR="00E0726C" w:rsidRDefault="00E0726C" w:rsidP="00283989">
      <w:pPr>
        <w:pStyle w:val="FootnoteText"/>
      </w:pPr>
      <w:r>
        <w:rPr>
          <w:rStyle w:val="FootnoteReference"/>
        </w:rPr>
        <w:footnoteRef/>
      </w:r>
      <w:r>
        <w:t xml:space="preserve"> </w:t>
      </w:r>
      <w:r w:rsidRPr="0081751D">
        <w:rPr>
          <w:i/>
        </w:rPr>
        <w:t>USCC Waiver Request</w:t>
      </w:r>
      <w:r>
        <w:t xml:space="preserve"> at 1, 2.  With respect to the 187 towers not included in the waiver request, see paragraph </w:t>
      </w:r>
      <w:r w:rsidR="005E71F2">
        <w:t>19</w:t>
      </w:r>
      <w:r>
        <w:t xml:space="preserve"> </w:t>
      </w:r>
      <w:r w:rsidR="00B62D84" w:rsidRPr="00B62D84">
        <w:rPr>
          <w:i/>
        </w:rPr>
        <w:t>infra</w:t>
      </w:r>
      <w:r>
        <w:t xml:space="preserve">. </w:t>
      </w:r>
    </w:p>
  </w:footnote>
  <w:footnote w:id="24">
    <w:p w:rsidR="005612C0" w:rsidRPr="00F54E66" w:rsidRDefault="008D2428" w:rsidP="00283989">
      <w:pPr>
        <w:pStyle w:val="FootnoteText"/>
      </w:pPr>
      <w:r>
        <w:rPr>
          <w:rStyle w:val="FootnoteReference"/>
        </w:rPr>
        <w:footnoteRef/>
      </w:r>
      <w:r>
        <w:t xml:space="preserve"> </w:t>
      </w:r>
      <w:r w:rsidR="00E30CDE" w:rsidRPr="005D259B">
        <w:rPr>
          <w:i/>
        </w:rPr>
        <w:t>U</w:t>
      </w:r>
      <w:r w:rsidR="00E30CDE" w:rsidRPr="00F70D43">
        <w:rPr>
          <w:i/>
        </w:rPr>
        <w:t>S</w:t>
      </w:r>
      <w:r w:rsidR="00E30CDE">
        <w:rPr>
          <w:i/>
        </w:rPr>
        <w:t>CC</w:t>
      </w:r>
      <w:r w:rsidR="00E30CDE" w:rsidRPr="00DE78E2">
        <w:rPr>
          <w:i/>
        </w:rPr>
        <w:t xml:space="preserve"> </w:t>
      </w:r>
      <w:r w:rsidR="00E30CDE" w:rsidRPr="00BB51B4">
        <w:rPr>
          <w:i/>
        </w:rPr>
        <w:t xml:space="preserve">Waiver </w:t>
      </w:r>
      <w:r w:rsidR="00E30CDE">
        <w:rPr>
          <w:i/>
        </w:rPr>
        <w:t>Request</w:t>
      </w:r>
      <w:r w:rsidR="00E30CDE" w:rsidRPr="005E676A">
        <w:t xml:space="preserve"> </w:t>
      </w:r>
      <w:r w:rsidR="00E30CDE">
        <w:t xml:space="preserve">at </w:t>
      </w:r>
      <w:r w:rsidR="00F450DB">
        <w:t>1-</w:t>
      </w:r>
      <w:r w:rsidR="00E30CDE">
        <w:t>2.</w:t>
      </w:r>
    </w:p>
  </w:footnote>
  <w:footnote w:id="25">
    <w:p w:rsidR="00EE6EB4" w:rsidRDefault="00EE6EB4" w:rsidP="00283989">
      <w:pPr>
        <w:pStyle w:val="FootnoteText"/>
      </w:pPr>
      <w:r>
        <w:rPr>
          <w:rStyle w:val="FootnoteReference"/>
        </w:rPr>
        <w:footnoteRef/>
      </w:r>
      <w:r>
        <w:t xml:space="preserve"> </w:t>
      </w:r>
      <w:r w:rsidR="00854AF5" w:rsidRPr="00854AF5">
        <w:rPr>
          <w:i/>
        </w:rPr>
        <w:t>Id</w:t>
      </w:r>
      <w:r w:rsidR="00854AF5">
        <w:t>.</w:t>
      </w:r>
      <w:r>
        <w:t xml:space="preserve"> at 3.</w:t>
      </w:r>
    </w:p>
  </w:footnote>
  <w:footnote w:id="26">
    <w:p w:rsidR="00EE6EB4" w:rsidRDefault="00EE6EB4" w:rsidP="00283989">
      <w:pPr>
        <w:pStyle w:val="FootnoteText"/>
      </w:pPr>
      <w:r>
        <w:rPr>
          <w:rStyle w:val="FootnoteReference"/>
        </w:rPr>
        <w:footnoteRef/>
      </w:r>
      <w:r>
        <w:t xml:space="preserve"> </w:t>
      </w:r>
      <w:r w:rsidR="00854AF5" w:rsidRPr="00854AF5">
        <w:rPr>
          <w:i/>
        </w:rPr>
        <w:t>Id</w:t>
      </w:r>
      <w:r w:rsidR="00854AF5">
        <w:t>.</w:t>
      </w:r>
      <w:r>
        <w:t xml:space="preserve"> at 2.</w:t>
      </w:r>
    </w:p>
  </w:footnote>
  <w:footnote w:id="27">
    <w:p w:rsidR="00EE6EB4" w:rsidRDefault="00EE6EB4" w:rsidP="00283989">
      <w:pPr>
        <w:pStyle w:val="FootnoteText"/>
      </w:pPr>
      <w:r>
        <w:rPr>
          <w:rStyle w:val="FootnoteReference"/>
        </w:rPr>
        <w:footnoteRef/>
      </w:r>
      <w:r>
        <w:t xml:space="preserve"> </w:t>
      </w:r>
      <w:r w:rsidR="00854AF5" w:rsidRPr="00854AF5">
        <w:rPr>
          <w:i/>
        </w:rPr>
        <w:t>Id</w:t>
      </w:r>
      <w:r w:rsidR="00854AF5">
        <w:t>.</w:t>
      </w:r>
      <w:r>
        <w:t xml:space="preserve"> at 6.</w:t>
      </w:r>
    </w:p>
  </w:footnote>
  <w:footnote w:id="28">
    <w:p w:rsidR="007F254D" w:rsidRDefault="007F254D">
      <w:pPr>
        <w:pStyle w:val="FootnoteText"/>
      </w:pPr>
      <w:r>
        <w:rPr>
          <w:rStyle w:val="FootnoteReference"/>
        </w:rPr>
        <w:footnoteRef/>
      </w:r>
      <w:r>
        <w:t xml:space="preserve"> </w:t>
      </w:r>
      <w:r w:rsidRPr="001E4A96">
        <w:rPr>
          <w:i/>
        </w:rPr>
        <w:t>USCC Supplement II</w:t>
      </w:r>
      <w:r>
        <w:t xml:space="preserve"> at 4.</w:t>
      </w:r>
    </w:p>
  </w:footnote>
  <w:footnote w:id="29">
    <w:p w:rsidR="00EE6EB4" w:rsidRDefault="00EE6EB4" w:rsidP="00283989">
      <w:pPr>
        <w:pStyle w:val="FootnoteText"/>
      </w:pPr>
      <w:r>
        <w:rPr>
          <w:rStyle w:val="FootnoteReference"/>
        </w:rPr>
        <w:footnoteRef/>
      </w:r>
      <w:r>
        <w:t xml:space="preserve"> </w:t>
      </w:r>
      <w:r w:rsidRPr="007A646B">
        <w:rPr>
          <w:i/>
        </w:rPr>
        <w:t>USCC Waiver Request</w:t>
      </w:r>
      <w:r>
        <w:t xml:space="preserve"> at 3.</w:t>
      </w:r>
    </w:p>
  </w:footnote>
  <w:footnote w:id="30">
    <w:p w:rsidR="00EE6EB4" w:rsidRDefault="00EE6EB4" w:rsidP="00283989">
      <w:pPr>
        <w:pStyle w:val="FootnoteText"/>
      </w:pPr>
      <w:r>
        <w:rPr>
          <w:rStyle w:val="FootnoteReference"/>
        </w:rPr>
        <w:footnoteRef/>
      </w:r>
      <w:r>
        <w:t xml:space="preserve"> </w:t>
      </w:r>
      <w:r w:rsidR="00854AF5" w:rsidRPr="00854AF5">
        <w:rPr>
          <w:i/>
        </w:rPr>
        <w:t>Id</w:t>
      </w:r>
      <w:r w:rsidR="00854AF5">
        <w:t>.</w:t>
      </w:r>
      <w:r>
        <w:t xml:space="preserve"> at 3, 4.</w:t>
      </w:r>
    </w:p>
  </w:footnote>
  <w:footnote w:id="31">
    <w:p w:rsidR="00EE6EB4" w:rsidRDefault="00EE6EB4" w:rsidP="00283989">
      <w:pPr>
        <w:pStyle w:val="FootnoteText"/>
      </w:pPr>
      <w:r>
        <w:rPr>
          <w:rStyle w:val="FootnoteReference"/>
        </w:rPr>
        <w:footnoteRef/>
      </w:r>
      <w:r>
        <w:t xml:space="preserve"> </w:t>
      </w:r>
      <w:r w:rsidR="00854AF5" w:rsidRPr="00854AF5">
        <w:rPr>
          <w:i/>
        </w:rPr>
        <w:t>Id</w:t>
      </w:r>
      <w:r w:rsidR="00854AF5">
        <w:t>.</w:t>
      </w:r>
      <w:r>
        <w:t xml:space="preserve"> at 4.</w:t>
      </w:r>
    </w:p>
  </w:footnote>
  <w:footnote w:id="32">
    <w:p w:rsidR="00EE6EB4" w:rsidRDefault="00EE6EB4" w:rsidP="00283989">
      <w:pPr>
        <w:pStyle w:val="FootnoteText"/>
      </w:pPr>
      <w:r>
        <w:rPr>
          <w:rStyle w:val="FootnoteReference"/>
        </w:rPr>
        <w:footnoteRef/>
      </w:r>
      <w:r>
        <w:t xml:space="preserve"> </w:t>
      </w:r>
      <w:r w:rsidR="00854AF5" w:rsidRPr="00854AF5">
        <w:rPr>
          <w:i/>
        </w:rPr>
        <w:t>Id</w:t>
      </w:r>
      <w:r w:rsidR="00854AF5">
        <w:t>.</w:t>
      </w:r>
      <w:r>
        <w:t xml:space="preserve"> at 3.</w:t>
      </w:r>
    </w:p>
  </w:footnote>
  <w:footnote w:id="33">
    <w:p w:rsidR="00EE6EB4" w:rsidRDefault="00EE6EB4" w:rsidP="00283989">
      <w:pPr>
        <w:pStyle w:val="FootnoteText"/>
      </w:pPr>
      <w:r>
        <w:rPr>
          <w:rStyle w:val="FootnoteReference"/>
        </w:rPr>
        <w:footnoteRef/>
      </w:r>
      <w:r>
        <w:t xml:space="preserve"> </w:t>
      </w:r>
      <w:r w:rsidR="00854AF5" w:rsidRPr="00854AF5">
        <w:rPr>
          <w:i/>
        </w:rPr>
        <w:t>Id</w:t>
      </w:r>
      <w:r w:rsidR="00854AF5">
        <w:t>.</w:t>
      </w:r>
    </w:p>
  </w:footnote>
  <w:footnote w:id="34">
    <w:p w:rsidR="00EE6EB4" w:rsidRDefault="00EE6EB4" w:rsidP="00283989">
      <w:pPr>
        <w:pStyle w:val="FootnoteText"/>
      </w:pPr>
      <w:r>
        <w:rPr>
          <w:rStyle w:val="FootnoteReference"/>
        </w:rPr>
        <w:footnoteRef/>
      </w:r>
      <w:r>
        <w:t xml:space="preserve"> </w:t>
      </w:r>
      <w:r w:rsidR="00854AF5" w:rsidRPr="00854AF5">
        <w:rPr>
          <w:i/>
        </w:rPr>
        <w:t>Id</w:t>
      </w:r>
      <w:r w:rsidR="00854AF5">
        <w:t>.</w:t>
      </w:r>
      <w:r>
        <w:t xml:space="preserve"> at 4.</w:t>
      </w:r>
    </w:p>
  </w:footnote>
  <w:footnote w:id="35">
    <w:p w:rsidR="00EE6EB4" w:rsidRDefault="00EE6EB4" w:rsidP="00283989">
      <w:pPr>
        <w:pStyle w:val="FootnoteText"/>
      </w:pPr>
      <w:r>
        <w:rPr>
          <w:rStyle w:val="FootnoteReference"/>
        </w:rPr>
        <w:footnoteRef/>
      </w:r>
      <w:r>
        <w:t xml:space="preserve"> </w:t>
      </w:r>
      <w:r w:rsidRPr="00D16736">
        <w:rPr>
          <w:i/>
        </w:rPr>
        <w:t xml:space="preserve">USCC </w:t>
      </w:r>
      <w:r>
        <w:rPr>
          <w:i/>
        </w:rPr>
        <w:t>Supplement II</w:t>
      </w:r>
      <w:r w:rsidRPr="00841551">
        <w:t xml:space="preserve"> at 4</w:t>
      </w:r>
      <w:r>
        <w:t xml:space="preserve">; </w:t>
      </w:r>
      <w:r w:rsidRPr="00841551">
        <w:rPr>
          <w:i/>
        </w:rPr>
        <w:t>see also USCC Waiver Request</w:t>
      </w:r>
      <w:r>
        <w:t xml:space="preserve"> at 5.</w:t>
      </w:r>
    </w:p>
  </w:footnote>
  <w:footnote w:id="36">
    <w:p w:rsidR="00EE6EB4" w:rsidRDefault="00EE6EB4" w:rsidP="00283989">
      <w:pPr>
        <w:pStyle w:val="FootnoteText"/>
      </w:pPr>
      <w:r>
        <w:rPr>
          <w:rStyle w:val="FootnoteReference"/>
        </w:rPr>
        <w:footnoteRef/>
      </w:r>
      <w:r>
        <w:t xml:space="preserve"> </w:t>
      </w:r>
      <w:r w:rsidRPr="00D16736">
        <w:rPr>
          <w:i/>
        </w:rPr>
        <w:t xml:space="preserve">USCC </w:t>
      </w:r>
      <w:r>
        <w:rPr>
          <w:i/>
        </w:rPr>
        <w:t>Supplement II</w:t>
      </w:r>
      <w:r w:rsidRPr="00841551">
        <w:t xml:space="preserve"> at 4</w:t>
      </w:r>
      <w:r>
        <w:t>.</w:t>
      </w:r>
    </w:p>
  </w:footnote>
  <w:footnote w:id="37">
    <w:p w:rsidR="00EE6EB4" w:rsidRDefault="00EE6EB4" w:rsidP="00283989">
      <w:pPr>
        <w:pStyle w:val="FootnoteText"/>
      </w:pPr>
      <w:r>
        <w:rPr>
          <w:rStyle w:val="FootnoteReference"/>
        </w:rPr>
        <w:footnoteRef/>
      </w:r>
      <w:r>
        <w:t xml:space="preserve"> </w:t>
      </w:r>
      <w:r w:rsidRPr="00D16736">
        <w:rPr>
          <w:i/>
        </w:rPr>
        <w:t>USCC Waiver Request</w:t>
      </w:r>
      <w:r>
        <w:t xml:space="preserve"> at 3.</w:t>
      </w:r>
    </w:p>
  </w:footnote>
  <w:footnote w:id="38">
    <w:p w:rsidR="00EE6EB4" w:rsidRDefault="00EE6EB4" w:rsidP="00283989">
      <w:pPr>
        <w:pStyle w:val="FootnoteText"/>
      </w:pPr>
      <w:r>
        <w:rPr>
          <w:rStyle w:val="FootnoteReference"/>
        </w:rPr>
        <w:footnoteRef/>
      </w:r>
      <w:r>
        <w:rPr>
          <w:i/>
        </w:rPr>
        <w:t xml:space="preserve"> U</w:t>
      </w:r>
      <w:r w:rsidRPr="00B16BC4">
        <w:rPr>
          <w:i/>
        </w:rPr>
        <w:t>SCC Supplement II</w:t>
      </w:r>
      <w:r>
        <w:t xml:space="preserve"> at 2; </w:t>
      </w:r>
      <w:r w:rsidRPr="00EB037D">
        <w:rPr>
          <w:i/>
        </w:rPr>
        <w:t>USCC Supplement I</w:t>
      </w:r>
      <w:r>
        <w:t xml:space="preserve"> at 2.</w:t>
      </w:r>
    </w:p>
  </w:footnote>
  <w:footnote w:id="39">
    <w:p w:rsidR="00EE6EB4" w:rsidRDefault="00EE6EB4" w:rsidP="00283989">
      <w:pPr>
        <w:pStyle w:val="FootnoteText"/>
      </w:pPr>
      <w:r>
        <w:rPr>
          <w:rStyle w:val="FootnoteReference"/>
        </w:rPr>
        <w:footnoteRef/>
      </w:r>
      <w:r>
        <w:t xml:space="preserve"> </w:t>
      </w:r>
      <w:r w:rsidRPr="00D14E17">
        <w:rPr>
          <w:i/>
        </w:rPr>
        <w:t>USCC Waiver Request</w:t>
      </w:r>
      <w:r>
        <w:t xml:space="preserve"> at 5.</w:t>
      </w:r>
    </w:p>
  </w:footnote>
  <w:footnote w:id="40">
    <w:p w:rsidR="00EE6EB4" w:rsidRDefault="00EE6EB4" w:rsidP="00283989">
      <w:pPr>
        <w:pStyle w:val="FootnoteText"/>
      </w:pPr>
      <w:r>
        <w:rPr>
          <w:rStyle w:val="FootnoteReference"/>
        </w:rPr>
        <w:footnoteRef/>
      </w:r>
      <w:r>
        <w:t xml:space="preserve"> </w:t>
      </w:r>
      <w:r w:rsidRPr="00B16BC4">
        <w:rPr>
          <w:i/>
        </w:rPr>
        <w:t>USCC Supplement II</w:t>
      </w:r>
      <w:r>
        <w:t xml:space="preserve"> at 2.</w:t>
      </w:r>
    </w:p>
  </w:footnote>
  <w:footnote w:id="41">
    <w:p w:rsidR="00EE6EB4" w:rsidRDefault="00EE6EB4" w:rsidP="00283989">
      <w:pPr>
        <w:pStyle w:val="FootnoteText"/>
      </w:pPr>
      <w:r>
        <w:rPr>
          <w:rStyle w:val="FootnoteReference"/>
        </w:rPr>
        <w:footnoteRef/>
      </w:r>
      <w:r>
        <w:t xml:space="preserve"> </w:t>
      </w:r>
      <w:r w:rsidR="00854AF5" w:rsidRPr="00854AF5">
        <w:rPr>
          <w:i/>
        </w:rPr>
        <w:t>Id</w:t>
      </w:r>
      <w:r w:rsidR="00854AF5">
        <w:t>.</w:t>
      </w:r>
    </w:p>
  </w:footnote>
  <w:footnote w:id="42">
    <w:p w:rsidR="00EE6EB4" w:rsidRDefault="00EE6EB4" w:rsidP="00283989">
      <w:pPr>
        <w:pStyle w:val="FootnoteText"/>
      </w:pPr>
      <w:r>
        <w:rPr>
          <w:rStyle w:val="FootnoteReference"/>
        </w:rPr>
        <w:footnoteRef/>
      </w:r>
      <w:r>
        <w:t xml:space="preserve"> </w:t>
      </w:r>
      <w:r w:rsidR="00854AF5" w:rsidRPr="00854AF5">
        <w:rPr>
          <w:i/>
        </w:rPr>
        <w:t>Id</w:t>
      </w:r>
      <w:r w:rsidR="00854AF5">
        <w:t>.</w:t>
      </w:r>
    </w:p>
  </w:footnote>
  <w:footnote w:id="43">
    <w:p w:rsidR="00EE6EB4" w:rsidRDefault="00EE6EB4" w:rsidP="00283989">
      <w:pPr>
        <w:pStyle w:val="FootnoteText"/>
      </w:pPr>
      <w:r>
        <w:rPr>
          <w:rStyle w:val="FootnoteReference"/>
        </w:rPr>
        <w:footnoteRef/>
      </w:r>
      <w:r>
        <w:t xml:space="preserve"> </w:t>
      </w:r>
      <w:r w:rsidRPr="00EB037D">
        <w:rPr>
          <w:i/>
        </w:rPr>
        <w:t>USCC Waiver Request</w:t>
      </w:r>
      <w:r>
        <w:t xml:space="preserve"> at 3.</w:t>
      </w:r>
    </w:p>
  </w:footnote>
  <w:footnote w:id="44">
    <w:p w:rsidR="00D85867" w:rsidRDefault="00D85867" w:rsidP="00283989">
      <w:pPr>
        <w:pStyle w:val="FootnoteText"/>
      </w:pPr>
      <w:r>
        <w:rPr>
          <w:rStyle w:val="FootnoteReference"/>
        </w:rPr>
        <w:footnoteRef/>
      </w:r>
      <w:r>
        <w:t xml:space="preserve"> </w:t>
      </w:r>
      <w:r w:rsidR="00E0551F" w:rsidRPr="00E0551F">
        <w:rPr>
          <w:i/>
        </w:rPr>
        <w:t>Id</w:t>
      </w:r>
      <w:r w:rsidR="00E0551F">
        <w:t xml:space="preserve">. </w:t>
      </w:r>
      <w:r>
        <w:t xml:space="preserve">at 5; </w:t>
      </w:r>
      <w:r w:rsidRPr="00A0015A">
        <w:rPr>
          <w:i/>
        </w:rPr>
        <w:t>USCC Supplement I</w:t>
      </w:r>
      <w:r>
        <w:t xml:space="preserve"> at 3.</w:t>
      </w:r>
    </w:p>
  </w:footnote>
  <w:footnote w:id="45">
    <w:p w:rsidR="00D85867" w:rsidRDefault="00D85867" w:rsidP="00283989">
      <w:pPr>
        <w:pStyle w:val="FootnoteText"/>
      </w:pPr>
      <w:r>
        <w:rPr>
          <w:rStyle w:val="FootnoteReference"/>
        </w:rPr>
        <w:footnoteRef/>
      </w:r>
      <w:r>
        <w:t xml:space="preserve"> </w:t>
      </w:r>
      <w:r w:rsidRPr="00644934">
        <w:rPr>
          <w:i/>
        </w:rPr>
        <w:t>USCC Waiver Request</w:t>
      </w:r>
      <w:r>
        <w:t xml:space="preserve"> at 5.</w:t>
      </w:r>
    </w:p>
  </w:footnote>
  <w:footnote w:id="46">
    <w:p w:rsidR="00EE6EB4" w:rsidRDefault="00EE6EB4" w:rsidP="00283989">
      <w:pPr>
        <w:pStyle w:val="FootnoteText"/>
      </w:pPr>
      <w:r>
        <w:rPr>
          <w:rStyle w:val="FootnoteReference"/>
        </w:rPr>
        <w:footnoteRef/>
      </w:r>
      <w:r>
        <w:t xml:space="preserve"> </w:t>
      </w:r>
      <w:r w:rsidR="00417D22" w:rsidRPr="00854AF5">
        <w:rPr>
          <w:i/>
        </w:rPr>
        <w:t>Id</w:t>
      </w:r>
      <w:r w:rsidR="00417D22">
        <w:t>.</w:t>
      </w:r>
      <w:r w:rsidR="00A0015A">
        <w:t xml:space="preserve">; </w:t>
      </w:r>
      <w:r w:rsidR="00A0015A" w:rsidRPr="00A0015A">
        <w:rPr>
          <w:i/>
        </w:rPr>
        <w:t>USCC Supplement I</w:t>
      </w:r>
      <w:r w:rsidR="00A0015A">
        <w:t xml:space="preserve"> at 3</w:t>
      </w:r>
      <w:r>
        <w:t>.</w:t>
      </w:r>
    </w:p>
  </w:footnote>
  <w:footnote w:id="47">
    <w:p w:rsidR="00095F4A" w:rsidRDefault="00095F4A" w:rsidP="00283989">
      <w:pPr>
        <w:pStyle w:val="FootnoteText"/>
      </w:pPr>
      <w:r>
        <w:rPr>
          <w:rStyle w:val="FootnoteReference"/>
        </w:rPr>
        <w:footnoteRef/>
      </w:r>
      <w:r>
        <w:t xml:space="preserve"> </w:t>
      </w:r>
      <w:r w:rsidRPr="00511C9A">
        <w:rPr>
          <w:i/>
        </w:rPr>
        <w:t>USCC Supplement I</w:t>
      </w:r>
      <w:r>
        <w:t xml:space="preserve"> at 3.</w:t>
      </w:r>
    </w:p>
  </w:footnote>
  <w:footnote w:id="48">
    <w:p w:rsidR="00EE6EB4" w:rsidRDefault="00EE6EB4" w:rsidP="00283989">
      <w:pPr>
        <w:pStyle w:val="FootnoteText"/>
      </w:pPr>
      <w:r>
        <w:rPr>
          <w:rStyle w:val="FootnoteReference"/>
        </w:rPr>
        <w:footnoteRef/>
      </w:r>
      <w:r>
        <w:t xml:space="preserve"> </w:t>
      </w:r>
      <w:r w:rsidR="00417D22" w:rsidRPr="00854AF5">
        <w:rPr>
          <w:i/>
        </w:rPr>
        <w:t>Id</w:t>
      </w:r>
      <w:r w:rsidR="00417D22">
        <w:t>.</w:t>
      </w:r>
    </w:p>
  </w:footnote>
  <w:footnote w:id="49">
    <w:p w:rsidR="00EE6EB4" w:rsidRDefault="00EE6EB4" w:rsidP="00283989">
      <w:pPr>
        <w:pStyle w:val="FootnoteText"/>
      </w:pPr>
      <w:r>
        <w:rPr>
          <w:rStyle w:val="FootnoteReference"/>
        </w:rPr>
        <w:footnoteRef/>
      </w:r>
      <w:r>
        <w:t xml:space="preserve"> </w:t>
      </w:r>
      <w:r w:rsidR="00417D22" w:rsidRPr="00854AF5">
        <w:rPr>
          <w:i/>
        </w:rPr>
        <w:t>Id</w:t>
      </w:r>
      <w:r w:rsidR="00417D22">
        <w:t>.</w:t>
      </w:r>
      <w:r>
        <w:t xml:space="preserve">; </w:t>
      </w:r>
      <w:r w:rsidRPr="00A175F0">
        <w:rPr>
          <w:i/>
        </w:rPr>
        <w:t>USCC Waiver Request</w:t>
      </w:r>
      <w:r>
        <w:t xml:space="preserve"> at 8.</w:t>
      </w:r>
    </w:p>
  </w:footnote>
  <w:footnote w:id="50">
    <w:p w:rsidR="00EE6EB4" w:rsidRPr="00850005" w:rsidRDefault="00EE6EB4" w:rsidP="00283989">
      <w:pPr>
        <w:pStyle w:val="FootnoteText"/>
      </w:pPr>
      <w:r w:rsidRPr="00850005">
        <w:rPr>
          <w:rStyle w:val="FootnoteReference"/>
        </w:rPr>
        <w:footnoteRef/>
      </w:r>
      <w:r w:rsidRPr="00850005">
        <w:t xml:space="preserve"> </w:t>
      </w:r>
      <w:r w:rsidRPr="00850005">
        <w:rPr>
          <w:i/>
        </w:rPr>
        <w:t>USCC Waiver Request</w:t>
      </w:r>
      <w:r w:rsidRPr="00850005">
        <w:t xml:space="preserve"> at 8</w:t>
      </w:r>
      <w:r>
        <w:t xml:space="preserve">; </w:t>
      </w:r>
      <w:r w:rsidRPr="00511C9A">
        <w:rPr>
          <w:i/>
        </w:rPr>
        <w:t>USCC Supplement I</w:t>
      </w:r>
      <w:r>
        <w:t xml:space="preserve"> at 4.</w:t>
      </w:r>
    </w:p>
  </w:footnote>
  <w:footnote w:id="51">
    <w:p w:rsidR="00095F4A" w:rsidRDefault="00095F4A" w:rsidP="00283989">
      <w:pPr>
        <w:pStyle w:val="FootnoteText"/>
      </w:pPr>
      <w:r>
        <w:rPr>
          <w:rStyle w:val="FootnoteReference"/>
        </w:rPr>
        <w:footnoteRef/>
      </w:r>
      <w:r>
        <w:t xml:space="preserve"> </w:t>
      </w:r>
      <w:r w:rsidRPr="00F76E9C">
        <w:rPr>
          <w:i/>
        </w:rPr>
        <w:t>USCC Waiver Request</w:t>
      </w:r>
      <w:r>
        <w:t xml:space="preserve"> at 4.</w:t>
      </w:r>
    </w:p>
  </w:footnote>
  <w:footnote w:id="52">
    <w:p w:rsidR="00EE6EB4" w:rsidRDefault="00EE6EB4" w:rsidP="00283989">
      <w:pPr>
        <w:pStyle w:val="FootnoteText"/>
      </w:pPr>
      <w:r>
        <w:rPr>
          <w:rStyle w:val="FootnoteReference"/>
        </w:rPr>
        <w:footnoteRef/>
      </w:r>
      <w:r>
        <w:t xml:space="preserve"> </w:t>
      </w:r>
      <w:r w:rsidR="00417D22" w:rsidRPr="00854AF5">
        <w:rPr>
          <w:i/>
        </w:rPr>
        <w:t>Id</w:t>
      </w:r>
      <w:r w:rsidR="00417D22">
        <w:t>.</w:t>
      </w:r>
    </w:p>
  </w:footnote>
  <w:footnote w:id="53">
    <w:p w:rsidR="00095F4A" w:rsidRDefault="00095F4A" w:rsidP="00283989">
      <w:pPr>
        <w:pStyle w:val="FootnoteText"/>
      </w:pPr>
      <w:r>
        <w:rPr>
          <w:rStyle w:val="FootnoteReference"/>
        </w:rPr>
        <w:footnoteRef/>
      </w:r>
      <w:r>
        <w:t xml:space="preserve"> </w:t>
      </w:r>
      <w:r w:rsidR="00417D22" w:rsidRPr="00854AF5">
        <w:rPr>
          <w:i/>
        </w:rPr>
        <w:t>Id</w:t>
      </w:r>
      <w:r w:rsidR="00417D22">
        <w:t>.</w:t>
      </w:r>
    </w:p>
  </w:footnote>
  <w:footnote w:id="54">
    <w:p w:rsidR="00EE6EB4" w:rsidRDefault="00EE6EB4" w:rsidP="00283989">
      <w:pPr>
        <w:pStyle w:val="FootnoteText"/>
      </w:pPr>
      <w:r>
        <w:rPr>
          <w:rStyle w:val="FootnoteReference"/>
        </w:rPr>
        <w:footnoteRef/>
      </w:r>
      <w:r>
        <w:t xml:space="preserve"> </w:t>
      </w:r>
      <w:r w:rsidR="00417D22" w:rsidRPr="00854AF5">
        <w:rPr>
          <w:i/>
        </w:rPr>
        <w:t>Id</w:t>
      </w:r>
      <w:r w:rsidR="00417D22">
        <w:t>.</w:t>
      </w:r>
      <w:r>
        <w:t xml:space="preserve">; </w:t>
      </w:r>
      <w:r w:rsidRPr="00DB1F60">
        <w:rPr>
          <w:i/>
        </w:rPr>
        <w:t>USCC Supplement II</w:t>
      </w:r>
      <w:r>
        <w:t xml:space="preserve"> at 3.</w:t>
      </w:r>
    </w:p>
  </w:footnote>
  <w:footnote w:id="55">
    <w:p w:rsidR="00EE6EB4" w:rsidRDefault="00EE6EB4" w:rsidP="00283989">
      <w:pPr>
        <w:pStyle w:val="FootnoteText"/>
      </w:pPr>
      <w:r>
        <w:rPr>
          <w:rStyle w:val="FootnoteReference"/>
        </w:rPr>
        <w:footnoteRef/>
      </w:r>
      <w:r>
        <w:t xml:space="preserve"> </w:t>
      </w:r>
      <w:r w:rsidRPr="000A21EB">
        <w:rPr>
          <w:i/>
        </w:rPr>
        <w:t>USCC Supplement II</w:t>
      </w:r>
      <w:r>
        <w:t xml:space="preserve"> at 3.</w:t>
      </w:r>
    </w:p>
  </w:footnote>
  <w:footnote w:id="56">
    <w:p w:rsidR="00EE6EB4" w:rsidRDefault="00EE6EB4" w:rsidP="00283989">
      <w:pPr>
        <w:pStyle w:val="FootnoteText"/>
      </w:pPr>
      <w:r>
        <w:rPr>
          <w:rStyle w:val="FootnoteReference"/>
        </w:rPr>
        <w:footnoteRef/>
      </w:r>
      <w:r>
        <w:t xml:space="preserve"> </w:t>
      </w:r>
      <w:r w:rsidRPr="00EB037D">
        <w:rPr>
          <w:i/>
        </w:rPr>
        <w:t>USCC Waiver Request</w:t>
      </w:r>
      <w:r>
        <w:t xml:space="preserve"> at 5.</w:t>
      </w:r>
    </w:p>
  </w:footnote>
  <w:footnote w:id="57">
    <w:p w:rsidR="00EE6EB4" w:rsidRDefault="00EE6EB4" w:rsidP="00283989">
      <w:pPr>
        <w:pStyle w:val="FootnoteText"/>
      </w:pPr>
      <w:r>
        <w:rPr>
          <w:rStyle w:val="FootnoteReference"/>
        </w:rPr>
        <w:footnoteRef/>
      </w:r>
      <w:r>
        <w:t xml:space="preserve"> </w:t>
      </w:r>
      <w:r w:rsidRPr="00AC4CCA">
        <w:rPr>
          <w:i/>
        </w:rPr>
        <w:t>USCC Supplement I</w:t>
      </w:r>
      <w:r>
        <w:t xml:space="preserve"> at 3.</w:t>
      </w:r>
    </w:p>
  </w:footnote>
  <w:footnote w:id="58">
    <w:p w:rsidR="00EE6EB4" w:rsidRDefault="00EE6EB4" w:rsidP="00283989">
      <w:pPr>
        <w:pStyle w:val="FootnoteText"/>
      </w:pPr>
      <w:r>
        <w:rPr>
          <w:rStyle w:val="FootnoteReference"/>
        </w:rPr>
        <w:footnoteRef/>
      </w:r>
      <w:r>
        <w:t xml:space="preserve"> </w:t>
      </w:r>
      <w:r w:rsidRPr="00A15E39">
        <w:rPr>
          <w:i/>
        </w:rPr>
        <w:t>USCC Supplement II</w:t>
      </w:r>
      <w:r>
        <w:t xml:space="preserve"> at 4.</w:t>
      </w:r>
    </w:p>
  </w:footnote>
  <w:footnote w:id="59">
    <w:p w:rsidR="00EE6EB4" w:rsidRDefault="00EE6EB4" w:rsidP="00283989">
      <w:pPr>
        <w:pStyle w:val="FootnoteText"/>
      </w:pPr>
      <w:r>
        <w:rPr>
          <w:rStyle w:val="FootnoteReference"/>
        </w:rPr>
        <w:footnoteRef/>
      </w:r>
      <w:r>
        <w:t xml:space="preserve"> </w:t>
      </w:r>
      <w:r w:rsidRPr="00051644">
        <w:rPr>
          <w:i/>
        </w:rPr>
        <w:t>USCC Waiver Request</w:t>
      </w:r>
      <w:r>
        <w:t xml:space="preserve"> at 6.</w:t>
      </w:r>
    </w:p>
  </w:footnote>
  <w:footnote w:id="60">
    <w:p w:rsidR="00EE6EB4" w:rsidRDefault="00EE6EB4" w:rsidP="00283989">
      <w:pPr>
        <w:pStyle w:val="FootnoteText"/>
      </w:pPr>
      <w:r>
        <w:rPr>
          <w:rStyle w:val="FootnoteReference"/>
        </w:rPr>
        <w:footnoteRef/>
      </w:r>
      <w:r>
        <w:t xml:space="preserve"> </w:t>
      </w:r>
      <w:r w:rsidRPr="000A21EB">
        <w:rPr>
          <w:i/>
        </w:rPr>
        <w:t>USCC Supplement II</w:t>
      </w:r>
      <w:r>
        <w:t xml:space="preserve"> at 3.</w:t>
      </w:r>
    </w:p>
  </w:footnote>
  <w:footnote w:id="61">
    <w:p w:rsidR="00EE6EB4" w:rsidRDefault="00EE6EB4" w:rsidP="00283989">
      <w:pPr>
        <w:pStyle w:val="FootnoteText"/>
      </w:pPr>
      <w:r>
        <w:rPr>
          <w:rStyle w:val="FootnoteReference"/>
        </w:rPr>
        <w:footnoteRef/>
      </w:r>
      <w:r>
        <w:t xml:space="preserve"> </w:t>
      </w:r>
      <w:r w:rsidR="00417D22" w:rsidRPr="00854AF5">
        <w:rPr>
          <w:i/>
        </w:rPr>
        <w:t>Id</w:t>
      </w:r>
      <w:r w:rsidR="00417D22">
        <w:t>.</w:t>
      </w:r>
    </w:p>
  </w:footnote>
  <w:footnote w:id="62">
    <w:p w:rsidR="00EE6EB4" w:rsidRDefault="00EE6EB4" w:rsidP="00283989">
      <w:pPr>
        <w:pStyle w:val="FootnoteText"/>
      </w:pPr>
      <w:r>
        <w:rPr>
          <w:rStyle w:val="FootnoteReference"/>
        </w:rPr>
        <w:footnoteRef/>
      </w:r>
      <w:r>
        <w:t xml:space="preserve"> </w:t>
      </w:r>
      <w:r w:rsidR="00417D22" w:rsidRPr="00854AF5">
        <w:rPr>
          <w:i/>
        </w:rPr>
        <w:t>Id</w:t>
      </w:r>
      <w:r w:rsidR="00417D22">
        <w:t>.</w:t>
      </w:r>
    </w:p>
  </w:footnote>
  <w:footnote w:id="63">
    <w:p w:rsidR="00EE6EB4" w:rsidRDefault="00EE6EB4" w:rsidP="00283989">
      <w:pPr>
        <w:pStyle w:val="FootnoteText"/>
      </w:pPr>
      <w:r>
        <w:rPr>
          <w:rStyle w:val="FootnoteReference"/>
        </w:rPr>
        <w:footnoteRef/>
      </w:r>
      <w:r>
        <w:t xml:space="preserve"> </w:t>
      </w:r>
      <w:r w:rsidR="00417D22" w:rsidRPr="00854AF5">
        <w:rPr>
          <w:i/>
        </w:rPr>
        <w:t>Id</w:t>
      </w:r>
      <w:r w:rsidR="00417D22">
        <w:t>.</w:t>
      </w:r>
    </w:p>
  </w:footnote>
  <w:footnote w:id="64">
    <w:p w:rsidR="00EE6EB4" w:rsidRDefault="00EE6EB4" w:rsidP="00283989">
      <w:pPr>
        <w:pStyle w:val="FootnoteText"/>
      </w:pPr>
      <w:r>
        <w:rPr>
          <w:rStyle w:val="FootnoteReference"/>
        </w:rPr>
        <w:footnoteRef/>
      </w:r>
      <w:r>
        <w:t xml:space="preserve"> </w:t>
      </w:r>
      <w:r w:rsidRPr="00511C9A">
        <w:rPr>
          <w:i/>
        </w:rPr>
        <w:t>USCC Supplement I</w:t>
      </w:r>
      <w:r>
        <w:t xml:space="preserve"> at 2.</w:t>
      </w:r>
    </w:p>
  </w:footnote>
  <w:footnote w:id="65">
    <w:p w:rsidR="00EE6EB4" w:rsidRDefault="00EE6EB4" w:rsidP="00283989">
      <w:pPr>
        <w:pStyle w:val="FootnoteText"/>
      </w:pPr>
      <w:r>
        <w:rPr>
          <w:rStyle w:val="FootnoteReference"/>
        </w:rPr>
        <w:footnoteRef/>
      </w:r>
      <w:r>
        <w:t xml:space="preserve"> </w:t>
      </w:r>
      <w:r w:rsidR="00417D22" w:rsidRPr="00854AF5">
        <w:rPr>
          <w:i/>
        </w:rPr>
        <w:t>Id</w:t>
      </w:r>
      <w:r w:rsidR="00417D22">
        <w:t>.</w:t>
      </w:r>
    </w:p>
  </w:footnote>
  <w:footnote w:id="66">
    <w:p w:rsidR="00EE6EB4" w:rsidRDefault="00EE6EB4" w:rsidP="00283989">
      <w:pPr>
        <w:pStyle w:val="FootnoteText"/>
      </w:pPr>
      <w:r>
        <w:rPr>
          <w:rStyle w:val="FootnoteReference"/>
        </w:rPr>
        <w:footnoteRef/>
      </w:r>
      <w:r>
        <w:t xml:space="preserve"> </w:t>
      </w:r>
      <w:r w:rsidRPr="00AC4460">
        <w:rPr>
          <w:i/>
        </w:rPr>
        <w:t>USCC Supplement II</w:t>
      </w:r>
      <w:r>
        <w:t xml:space="preserve"> at 2.</w:t>
      </w:r>
    </w:p>
  </w:footnote>
  <w:footnote w:id="67">
    <w:p w:rsidR="00EE6EB4" w:rsidRDefault="00EE6EB4" w:rsidP="00283989">
      <w:pPr>
        <w:pStyle w:val="FootnoteText"/>
      </w:pPr>
      <w:r>
        <w:rPr>
          <w:rStyle w:val="FootnoteReference"/>
        </w:rPr>
        <w:footnoteRef/>
      </w:r>
      <w:r>
        <w:t xml:space="preserve"> </w:t>
      </w:r>
      <w:r w:rsidRPr="00511C9A">
        <w:rPr>
          <w:i/>
        </w:rPr>
        <w:t>USCC Supplement I</w:t>
      </w:r>
      <w:r>
        <w:t xml:space="preserve"> at 3; </w:t>
      </w:r>
      <w:r w:rsidRPr="00AC4460">
        <w:rPr>
          <w:i/>
        </w:rPr>
        <w:t>USCC Supplement II</w:t>
      </w:r>
      <w:r>
        <w:t xml:space="preserve"> at 2.</w:t>
      </w:r>
    </w:p>
  </w:footnote>
  <w:footnote w:id="68">
    <w:p w:rsidR="009C5159" w:rsidRDefault="009C5159" w:rsidP="00283989">
      <w:pPr>
        <w:pStyle w:val="FootnoteText"/>
      </w:pPr>
      <w:r>
        <w:rPr>
          <w:rStyle w:val="FootnoteReference"/>
        </w:rPr>
        <w:footnoteRef/>
      </w:r>
      <w:r>
        <w:t xml:space="preserve"> </w:t>
      </w:r>
      <w:r w:rsidRPr="00AC4460">
        <w:rPr>
          <w:i/>
        </w:rPr>
        <w:t>USCC Supplement II</w:t>
      </w:r>
      <w:r>
        <w:t xml:space="preserve"> at 2.</w:t>
      </w:r>
    </w:p>
  </w:footnote>
  <w:footnote w:id="69">
    <w:p w:rsidR="00EE6EB4" w:rsidRDefault="00EE6EB4" w:rsidP="00283989">
      <w:pPr>
        <w:pStyle w:val="FootnoteText"/>
      </w:pPr>
      <w:r>
        <w:rPr>
          <w:rStyle w:val="FootnoteReference"/>
        </w:rPr>
        <w:footnoteRef/>
      </w:r>
      <w:r>
        <w:t xml:space="preserve"> </w:t>
      </w:r>
      <w:r w:rsidR="00417D22" w:rsidRPr="00854AF5">
        <w:rPr>
          <w:i/>
        </w:rPr>
        <w:t>Id</w:t>
      </w:r>
      <w:r w:rsidR="00417D22">
        <w:t>.</w:t>
      </w:r>
    </w:p>
  </w:footnote>
  <w:footnote w:id="70">
    <w:p w:rsidR="00EE6EB4" w:rsidRDefault="00EE6EB4" w:rsidP="00283989">
      <w:pPr>
        <w:pStyle w:val="FootnoteText"/>
      </w:pPr>
      <w:r>
        <w:rPr>
          <w:rStyle w:val="FootnoteReference"/>
        </w:rPr>
        <w:footnoteRef/>
      </w:r>
      <w:r>
        <w:t xml:space="preserve"> </w:t>
      </w:r>
      <w:r w:rsidR="00417D22" w:rsidRPr="00854AF5">
        <w:rPr>
          <w:i/>
        </w:rPr>
        <w:t>Id</w:t>
      </w:r>
      <w:r w:rsidR="00417D22">
        <w:t>.</w:t>
      </w:r>
    </w:p>
  </w:footnote>
  <w:footnote w:id="71">
    <w:p w:rsidR="003009A4" w:rsidRDefault="003009A4" w:rsidP="00283989">
      <w:pPr>
        <w:pStyle w:val="FootnoteText"/>
      </w:pPr>
      <w:r>
        <w:rPr>
          <w:rStyle w:val="FootnoteReference"/>
        </w:rPr>
        <w:footnoteRef/>
      </w:r>
      <w:r>
        <w:t xml:space="preserve"> </w:t>
      </w:r>
      <w:r w:rsidRPr="00157FF6">
        <w:rPr>
          <w:i/>
        </w:rPr>
        <w:t>USCC Supplement I</w:t>
      </w:r>
      <w:r>
        <w:t xml:space="preserve"> at 4; </w:t>
      </w:r>
      <w:r w:rsidRPr="00051644">
        <w:rPr>
          <w:i/>
        </w:rPr>
        <w:t>USCC Waiver Request</w:t>
      </w:r>
      <w:r>
        <w:t xml:space="preserve"> at 2.</w:t>
      </w:r>
    </w:p>
  </w:footnote>
  <w:footnote w:id="72">
    <w:p w:rsidR="003009A4" w:rsidRDefault="003009A4" w:rsidP="00283989">
      <w:pPr>
        <w:pStyle w:val="FootnoteText"/>
      </w:pPr>
      <w:r>
        <w:rPr>
          <w:rStyle w:val="FootnoteReference"/>
        </w:rPr>
        <w:footnoteRef/>
      </w:r>
      <w:r>
        <w:t xml:space="preserve"> </w:t>
      </w:r>
      <w:r w:rsidRPr="00B135E7">
        <w:rPr>
          <w:i/>
        </w:rPr>
        <w:t>USCC Waiver Request</w:t>
      </w:r>
      <w:r>
        <w:t xml:space="preserve"> at 5.</w:t>
      </w:r>
    </w:p>
  </w:footnote>
  <w:footnote w:id="73">
    <w:p w:rsidR="003009A4" w:rsidRDefault="003009A4" w:rsidP="00283989">
      <w:pPr>
        <w:pStyle w:val="FootnoteText"/>
      </w:pPr>
      <w:r>
        <w:rPr>
          <w:rStyle w:val="FootnoteReference"/>
        </w:rPr>
        <w:footnoteRef/>
      </w:r>
      <w:r>
        <w:t xml:space="preserve"> </w:t>
      </w:r>
      <w:r w:rsidR="00417D22" w:rsidRPr="00854AF5">
        <w:rPr>
          <w:i/>
        </w:rPr>
        <w:t>Id</w:t>
      </w:r>
      <w:r w:rsidR="00417D22">
        <w:t>.</w:t>
      </w:r>
      <w:r>
        <w:t xml:space="preserve">  USCC notes that in approximately the same time period, those alarms generated 2736 trouble tickets and 825 NOTAMs.  </w:t>
      </w:r>
      <w:r w:rsidRPr="000D070C">
        <w:rPr>
          <w:i/>
        </w:rPr>
        <w:t>See id</w:t>
      </w:r>
      <w:r>
        <w:t>.</w:t>
      </w:r>
    </w:p>
  </w:footnote>
  <w:footnote w:id="74">
    <w:p w:rsidR="003009A4" w:rsidRDefault="003009A4" w:rsidP="00283989">
      <w:pPr>
        <w:pStyle w:val="FootnoteText"/>
      </w:pPr>
      <w:r>
        <w:rPr>
          <w:rStyle w:val="FootnoteReference"/>
        </w:rPr>
        <w:footnoteRef/>
      </w:r>
      <w:r>
        <w:t xml:space="preserve"> </w:t>
      </w:r>
      <w:r w:rsidR="00417D22" w:rsidRPr="00854AF5">
        <w:rPr>
          <w:i/>
        </w:rPr>
        <w:t>Id</w:t>
      </w:r>
      <w:r w:rsidR="00417D22">
        <w:t>.</w:t>
      </w:r>
      <w:r>
        <w:t xml:space="preserve"> at 8.</w:t>
      </w:r>
    </w:p>
  </w:footnote>
  <w:footnote w:id="75">
    <w:p w:rsidR="00E518A4" w:rsidRDefault="00E518A4" w:rsidP="00E518A4">
      <w:pPr>
        <w:pStyle w:val="FootnoteText"/>
      </w:pPr>
      <w:r>
        <w:rPr>
          <w:rStyle w:val="FootnoteReference"/>
        </w:rPr>
        <w:footnoteRef/>
      </w:r>
      <w:r>
        <w:t xml:space="preserve"> </w:t>
      </w:r>
      <w:r>
        <w:rPr>
          <w:i/>
        </w:rPr>
        <w:t xml:space="preserve">See </w:t>
      </w:r>
      <w:r>
        <w:t>47 C.F.R. § 1.925(b)(3) (t</w:t>
      </w:r>
      <w:r w:rsidRPr="00E7708F">
        <w:rPr>
          <w:szCs w:val="22"/>
        </w:rPr>
        <w:t>he Commission may grant a request for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szCs w:val="22"/>
        </w:rPr>
        <w:t>)</w:t>
      </w:r>
      <w:r>
        <w:t>.</w:t>
      </w:r>
    </w:p>
  </w:footnote>
  <w:footnote w:id="76">
    <w:p w:rsidR="00B132FB" w:rsidRDefault="00B132FB" w:rsidP="00283989">
      <w:pPr>
        <w:pStyle w:val="FootnoteText"/>
      </w:pPr>
      <w:r>
        <w:rPr>
          <w:rStyle w:val="FootnoteReference"/>
        </w:rPr>
        <w:footnoteRef/>
      </w:r>
      <w:r>
        <w:t xml:space="preserve"> </w:t>
      </w:r>
      <w:r w:rsidR="00DA40EF" w:rsidRPr="00DA40EF">
        <w:rPr>
          <w:i/>
        </w:rPr>
        <w:t>See</w:t>
      </w:r>
      <w:r w:rsidR="00DA40EF">
        <w:rPr>
          <w:i/>
        </w:rPr>
        <w:t xml:space="preserve"> </w:t>
      </w:r>
      <w:r w:rsidR="004A4A06" w:rsidRPr="0043531E">
        <w:rPr>
          <w:i/>
        </w:rPr>
        <w:t>ATC/GSI Waiver Order</w:t>
      </w:r>
      <w:r w:rsidR="007941BF">
        <w:t>, 22 FCC Rcd at 974</w:t>
      </w:r>
      <w:r w:rsidR="00DD5203">
        <w:t>5</w:t>
      </w:r>
      <w:r w:rsidR="007941BF">
        <w:t xml:space="preserve"> </w:t>
      </w:r>
      <w:r w:rsidR="00BF23D9">
        <w:t>paras.</w:t>
      </w:r>
      <w:r w:rsidR="007941BF">
        <w:t xml:space="preserve"> </w:t>
      </w:r>
      <w:r w:rsidR="00DD5203">
        <w:t xml:space="preserve">6-7 (ATC’s Eagle monitoring system), 9747-48 </w:t>
      </w:r>
      <w:r w:rsidR="00BF23D9">
        <w:t>para.</w:t>
      </w:r>
      <w:r w:rsidR="00DD5203">
        <w:t xml:space="preserve"> 14 (GSI’s Hark monitoring system)</w:t>
      </w:r>
      <w:r w:rsidR="00233939">
        <w:t xml:space="preserve">.  </w:t>
      </w:r>
      <w:r w:rsidR="00233939" w:rsidRPr="00233939">
        <w:rPr>
          <w:i/>
        </w:rPr>
        <w:t>S</w:t>
      </w:r>
      <w:r w:rsidR="00F37335" w:rsidRPr="00F37335">
        <w:rPr>
          <w:i/>
        </w:rPr>
        <w:t>ee</w:t>
      </w:r>
      <w:r w:rsidR="00F37335">
        <w:t xml:space="preserve"> </w:t>
      </w:r>
      <w:r w:rsidR="00DA40EF">
        <w:rPr>
          <w:i/>
        </w:rPr>
        <w:t xml:space="preserve">also </w:t>
      </w:r>
      <w:r w:rsidRPr="0037232A">
        <w:rPr>
          <w:i/>
        </w:rPr>
        <w:t>Antenna Structure Report and Order</w:t>
      </w:r>
      <w:r>
        <w:t xml:space="preserve">, 29 FCC Rcd at 9799-9800 </w:t>
      </w:r>
      <w:r w:rsidR="00BF23D9">
        <w:t>para.</w:t>
      </w:r>
      <w:r>
        <w:t xml:space="preserve"> 30</w:t>
      </w:r>
      <w:r w:rsidR="00DA40EF">
        <w:t xml:space="preserve">. </w:t>
      </w:r>
    </w:p>
  </w:footnote>
  <w:footnote w:id="77">
    <w:p w:rsidR="00E518A4" w:rsidRDefault="00E518A4" w:rsidP="00E518A4">
      <w:pPr>
        <w:pStyle w:val="FootnoteText"/>
      </w:pPr>
      <w:r>
        <w:rPr>
          <w:rStyle w:val="FootnoteReference"/>
        </w:rPr>
        <w:footnoteRef/>
      </w:r>
      <w:r>
        <w:t xml:space="preserve"> </w:t>
      </w:r>
      <w:r w:rsidRPr="004A4A06">
        <w:rPr>
          <w:i/>
        </w:rPr>
        <w:t>See</w:t>
      </w:r>
      <w:r>
        <w:rPr>
          <w:i/>
        </w:rPr>
        <w:t xml:space="preserve"> </w:t>
      </w:r>
      <w:r w:rsidRPr="0043531E">
        <w:rPr>
          <w:i/>
        </w:rPr>
        <w:t>ATC/G</w:t>
      </w:r>
      <w:r>
        <w:rPr>
          <w:i/>
        </w:rPr>
        <w:t>S</w:t>
      </w:r>
      <w:r w:rsidRPr="0043531E">
        <w:rPr>
          <w:i/>
        </w:rPr>
        <w:t>I Waiver Order</w:t>
      </w:r>
      <w:r>
        <w:t xml:space="preserve">, 22 FCC Rcd at 9747 </w:t>
      </w:r>
      <w:r w:rsidR="00BF23D9">
        <w:t>para.</w:t>
      </w:r>
      <w:r>
        <w:t xml:space="preserve"> 11, 9748 </w:t>
      </w:r>
      <w:r w:rsidR="00BF23D9">
        <w:t>para.</w:t>
      </w:r>
      <w:r>
        <w:t xml:space="preserve"> 17</w:t>
      </w:r>
      <w:r w:rsidR="00F31023">
        <w:t xml:space="preserve">; </w:t>
      </w:r>
      <w:r w:rsidR="00F31023" w:rsidRPr="00F31023">
        <w:rPr>
          <w:i/>
        </w:rPr>
        <w:t>s</w:t>
      </w:r>
      <w:r>
        <w:rPr>
          <w:i/>
        </w:rPr>
        <w:t>ee also</w:t>
      </w:r>
      <w:r>
        <w:t xml:space="preserve"> </w:t>
      </w:r>
      <w:r w:rsidRPr="00C244B4">
        <w:rPr>
          <w:i/>
        </w:rPr>
        <w:t xml:space="preserve">SBA </w:t>
      </w:r>
      <w:r w:rsidR="00C244B4" w:rsidRPr="00C244B4">
        <w:rPr>
          <w:i/>
        </w:rPr>
        <w:t>Waiver Order</w:t>
      </w:r>
      <w:r w:rsidR="00C244B4">
        <w:t xml:space="preserve">, </w:t>
      </w:r>
      <w:r w:rsidRPr="00893635">
        <w:t xml:space="preserve">29 FCC Rcd </w:t>
      </w:r>
      <w:r w:rsidR="00C244B4">
        <w:t xml:space="preserve">at </w:t>
      </w:r>
      <w:r>
        <w:t>1751-5</w:t>
      </w:r>
      <w:r w:rsidR="00175011">
        <w:t>2</w:t>
      </w:r>
      <w:r>
        <w:t xml:space="preserve"> </w:t>
      </w:r>
      <w:r w:rsidR="00BF23D9">
        <w:t>paras.</w:t>
      </w:r>
      <w:r>
        <w:t xml:space="preserve"> 6-7</w:t>
      </w:r>
      <w:r w:rsidR="00175011">
        <w:t xml:space="preserve">, 1754 </w:t>
      </w:r>
      <w:r w:rsidR="00BF23D9">
        <w:t>para.</w:t>
      </w:r>
      <w:r w:rsidR="00175011">
        <w:t xml:space="preserve"> 13</w:t>
      </w:r>
      <w:r>
        <w:t xml:space="preserve">; </w:t>
      </w:r>
      <w:r w:rsidR="004F3385" w:rsidRPr="004F3385">
        <w:rPr>
          <w:i/>
        </w:rPr>
        <w:t>American Tower Waiver Order</w:t>
      </w:r>
      <w:r w:rsidR="004F3385">
        <w:t xml:space="preserve">, </w:t>
      </w:r>
      <w:r w:rsidRPr="00893635">
        <w:t xml:space="preserve">28 FCC Rcd </w:t>
      </w:r>
      <w:r w:rsidR="004F3385">
        <w:t xml:space="preserve">at </w:t>
      </w:r>
      <w:r>
        <w:t xml:space="preserve">295-97 </w:t>
      </w:r>
      <w:r w:rsidR="00BF23D9">
        <w:t>paras.</w:t>
      </w:r>
      <w:r>
        <w:t xml:space="preserve"> 6-7</w:t>
      </w:r>
      <w:r w:rsidR="00175011">
        <w:t xml:space="preserve">, 298 </w:t>
      </w:r>
      <w:r w:rsidR="00BF23D9">
        <w:t>para.</w:t>
      </w:r>
      <w:r w:rsidR="00175011">
        <w:t xml:space="preserve"> 10</w:t>
      </w:r>
      <w:r w:rsidR="004F3385">
        <w:t xml:space="preserve">; </w:t>
      </w:r>
      <w:r w:rsidR="004F3385" w:rsidRPr="004F3385">
        <w:rPr>
          <w:i/>
        </w:rPr>
        <w:t>Insite Waiver Order</w:t>
      </w:r>
      <w:r w:rsidR="004F3385">
        <w:t xml:space="preserve">, </w:t>
      </w:r>
      <w:r w:rsidRPr="00A6753E">
        <w:t xml:space="preserve">25 FCC Rcd </w:t>
      </w:r>
      <w:r w:rsidR="004F3385">
        <w:t xml:space="preserve">at </w:t>
      </w:r>
      <w:r>
        <w:t xml:space="preserve">14544-45 </w:t>
      </w:r>
      <w:r w:rsidR="00BF23D9">
        <w:t>paras.</w:t>
      </w:r>
      <w:r>
        <w:t xml:space="preserve"> 6-7</w:t>
      </w:r>
      <w:r w:rsidR="00175011">
        <w:t xml:space="preserve">, 14546 </w:t>
      </w:r>
      <w:r w:rsidR="00BF23D9">
        <w:t>para.</w:t>
      </w:r>
      <w:r w:rsidR="00175011">
        <w:t xml:space="preserve"> 10</w:t>
      </w:r>
      <w:r>
        <w:t>.</w:t>
      </w:r>
    </w:p>
  </w:footnote>
  <w:footnote w:id="78">
    <w:p w:rsidR="00EF3B5A" w:rsidRPr="00EF3B5A" w:rsidRDefault="00EF3B5A" w:rsidP="00283989">
      <w:pPr>
        <w:pStyle w:val="FootnoteText"/>
      </w:pPr>
      <w:r>
        <w:rPr>
          <w:rStyle w:val="FootnoteReference"/>
        </w:rPr>
        <w:footnoteRef/>
      </w:r>
      <w:r>
        <w:t xml:space="preserve"> </w:t>
      </w:r>
      <w:r w:rsidRPr="00F050C8">
        <w:rPr>
          <w:i/>
        </w:rPr>
        <w:t>See supra</w:t>
      </w:r>
      <w:r>
        <w:rPr>
          <w:i/>
        </w:rPr>
        <w:t xml:space="preserve"> </w:t>
      </w:r>
      <w:r>
        <w:t>n.10.</w:t>
      </w:r>
    </w:p>
  </w:footnote>
  <w:footnote w:id="79">
    <w:p w:rsidR="00C04A41" w:rsidRDefault="00C04A41" w:rsidP="00C04A41">
      <w:pPr>
        <w:pStyle w:val="FootnoteText"/>
      </w:pPr>
      <w:r>
        <w:rPr>
          <w:rStyle w:val="FootnoteReference"/>
        </w:rPr>
        <w:footnoteRef/>
      </w:r>
      <w:r>
        <w:t xml:space="preserve"> </w:t>
      </w:r>
      <w:r w:rsidR="00144B46" w:rsidRPr="0037232A">
        <w:rPr>
          <w:i/>
        </w:rPr>
        <w:t>Antenna Structure Report and Order</w:t>
      </w:r>
      <w:r w:rsidR="00144B46">
        <w:t xml:space="preserve">, 29 FCC Rcd at 9800-01 </w:t>
      </w:r>
      <w:r w:rsidR="00BF23D9">
        <w:t>paras.</w:t>
      </w:r>
      <w:r w:rsidR="00144B46">
        <w:t xml:space="preserve"> 31-32</w:t>
      </w:r>
      <w:r w:rsidR="003D7906">
        <w:t xml:space="preserve"> and Appendix B (final rules); </w:t>
      </w:r>
      <w:r w:rsidR="003D7906" w:rsidRPr="00F31023">
        <w:rPr>
          <w:i/>
        </w:rPr>
        <w:t>see also</w:t>
      </w:r>
      <w:r w:rsidR="003D7906">
        <w:t xml:space="preserve"> 47 C.F.R. </w:t>
      </w:r>
      <w:r w:rsidR="003D7906" w:rsidRPr="008030BC">
        <w:t>§ 17.47(</w:t>
      </w:r>
      <w:r w:rsidR="003D7906">
        <w:t>c</w:t>
      </w:r>
      <w:r w:rsidR="003D7906" w:rsidRPr="008030BC">
        <w:t>)</w:t>
      </w:r>
      <w:r w:rsidR="003D7906">
        <w:t xml:space="preserve">.  </w:t>
      </w:r>
      <w:r>
        <w:t>T</w:t>
      </w:r>
      <w:r w:rsidRPr="00FC6FDA">
        <w:t xml:space="preserve">he Commission noted in the </w:t>
      </w:r>
      <w:r w:rsidRPr="00FC6FDA">
        <w:rPr>
          <w:i/>
        </w:rPr>
        <w:t>Antenna Structure Report and Order</w:t>
      </w:r>
      <w:r>
        <w:t xml:space="preserve"> that </w:t>
      </w:r>
      <w:r w:rsidRPr="00FC6FDA">
        <w:t xml:space="preserve">antenna structure owners that employ systems not yet approved will be evaluated by WTB under the standards </w:t>
      </w:r>
      <w:r w:rsidR="008B346F">
        <w:t xml:space="preserve">that have already been established </w:t>
      </w:r>
      <w:r w:rsidRPr="00FC6FDA">
        <w:t>in prior waiver orders.</w:t>
      </w:r>
      <w:r>
        <w:t xml:space="preserve">  </w:t>
      </w:r>
      <w:r w:rsidR="00F31023" w:rsidRPr="00F31023">
        <w:rPr>
          <w:i/>
        </w:rPr>
        <w:t xml:space="preserve">See </w:t>
      </w:r>
      <w:r w:rsidR="00F31023" w:rsidRPr="0037232A">
        <w:rPr>
          <w:i/>
        </w:rPr>
        <w:t>Antenna Structure Report and Order</w:t>
      </w:r>
      <w:r w:rsidR="00F31023">
        <w:t xml:space="preserve">, 29 FCC Rcd at </w:t>
      </w:r>
      <w:r w:rsidRPr="00FC6FDA">
        <w:t>980</w:t>
      </w:r>
      <w:r w:rsidR="008B346F">
        <w:t>1</w:t>
      </w:r>
      <w:r w:rsidRPr="00FC6FDA">
        <w:t xml:space="preserve"> </w:t>
      </w:r>
      <w:r w:rsidR="00BF23D9">
        <w:t>para.</w:t>
      </w:r>
      <w:r w:rsidRPr="00FC6FDA">
        <w:t xml:space="preserve"> 3</w:t>
      </w:r>
      <w:r w:rsidR="008B346F">
        <w:t>4</w:t>
      </w:r>
      <w:r w:rsidRPr="00FC6FDA">
        <w:t>.</w:t>
      </w:r>
    </w:p>
  </w:footnote>
  <w:footnote w:id="80">
    <w:p w:rsidR="005612C0" w:rsidRPr="00E953B0" w:rsidRDefault="008D2428" w:rsidP="00283989">
      <w:pPr>
        <w:pStyle w:val="FootnoteText"/>
      </w:pPr>
      <w:r w:rsidRPr="00E953B0">
        <w:rPr>
          <w:rStyle w:val="FootnoteReference"/>
        </w:rPr>
        <w:footnoteRef/>
      </w:r>
      <w:r w:rsidRPr="00E953B0">
        <w:t xml:space="preserve"> </w:t>
      </w:r>
      <w:r w:rsidR="007941BF" w:rsidRPr="00A175F0">
        <w:rPr>
          <w:i/>
        </w:rPr>
        <w:t>S</w:t>
      </w:r>
      <w:r w:rsidR="007941BF" w:rsidRPr="000202DC">
        <w:rPr>
          <w:i/>
        </w:rPr>
        <w:t>ee</w:t>
      </w:r>
      <w:r w:rsidR="007941BF">
        <w:t xml:space="preserve"> </w:t>
      </w:r>
      <w:r w:rsidR="007941BF" w:rsidRPr="0043531E">
        <w:rPr>
          <w:i/>
        </w:rPr>
        <w:t>ATC/G</w:t>
      </w:r>
      <w:r w:rsidR="007941BF">
        <w:rPr>
          <w:i/>
        </w:rPr>
        <w:t>S</w:t>
      </w:r>
      <w:r w:rsidR="007941BF" w:rsidRPr="0043531E">
        <w:rPr>
          <w:i/>
        </w:rPr>
        <w:t>I Waiver Order</w:t>
      </w:r>
      <w:r w:rsidR="007941BF">
        <w:t xml:space="preserve">, 22 FCC Rcd at 9747 </w:t>
      </w:r>
      <w:r w:rsidR="00BF23D9">
        <w:t>para.</w:t>
      </w:r>
      <w:r w:rsidR="007941BF">
        <w:t xml:space="preserve"> 11, 9748 </w:t>
      </w:r>
      <w:r w:rsidR="00BF23D9">
        <w:t>para.</w:t>
      </w:r>
      <w:r w:rsidR="007941BF">
        <w:t xml:space="preserve"> 17.</w:t>
      </w:r>
    </w:p>
  </w:footnote>
  <w:footnote w:id="81">
    <w:p w:rsidR="007C755E" w:rsidRDefault="007C755E" w:rsidP="00283989">
      <w:pPr>
        <w:pStyle w:val="FootnoteText"/>
      </w:pPr>
      <w:r>
        <w:rPr>
          <w:rStyle w:val="FootnoteReference"/>
        </w:rPr>
        <w:footnoteRef/>
      </w:r>
      <w:r>
        <w:t xml:space="preserve"> </w:t>
      </w:r>
      <w:r w:rsidRPr="007C755E">
        <w:rPr>
          <w:i/>
        </w:rPr>
        <w:t>See USCC Waiver Request</w:t>
      </w:r>
      <w:r>
        <w:t xml:space="preserve"> at 5; </w:t>
      </w:r>
      <w:r w:rsidRPr="007C755E">
        <w:rPr>
          <w:i/>
        </w:rPr>
        <w:t>USCC Supplement I</w:t>
      </w:r>
      <w:r>
        <w:t xml:space="preserve"> at 3</w:t>
      </w:r>
      <w:r w:rsidR="00FD3811">
        <w:t xml:space="preserve">; </w:t>
      </w:r>
      <w:r w:rsidR="00FD3811" w:rsidRPr="00FD3811">
        <w:rPr>
          <w:i/>
        </w:rPr>
        <w:t>s</w:t>
      </w:r>
      <w:r w:rsidR="00A0015A" w:rsidRPr="00FD3811">
        <w:rPr>
          <w:i/>
        </w:rPr>
        <w:t>ee also Southern Waiver Order</w:t>
      </w:r>
      <w:r w:rsidR="00A0015A">
        <w:t xml:space="preserve"> at </w:t>
      </w:r>
      <w:r w:rsidR="00A0015A" w:rsidRPr="00D13B12">
        <w:t xml:space="preserve">28 FCC Rcd </w:t>
      </w:r>
      <w:r w:rsidR="00A0015A">
        <w:t>302</w:t>
      </w:r>
      <w:r w:rsidR="00BF23D9">
        <w:t xml:space="preserve"> para.</w:t>
      </w:r>
      <w:r w:rsidR="00A0015A">
        <w:t xml:space="preserve"> 6 (monitoring system would alert NOC personnel “almost immediately” upon loss of communication between NOC and any tower). </w:t>
      </w:r>
    </w:p>
  </w:footnote>
  <w:footnote w:id="82">
    <w:p w:rsidR="005612C0" w:rsidRDefault="008D2428" w:rsidP="00283989">
      <w:pPr>
        <w:pStyle w:val="FootnoteText"/>
      </w:pPr>
      <w:r w:rsidRPr="007E5218">
        <w:rPr>
          <w:rStyle w:val="FootnoteReference"/>
        </w:rPr>
        <w:footnoteRef/>
      </w:r>
      <w:r w:rsidRPr="007E5218">
        <w:t xml:space="preserve"> </w:t>
      </w:r>
      <w:r w:rsidR="0043531E" w:rsidRPr="0043531E">
        <w:rPr>
          <w:i/>
        </w:rPr>
        <w:t>See, e.g.</w:t>
      </w:r>
      <w:r w:rsidR="0043531E">
        <w:t xml:space="preserve">, </w:t>
      </w:r>
      <w:r w:rsidRPr="007E5218">
        <w:rPr>
          <w:i/>
        </w:rPr>
        <w:t>ATC/GSI Waiver Order</w:t>
      </w:r>
      <w:r w:rsidRPr="007E5218">
        <w:t xml:space="preserve">, 22 FCC Rcd at </w:t>
      </w:r>
      <w:r w:rsidR="003D2891">
        <w:t xml:space="preserve">9747 </w:t>
      </w:r>
      <w:r w:rsidR="00BF23D9">
        <w:t>para.</w:t>
      </w:r>
      <w:r w:rsidR="003D2891">
        <w:t xml:space="preserve"> 11, 9748 </w:t>
      </w:r>
      <w:r w:rsidR="00BF23D9">
        <w:t>para.</w:t>
      </w:r>
      <w:r w:rsidR="003D2891">
        <w:t xml:space="preserve"> 17</w:t>
      </w:r>
      <w:r w:rsidRPr="007E5218">
        <w:t xml:space="preserve">; </w:t>
      </w:r>
      <w:r w:rsidR="004A4A06" w:rsidRPr="007E5218">
        <w:rPr>
          <w:i/>
        </w:rPr>
        <w:t>Global Tower Waiver Order</w:t>
      </w:r>
      <w:r w:rsidR="004A4A06" w:rsidRPr="007E5218">
        <w:t xml:space="preserve">, 23 FCC Rcd at 16531 </w:t>
      </w:r>
      <w:r w:rsidR="00BF23D9">
        <w:t>para.</w:t>
      </w:r>
      <w:r w:rsidR="004A4A06" w:rsidRPr="007E5218">
        <w:t xml:space="preserve"> 9</w:t>
      </w:r>
      <w:r w:rsidR="004A4A06">
        <w:t>;</w:t>
      </w:r>
      <w:r w:rsidR="004A4A06" w:rsidRPr="007E5218">
        <w:t xml:space="preserve"> </w:t>
      </w:r>
      <w:r w:rsidR="004A4A06" w:rsidRPr="007E5218">
        <w:rPr>
          <w:i/>
        </w:rPr>
        <w:t>Crown Castle Waiver Order,</w:t>
      </w:r>
      <w:r w:rsidR="004A4A06" w:rsidRPr="007E5218">
        <w:t xml:space="preserve"> 22 FCC Rcd at 21884 </w:t>
      </w:r>
      <w:r w:rsidR="00BF23D9">
        <w:t>para.</w:t>
      </w:r>
      <w:r w:rsidR="004A4A06" w:rsidRPr="007E5218">
        <w:t xml:space="preserve"> 9;</w:t>
      </w:r>
      <w:r w:rsidR="004A4A06">
        <w:t xml:space="preserve"> </w:t>
      </w:r>
      <w:r w:rsidRPr="007E5218">
        <w:rPr>
          <w:i/>
        </w:rPr>
        <w:t xml:space="preserve">Optasite Waiver Order, </w:t>
      </w:r>
      <w:r w:rsidRPr="007E5218">
        <w:t xml:space="preserve">22 FCC Rcd at 18456 </w:t>
      </w:r>
      <w:r w:rsidR="00BF23D9">
        <w:t>para.</w:t>
      </w:r>
      <w:r w:rsidRPr="007E5218">
        <w:t xml:space="preserve"> 8</w:t>
      </w:r>
      <w:r w:rsidR="004A4A06">
        <w:t>.</w:t>
      </w:r>
    </w:p>
  </w:footnote>
  <w:footnote w:id="83">
    <w:p w:rsidR="009777DB" w:rsidRDefault="009777DB" w:rsidP="00283989">
      <w:pPr>
        <w:pStyle w:val="FootnoteText"/>
      </w:pPr>
      <w:r>
        <w:rPr>
          <w:rStyle w:val="FootnoteReference"/>
        </w:rPr>
        <w:footnoteRef/>
      </w:r>
      <w:r>
        <w:t xml:space="preserve"> </w:t>
      </w:r>
      <w:r w:rsidRPr="00A175F0">
        <w:rPr>
          <w:i/>
        </w:rPr>
        <w:t>S</w:t>
      </w:r>
      <w:r w:rsidRPr="000202DC">
        <w:rPr>
          <w:i/>
        </w:rPr>
        <w:t>ee</w:t>
      </w:r>
      <w:r>
        <w:t xml:space="preserve"> </w:t>
      </w:r>
      <w:r w:rsidRPr="0043531E">
        <w:rPr>
          <w:i/>
        </w:rPr>
        <w:t>ATC/G</w:t>
      </w:r>
      <w:r>
        <w:rPr>
          <w:i/>
        </w:rPr>
        <w:t>S</w:t>
      </w:r>
      <w:r w:rsidRPr="0043531E">
        <w:rPr>
          <w:i/>
        </w:rPr>
        <w:t>I Waiver Order</w:t>
      </w:r>
      <w:r>
        <w:t xml:space="preserve">, 22 FCC Rcd at 9748 </w:t>
      </w:r>
      <w:r w:rsidR="00CA2190">
        <w:t>para.</w:t>
      </w:r>
      <w:r>
        <w:t xml:space="preserve"> 18.</w:t>
      </w:r>
    </w:p>
  </w:footnote>
  <w:footnote w:id="84">
    <w:p w:rsidR="00EE76E1" w:rsidRDefault="00EE76E1" w:rsidP="00283989">
      <w:pPr>
        <w:pStyle w:val="FootnoteText"/>
      </w:pPr>
      <w:r>
        <w:rPr>
          <w:rStyle w:val="FootnoteReference"/>
        </w:rPr>
        <w:footnoteRef/>
      </w:r>
      <w:r>
        <w:t xml:space="preserve"> </w:t>
      </w:r>
      <w:r w:rsidRPr="00B75C3A">
        <w:rPr>
          <w:i/>
        </w:rPr>
        <w:t>See</w:t>
      </w:r>
      <w:r>
        <w:t xml:space="preserve"> 47 C.F.R. 17.4</w:t>
      </w:r>
      <w:r w:rsidR="00524B70">
        <w:t>7</w:t>
      </w:r>
      <w:r>
        <w:t xml:space="preserve">(c); </w:t>
      </w:r>
      <w:r w:rsidRPr="00632FEE">
        <w:rPr>
          <w:i/>
        </w:rPr>
        <w:t>s</w:t>
      </w:r>
      <w:r w:rsidRPr="00B75C3A">
        <w:rPr>
          <w:i/>
        </w:rPr>
        <w:t>ee also</w:t>
      </w:r>
      <w:r>
        <w:t xml:space="preserve"> </w:t>
      </w:r>
      <w:r w:rsidR="00CD4EEA" w:rsidRPr="00CD4EEA">
        <w:rPr>
          <w:i/>
        </w:rPr>
        <w:t xml:space="preserve">Antenna Structure </w:t>
      </w:r>
      <w:r w:rsidR="00C52004">
        <w:rPr>
          <w:i/>
        </w:rPr>
        <w:t xml:space="preserve">Report and </w:t>
      </w:r>
      <w:r w:rsidR="00CD4EEA" w:rsidRPr="00CD4EEA">
        <w:rPr>
          <w:i/>
        </w:rPr>
        <w:t>Order</w:t>
      </w:r>
      <w:r w:rsidR="00CD4EEA">
        <w:t xml:space="preserve">, </w:t>
      </w:r>
      <w:r>
        <w:t xml:space="preserve">29 FCC Rcd </w:t>
      </w:r>
      <w:r w:rsidR="00CD4EEA">
        <w:t xml:space="preserve">at </w:t>
      </w:r>
      <w:r>
        <w:t xml:space="preserve">9800-01 </w:t>
      </w:r>
      <w:r w:rsidR="00CA2190">
        <w:t>paras.</w:t>
      </w:r>
      <w:r>
        <w:t xml:space="preserve"> 31-34.</w:t>
      </w:r>
    </w:p>
  </w:footnote>
  <w:footnote w:id="85">
    <w:p w:rsidR="000A23C0" w:rsidRDefault="000A23C0" w:rsidP="00283989">
      <w:pPr>
        <w:pStyle w:val="FootnoteText"/>
      </w:pPr>
      <w:r>
        <w:rPr>
          <w:rStyle w:val="FootnoteReference"/>
        </w:rPr>
        <w:footnoteRef/>
      </w:r>
      <w:r>
        <w:t xml:space="preserve"> </w:t>
      </w:r>
      <w:r w:rsidRPr="00154EBC">
        <w:rPr>
          <w:i/>
        </w:rPr>
        <w:t>USCC Waiver Request</w:t>
      </w:r>
      <w:r>
        <w:t xml:space="preserve"> at 6.  USCC notes that it is replacing those photocells gradually and should conclude that process in the next several years.  </w:t>
      </w:r>
      <w:r w:rsidRPr="00154EBC">
        <w:rPr>
          <w:i/>
        </w:rPr>
        <w:t>Id</w:t>
      </w:r>
      <w:r>
        <w:t>.</w:t>
      </w:r>
    </w:p>
  </w:footnote>
  <w:footnote w:id="86">
    <w:p w:rsidR="000A23C0" w:rsidRDefault="000A23C0" w:rsidP="00283989">
      <w:pPr>
        <w:pStyle w:val="FootnoteText"/>
      </w:pPr>
      <w:r>
        <w:rPr>
          <w:rStyle w:val="FootnoteReference"/>
        </w:rPr>
        <w:footnoteRef/>
      </w:r>
      <w:r>
        <w:t xml:space="preserve"> </w:t>
      </w:r>
      <w:r w:rsidR="00F31023" w:rsidRPr="00154EBC">
        <w:rPr>
          <w:i/>
        </w:rPr>
        <w:t>Id</w:t>
      </w:r>
      <w:r w:rsidR="00F31023">
        <w:t xml:space="preserve">. </w:t>
      </w:r>
      <w:r>
        <w:t>at 4.</w:t>
      </w:r>
    </w:p>
  </w:footnote>
  <w:footnote w:id="87">
    <w:p w:rsidR="000A23C0" w:rsidRDefault="000A23C0" w:rsidP="00283989">
      <w:pPr>
        <w:pStyle w:val="FootnoteText"/>
      </w:pPr>
      <w:r>
        <w:rPr>
          <w:rStyle w:val="FootnoteReference"/>
        </w:rPr>
        <w:footnoteRef/>
      </w:r>
      <w:r>
        <w:t xml:space="preserve"> </w:t>
      </w:r>
      <w:r w:rsidR="00854AF5" w:rsidRPr="00F31023">
        <w:rPr>
          <w:i/>
        </w:rPr>
        <w:t>Id</w:t>
      </w:r>
      <w:r w:rsidR="00854AF5">
        <w:t>.</w:t>
      </w:r>
      <w:r>
        <w:t xml:space="preserve">  As USCC notes, this is consistent with </w:t>
      </w:r>
      <w:r w:rsidR="00460F15">
        <w:t>WTB’s</w:t>
      </w:r>
      <w:r>
        <w:t xml:space="preserve"> 2013 </w:t>
      </w:r>
      <w:r w:rsidRPr="00BE35FB">
        <w:rPr>
          <w:i/>
        </w:rPr>
        <w:t>Southern Waiver Order</w:t>
      </w:r>
      <w:r w:rsidRPr="00BE35FB">
        <w:t>.</w:t>
      </w:r>
      <w:r>
        <w:rPr>
          <w:i/>
        </w:rPr>
        <w:t xml:space="preserve">  See </w:t>
      </w:r>
      <w:r w:rsidR="001317B3">
        <w:rPr>
          <w:i/>
        </w:rPr>
        <w:t>id.</w:t>
      </w:r>
      <w:r w:rsidRPr="00E12D0E">
        <w:rPr>
          <w:i/>
        </w:rPr>
        <w:t xml:space="preserve"> </w:t>
      </w:r>
      <w:r>
        <w:t xml:space="preserve">at 6; </w:t>
      </w:r>
      <w:r w:rsidRPr="00E12D0E">
        <w:rPr>
          <w:i/>
        </w:rPr>
        <w:t>see also Southern Waiver Order</w:t>
      </w:r>
      <w:r>
        <w:t xml:space="preserve">, 28 FCC Rcd at 304 </w:t>
      </w:r>
      <w:r w:rsidR="00CA2190">
        <w:t>para.</w:t>
      </w:r>
      <w:r w:rsidR="001225AE" w:rsidRPr="001225AE">
        <w:t xml:space="preserve"> </w:t>
      </w:r>
      <w:r>
        <w:t xml:space="preserve">9 (as agreed by Southern, limiting relief to those towers where the system was configured to report both photocell failure and low flash energy).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14" w:rsidRDefault="00CA5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28" w:rsidRDefault="008D2428">
    <w:pPr>
      <w:pStyle w:val="Header"/>
      <w:rPr>
        <w:b w:val="0"/>
      </w:rPr>
    </w:pPr>
    <w:r>
      <w:tab/>
      <w:t>Federal Communications Commission</w:t>
    </w:r>
    <w:r>
      <w:tab/>
      <w:t>DA-1</w:t>
    </w:r>
    <w:r w:rsidR="00B7603B">
      <w:t>5</w:t>
    </w:r>
    <w:r>
      <w:t>-</w:t>
    </w:r>
    <w:r w:rsidR="00D54FA3">
      <w:t>633</w:t>
    </w:r>
  </w:p>
  <w:p w:rsidR="008D2428" w:rsidRDefault="00772EE2">
    <w:pPr>
      <w:pStyle w:val="Header"/>
    </w:pPr>
    <w:r>
      <w:rPr>
        <w:noProof/>
      </w:rPr>
      <mc:AlternateContent>
        <mc:Choice Requires="wps">
          <w:drawing>
            <wp:anchor distT="0" distB="0" distL="114300" distR="114300" simplePos="0" relativeHeight="251658240" behindDoc="0" locked="0" layoutInCell="0" allowOverlap="1" wp14:anchorId="642A80B9" wp14:editId="4D99124C">
              <wp:simplePos x="0" y="0"/>
              <wp:positionH relativeFrom="column">
                <wp:posOffset>0</wp:posOffset>
              </wp:positionH>
              <wp:positionV relativeFrom="paragraph">
                <wp:posOffset>22225</wp:posOffset>
              </wp:positionV>
              <wp:extent cx="5943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8D2428" w:rsidRDefault="008D2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28" w:rsidRDefault="008D2428">
    <w:pPr>
      <w:pStyle w:val="Header"/>
      <w:rPr>
        <w:b w:val="0"/>
      </w:rPr>
    </w:pPr>
    <w:r>
      <w:tab/>
      <w:t>Federal Communications Commission</w:t>
    </w:r>
    <w:r>
      <w:tab/>
    </w:r>
    <w:r w:rsidRPr="003827CD">
      <w:t>DA-</w:t>
    </w:r>
    <w:r>
      <w:t>1</w:t>
    </w:r>
    <w:r w:rsidR="005B102B">
      <w:t>5</w:t>
    </w:r>
    <w:r w:rsidRPr="003827CD">
      <w:t>-</w:t>
    </w:r>
    <w:r w:rsidR="00D54FA3">
      <w:t>633</w:t>
    </w:r>
    <w:r w:rsidR="00335FF2" w:rsidRPr="00E94F42">
      <w:t xml:space="preserve"> </w:t>
    </w:r>
  </w:p>
  <w:p w:rsidR="008D2428" w:rsidRDefault="00772EE2">
    <w:pPr>
      <w:pStyle w:val="Header"/>
    </w:pPr>
    <w:r>
      <w:rPr>
        <w:noProof/>
      </w:rPr>
      <mc:AlternateContent>
        <mc:Choice Requires="wps">
          <w:drawing>
            <wp:anchor distT="0" distB="0" distL="114300" distR="114300" simplePos="0" relativeHeight="251657216" behindDoc="0" locked="0" layoutInCell="0" allowOverlap="1" wp14:anchorId="045FC654" wp14:editId="69483A63">
              <wp:simplePos x="0" y="0"/>
              <wp:positionH relativeFrom="column">
                <wp:posOffset>0</wp:posOffset>
              </wp:positionH>
              <wp:positionV relativeFrom="paragraph">
                <wp:posOffset>22225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ED164E7"/>
    <w:multiLevelType w:val="hybridMultilevel"/>
    <w:tmpl w:val="3238F050"/>
    <w:lvl w:ilvl="0" w:tplc="B88E9A96">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8">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color w:val="auto"/>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9"/>
  </w:num>
  <w:num w:numId="3">
    <w:abstractNumId w:val="4"/>
  </w:num>
  <w:num w:numId="4">
    <w:abstractNumId w:val="7"/>
  </w:num>
  <w:num w:numId="5">
    <w:abstractNumId w:val="6"/>
  </w:num>
  <w:num w:numId="6">
    <w:abstractNumId w:val="4"/>
  </w:num>
  <w:num w:numId="7">
    <w:abstractNumId w:val="4"/>
  </w:num>
  <w:num w:numId="8">
    <w:abstractNumId w:val="4"/>
    <w:lvlOverride w:ilvl="0">
      <w:startOverride w:val="1"/>
    </w:lvlOverride>
  </w:num>
  <w:num w:numId="9">
    <w:abstractNumId w:val="4"/>
  </w:num>
  <w:num w:numId="10">
    <w:abstractNumId w:val="1"/>
  </w:num>
  <w:num w:numId="11">
    <w:abstractNumId w:val="10"/>
  </w:num>
  <w:num w:numId="12">
    <w:abstractNumId w:val="3"/>
  </w:num>
  <w:num w:numId="13">
    <w:abstractNumId w:val="5"/>
  </w:num>
  <w:num w:numId="14">
    <w:abstractNumId w:val="2"/>
  </w:num>
  <w:num w:numId="15">
    <w:abstractNumId w:val="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39"/>
    <w:rsid w:val="00000335"/>
    <w:rsid w:val="00003B9B"/>
    <w:rsid w:val="00007847"/>
    <w:rsid w:val="00012E8C"/>
    <w:rsid w:val="0001305D"/>
    <w:rsid w:val="00013630"/>
    <w:rsid w:val="00015520"/>
    <w:rsid w:val="00016A63"/>
    <w:rsid w:val="00017048"/>
    <w:rsid w:val="000171D2"/>
    <w:rsid w:val="000202DC"/>
    <w:rsid w:val="000228DF"/>
    <w:rsid w:val="00025857"/>
    <w:rsid w:val="00026A9D"/>
    <w:rsid w:val="00031BDE"/>
    <w:rsid w:val="0003351D"/>
    <w:rsid w:val="000348F2"/>
    <w:rsid w:val="00035D6F"/>
    <w:rsid w:val="00036119"/>
    <w:rsid w:val="00040F6D"/>
    <w:rsid w:val="00041A7F"/>
    <w:rsid w:val="00043FFA"/>
    <w:rsid w:val="00044A2F"/>
    <w:rsid w:val="00045227"/>
    <w:rsid w:val="00045E9D"/>
    <w:rsid w:val="00045FB0"/>
    <w:rsid w:val="000466C3"/>
    <w:rsid w:val="00046FEE"/>
    <w:rsid w:val="00051545"/>
    <w:rsid w:val="00051644"/>
    <w:rsid w:val="00052807"/>
    <w:rsid w:val="00061C29"/>
    <w:rsid w:val="000623E1"/>
    <w:rsid w:val="000627AD"/>
    <w:rsid w:val="00067748"/>
    <w:rsid w:val="00067EA5"/>
    <w:rsid w:val="00070390"/>
    <w:rsid w:val="00074A3F"/>
    <w:rsid w:val="000770B7"/>
    <w:rsid w:val="00080750"/>
    <w:rsid w:val="0008166F"/>
    <w:rsid w:val="00082E23"/>
    <w:rsid w:val="00083DB3"/>
    <w:rsid w:val="00084228"/>
    <w:rsid w:val="00085A67"/>
    <w:rsid w:val="000864DA"/>
    <w:rsid w:val="0008687A"/>
    <w:rsid w:val="00090E7B"/>
    <w:rsid w:val="00094B91"/>
    <w:rsid w:val="00095F4A"/>
    <w:rsid w:val="00097009"/>
    <w:rsid w:val="000A08D0"/>
    <w:rsid w:val="000A21EB"/>
    <w:rsid w:val="000A239C"/>
    <w:rsid w:val="000A23C0"/>
    <w:rsid w:val="000A2C13"/>
    <w:rsid w:val="000A4048"/>
    <w:rsid w:val="000A6E50"/>
    <w:rsid w:val="000B100C"/>
    <w:rsid w:val="000B2EF1"/>
    <w:rsid w:val="000B6108"/>
    <w:rsid w:val="000C2EA0"/>
    <w:rsid w:val="000C2EC1"/>
    <w:rsid w:val="000D070C"/>
    <w:rsid w:val="000D17A4"/>
    <w:rsid w:val="000D73A8"/>
    <w:rsid w:val="000E0C0D"/>
    <w:rsid w:val="000E1EB9"/>
    <w:rsid w:val="000E4ABA"/>
    <w:rsid w:val="000E706B"/>
    <w:rsid w:val="000E7084"/>
    <w:rsid w:val="000F1D12"/>
    <w:rsid w:val="000F3E0C"/>
    <w:rsid w:val="000F6B56"/>
    <w:rsid w:val="000F6E7D"/>
    <w:rsid w:val="001018B3"/>
    <w:rsid w:val="00103EC8"/>
    <w:rsid w:val="00104194"/>
    <w:rsid w:val="00105050"/>
    <w:rsid w:val="00105276"/>
    <w:rsid w:val="0010599F"/>
    <w:rsid w:val="00107CEE"/>
    <w:rsid w:val="00107FA0"/>
    <w:rsid w:val="00110E88"/>
    <w:rsid w:val="0011144F"/>
    <w:rsid w:val="00113411"/>
    <w:rsid w:val="00113641"/>
    <w:rsid w:val="001169E9"/>
    <w:rsid w:val="001176B0"/>
    <w:rsid w:val="00121479"/>
    <w:rsid w:val="001225AE"/>
    <w:rsid w:val="00124532"/>
    <w:rsid w:val="001262AF"/>
    <w:rsid w:val="001266A6"/>
    <w:rsid w:val="001317B3"/>
    <w:rsid w:val="001319E8"/>
    <w:rsid w:val="00131FA3"/>
    <w:rsid w:val="001346C7"/>
    <w:rsid w:val="0013507E"/>
    <w:rsid w:val="00142A96"/>
    <w:rsid w:val="00142F27"/>
    <w:rsid w:val="00143642"/>
    <w:rsid w:val="00144B46"/>
    <w:rsid w:val="00145858"/>
    <w:rsid w:val="00147F6D"/>
    <w:rsid w:val="001506B0"/>
    <w:rsid w:val="00150AE4"/>
    <w:rsid w:val="00151A47"/>
    <w:rsid w:val="00152EDA"/>
    <w:rsid w:val="00153D10"/>
    <w:rsid w:val="001542DE"/>
    <w:rsid w:val="001546A7"/>
    <w:rsid w:val="00154EBC"/>
    <w:rsid w:val="00155256"/>
    <w:rsid w:val="00155D31"/>
    <w:rsid w:val="001571FF"/>
    <w:rsid w:val="00157FF6"/>
    <w:rsid w:val="00160454"/>
    <w:rsid w:val="0016082D"/>
    <w:rsid w:val="00161133"/>
    <w:rsid w:val="001622FE"/>
    <w:rsid w:val="00165137"/>
    <w:rsid w:val="00165C77"/>
    <w:rsid w:val="0016694F"/>
    <w:rsid w:val="001679D8"/>
    <w:rsid w:val="00170F0A"/>
    <w:rsid w:val="00170F90"/>
    <w:rsid w:val="001712FE"/>
    <w:rsid w:val="00174ED4"/>
    <w:rsid w:val="00175011"/>
    <w:rsid w:val="00175986"/>
    <w:rsid w:val="00176DD4"/>
    <w:rsid w:val="00180004"/>
    <w:rsid w:val="00180083"/>
    <w:rsid w:val="00180481"/>
    <w:rsid w:val="001805A4"/>
    <w:rsid w:val="0018215F"/>
    <w:rsid w:val="00184221"/>
    <w:rsid w:val="00185934"/>
    <w:rsid w:val="00193DBC"/>
    <w:rsid w:val="00194D3B"/>
    <w:rsid w:val="001950E3"/>
    <w:rsid w:val="00195DE5"/>
    <w:rsid w:val="00196067"/>
    <w:rsid w:val="0019786C"/>
    <w:rsid w:val="001A079F"/>
    <w:rsid w:val="001A1258"/>
    <w:rsid w:val="001A3A0A"/>
    <w:rsid w:val="001A4EC3"/>
    <w:rsid w:val="001A508D"/>
    <w:rsid w:val="001A5934"/>
    <w:rsid w:val="001A63A5"/>
    <w:rsid w:val="001B041B"/>
    <w:rsid w:val="001B5CC0"/>
    <w:rsid w:val="001B6754"/>
    <w:rsid w:val="001B6B75"/>
    <w:rsid w:val="001B6D39"/>
    <w:rsid w:val="001B7EB1"/>
    <w:rsid w:val="001C0824"/>
    <w:rsid w:val="001C2DBD"/>
    <w:rsid w:val="001C38EC"/>
    <w:rsid w:val="001C3B8B"/>
    <w:rsid w:val="001C4102"/>
    <w:rsid w:val="001C5B27"/>
    <w:rsid w:val="001C68D7"/>
    <w:rsid w:val="001C6DAA"/>
    <w:rsid w:val="001D18DE"/>
    <w:rsid w:val="001D1F15"/>
    <w:rsid w:val="001D2360"/>
    <w:rsid w:val="001D2414"/>
    <w:rsid w:val="001D483C"/>
    <w:rsid w:val="001D7DE6"/>
    <w:rsid w:val="001E058E"/>
    <w:rsid w:val="001E093F"/>
    <w:rsid w:val="001E1676"/>
    <w:rsid w:val="001E16BD"/>
    <w:rsid w:val="001E3290"/>
    <w:rsid w:val="001E4A96"/>
    <w:rsid w:val="001E6037"/>
    <w:rsid w:val="001F0A40"/>
    <w:rsid w:val="001F10E0"/>
    <w:rsid w:val="001F2E1D"/>
    <w:rsid w:val="001F725E"/>
    <w:rsid w:val="001F7380"/>
    <w:rsid w:val="001F7437"/>
    <w:rsid w:val="002002CE"/>
    <w:rsid w:val="00205148"/>
    <w:rsid w:val="00205E33"/>
    <w:rsid w:val="00211220"/>
    <w:rsid w:val="002118C2"/>
    <w:rsid w:val="00212429"/>
    <w:rsid w:val="00212A57"/>
    <w:rsid w:val="00215E6A"/>
    <w:rsid w:val="00217114"/>
    <w:rsid w:val="00220054"/>
    <w:rsid w:val="00223088"/>
    <w:rsid w:val="002243B5"/>
    <w:rsid w:val="00225877"/>
    <w:rsid w:val="00230C4D"/>
    <w:rsid w:val="00233939"/>
    <w:rsid w:val="002368C7"/>
    <w:rsid w:val="002368ED"/>
    <w:rsid w:val="00241273"/>
    <w:rsid w:val="00241418"/>
    <w:rsid w:val="002416E5"/>
    <w:rsid w:val="00241AFF"/>
    <w:rsid w:val="00242085"/>
    <w:rsid w:val="00244C70"/>
    <w:rsid w:val="00245984"/>
    <w:rsid w:val="00254158"/>
    <w:rsid w:val="00254B5E"/>
    <w:rsid w:val="00254C72"/>
    <w:rsid w:val="002569F1"/>
    <w:rsid w:val="00263241"/>
    <w:rsid w:val="002668EA"/>
    <w:rsid w:val="00270859"/>
    <w:rsid w:val="0027171A"/>
    <w:rsid w:val="002728A8"/>
    <w:rsid w:val="0027571C"/>
    <w:rsid w:val="00276091"/>
    <w:rsid w:val="00283989"/>
    <w:rsid w:val="00283EE1"/>
    <w:rsid w:val="00286C9F"/>
    <w:rsid w:val="00287BA5"/>
    <w:rsid w:val="00287EA6"/>
    <w:rsid w:val="002906B4"/>
    <w:rsid w:val="002917CF"/>
    <w:rsid w:val="002929E8"/>
    <w:rsid w:val="002930CF"/>
    <w:rsid w:val="002951E7"/>
    <w:rsid w:val="002A3E58"/>
    <w:rsid w:val="002A43A2"/>
    <w:rsid w:val="002A4B1E"/>
    <w:rsid w:val="002A57BB"/>
    <w:rsid w:val="002A793E"/>
    <w:rsid w:val="002B131D"/>
    <w:rsid w:val="002B19D0"/>
    <w:rsid w:val="002B1DB7"/>
    <w:rsid w:val="002B3BA1"/>
    <w:rsid w:val="002B75E2"/>
    <w:rsid w:val="002B76EE"/>
    <w:rsid w:val="002B7ADB"/>
    <w:rsid w:val="002C0D9B"/>
    <w:rsid w:val="002C21A0"/>
    <w:rsid w:val="002C4048"/>
    <w:rsid w:val="002C4CB6"/>
    <w:rsid w:val="002C4D6E"/>
    <w:rsid w:val="002C5646"/>
    <w:rsid w:val="002C6FB9"/>
    <w:rsid w:val="002D0765"/>
    <w:rsid w:val="002D6BF9"/>
    <w:rsid w:val="002D723A"/>
    <w:rsid w:val="002E32B9"/>
    <w:rsid w:val="002E4A98"/>
    <w:rsid w:val="002F3819"/>
    <w:rsid w:val="002F3F40"/>
    <w:rsid w:val="002F4BFB"/>
    <w:rsid w:val="002F7536"/>
    <w:rsid w:val="002F764C"/>
    <w:rsid w:val="003008F2"/>
    <w:rsid w:val="003009A4"/>
    <w:rsid w:val="00301058"/>
    <w:rsid w:val="0030370B"/>
    <w:rsid w:val="00310BC4"/>
    <w:rsid w:val="00311C4A"/>
    <w:rsid w:val="00314FCC"/>
    <w:rsid w:val="003156CA"/>
    <w:rsid w:val="00315A0E"/>
    <w:rsid w:val="00315DFD"/>
    <w:rsid w:val="00316CFE"/>
    <w:rsid w:val="00322828"/>
    <w:rsid w:val="003229C4"/>
    <w:rsid w:val="00324857"/>
    <w:rsid w:val="0032533A"/>
    <w:rsid w:val="00326A97"/>
    <w:rsid w:val="00326B42"/>
    <w:rsid w:val="0032753C"/>
    <w:rsid w:val="00327FDE"/>
    <w:rsid w:val="003317A3"/>
    <w:rsid w:val="00331843"/>
    <w:rsid w:val="00331F73"/>
    <w:rsid w:val="0033454F"/>
    <w:rsid w:val="003359AB"/>
    <w:rsid w:val="00335FF2"/>
    <w:rsid w:val="0033661A"/>
    <w:rsid w:val="00336775"/>
    <w:rsid w:val="00342292"/>
    <w:rsid w:val="003431E5"/>
    <w:rsid w:val="00343539"/>
    <w:rsid w:val="00343F88"/>
    <w:rsid w:val="00344CBF"/>
    <w:rsid w:val="003503FD"/>
    <w:rsid w:val="00351683"/>
    <w:rsid w:val="00351CE7"/>
    <w:rsid w:val="0035238E"/>
    <w:rsid w:val="00353881"/>
    <w:rsid w:val="003551E5"/>
    <w:rsid w:val="00360C53"/>
    <w:rsid w:val="00362E01"/>
    <w:rsid w:val="0036392E"/>
    <w:rsid w:val="003647D8"/>
    <w:rsid w:val="003668C3"/>
    <w:rsid w:val="00367EDD"/>
    <w:rsid w:val="0037139F"/>
    <w:rsid w:val="00371D64"/>
    <w:rsid w:val="00371F16"/>
    <w:rsid w:val="0037232A"/>
    <w:rsid w:val="00373743"/>
    <w:rsid w:val="00375F65"/>
    <w:rsid w:val="003762EC"/>
    <w:rsid w:val="003764EF"/>
    <w:rsid w:val="0037711E"/>
    <w:rsid w:val="003801F4"/>
    <w:rsid w:val="003827CD"/>
    <w:rsid w:val="00383413"/>
    <w:rsid w:val="00384C8F"/>
    <w:rsid w:val="00390008"/>
    <w:rsid w:val="0039121A"/>
    <w:rsid w:val="00392909"/>
    <w:rsid w:val="003954B1"/>
    <w:rsid w:val="00395758"/>
    <w:rsid w:val="00396272"/>
    <w:rsid w:val="00397AA5"/>
    <w:rsid w:val="003A1B07"/>
    <w:rsid w:val="003A1D8F"/>
    <w:rsid w:val="003A1DA6"/>
    <w:rsid w:val="003A1FEA"/>
    <w:rsid w:val="003A23F2"/>
    <w:rsid w:val="003B55FE"/>
    <w:rsid w:val="003B566D"/>
    <w:rsid w:val="003B669C"/>
    <w:rsid w:val="003B6C16"/>
    <w:rsid w:val="003B7D87"/>
    <w:rsid w:val="003C2760"/>
    <w:rsid w:val="003C304A"/>
    <w:rsid w:val="003C630D"/>
    <w:rsid w:val="003C6625"/>
    <w:rsid w:val="003C714A"/>
    <w:rsid w:val="003D2891"/>
    <w:rsid w:val="003D40CF"/>
    <w:rsid w:val="003D5D81"/>
    <w:rsid w:val="003D7202"/>
    <w:rsid w:val="003D7906"/>
    <w:rsid w:val="003E1460"/>
    <w:rsid w:val="003E2F7F"/>
    <w:rsid w:val="003F0306"/>
    <w:rsid w:val="003F2D0B"/>
    <w:rsid w:val="003F4C56"/>
    <w:rsid w:val="003F5488"/>
    <w:rsid w:val="004001E4"/>
    <w:rsid w:val="0040209C"/>
    <w:rsid w:val="004037A0"/>
    <w:rsid w:val="0040663B"/>
    <w:rsid w:val="00406A8E"/>
    <w:rsid w:val="00414264"/>
    <w:rsid w:val="00416D5A"/>
    <w:rsid w:val="00417D22"/>
    <w:rsid w:val="00425839"/>
    <w:rsid w:val="00426E80"/>
    <w:rsid w:val="00431176"/>
    <w:rsid w:val="00432160"/>
    <w:rsid w:val="004322A9"/>
    <w:rsid w:val="00433AFC"/>
    <w:rsid w:val="00434192"/>
    <w:rsid w:val="00434ED9"/>
    <w:rsid w:val="0043531E"/>
    <w:rsid w:val="004358F5"/>
    <w:rsid w:val="00435CE2"/>
    <w:rsid w:val="0044094E"/>
    <w:rsid w:val="00445283"/>
    <w:rsid w:val="0044752E"/>
    <w:rsid w:val="00451883"/>
    <w:rsid w:val="00456739"/>
    <w:rsid w:val="00460F15"/>
    <w:rsid w:val="00463C99"/>
    <w:rsid w:val="004652D7"/>
    <w:rsid w:val="004676E3"/>
    <w:rsid w:val="004723CA"/>
    <w:rsid w:val="004725C5"/>
    <w:rsid w:val="00475108"/>
    <w:rsid w:val="00475523"/>
    <w:rsid w:val="00476C38"/>
    <w:rsid w:val="0047779D"/>
    <w:rsid w:val="00482B44"/>
    <w:rsid w:val="004868AD"/>
    <w:rsid w:val="004954B2"/>
    <w:rsid w:val="004954D0"/>
    <w:rsid w:val="00495D41"/>
    <w:rsid w:val="004A4164"/>
    <w:rsid w:val="004A4404"/>
    <w:rsid w:val="004A4A06"/>
    <w:rsid w:val="004A5593"/>
    <w:rsid w:val="004A615F"/>
    <w:rsid w:val="004B0F11"/>
    <w:rsid w:val="004B5139"/>
    <w:rsid w:val="004C0571"/>
    <w:rsid w:val="004C263F"/>
    <w:rsid w:val="004C455B"/>
    <w:rsid w:val="004C4E50"/>
    <w:rsid w:val="004D1D15"/>
    <w:rsid w:val="004D34DC"/>
    <w:rsid w:val="004D5BB8"/>
    <w:rsid w:val="004D718C"/>
    <w:rsid w:val="004E17AA"/>
    <w:rsid w:val="004E2DE2"/>
    <w:rsid w:val="004F254A"/>
    <w:rsid w:val="004F275D"/>
    <w:rsid w:val="004F3385"/>
    <w:rsid w:val="004F44B3"/>
    <w:rsid w:val="004F4E4A"/>
    <w:rsid w:val="004F590C"/>
    <w:rsid w:val="004F5B13"/>
    <w:rsid w:val="004F7E0A"/>
    <w:rsid w:val="00500A14"/>
    <w:rsid w:val="0050170D"/>
    <w:rsid w:val="00501E57"/>
    <w:rsid w:val="0050337D"/>
    <w:rsid w:val="00503820"/>
    <w:rsid w:val="005039EB"/>
    <w:rsid w:val="00503ADE"/>
    <w:rsid w:val="005048B3"/>
    <w:rsid w:val="00506140"/>
    <w:rsid w:val="00507CE6"/>
    <w:rsid w:val="00511C9A"/>
    <w:rsid w:val="005154EE"/>
    <w:rsid w:val="00515590"/>
    <w:rsid w:val="005163BD"/>
    <w:rsid w:val="00521004"/>
    <w:rsid w:val="00521DF1"/>
    <w:rsid w:val="0052274F"/>
    <w:rsid w:val="00524B70"/>
    <w:rsid w:val="0053244C"/>
    <w:rsid w:val="00532F6D"/>
    <w:rsid w:val="00535DD5"/>
    <w:rsid w:val="00535F63"/>
    <w:rsid w:val="0054035A"/>
    <w:rsid w:val="00541C6D"/>
    <w:rsid w:val="00541C90"/>
    <w:rsid w:val="005420FA"/>
    <w:rsid w:val="00543D97"/>
    <w:rsid w:val="005444AF"/>
    <w:rsid w:val="005446F2"/>
    <w:rsid w:val="005536AE"/>
    <w:rsid w:val="00554F04"/>
    <w:rsid w:val="005578A0"/>
    <w:rsid w:val="005612C0"/>
    <w:rsid w:val="00564AD5"/>
    <w:rsid w:val="00564E39"/>
    <w:rsid w:val="00573B69"/>
    <w:rsid w:val="00573BBF"/>
    <w:rsid w:val="00574BC5"/>
    <w:rsid w:val="0057576A"/>
    <w:rsid w:val="00575C1B"/>
    <w:rsid w:val="00581223"/>
    <w:rsid w:val="00581C11"/>
    <w:rsid w:val="0058225F"/>
    <w:rsid w:val="00583449"/>
    <w:rsid w:val="00583AE9"/>
    <w:rsid w:val="00586F9C"/>
    <w:rsid w:val="00587B9A"/>
    <w:rsid w:val="00590179"/>
    <w:rsid w:val="00593A58"/>
    <w:rsid w:val="005968AF"/>
    <w:rsid w:val="005A03FA"/>
    <w:rsid w:val="005A2464"/>
    <w:rsid w:val="005A513C"/>
    <w:rsid w:val="005B0502"/>
    <w:rsid w:val="005B102B"/>
    <w:rsid w:val="005B357D"/>
    <w:rsid w:val="005B41EE"/>
    <w:rsid w:val="005B7FDA"/>
    <w:rsid w:val="005C1F73"/>
    <w:rsid w:val="005C37A2"/>
    <w:rsid w:val="005C5E43"/>
    <w:rsid w:val="005C5F24"/>
    <w:rsid w:val="005C74B0"/>
    <w:rsid w:val="005D114A"/>
    <w:rsid w:val="005D259B"/>
    <w:rsid w:val="005D3CC2"/>
    <w:rsid w:val="005D58BC"/>
    <w:rsid w:val="005D59A8"/>
    <w:rsid w:val="005E1F89"/>
    <w:rsid w:val="005E5A59"/>
    <w:rsid w:val="005E676A"/>
    <w:rsid w:val="005E71F2"/>
    <w:rsid w:val="005E7AF3"/>
    <w:rsid w:val="005F123F"/>
    <w:rsid w:val="005F20BF"/>
    <w:rsid w:val="005F3EF2"/>
    <w:rsid w:val="005F50F2"/>
    <w:rsid w:val="00601FDD"/>
    <w:rsid w:val="006024A8"/>
    <w:rsid w:val="0060585A"/>
    <w:rsid w:val="0061220F"/>
    <w:rsid w:val="0061325B"/>
    <w:rsid w:val="006174F9"/>
    <w:rsid w:val="0061762E"/>
    <w:rsid w:val="00617E72"/>
    <w:rsid w:val="00620D33"/>
    <w:rsid w:val="00621860"/>
    <w:rsid w:val="00626E71"/>
    <w:rsid w:val="00630853"/>
    <w:rsid w:val="00632FEE"/>
    <w:rsid w:val="00635B02"/>
    <w:rsid w:val="00635EE7"/>
    <w:rsid w:val="00640922"/>
    <w:rsid w:val="006421E5"/>
    <w:rsid w:val="00644934"/>
    <w:rsid w:val="00644C64"/>
    <w:rsid w:val="00647A18"/>
    <w:rsid w:val="0065000D"/>
    <w:rsid w:val="006527A5"/>
    <w:rsid w:val="00652AD5"/>
    <w:rsid w:val="0065327D"/>
    <w:rsid w:val="00653B08"/>
    <w:rsid w:val="006573FB"/>
    <w:rsid w:val="00662E2A"/>
    <w:rsid w:val="00663857"/>
    <w:rsid w:val="00665288"/>
    <w:rsid w:val="006672FB"/>
    <w:rsid w:val="00667624"/>
    <w:rsid w:val="00670424"/>
    <w:rsid w:val="00671289"/>
    <w:rsid w:val="006715A4"/>
    <w:rsid w:val="00673865"/>
    <w:rsid w:val="00675744"/>
    <w:rsid w:val="00676380"/>
    <w:rsid w:val="00677CEE"/>
    <w:rsid w:val="006819A3"/>
    <w:rsid w:val="00683186"/>
    <w:rsid w:val="00684072"/>
    <w:rsid w:val="00685D87"/>
    <w:rsid w:val="00686B43"/>
    <w:rsid w:val="00687193"/>
    <w:rsid w:val="00690679"/>
    <w:rsid w:val="0069088B"/>
    <w:rsid w:val="00690A68"/>
    <w:rsid w:val="006924FD"/>
    <w:rsid w:val="006952ED"/>
    <w:rsid w:val="006956E4"/>
    <w:rsid w:val="00695CF8"/>
    <w:rsid w:val="00696BF6"/>
    <w:rsid w:val="0069779F"/>
    <w:rsid w:val="006A0AAE"/>
    <w:rsid w:val="006A1407"/>
    <w:rsid w:val="006A4973"/>
    <w:rsid w:val="006A717E"/>
    <w:rsid w:val="006B25F9"/>
    <w:rsid w:val="006B29DB"/>
    <w:rsid w:val="006B2B9D"/>
    <w:rsid w:val="006B43DC"/>
    <w:rsid w:val="006B5CDB"/>
    <w:rsid w:val="006B7C3F"/>
    <w:rsid w:val="006C1DC3"/>
    <w:rsid w:val="006C248C"/>
    <w:rsid w:val="006C2EA8"/>
    <w:rsid w:val="006C6D9C"/>
    <w:rsid w:val="006C768A"/>
    <w:rsid w:val="006D08BF"/>
    <w:rsid w:val="006D095C"/>
    <w:rsid w:val="006D21D6"/>
    <w:rsid w:val="006D2B38"/>
    <w:rsid w:val="006D3E68"/>
    <w:rsid w:val="006D437E"/>
    <w:rsid w:val="006D4653"/>
    <w:rsid w:val="006D4DD9"/>
    <w:rsid w:val="006E02D1"/>
    <w:rsid w:val="006E0FEB"/>
    <w:rsid w:val="006E1C30"/>
    <w:rsid w:val="006E206A"/>
    <w:rsid w:val="006E515A"/>
    <w:rsid w:val="006E564E"/>
    <w:rsid w:val="006F053D"/>
    <w:rsid w:val="006F28D0"/>
    <w:rsid w:val="006F7DC6"/>
    <w:rsid w:val="00701B2D"/>
    <w:rsid w:val="007024A2"/>
    <w:rsid w:val="00702EA1"/>
    <w:rsid w:val="00704A33"/>
    <w:rsid w:val="007101E5"/>
    <w:rsid w:val="00710676"/>
    <w:rsid w:val="00711020"/>
    <w:rsid w:val="00713896"/>
    <w:rsid w:val="00713AAF"/>
    <w:rsid w:val="007157F8"/>
    <w:rsid w:val="0071693C"/>
    <w:rsid w:val="00716DF4"/>
    <w:rsid w:val="007241EC"/>
    <w:rsid w:val="00724B88"/>
    <w:rsid w:val="00724F77"/>
    <w:rsid w:val="00726057"/>
    <w:rsid w:val="007269B7"/>
    <w:rsid w:val="0072797A"/>
    <w:rsid w:val="00730597"/>
    <w:rsid w:val="007361C7"/>
    <w:rsid w:val="00737E03"/>
    <w:rsid w:val="007407BE"/>
    <w:rsid w:val="00743F42"/>
    <w:rsid w:val="007448B9"/>
    <w:rsid w:val="00744B91"/>
    <w:rsid w:val="007468C3"/>
    <w:rsid w:val="00750B5E"/>
    <w:rsid w:val="00751892"/>
    <w:rsid w:val="00753827"/>
    <w:rsid w:val="00753E80"/>
    <w:rsid w:val="00754097"/>
    <w:rsid w:val="00755DFE"/>
    <w:rsid w:val="0075762F"/>
    <w:rsid w:val="00761FF2"/>
    <w:rsid w:val="007643BD"/>
    <w:rsid w:val="0076719E"/>
    <w:rsid w:val="00771C2A"/>
    <w:rsid w:val="00772C87"/>
    <w:rsid w:val="00772EC0"/>
    <w:rsid w:val="00772EE2"/>
    <w:rsid w:val="00774DA9"/>
    <w:rsid w:val="00777995"/>
    <w:rsid w:val="007857F6"/>
    <w:rsid w:val="00787716"/>
    <w:rsid w:val="00792912"/>
    <w:rsid w:val="00793FD8"/>
    <w:rsid w:val="007941BF"/>
    <w:rsid w:val="007952A6"/>
    <w:rsid w:val="00796464"/>
    <w:rsid w:val="007974D3"/>
    <w:rsid w:val="007A25E3"/>
    <w:rsid w:val="007A463A"/>
    <w:rsid w:val="007A5A53"/>
    <w:rsid w:val="007A646B"/>
    <w:rsid w:val="007B028A"/>
    <w:rsid w:val="007B4896"/>
    <w:rsid w:val="007B5C67"/>
    <w:rsid w:val="007B6C76"/>
    <w:rsid w:val="007B6D4B"/>
    <w:rsid w:val="007C2083"/>
    <w:rsid w:val="007C2A46"/>
    <w:rsid w:val="007C523C"/>
    <w:rsid w:val="007C6839"/>
    <w:rsid w:val="007C755E"/>
    <w:rsid w:val="007D08FF"/>
    <w:rsid w:val="007D1B23"/>
    <w:rsid w:val="007E0729"/>
    <w:rsid w:val="007E0F90"/>
    <w:rsid w:val="007E5218"/>
    <w:rsid w:val="007E7008"/>
    <w:rsid w:val="007F1179"/>
    <w:rsid w:val="007F14C4"/>
    <w:rsid w:val="007F1E97"/>
    <w:rsid w:val="007F254D"/>
    <w:rsid w:val="007F3997"/>
    <w:rsid w:val="007F6E84"/>
    <w:rsid w:val="007F709B"/>
    <w:rsid w:val="00801527"/>
    <w:rsid w:val="008030BC"/>
    <w:rsid w:val="008047EF"/>
    <w:rsid w:val="008048C4"/>
    <w:rsid w:val="00812471"/>
    <w:rsid w:val="00815EB7"/>
    <w:rsid w:val="00816733"/>
    <w:rsid w:val="0081751D"/>
    <w:rsid w:val="00817DD5"/>
    <w:rsid w:val="00820703"/>
    <w:rsid w:val="00823E6B"/>
    <w:rsid w:val="00825015"/>
    <w:rsid w:val="00827716"/>
    <w:rsid w:val="0083010C"/>
    <w:rsid w:val="008306CE"/>
    <w:rsid w:val="008309DB"/>
    <w:rsid w:val="008313F2"/>
    <w:rsid w:val="008331B1"/>
    <w:rsid w:val="008356DB"/>
    <w:rsid w:val="00841551"/>
    <w:rsid w:val="00842C25"/>
    <w:rsid w:val="00842E68"/>
    <w:rsid w:val="008455B2"/>
    <w:rsid w:val="00847003"/>
    <w:rsid w:val="00850005"/>
    <w:rsid w:val="008535A4"/>
    <w:rsid w:val="00853930"/>
    <w:rsid w:val="00854AF5"/>
    <w:rsid w:val="0085721A"/>
    <w:rsid w:val="00857F9C"/>
    <w:rsid w:val="00860AE3"/>
    <w:rsid w:val="00861EF1"/>
    <w:rsid w:val="008623F1"/>
    <w:rsid w:val="0086496A"/>
    <w:rsid w:val="00865360"/>
    <w:rsid w:val="00870675"/>
    <w:rsid w:val="0087223F"/>
    <w:rsid w:val="00872965"/>
    <w:rsid w:val="00872F20"/>
    <w:rsid w:val="00873B17"/>
    <w:rsid w:val="0087681D"/>
    <w:rsid w:val="008770DB"/>
    <w:rsid w:val="00877C42"/>
    <w:rsid w:val="00880848"/>
    <w:rsid w:val="00881597"/>
    <w:rsid w:val="00885429"/>
    <w:rsid w:val="008875B0"/>
    <w:rsid w:val="00890815"/>
    <w:rsid w:val="00890C90"/>
    <w:rsid w:val="0089317A"/>
    <w:rsid w:val="00893635"/>
    <w:rsid w:val="00894F80"/>
    <w:rsid w:val="00894FE2"/>
    <w:rsid w:val="00897992"/>
    <w:rsid w:val="00897D9A"/>
    <w:rsid w:val="008B0E30"/>
    <w:rsid w:val="008B346F"/>
    <w:rsid w:val="008B3C7F"/>
    <w:rsid w:val="008B3FEC"/>
    <w:rsid w:val="008B4E07"/>
    <w:rsid w:val="008B5526"/>
    <w:rsid w:val="008B7481"/>
    <w:rsid w:val="008C1921"/>
    <w:rsid w:val="008C2222"/>
    <w:rsid w:val="008C42C5"/>
    <w:rsid w:val="008D2428"/>
    <w:rsid w:val="008D45C8"/>
    <w:rsid w:val="008D4894"/>
    <w:rsid w:val="008D76E1"/>
    <w:rsid w:val="008E2EB6"/>
    <w:rsid w:val="008F5EFD"/>
    <w:rsid w:val="008F6D48"/>
    <w:rsid w:val="0090040F"/>
    <w:rsid w:val="00900ACD"/>
    <w:rsid w:val="0090145B"/>
    <w:rsid w:val="00902056"/>
    <w:rsid w:val="00902F72"/>
    <w:rsid w:val="00903637"/>
    <w:rsid w:val="00906303"/>
    <w:rsid w:val="00907861"/>
    <w:rsid w:val="009103E3"/>
    <w:rsid w:val="00910BE1"/>
    <w:rsid w:val="00910D4D"/>
    <w:rsid w:val="00911E90"/>
    <w:rsid w:val="00912307"/>
    <w:rsid w:val="00915670"/>
    <w:rsid w:val="009167F3"/>
    <w:rsid w:val="0091762D"/>
    <w:rsid w:val="00917DE1"/>
    <w:rsid w:val="009204D0"/>
    <w:rsid w:val="00922D1A"/>
    <w:rsid w:val="009230BA"/>
    <w:rsid w:val="00923791"/>
    <w:rsid w:val="00923B4D"/>
    <w:rsid w:val="009241E6"/>
    <w:rsid w:val="00924D67"/>
    <w:rsid w:val="00930CEE"/>
    <w:rsid w:val="009348C2"/>
    <w:rsid w:val="00934DF9"/>
    <w:rsid w:val="009366A5"/>
    <w:rsid w:val="00937C46"/>
    <w:rsid w:val="00947505"/>
    <w:rsid w:val="00947799"/>
    <w:rsid w:val="00952F99"/>
    <w:rsid w:val="0095380F"/>
    <w:rsid w:val="00953B9D"/>
    <w:rsid w:val="009545A9"/>
    <w:rsid w:val="00954626"/>
    <w:rsid w:val="0095692A"/>
    <w:rsid w:val="00960294"/>
    <w:rsid w:val="00961708"/>
    <w:rsid w:val="0096366E"/>
    <w:rsid w:val="00970493"/>
    <w:rsid w:val="00972624"/>
    <w:rsid w:val="009733D0"/>
    <w:rsid w:val="00976073"/>
    <w:rsid w:val="009777DB"/>
    <w:rsid w:val="00977A8F"/>
    <w:rsid w:val="00981C23"/>
    <w:rsid w:val="00982786"/>
    <w:rsid w:val="00983A66"/>
    <w:rsid w:val="00985892"/>
    <w:rsid w:val="0099221C"/>
    <w:rsid w:val="00993957"/>
    <w:rsid w:val="0099418E"/>
    <w:rsid w:val="00994CAB"/>
    <w:rsid w:val="009A14A3"/>
    <w:rsid w:val="009A1833"/>
    <w:rsid w:val="009A208F"/>
    <w:rsid w:val="009A532F"/>
    <w:rsid w:val="009B0FD9"/>
    <w:rsid w:val="009B130D"/>
    <w:rsid w:val="009B4187"/>
    <w:rsid w:val="009B5D0D"/>
    <w:rsid w:val="009B653B"/>
    <w:rsid w:val="009C2910"/>
    <w:rsid w:val="009C5159"/>
    <w:rsid w:val="009D0285"/>
    <w:rsid w:val="009D1C05"/>
    <w:rsid w:val="009D2FFF"/>
    <w:rsid w:val="009D59EE"/>
    <w:rsid w:val="009D5CE2"/>
    <w:rsid w:val="009D5FBB"/>
    <w:rsid w:val="009D6D56"/>
    <w:rsid w:val="009D70F6"/>
    <w:rsid w:val="009E0750"/>
    <w:rsid w:val="009E1D36"/>
    <w:rsid w:val="009E2E15"/>
    <w:rsid w:val="009E2F99"/>
    <w:rsid w:val="009E4AB4"/>
    <w:rsid w:val="009E5D28"/>
    <w:rsid w:val="009E7676"/>
    <w:rsid w:val="009F10DE"/>
    <w:rsid w:val="009F1988"/>
    <w:rsid w:val="009F3345"/>
    <w:rsid w:val="009F4A7F"/>
    <w:rsid w:val="00A0002E"/>
    <w:rsid w:val="00A0015A"/>
    <w:rsid w:val="00A038FB"/>
    <w:rsid w:val="00A06685"/>
    <w:rsid w:val="00A10E14"/>
    <w:rsid w:val="00A11DAE"/>
    <w:rsid w:val="00A1287C"/>
    <w:rsid w:val="00A136CB"/>
    <w:rsid w:val="00A142E2"/>
    <w:rsid w:val="00A1492C"/>
    <w:rsid w:val="00A14D81"/>
    <w:rsid w:val="00A15E39"/>
    <w:rsid w:val="00A165BA"/>
    <w:rsid w:val="00A1747A"/>
    <w:rsid w:val="00A175F0"/>
    <w:rsid w:val="00A201CA"/>
    <w:rsid w:val="00A22617"/>
    <w:rsid w:val="00A23B0F"/>
    <w:rsid w:val="00A24465"/>
    <w:rsid w:val="00A24E7B"/>
    <w:rsid w:val="00A25039"/>
    <w:rsid w:val="00A2631A"/>
    <w:rsid w:val="00A264A1"/>
    <w:rsid w:val="00A267A5"/>
    <w:rsid w:val="00A27480"/>
    <w:rsid w:val="00A30875"/>
    <w:rsid w:val="00A32A05"/>
    <w:rsid w:val="00A33C3F"/>
    <w:rsid w:val="00A36738"/>
    <w:rsid w:val="00A4515F"/>
    <w:rsid w:val="00A4615C"/>
    <w:rsid w:val="00A50BA1"/>
    <w:rsid w:val="00A5257F"/>
    <w:rsid w:val="00A53A6F"/>
    <w:rsid w:val="00A57DDA"/>
    <w:rsid w:val="00A61B9E"/>
    <w:rsid w:val="00A64358"/>
    <w:rsid w:val="00A65FF5"/>
    <w:rsid w:val="00A6753E"/>
    <w:rsid w:val="00A70C36"/>
    <w:rsid w:val="00A727D7"/>
    <w:rsid w:val="00A76B3B"/>
    <w:rsid w:val="00A77864"/>
    <w:rsid w:val="00A77C88"/>
    <w:rsid w:val="00A80120"/>
    <w:rsid w:val="00A803B4"/>
    <w:rsid w:val="00A80CB9"/>
    <w:rsid w:val="00A8203C"/>
    <w:rsid w:val="00A82468"/>
    <w:rsid w:val="00A83BE2"/>
    <w:rsid w:val="00A857B8"/>
    <w:rsid w:val="00A86230"/>
    <w:rsid w:val="00A9008D"/>
    <w:rsid w:val="00A92020"/>
    <w:rsid w:val="00A94C06"/>
    <w:rsid w:val="00A953A6"/>
    <w:rsid w:val="00AA2C89"/>
    <w:rsid w:val="00AA3D43"/>
    <w:rsid w:val="00AA4E27"/>
    <w:rsid w:val="00AA633E"/>
    <w:rsid w:val="00AA6691"/>
    <w:rsid w:val="00AB0DED"/>
    <w:rsid w:val="00AB153B"/>
    <w:rsid w:val="00AB1DC1"/>
    <w:rsid w:val="00AB44D4"/>
    <w:rsid w:val="00AB7235"/>
    <w:rsid w:val="00AC0C95"/>
    <w:rsid w:val="00AC2827"/>
    <w:rsid w:val="00AC4460"/>
    <w:rsid w:val="00AC453A"/>
    <w:rsid w:val="00AC4CCA"/>
    <w:rsid w:val="00AC6AF1"/>
    <w:rsid w:val="00AD200C"/>
    <w:rsid w:val="00AD2CCB"/>
    <w:rsid w:val="00AD30FD"/>
    <w:rsid w:val="00AD4A31"/>
    <w:rsid w:val="00AD6EB9"/>
    <w:rsid w:val="00AE6892"/>
    <w:rsid w:val="00AF0591"/>
    <w:rsid w:val="00AF16F3"/>
    <w:rsid w:val="00AF333D"/>
    <w:rsid w:val="00AF3436"/>
    <w:rsid w:val="00AF6FA6"/>
    <w:rsid w:val="00AF7900"/>
    <w:rsid w:val="00AF7B16"/>
    <w:rsid w:val="00B00197"/>
    <w:rsid w:val="00B01248"/>
    <w:rsid w:val="00B02879"/>
    <w:rsid w:val="00B030DF"/>
    <w:rsid w:val="00B0416F"/>
    <w:rsid w:val="00B05B60"/>
    <w:rsid w:val="00B06CBE"/>
    <w:rsid w:val="00B0754B"/>
    <w:rsid w:val="00B0775C"/>
    <w:rsid w:val="00B1106B"/>
    <w:rsid w:val="00B11740"/>
    <w:rsid w:val="00B12314"/>
    <w:rsid w:val="00B127C2"/>
    <w:rsid w:val="00B12852"/>
    <w:rsid w:val="00B12A56"/>
    <w:rsid w:val="00B132FB"/>
    <w:rsid w:val="00B135E7"/>
    <w:rsid w:val="00B13EDB"/>
    <w:rsid w:val="00B14CD5"/>
    <w:rsid w:val="00B15C44"/>
    <w:rsid w:val="00B16BC4"/>
    <w:rsid w:val="00B17811"/>
    <w:rsid w:val="00B205AB"/>
    <w:rsid w:val="00B20C3C"/>
    <w:rsid w:val="00B229A4"/>
    <w:rsid w:val="00B24065"/>
    <w:rsid w:val="00B244F6"/>
    <w:rsid w:val="00B24B26"/>
    <w:rsid w:val="00B24D0F"/>
    <w:rsid w:val="00B26A8D"/>
    <w:rsid w:val="00B305D0"/>
    <w:rsid w:val="00B330EB"/>
    <w:rsid w:val="00B34C04"/>
    <w:rsid w:val="00B41AD7"/>
    <w:rsid w:val="00B44B41"/>
    <w:rsid w:val="00B457F2"/>
    <w:rsid w:val="00B45B5A"/>
    <w:rsid w:val="00B47515"/>
    <w:rsid w:val="00B51238"/>
    <w:rsid w:val="00B520AB"/>
    <w:rsid w:val="00B55637"/>
    <w:rsid w:val="00B5627E"/>
    <w:rsid w:val="00B62D84"/>
    <w:rsid w:val="00B62E79"/>
    <w:rsid w:val="00B660F9"/>
    <w:rsid w:val="00B66EBC"/>
    <w:rsid w:val="00B72FCA"/>
    <w:rsid w:val="00B73243"/>
    <w:rsid w:val="00B75295"/>
    <w:rsid w:val="00B75C3A"/>
    <w:rsid w:val="00B75E75"/>
    <w:rsid w:val="00B7603B"/>
    <w:rsid w:val="00B76449"/>
    <w:rsid w:val="00B7663D"/>
    <w:rsid w:val="00B76777"/>
    <w:rsid w:val="00B7691A"/>
    <w:rsid w:val="00B82680"/>
    <w:rsid w:val="00B82BE8"/>
    <w:rsid w:val="00B83627"/>
    <w:rsid w:val="00B83E2E"/>
    <w:rsid w:val="00B848E7"/>
    <w:rsid w:val="00B86B59"/>
    <w:rsid w:val="00B9110E"/>
    <w:rsid w:val="00B94133"/>
    <w:rsid w:val="00B972BA"/>
    <w:rsid w:val="00BA4C28"/>
    <w:rsid w:val="00BA6F7A"/>
    <w:rsid w:val="00BA728E"/>
    <w:rsid w:val="00BB2883"/>
    <w:rsid w:val="00BB51B4"/>
    <w:rsid w:val="00BB7854"/>
    <w:rsid w:val="00BC0332"/>
    <w:rsid w:val="00BC2321"/>
    <w:rsid w:val="00BC404A"/>
    <w:rsid w:val="00BC669D"/>
    <w:rsid w:val="00BC716D"/>
    <w:rsid w:val="00BD091C"/>
    <w:rsid w:val="00BD244D"/>
    <w:rsid w:val="00BD3B74"/>
    <w:rsid w:val="00BD3D3A"/>
    <w:rsid w:val="00BD42F1"/>
    <w:rsid w:val="00BE22F2"/>
    <w:rsid w:val="00BE35FB"/>
    <w:rsid w:val="00BE3AEE"/>
    <w:rsid w:val="00BE3C64"/>
    <w:rsid w:val="00BE4F65"/>
    <w:rsid w:val="00BE501C"/>
    <w:rsid w:val="00BE6D65"/>
    <w:rsid w:val="00BE6DD6"/>
    <w:rsid w:val="00BE71BB"/>
    <w:rsid w:val="00BF0264"/>
    <w:rsid w:val="00BF063C"/>
    <w:rsid w:val="00BF09A1"/>
    <w:rsid w:val="00BF23D9"/>
    <w:rsid w:val="00BF45D7"/>
    <w:rsid w:val="00BF4747"/>
    <w:rsid w:val="00BF4AA9"/>
    <w:rsid w:val="00BF6D24"/>
    <w:rsid w:val="00C02756"/>
    <w:rsid w:val="00C03870"/>
    <w:rsid w:val="00C04A06"/>
    <w:rsid w:val="00C04A41"/>
    <w:rsid w:val="00C06EFC"/>
    <w:rsid w:val="00C103A3"/>
    <w:rsid w:val="00C10B0D"/>
    <w:rsid w:val="00C11883"/>
    <w:rsid w:val="00C12CE9"/>
    <w:rsid w:val="00C1342B"/>
    <w:rsid w:val="00C139B1"/>
    <w:rsid w:val="00C14575"/>
    <w:rsid w:val="00C15E2B"/>
    <w:rsid w:val="00C16522"/>
    <w:rsid w:val="00C203F7"/>
    <w:rsid w:val="00C244B4"/>
    <w:rsid w:val="00C265F1"/>
    <w:rsid w:val="00C26800"/>
    <w:rsid w:val="00C3215A"/>
    <w:rsid w:val="00C3359E"/>
    <w:rsid w:val="00C33E97"/>
    <w:rsid w:val="00C354D2"/>
    <w:rsid w:val="00C427F5"/>
    <w:rsid w:val="00C4321B"/>
    <w:rsid w:val="00C44D9C"/>
    <w:rsid w:val="00C4699D"/>
    <w:rsid w:val="00C505CF"/>
    <w:rsid w:val="00C51BB9"/>
    <w:rsid w:val="00C52004"/>
    <w:rsid w:val="00C5200F"/>
    <w:rsid w:val="00C546D1"/>
    <w:rsid w:val="00C54B8B"/>
    <w:rsid w:val="00C55BF6"/>
    <w:rsid w:val="00C605B4"/>
    <w:rsid w:val="00C626BA"/>
    <w:rsid w:val="00C6386E"/>
    <w:rsid w:val="00C6550D"/>
    <w:rsid w:val="00C65846"/>
    <w:rsid w:val="00C6620D"/>
    <w:rsid w:val="00C662A8"/>
    <w:rsid w:val="00C6761A"/>
    <w:rsid w:val="00C6778B"/>
    <w:rsid w:val="00C67EBE"/>
    <w:rsid w:val="00C7410B"/>
    <w:rsid w:val="00C77E04"/>
    <w:rsid w:val="00C80D1A"/>
    <w:rsid w:val="00C81273"/>
    <w:rsid w:val="00C81E6F"/>
    <w:rsid w:val="00C822A3"/>
    <w:rsid w:val="00C8288A"/>
    <w:rsid w:val="00C82AB7"/>
    <w:rsid w:val="00C85243"/>
    <w:rsid w:val="00C85685"/>
    <w:rsid w:val="00C8568D"/>
    <w:rsid w:val="00C86EAD"/>
    <w:rsid w:val="00C87833"/>
    <w:rsid w:val="00C90A5F"/>
    <w:rsid w:val="00C911B9"/>
    <w:rsid w:val="00C913A6"/>
    <w:rsid w:val="00C91BFD"/>
    <w:rsid w:val="00C94B36"/>
    <w:rsid w:val="00C94C77"/>
    <w:rsid w:val="00C96F24"/>
    <w:rsid w:val="00C97096"/>
    <w:rsid w:val="00CA0444"/>
    <w:rsid w:val="00CA1386"/>
    <w:rsid w:val="00CA2190"/>
    <w:rsid w:val="00CA2728"/>
    <w:rsid w:val="00CA5814"/>
    <w:rsid w:val="00CA7B98"/>
    <w:rsid w:val="00CB06A6"/>
    <w:rsid w:val="00CB1FFC"/>
    <w:rsid w:val="00CB27C8"/>
    <w:rsid w:val="00CB5242"/>
    <w:rsid w:val="00CB774C"/>
    <w:rsid w:val="00CC1C82"/>
    <w:rsid w:val="00CC354D"/>
    <w:rsid w:val="00CC5689"/>
    <w:rsid w:val="00CC5D61"/>
    <w:rsid w:val="00CC7A18"/>
    <w:rsid w:val="00CD1A67"/>
    <w:rsid w:val="00CD3624"/>
    <w:rsid w:val="00CD418D"/>
    <w:rsid w:val="00CD4EEA"/>
    <w:rsid w:val="00CD6892"/>
    <w:rsid w:val="00CD73B7"/>
    <w:rsid w:val="00CE435F"/>
    <w:rsid w:val="00CE475F"/>
    <w:rsid w:val="00CE5BDB"/>
    <w:rsid w:val="00CE67D8"/>
    <w:rsid w:val="00CF0BB4"/>
    <w:rsid w:val="00CF0CC6"/>
    <w:rsid w:val="00CF4E74"/>
    <w:rsid w:val="00CF5D88"/>
    <w:rsid w:val="00CF72B8"/>
    <w:rsid w:val="00D013CA"/>
    <w:rsid w:val="00D03843"/>
    <w:rsid w:val="00D0391C"/>
    <w:rsid w:val="00D041A2"/>
    <w:rsid w:val="00D04394"/>
    <w:rsid w:val="00D0643A"/>
    <w:rsid w:val="00D10C44"/>
    <w:rsid w:val="00D12230"/>
    <w:rsid w:val="00D1278E"/>
    <w:rsid w:val="00D12A6D"/>
    <w:rsid w:val="00D1384C"/>
    <w:rsid w:val="00D14002"/>
    <w:rsid w:val="00D1446D"/>
    <w:rsid w:val="00D145B4"/>
    <w:rsid w:val="00D14A21"/>
    <w:rsid w:val="00D14E17"/>
    <w:rsid w:val="00D15B4D"/>
    <w:rsid w:val="00D15BCE"/>
    <w:rsid w:val="00D16451"/>
    <w:rsid w:val="00D16736"/>
    <w:rsid w:val="00D17AA7"/>
    <w:rsid w:val="00D17C49"/>
    <w:rsid w:val="00D22F46"/>
    <w:rsid w:val="00D2380D"/>
    <w:rsid w:val="00D2549C"/>
    <w:rsid w:val="00D26169"/>
    <w:rsid w:val="00D27D49"/>
    <w:rsid w:val="00D27DB4"/>
    <w:rsid w:val="00D400D7"/>
    <w:rsid w:val="00D41453"/>
    <w:rsid w:val="00D42110"/>
    <w:rsid w:val="00D42DBC"/>
    <w:rsid w:val="00D43DB0"/>
    <w:rsid w:val="00D445AC"/>
    <w:rsid w:val="00D445B6"/>
    <w:rsid w:val="00D45621"/>
    <w:rsid w:val="00D46471"/>
    <w:rsid w:val="00D47F1D"/>
    <w:rsid w:val="00D50ACF"/>
    <w:rsid w:val="00D51616"/>
    <w:rsid w:val="00D51DE6"/>
    <w:rsid w:val="00D53477"/>
    <w:rsid w:val="00D54226"/>
    <w:rsid w:val="00D548A7"/>
    <w:rsid w:val="00D54FA3"/>
    <w:rsid w:val="00D5597B"/>
    <w:rsid w:val="00D63471"/>
    <w:rsid w:val="00D63817"/>
    <w:rsid w:val="00D7090A"/>
    <w:rsid w:val="00D711C5"/>
    <w:rsid w:val="00D71AE3"/>
    <w:rsid w:val="00D71FC4"/>
    <w:rsid w:val="00D73045"/>
    <w:rsid w:val="00D75DA2"/>
    <w:rsid w:val="00D778FB"/>
    <w:rsid w:val="00D779F7"/>
    <w:rsid w:val="00D83E38"/>
    <w:rsid w:val="00D844D7"/>
    <w:rsid w:val="00D85867"/>
    <w:rsid w:val="00D85E3A"/>
    <w:rsid w:val="00D86D59"/>
    <w:rsid w:val="00D9086B"/>
    <w:rsid w:val="00D91A74"/>
    <w:rsid w:val="00D933B6"/>
    <w:rsid w:val="00D94AB5"/>
    <w:rsid w:val="00D951BA"/>
    <w:rsid w:val="00D957F0"/>
    <w:rsid w:val="00D96235"/>
    <w:rsid w:val="00D96D3A"/>
    <w:rsid w:val="00DA0E45"/>
    <w:rsid w:val="00DA217F"/>
    <w:rsid w:val="00DA2FF7"/>
    <w:rsid w:val="00DA40EF"/>
    <w:rsid w:val="00DA42F5"/>
    <w:rsid w:val="00DA58A8"/>
    <w:rsid w:val="00DA62C8"/>
    <w:rsid w:val="00DA670D"/>
    <w:rsid w:val="00DA75D8"/>
    <w:rsid w:val="00DB1F60"/>
    <w:rsid w:val="00DB2B5B"/>
    <w:rsid w:val="00DB5E22"/>
    <w:rsid w:val="00DB7327"/>
    <w:rsid w:val="00DC074D"/>
    <w:rsid w:val="00DC2C94"/>
    <w:rsid w:val="00DC4F92"/>
    <w:rsid w:val="00DC545F"/>
    <w:rsid w:val="00DC65F7"/>
    <w:rsid w:val="00DC76CD"/>
    <w:rsid w:val="00DD0228"/>
    <w:rsid w:val="00DD14B5"/>
    <w:rsid w:val="00DD1E7B"/>
    <w:rsid w:val="00DD4E8E"/>
    <w:rsid w:val="00DD5203"/>
    <w:rsid w:val="00DD658A"/>
    <w:rsid w:val="00DD6A8D"/>
    <w:rsid w:val="00DD73F3"/>
    <w:rsid w:val="00DD743B"/>
    <w:rsid w:val="00DD7A27"/>
    <w:rsid w:val="00DE12C7"/>
    <w:rsid w:val="00DE35E9"/>
    <w:rsid w:val="00DE3F0F"/>
    <w:rsid w:val="00DE489C"/>
    <w:rsid w:val="00DE4D7E"/>
    <w:rsid w:val="00DE569A"/>
    <w:rsid w:val="00DE6858"/>
    <w:rsid w:val="00DE78E2"/>
    <w:rsid w:val="00DF105C"/>
    <w:rsid w:val="00DF334E"/>
    <w:rsid w:val="00DF4D71"/>
    <w:rsid w:val="00E01A5B"/>
    <w:rsid w:val="00E050BE"/>
    <w:rsid w:val="00E0551F"/>
    <w:rsid w:val="00E063D0"/>
    <w:rsid w:val="00E0726C"/>
    <w:rsid w:val="00E128AC"/>
    <w:rsid w:val="00E12D0E"/>
    <w:rsid w:val="00E12F21"/>
    <w:rsid w:val="00E144DD"/>
    <w:rsid w:val="00E14BE2"/>
    <w:rsid w:val="00E2284C"/>
    <w:rsid w:val="00E23958"/>
    <w:rsid w:val="00E25148"/>
    <w:rsid w:val="00E2646D"/>
    <w:rsid w:val="00E30BFF"/>
    <w:rsid w:val="00E30CDE"/>
    <w:rsid w:val="00E33B29"/>
    <w:rsid w:val="00E36382"/>
    <w:rsid w:val="00E44891"/>
    <w:rsid w:val="00E45F34"/>
    <w:rsid w:val="00E504C6"/>
    <w:rsid w:val="00E50D5D"/>
    <w:rsid w:val="00E518A4"/>
    <w:rsid w:val="00E53E80"/>
    <w:rsid w:val="00E54573"/>
    <w:rsid w:val="00E62CA0"/>
    <w:rsid w:val="00E66FB7"/>
    <w:rsid w:val="00E72F2A"/>
    <w:rsid w:val="00E75D12"/>
    <w:rsid w:val="00E76807"/>
    <w:rsid w:val="00E7708F"/>
    <w:rsid w:val="00E857F3"/>
    <w:rsid w:val="00E863AE"/>
    <w:rsid w:val="00E865D6"/>
    <w:rsid w:val="00E876B3"/>
    <w:rsid w:val="00E90780"/>
    <w:rsid w:val="00E90B4A"/>
    <w:rsid w:val="00E93AFC"/>
    <w:rsid w:val="00E94F42"/>
    <w:rsid w:val="00E953B0"/>
    <w:rsid w:val="00E978F0"/>
    <w:rsid w:val="00E97E62"/>
    <w:rsid w:val="00EA0A8C"/>
    <w:rsid w:val="00EA146C"/>
    <w:rsid w:val="00EA28F8"/>
    <w:rsid w:val="00EA2D5F"/>
    <w:rsid w:val="00EA32A7"/>
    <w:rsid w:val="00EA3FA3"/>
    <w:rsid w:val="00EA6546"/>
    <w:rsid w:val="00EA6BD9"/>
    <w:rsid w:val="00EA70E6"/>
    <w:rsid w:val="00EB037D"/>
    <w:rsid w:val="00EB0755"/>
    <w:rsid w:val="00EB4EC1"/>
    <w:rsid w:val="00EB7A11"/>
    <w:rsid w:val="00EC0A7A"/>
    <w:rsid w:val="00EC0E49"/>
    <w:rsid w:val="00EC1D65"/>
    <w:rsid w:val="00EC2FC3"/>
    <w:rsid w:val="00EC3984"/>
    <w:rsid w:val="00EC438E"/>
    <w:rsid w:val="00EC72A8"/>
    <w:rsid w:val="00EE0661"/>
    <w:rsid w:val="00EE0873"/>
    <w:rsid w:val="00EE29F5"/>
    <w:rsid w:val="00EE4152"/>
    <w:rsid w:val="00EE4492"/>
    <w:rsid w:val="00EE68E3"/>
    <w:rsid w:val="00EE6EB4"/>
    <w:rsid w:val="00EE76E1"/>
    <w:rsid w:val="00EE7ADF"/>
    <w:rsid w:val="00EF3B5A"/>
    <w:rsid w:val="00EF5359"/>
    <w:rsid w:val="00F03E40"/>
    <w:rsid w:val="00F03E67"/>
    <w:rsid w:val="00F050C8"/>
    <w:rsid w:val="00F1047F"/>
    <w:rsid w:val="00F114AB"/>
    <w:rsid w:val="00F15D41"/>
    <w:rsid w:val="00F17115"/>
    <w:rsid w:val="00F22CC6"/>
    <w:rsid w:val="00F23BBB"/>
    <w:rsid w:val="00F25320"/>
    <w:rsid w:val="00F25877"/>
    <w:rsid w:val="00F258CD"/>
    <w:rsid w:val="00F263FE"/>
    <w:rsid w:val="00F26E1F"/>
    <w:rsid w:val="00F31023"/>
    <w:rsid w:val="00F31D5B"/>
    <w:rsid w:val="00F3666A"/>
    <w:rsid w:val="00F37335"/>
    <w:rsid w:val="00F37B5A"/>
    <w:rsid w:val="00F402A4"/>
    <w:rsid w:val="00F414A8"/>
    <w:rsid w:val="00F41658"/>
    <w:rsid w:val="00F42A51"/>
    <w:rsid w:val="00F450DB"/>
    <w:rsid w:val="00F54B34"/>
    <w:rsid w:val="00F54E66"/>
    <w:rsid w:val="00F60DBF"/>
    <w:rsid w:val="00F61C15"/>
    <w:rsid w:val="00F61E94"/>
    <w:rsid w:val="00F62EA6"/>
    <w:rsid w:val="00F65C0F"/>
    <w:rsid w:val="00F66E41"/>
    <w:rsid w:val="00F70D33"/>
    <w:rsid w:val="00F70D43"/>
    <w:rsid w:val="00F710EF"/>
    <w:rsid w:val="00F71BC5"/>
    <w:rsid w:val="00F7421C"/>
    <w:rsid w:val="00F74A5A"/>
    <w:rsid w:val="00F755B6"/>
    <w:rsid w:val="00F75F19"/>
    <w:rsid w:val="00F76E9C"/>
    <w:rsid w:val="00F7738B"/>
    <w:rsid w:val="00F77D29"/>
    <w:rsid w:val="00F77F65"/>
    <w:rsid w:val="00F80AEA"/>
    <w:rsid w:val="00F85A7B"/>
    <w:rsid w:val="00F865DA"/>
    <w:rsid w:val="00F87B85"/>
    <w:rsid w:val="00F9431C"/>
    <w:rsid w:val="00F9529E"/>
    <w:rsid w:val="00F956B8"/>
    <w:rsid w:val="00FA03E5"/>
    <w:rsid w:val="00FA0D0B"/>
    <w:rsid w:val="00FA67F7"/>
    <w:rsid w:val="00FA7E29"/>
    <w:rsid w:val="00FB1F94"/>
    <w:rsid w:val="00FB3207"/>
    <w:rsid w:val="00FB3FFD"/>
    <w:rsid w:val="00FB4DC0"/>
    <w:rsid w:val="00FB5235"/>
    <w:rsid w:val="00FB5C80"/>
    <w:rsid w:val="00FB7821"/>
    <w:rsid w:val="00FB79D4"/>
    <w:rsid w:val="00FC174A"/>
    <w:rsid w:val="00FC18DF"/>
    <w:rsid w:val="00FC1DFE"/>
    <w:rsid w:val="00FC3EE3"/>
    <w:rsid w:val="00FC6BDA"/>
    <w:rsid w:val="00FC6FDA"/>
    <w:rsid w:val="00FD0C5D"/>
    <w:rsid w:val="00FD189E"/>
    <w:rsid w:val="00FD3573"/>
    <w:rsid w:val="00FD3672"/>
    <w:rsid w:val="00FD3811"/>
    <w:rsid w:val="00FD7CF1"/>
    <w:rsid w:val="00FE06D8"/>
    <w:rsid w:val="00FE0BE2"/>
    <w:rsid w:val="00FE3906"/>
    <w:rsid w:val="00FE39D8"/>
    <w:rsid w:val="00FF030E"/>
    <w:rsid w:val="00FF2F55"/>
    <w:rsid w:val="00FF303B"/>
    <w:rsid w:val="00FF330F"/>
    <w:rsid w:val="00FF3AA6"/>
    <w:rsid w:val="00FF3CB0"/>
    <w:rsid w:val="00FF5951"/>
    <w:rsid w:val="00FF5FF8"/>
    <w:rsid w:val="00FF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4A"/>
    <w:pPr>
      <w:widowControl w:val="0"/>
      <w:spacing w:after="0" w:line="240" w:lineRule="auto"/>
    </w:pPr>
    <w:rPr>
      <w:snapToGrid w:val="0"/>
      <w:kern w:val="28"/>
      <w:szCs w:val="20"/>
    </w:rPr>
  </w:style>
  <w:style w:type="paragraph" w:styleId="Heading1">
    <w:name w:val="heading 1"/>
    <w:basedOn w:val="Normal"/>
    <w:next w:val="ParaNum"/>
    <w:link w:val="Heading1Char"/>
    <w:qFormat/>
    <w:rsid w:val="005D114A"/>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D114A"/>
    <w:pPr>
      <w:keepNext/>
      <w:numPr>
        <w:ilvl w:val="1"/>
        <w:numId w:val="12"/>
      </w:numPr>
      <w:spacing w:after="120"/>
      <w:outlineLvl w:val="1"/>
    </w:pPr>
    <w:rPr>
      <w:b/>
    </w:rPr>
  </w:style>
  <w:style w:type="paragraph" w:styleId="Heading3">
    <w:name w:val="heading 3"/>
    <w:basedOn w:val="Normal"/>
    <w:next w:val="ParaNum"/>
    <w:link w:val="Heading3Char"/>
    <w:qFormat/>
    <w:rsid w:val="005D114A"/>
    <w:pPr>
      <w:keepNext/>
      <w:numPr>
        <w:ilvl w:val="2"/>
        <w:numId w:val="12"/>
      </w:numPr>
      <w:tabs>
        <w:tab w:val="left" w:pos="2160"/>
      </w:tabs>
      <w:spacing w:after="120"/>
      <w:outlineLvl w:val="2"/>
    </w:pPr>
    <w:rPr>
      <w:b/>
    </w:rPr>
  </w:style>
  <w:style w:type="paragraph" w:styleId="Heading4">
    <w:name w:val="heading 4"/>
    <w:basedOn w:val="Normal"/>
    <w:next w:val="ParaNum"/>
    <w:link w:val="Heading4Char"/>
    <w:qFormat/>
    <w:rsid w:val="005D114A"/>
    <w:pPr>
      <w:keepNext/>
      <w:numPr>
        <w:ilvl w:val="3"/>
        <w:numId w:val="12"/>
      </w:numPr>
      <w:tabs>
        <w:tab w:val="left" w:pos="2880"/>
      </w:tabs>
      <w:spacing w:after="120"/>
      <w:outlineLvl w:val="3"/>
    </w:pPr>
    <w:rPr>
      <w:b/>
    </w:rPr>
  </w:style>
  <w:style w:type="paragraph" w:styleId="Heading5">
    <w:name w:val="heading 5"/>
    <w:basedOn w:val="Normal"/>
    <w:next w:val="ParaNum"/>
    <w:link w:val="Heading5Char"/>
    <w:qFormat/>
    <w:rsid w:val="005D114A"/>
    <w:pPr>
      <w:keepNext/>
      <w:numPr>
        <w:ilvl w:val="4"/>
        <w:numId w:val="12"/>
      </w:numPr>
      <w:tabs>
        <w:tab w:val="left" w:pos="3600"/>
      </w:tabs>
      <w:suppressAutoHyphens/>
      <w:spacing w:after="120"/>
      <w:outlineLvl w:val="4"/>
    </w:pPr>
    <w:rPr>
      <w:b/>
    </w:rPr>
  </w:style>
  <w:style w:type="paragraph" w:styleId="Heading6">
    <w:name w:val="heading 6"/>
    <w:basedOn w:val="Normal"/>
    <w:next w:val="ParaNum"/>
    <w:link w:val="Heading6Char"/>
    <w:qFormat/>
    <w:rsid w:val="005D114A"/>
    <w:pPr>
      <w:numPr>
        <w:ilvl w:val="5"/>
        <w:numId w:val="12"/>
      </w:numPr>
      <w:tabs>
        <w:tab w:val="left" w:pos="4320"/>
      </w:tabs>
      <w:spacing w:after="120"/>
      <w:outlineLvl w:val="5"/>
    </w:pPr>
    <w:rPr>
      <w:b/>
    </w:rPr>
  </w:style>
  <w:style w:type="paragraph" w:styleId="Heading7">
    <w:name w:val="heading 7"/>
    <w:basedOn w:val="Normal"/>
    <w:next w:val="ParaNum"/>
    <w:link w:val="Heading7Char"/>
    <w:qFormat/>
    <w:rsid w:val="005D114A"/>
    <w:pPr>
      <w:numPr>
        <w:ilvl w:val="6"/>
        <w:numId w:val="12"/>
      </w:numPr>
      <w:tabs>
        <w:tab w:val="left" w:pos="5040"/>
      </w:tabs>
      <w:spacing w:after="120"/>
      <w:ind w:left="5040" w:hanging="720"/>
      <w:outlineLvl w:val="6"/>
    </w:pPr>
    <w:rPr>
      <w:b/>
    </w:rPr>
  </w:style>
  <w:style w:type="paragraph" w:styleId="Heading8">
    <w:name w:val="heading 8"/>
    <w:basedOn w:val="Normal"/>
    <w:next w:val="ParaNum"/>
    <w:link w:val="Heading8Char"/>
    <w:qFormat/>
    <w:rsid w:val="005D114A"/>
    <w:pPr>
      <w:numPr>
        <w:ilvl w:val="7"/>
        <w:numId w:val="1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D114A"/>
    <w:pPr>
      <w:numPr>
        <w:ilvl w:val="8"/>
        <w:numId w:val="1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11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114A"/>
  </w:style>
  <w:style w:type="character" w:customStyle="1" w:styleId="Heading1Char">
    <w:name w:val="Heading 1 Char"/>
    <w:basedOn w:val="DefaultParagraphFont"/>
    <w:link w:val="Heading1"/>
    <w:locked/>
    <w:rPr>
      <w:rFonts w:ascii="Times New Roman Bold" w:hAnsi="Times New Roman Bold"/>
      <w:b/>
      <w:caps/>
      <w:snapToGrid w:val="0"/>
      <w:kern w:val="28"/>
      <w:szCs w:val="20"/>
    </w:rPr>
  </w:style>
  <w:style w:type="character" w:customStyle="1" w:styleId="Heading2Char">
    <w:name w:val="Heading 2 Char"/>
    <w:basedOn w:val="DefaultParagraphFont"/>
    <w:link w:val="Heading2"/>
    <w:locked/>
    <w:rPr>
      <w:b/>
      <w:snapToGrid w:val="0"/>
      <w:kern w:val="28"/>
      <w:szCs w:val="20"/>
    </w:rPr>
  </w:style>
  <w:style w:type="character" w:customStyle="1" w:styleId="Heading3Char">
    <w:name w:val="Heading 3 Char"/>
    <w:basedOn w:val="DefaultParagraphFont"/>
    <w:link w:val="Heading3"/>
    <w:locked/>
    <w:rPr>
      <w:b/>
      <w:snapToGrid w:val="0"/>
      <w:kern w:val="28"/>
      <w:szCs w:val="20"/>
    </w:rPr>
  </w:style>
  <w:style w:type="character" w:customStyle="1" w:styleId="Heading4Char">
    <w:name w:val="Heading 4 Char"/>
    <w:basedOn w:val="DefaultParagraphFont"/>
    <w:link w:val="Heading4"/>
    <w:locked/>
    <w:rPr>
      <w:b/>
      <w:snapToGrid w:val="0"/>
      <w:kern w:val="28"/>
      <w:szCs w:val="20"/>
    </w:rPr>
  </w:style>
  <w:style w:type="character" w:customStyle="1" w:styleId="Heading5Char">
    <w:name w:val="Heading 5 Char"/>
    <w:basedOn w:val="DefaultParagraphFont"/>
    <w:link w:val="Heading5"/>
    <w:locked/>
    <w:rPr>
      <w:b/>
      <w:snapToGrid w:val="0"/>
      <w:kern w:val="28"/>
      <w:szCs w:val="20"/>
    </w:rPr>
  </w:style>
  <w:style w:type="character" w:customStyle="1" w:styleId="Heading6Char">
    <w:name w:val="Heading 6 Char"/>
    <w:basedOn w:val="DefaultParagraphFont"/>
    <w:link w:val="Heading6"/>
    <w:locked/>
    <w:rPr>
      <w:b/>
      <w:snapToGrid w:val="0"/>
      <w:kern w:val="28"/>
      <w:szCs w:val="20"/>
    </w:rPr>
  </w:style>
  <w:style w:type="character" w:customStyle="1" w:styleId="Heading7Char">
    <w:name w:val="Heading 7 Char"/>
    <w:basedOn w:val="DefaultParagraphFont"/>
    <w:link w:val="Heading7"/>
    <w:locked/>
    <w:rPr>
      <w:b/>
      <w:snapToGrid w:val="0"/>
      <w:kern w:val="28"/>
      <w:szCs w:val="20"/>
    </w:rPr>
  </w:style>
  <w:style w:type="character" w:customStyle="1" w:styleId="Heading8Char">
    <w:name w:val="Heading 8 Char"/>
    <w:basedOn w:val="DefaultParagraphFont"/>
    <w:link w:val="Heading8"/>
    <w:locked/>
    <w:rPr>
      <w:b/>
      <w:snapToGrid w:val="0"/>
      <w:kern w:val="28"/>
      <w:szCs w:val="20"/>
    </w:rPr>
  </w:style>
  <w:style w:type="character" w:customStyle="1" w:styleId="Heading9Char">
    <w:name w:val="Heading 9 Char"/>
    <w:basedOn w:val="DefaultParagraphFont"/>
    <w:link w:val="Heading9"/>
    <w:locked/>
    <w:rPr>
      <w:b/>
      <w:snapToGrid w:val="0"/>
      <w:kern w:val="28"/>
      <w:szCs w:val="20"/>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rsid w:val="005D114A"/>
    <w:pPr>
      <w:numPr>
        <w:numId w:val="11"/>
      </w:numPr>
      <w:tabs>
        <w:tab w:val="clear" w:pos="1080"/>
        <w:tab w:val="num" w:pos="1440"/>
      </w:tabs>
      <w:spacing w:after="120"/>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n Char1,Footnote Text Char2 Char"/>
    <w:link w:val="FootnoteTextChar"/>
    <w:rsid w:val="005D114A"/>
    <w:pPr>
      <w:spacing w:after="12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locked/>
    <w:rsid w:val="005E5A59"/>
    <w:rPr>
      <w:sz w:val="20"/>
      <w:szCs w:val="20"/>
    </w:rPr>
  </w:style>
  <w:style w:type="character" w:customStyle="1" w:styleId="FootnoteTextChar1Char1">
    <w:name w:val="Footnote Text Char1 Char1"/>
    <w:aliases w:val="Footnote Text Char2 Char Char,Footnote Text Char1 Char1 Char Char,Footnote Text Char2 Char Char Char1 Char Char Char1,Footnote Text Char1 Char1 Char Char Char Char Char Char"/>
    <w:uiPriority w:val="99"/>
    <w:rsid w:val="00D711C5"/>
    <w:rPr>
      <w:sz w:val="24"/>
      <w:lang w:val="en-US" w:eastAsia="en-US"/>
    </w:rPr>
  </w:style>
  <w:style w:type="paragraph" w:customStyle="1" w:styleId="Bullet">
    <w:name w:val="Bullet"/>
    <w:basedOn w:val="Normal"/>
    <w:rsid w:val="005D114A"/>
    <w:pPr>
      <w:tabs>
        <w:tab w:val="left" w:pos="2160"/>
      </w:tabs>
      <w:spacing w:after="220"/>
      <w:ind w:left="2160" w:hanging="720"/>
    </w:pPr>
  </w:style>
  <w:style w:type="paragraph" w:styleId="BlockText">
    <w:name w:val="Block Text"/>
    <w:basedOn w:val="Normal"/>
    <w:rsid w:val="005D114A"/>
    <w:pPr>
      <w:spacing w:after="240"/>
      <w:ind w:left="1440" w:right="1440"/>
    </w:pPr>
  </w:style>
  <w:style w:type="paragraph" w:customStyle="1" w:styleId="TableFormat">
    <w:name w:val="TableFormat"/>
    <w:basedOn w:val="Bullet"/>
    <w:rsid w:val="005D114A"/>
    <w:pPr>
      <w:tabs>
        <w:tab w:val="clear" w:pos="2160"/>
        <w:tab w:val="left" w:pos="5040"/>
      </w:tabs>
      <w:ind w:left="5040" w:hanging="3600"/>
    </w:pPr>
  </w:style>
  <w:style w:type="character" w:styleId="FootnoteReference">
    <w:name w:val="footnote reference"/>
    <w:aliases w:val="Appel note de bas de p"/>
    <w:rsid w:val="005D114A"/>
    <w:rPr>
      <w:rFonts w:ascii="Times New Roman" w:hAnsi="Times New Roman"/>
      <w:dstrike w:val="0"/>
      <w:color w:val="auto"/>
      <w:sz w:val="20"/>
      <w:vertAlign w:val="superscript"/>
    </w:rPr>
  </w:style>
  <w:style w:type="paragraph" w:styleId="Header">
    <w:name w:val="header"/>
    <w:basedOn w:val="Normal"/>
    <w:link w:val="HeaderChar"/>
    <w:autoRedefine/>
    <w:rsid w:val="005D114A"/>
    <w:pPr>
      <w:tabs>
        <w:tab w:val="center" w:pos="4680"/>
        <w:tab w:val="right" w:pos="9360"/>
      </w:tabs>
    </w:pPr>
    <w:rPr>
      <w:b/>
    </w:rPr>
  </w:style>
  <w:style w:type="character" w:customStyle="1" w:styleId="HeaderChar">
    <w:name w:val="Header Char"/>
    <w:basedOn w:val="DefaultParagraphFont"/>
    <w:link w:val="Header"/>
    <w:locked/>
    <w:rPr>
      <w:b/>
      <w:snapToGrid w:val="0"/>
      <w:kern w:val="28"/>
      <w:szCs w:val="20"/>
    </w:rPr>
  </w:style>
  <w:style w:type="paragraph" w:styleId="Footer">
    <w:name w:val="footer"/>
    <w:basedOn w:val="Normal"/>
    <w:link w:val="FooterChar"/>
    <w:rsid w:val="005D114A"/>
    <w:pPr>
      <w:tabs>
        <w:tab w:val="center" w:pos="4320"/>
        <w:tab w:val="right" w:pos="8640"/>
      </w:tabs>
    </w:pPr>
  </w:style>
  <w:style w:type="character" w:customStyle="1" w:styleId="FooterChar">
    <w:name w:val="Footer Char"/>
    <w:basedOn w:val="DefaultParagraphFont"/>
    <w:link w:val="Footer"/>
    <w:locked/>
    <w:rPr>
      <w:snapToGrid w:val="0"/>
      <w:kern w:val="28"/>
      <w:szCs w:val="20"/>
    </w:rPr>
  </w:style>
  <w:style w:type="paragraph" w:styleId="TOC2">
    <w:name w:val="toc 2"/>
    <w:basedOn w:val="Normal"/>
    <w:next w:val="Normal"/>
    <w:semiHidden/>
    <w:rsid w:val="005D114A"/>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spacing w:after="220"/>
    </w:pPr>
  </w:style>
  <w:style w:type="paragraph" w:styleId="TOC1">
    <w:name w:val="toc 1"/>
    <w:basedOn w:val="Normal"/>
    <w:next w:val="Normal"/>
    <w:semiHidden/>
    <w:rsid w:val="005D114A"/>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D114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114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114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114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114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114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114A"/>
    <w:pPr>
      <w:tabs>
        <w:tab w:val="left" w:pos="3240"/>
        <w:tab w:val="right" w:leader="dot" w:pos="9360"/>
      </w:tabs>
      <w:suppressAutoHyphens/>
      <w:ind w:left="3240" w:hanging="360"/>
    </w:pPr>
    <w:rPr>
      <w:noProof/>
    </w:rPr>
  </w:style>
  <w:style w:type="character" w:styleId="PageNumber">
    <w:name w:val="page number"/>
    <w:basedOn w:val="DefaultParagraphFont"/>
    <w:rsid w:val="005D114A"/>
  </w:style>
  <w:style w:type="paragraph" w:styleId="Title">
    <w:name w:val="Title"/>
    <w:basedOn w:val="Normal"/>
    <w:link w:val="TitleChar"/>
    <w:uiPriority w:val="99"/>
    <w:qFormat/>
    <w:pPr>
      <w:jc w:val="center"/>
    </w:pPr>
    <w:rPr>
      <w: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rsid w:val="00FA67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B62E79"/>
    <w:rPr>
      <w:rFonts w:cs="Times New Roman"/>
      <w:sz w:val="16"/>
    </w:rPr>
  </w:style>
  <w:style w:type="paragraph" w:styleId="CommentText">
    <w:name w:val="annotation text"/>
    <w:basedOn w:val="Normal"/>
    <w:link w:val="CommentTextChar"/>
    <w:uiPriority w:val="99"/>
    <w:semiHidden/>
    <w:rsid w:val="00B62E7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B62E79"/>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rsid w:val="005D114A"/>
    <w:rPr>
      <w:color w:val="0000FF"/>
      <w:u w:val="single"/>
    </w:rPr>
  </w:style>
  <w:style w:type="paragraph" w:styleId="EndnoteText">
    <w:name w:val="endnote text"/>
    <w:basedOn w:val="Normal"/>
    <w:link w:val="EndnoteTextChar"/>
    <w:semiHidden/>
    <w:rsid w:val="005D114A"/>
    <w:rPr>
      <w:sz w:val="20"/>
    </w:rPr>
  </w:style>
  <w:style w:type="character" w:customStyle="1" w:styleId="EndnoteTextChar">
    <w:name w:val="Endnote Text Char"/>
    <w:basedOn w:val="DefaultParagraphFont"/>
    <w:link w:val="EndnoteText"/>
    <w:semiHidden/>
    <w:rsid w:val="00503ADE"/>
    <w:rPr>
      <w:snapToGrid w:val="0"/>
      <w:kern w:val="28"/>
      <w:sz w:val="20"/>
      <w:szCs w:val="20"/>
    </w:rPr>
  </w:style>
  <w:style w:type="character" w:styleId="EndnoteReference">
    <w:name w:val="endnote reference"/>
    <w:semiHidden/>
    <w:rsid w:val="005D114A"/>
    <w:rPr>
      <w:vertAlign w:val="superscript"/>
    </w:rPr>
  </w:style>
  <w:style w:type="paragraph" w:styleId="TOAHeading">
    <w:name w:val="toa heading"/>
    <w:basedOn w:val="Normal"/>
    <w:next w:val="Normal"/>
    <w:semiHidden/>
    <w:rsid w:val="005D114A"/>
    <w:pPr>
      <w:tabs>
        <w:tab w:val="right" w:pos="9360"/>
      </w:tabs>
      <w:suppressAutoHyphens/>
    </w:pPr>
  </w:style>
  <w:style w:type="character" w:customStyle="1" w:styleId="EquationCaption">
    <w:name w:val="_Equation Caption"/>
    <w:rsid w:val="005D114A"/>
  </w:style>
  <w:style w:type="paragraph" w:customStyle="1" w:styleId="Paratitle">
    <w:name w:val="Para title"/>
    <w:basedOn w:val="Normal"/>
    <w:rsid w:val="005D114A"/>
    <w:pPr>
      <w:tabs>
        <w:tab w:val="center" w:pos="9270"/>
      </w:tabs>
      <w:spacing w:after="240"/>
    </w:pPr>
    <w:rPr>
      <w:spacing w:val="-2"/>
    </w:rPr>
  </w:style>
  <w:style w:type="paragraph" w:customStyle="1" w:styleId="TOCTitle">
    <w:name w:val="TOC Title"/>
    <w:basedOn w:val="Normal"/>
    <w:rsid w:val="005D114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114A"/>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4A"/>
    <w:pPr>
      <w:widowControl w:val="0"/>
      <w:spacing w:after="0" w:line="240" w:lineRule="auto"/>
    </w:pPr>
    <w:rPr>
      <w:snapToGrid w:val="0"/>
      <w:kern w:val="28"/>
      <w:szCs w:val="20"/>
    </w:rPr>
  </w:style>
  <w:style w:type="paragraph" w:styleId="Heading1">
    <w:name w:val="heading 1"/>
    <w:basedOn w:val="Normal"/>
    <w:next w:val="ParaNum"/>
    <w:link w:val="Heading1Char"/>
    <w:qFormat/>
    <w:rsid w:val="005D114A"/>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D114A"/>
    <w:pPr>
      <w:keepNext/>
      <w:numPr>
        <w:ilvl w:val="1"/>
        <w:numId w:val="12"/>
      </w:numPr>
      <w:spacing w:after="120"/>
      <w:outlineLvl w:val="1"/>
    </w:pPr>
    <w:rPr>
      <w:b/>
    </w:rPr>
  </w:style>
  <w:style w:type="paragraph" w:styleId="Heading3">
    <w:name w:val="heading 3"/>
    <w:basedOn w:val="Normal"/>
    <w:next w:val="ParaNum"/>
    <w:link w:val="Heading3Char"/>
    <w:qFormat/>
    <w:rsid w:val="005D114A"/>
    <w:pPr>
      <w:keepNext/>
      <w:numPr>
        <w:ilvl w:val="2"/>
        <w:numId w:val="12"/>
      </w:numPr>
      <w:tabs>
        <w:tab w:val="left" w:pos="2160"/>
      </w:tabs>
      <w:spacing w:after="120"/>
      <w:outlineLvl w:val="2"/>
    </w:pPr>
    <w:rPr>
      <w:b/>
    </w:rPr>
  </w:style>
  <w:style w:type="paragraph" w:styleId="Heading4">
    <w:name w:val="heading 4"/>
    <w:basedOn w:val="Normal"/>
    <w:next w:val="ParaNum"/>
    <w:link w:val="Heading4Char"/>
    <w:qFormat/>
    <w:rsid w:val="005D114A"/>
    <w:pPr>
      <w:keepNext/>
      <w:numPr>
        <w:ilvl w:val="3"/>
        <w:numId w:val="12"/>
      </w:numPr>
      <w:tabs>
        <w:tab w:val="left" w:pos="2880"/>
      </w:tabs>
      <w:spacing w:after="120"/>
      <w:outlineLvl w:val="3"/>
    </w:pPr>
    <w:rPr>
      <w:b/>
    </w:rPr>
  </w:style>
  <w:style w:type="paragraph" w:styleId="Heading5">
    <w:name w:val="heading 5"/>
    <w:basedOn w:val="Normal"/>
    <w:next w:val="ParaNum"/>
    <w:link w:val="Heading5Char"/>
    <w:qFormat/>
    <w:rsid w:val="005D114A"/>
    <w:pPr>
      <w:keepNext/>
      <w:numPr>
        <w:ilvl w:val="4"/>
        <w:numId w:val="12"/>
      </w:numPr>
      <w:tabs>
        <w:tab w:val="left" w:pos="3600"/>
      </w:tabs>
      <w:suppressAutoHyphens/>
      <w:spacing w:after="120"/>
      <w:outlineLvl w:val="4"/>
    </w:pPr>
    <w:rPr>
      <w:b/>
    </w:rPr>
  </w:style>
  <w:style w:type="paragraph" w:styleId="Heading6">
    <w:name w:val="heading 6"/>
    <w:basedOn w:val="Normal"/>
    <w:next w:val="ParaNum"/>
    <w:link w:val="Heading6Char"/>
    <w:qFormat/>
    <w:rsid w:val="005D114A"/>
    <w:pPr>
      <w:numPr>
        <w:ilvl w:val="5"/>
        <w:numId w:val="12"/>
      </w:numPr>
      <w:tabs>
        <w:tab w:val="left" w:pos="4320"/>
      </w:tabs>
      <w:spacing w:after="120"/>
      <w:outlineLvl w:val="5"/>
    </w:pPr>
    <w:rPr>
      <w:b/>
    </w:rPr>
  </w:style>
  <w:style w:type="paragraph" w:styleId="Heading7">
    <w:name w:val="heading 7"/>
    <w:basedOn w:val="Normal"/>
    <w:next w:val="ParaNum"/>
    <w:link w:val="Heading7Char"/>
    <w:qFormat/>
    <w:rsid w:val="005D114A"/>
    <w:pPr>
      <w:numPr>
        <w:ilvl w:val="6"/>
        <w:numId w:val="12"/>
      </w:numPr>
      <w:tabs>
        <w:tab w:val="left" w:pos="5040"/>
      </w:tabs>
      <w:spacing w:after="120"/>
      <w:ind w:left="5040" w:hanging="720"/>
      <w:outlineLvl w:val="6"/>
    </w:pPr>
    <w:rPr>
      <w:b/>
    </w:rPr>
  </w:style>
  <w:style w:type="paragraph" w:styleId="Heading8">
    <w:name w:val="heading 8"/>
    <w:basedOn w:val="Normal"/>
    <w:next w:val="ParaNum"/>
    <w:link w:val="Heading8Char"/>
    <w:qFormat/>
    <w:rsid w:val="005D114A"/>
    <w:pPr>
      <w:numPr>
        <w:ilvl w:val="7"/>
        <w:numId w:val="1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D114A"/>
    <w:pPr>
      <w:numPr>
        <w:ilvl w:val="8"/>
        <w:numId w:val="1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11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114A"/>
  </w:style>
  <w:style w:type="character" w:customStyle="1" w:styleId="Heading1Char">
    <w:name w:val="Heading 1 Char"/>
    <w:basedOn w:val="DefaultParagraphFont"/>
    <w:link w:val="Heading1"/>
    <w:locked/>
    <w:rPr>
      <w:rFonts w:ascii="Times New Roman Bold" w:hAnsi="Times New Roman Bold"/>
      <w:b/>
      <w:caps/>
      <w:snapToGrid w:val="0"/>
      <w:kern w:val="28"/>
      <w:szCs w:val="20"/>
    </w:rPr>
  </w:style>
  <w:style w:type="character" w:customStyle="1" w:styleId="Heading2Char">
    <w:name w:val="Heading 2 Char"/>
    <w:basedOn w:val="DefaultParagraphFont"/>
    <w:link w:val="Heading2"/>
    <w:locked/>
    <w:rPr>
      <w:b/>
      <w:snapToGrid w:val="0"/>
      <w:kern w:val="28"/>
      <w:szCs w:val="20"/>
    </w:rPr>
  </w:style>
  <w:style w:type="character" w:customStyle="1" w:styleId="Heading3Char">
    <w:name w:val="Heading 3 Char"/>
    <w:basedOn w:val="DefaultParagraphFont"/>
    <w:link w:val="Heading3"/>
    <w:locked/>
    <w:rPr>
      <w:b/>
      <w:snapToGrid w:val="0"/>
      <w:kern w:val="28"/>
      <w:szCs w:val="20"/>
    </w:rPr>
  </w:style>
  <w:style w:type="character" w:customStyle="1" w:styleId="Heading4Char">
    <w:name w:val="Heading 4 Char"/>
    <w:basedOn w:val="DefaultParagraphFont"/>
    <w:link w:val="Heading4"/>
    <w:locked/>
    <w:rPr>
      <w:b/>
      <w:snapToGrid w:val="0"/>
      <w:kern w:val="28"/>
      <w:szCs w:val="20"/>
    </w:rPr>
  </w:style>
  <w:style w:type="character" w:customStyle="1" w:styleId="Heading5Char">
    <w:name w:val="Heading 5 Char"/>
    <w:basedOn w:val="DefaultParagraphFont"/>
    <w:link w:val="Heading5"/>
    <w:locked/>
    <w:rPr>
      <w:b/>
      <w:snapToGrid w:val="0"/>
      <w:kern w:val="28"/>
      <w:szCs w:val="20"/>
    </w:rPr>
  </w:style>
  <w:style w:type="character" w:customStyle="1" w:styleId="Heading6Char">
    <w:name w:val="Heading 6 Char"/>
    <w:basedOn w:val="DefaultParagraphFont"/>
    <w:link w:val="Heading6"/>
    <w:locked/>
    <w:rPr>
      <w:b/>
      <w:snapToGrid w:val="0"/>
      <w:kern w:val="28"/>
      <w:szCs w:val="20"/>
    </w:rPr>
  </w:style>
  <w:style w:type="character" w:customStyle="1" w:styleId="Heading7Char">
    <w:name w:val="Heading 7 Char"/>
    <w:basedOn w:val="DefaultParagraphFont"/>
    <w:link w:val="Heading7"/>
    <w:locked/>
    <w:rPr>
      <w:b/>
      <w:snapToGrid w:val="0"/>
      <w:kern w:val="28"/>
      <w:szCs w:val="20"/>
    </w:rPr>
  </w:style>
  <w:style w:type="character" w:customStyle="1" w:styleId="Heading8Char">
    <w:name w:val="Heading 8 Char"/>
    <w:basedOn w:val="DefaultParagraphFont"/>
    <w:link w:val="Heading8"/>
    <w:locked/>
    <w:rPr>
      <w:b/>
      <w:snapToGrid w:val="0"/>
      <w:kern w:val="28"/>
      <w:szCs w:val="20"/>
    </w:rPr>
  </w:style>
  <w:style w:type="character" w:customStyle="1" w:styleId="Heading9Char">
    <w:name w:val="Heading 9 Char"/>
    <w:basedOn w:val="DefaultParagraphFont"/>
    <w:link w:val="Heading9"/>
    <w:locked/>
    <w:rPr>
      <w:b/>
      <w:snapToGrid w:val="0"/>
      <w:kern w:val="28"/>
      <w:szCs w:val="20"/>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rsid w:val="005D114A"/>
    <w:pPr>
      <w:numPr>
        <w:numId w:val="11"/>
      </w:numPr>
      <w:tabs>
        <w:tab w:val="clear" w:pos="1080"/>
        <w:tab w:val="num" w:pos="1440"/>
      </w:tabs>
      <w:spacing w:after="120"/>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n Char1,Footnote Text Char2 Char"/>
    <w:link w:val="FootnoteTextChar"/>
    <w:rsid w:val="005D114A"/>
    <w:pPr>
      <w:spacing w:after="12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locked/>
    <w:rsid w:val="005E5A59"/>
    <w:rPr>
      <w:sz w:val="20"/>
      <w:szCs w:val="20"/>
    </w:rPr>
  </w:style>
  <w:style w:type="character" w:customStyle="1" w:styleId="FootnoteTextChar1Char1">
    <w:name w:val="Footnote Text Char1 Char1"/>
    <w:aliases w:val="Footnote Text Char2 Char Char,Footnote Text Char1 Char1 Char Char,Footnote Text Char2 Char Char Char1 Char Char Char1,Footnote Text Char1 Char1 Char Char Char Char Char Char"/>
    <w:uiPriority w:val="99"/>
    <w:rsid w:val="00D711C5"/>
    <w:rPr>
      <w:sz w:val="24"/>
      <w:lang w:val="en-US" w:eastAsia="en-US"/>
    </w:rPr>
  </w:style>
  <w:style w:type="paragraph" w:customStyle="1" w:styleId="Bullet">
    <w:name w:val="Bullet"/>
    <w:basedOn w:val="Normal"/>
    <w:rsid w:val="005D114A"/>
    <w:pPr>
      <w:tabs>
        <w:tab w:val="left" w:pos="2160"/>
      </w:tabs>
      <w:spacing w:after="220"/>
      <w:ind w:left="2160" w:hanging="720"/>
    </w:pPr>
  </w:style>
  <w:style w:type="paragraph" w:styleId="BlockText">
    <w:name w:val="Block Text"/>
    <w:basedOn w:val="Normal"/>
    <w:rsid w:val="005D114A"/>
    <w:pPr>
      <w:spacing w:after="240"/>
      <w:ind w:left="1440" w:right="1440"/>
    </w:pPr>
  </w:style>
  <w:style w:type="paragraph" w:customStyle="1" w:styleId="TableFormat">
    <w:name w:val="TableFormat"/>
    <w:basedOn w:val="Bullet"/>
    <w:rsid w:val="005D114A"/>
    <w:pPr>
      <w:tabs>
        <w:tab w:val="clear" w:pos="2160"/>
        <w:tab w:val="left" w:pos="5040"/>
      </w:tabs>
      <w:ind w:left="5040" w:hanging="3600"/>
    </w:pPr>
  </w:style>
  <w:style w:type="character" w:styleId="FootnoteReference">
    <w:name w:val="footnote reference"/>
    <w:aliases w:val="Appel note de bas de p"/>
    <w:rsid w:val="005D114A"/>
    <w:rPr>
      <w:rFonts w:ascii="Times New Roman" w:hAnsi="Times New Roman"/>
      <w:dstrike w:val="0"/>
      <w:color w:val="auto"/>
      <w:sz w:val="20"/>
      <w:vertAlign w:val="superscript"/>
    </w:rPr>
  </w:style>
  <w:style w:type="paragraph" w:styleId="Header">
    <w:name w:val="header"/>
    <w:basedOn w:val="Normal"/>
    <w:link w:val="HeaderChar"/>
    <w:autoRedefine/>
    <w:rsid w:val="005D114A"/>
    <w:pPr>
      <w:tabs>
        <w:tab w:val="center" w:pos="4680"/>
        <w:tab w:val="right" w:pos="9360"/>
      </w:tabs>
    </w:pPr>
    <w:rPr>
      <w:b/>
    </w:rPr>
  </w:style>
  <w:style w:type="character" w:customStyle="1" w:styleId="HeaderChar">
    <w:name w:val="Header Char"/>
    <w:basedOn w:val="DefaultParagraphFont"/>
    <w:link w:val="Header"/>
    <w:locked/>
    <w:rPr>
      <w:b/>
      <w:snapToGrid w:val="0"/>
      <w:kern w:val="28"/>
      <w:szCs w:val="20"/>
    </w:rPr>
  </w:style>
  <w:style w:type="paragraph" w:styleId="Footer">
    <w:name w:val="footer"/>
    <w:basedOn w:val="Normal"/>
    <w:link w:val="FooterChar"/>
    <w:rsid w:val="005D114A"/>
    <w:pPr>
      <w:tabs>
        <w:tab w:val="center" w:pos="4320"/>
        <w:tab w:val="right" w:pos="8640"/>
      </w:tabs>
    </w:pPr>
  </w:style>
  <w:style w:type="character" w:customStyle="1" w:styleId="FooterChar">
    <w:name w:val="Footer Char"/>
    <w:basedOn w:val="DefaultParagraphFont"/>
    <w:link w:val="Footer"/>
    <w:locked/>
    <w:rPr>
      <w:snapToGrid w:val="0"/>
      <w:kern w:val="28"/>
      <w:szCs w:val="20"/>
    </w:rPr>
  </w:style>
  <w:style w:type="paragraph" w:styleId="TOC2">
    <w:name w:val="toc 2"/>
    <w:basedOn w:val="Normal"/>
    <w:next w:val="Normal"/>
    <w:semiHidden/>
    <w:rsid w:val="005D114A"/>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spacing w:after="220"/>
    </w:pPr>
  </w:style>
  <w:style w:type="paragraph" w:styleId="TOC1">
    <w:name w:val="toc 1"/>
    <w:basedOn w:val="Normal"/>
    <w:next w:val="Normal"/>
    <w:semiHidden/>
    <w:rsid w:val="005D114A"/>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D114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114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114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114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114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114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114A"/>
    <w:pPr>
      <w:tabs>
        <w:tab w:val="left" w:pos="3240"/>
        <w:tab w:val="right" w:leader="dot" w:pos="9360"/>
      </w:tabs>
      <w:suppressAutoHyphens/>
      <w:ind w:left="3240" w:hanging="360"/>
    </w:pPr>
    <w:rPr>
      <w:noProof/>
    </w:rPr>
  </w:style>
  <w:style w:type="character" w:styleId="PageNumber">
    <w:name w:val="page number"/>
    <w:basedOn w:val="DefaultParagraphFont"/>
    <w:rsid w:val="005D114A"/>
  </w:style>
  <w:style w:type="paragraph" w:styleId="Title">
    <w:name w:val="Title"/>
    <w:basedOn w:val="Normal"/>
    <w:link w:val="TitleChar"/>
    <w:uiPriority w:val="99"/>
    <w:qFormat/>
    <w:pPr>
      <w:jc w:val="center"/>
    </w:pPr>
    <w:rPr>
      <w: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rsid w:val="00FA67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B62E79"/>
    <w:rPr>
      <w:rFonts w:cs="Times New Roman"/>
      <w:sz w:val="16"/>
    </w:rPr>
  </w:style>
  <w:style w:type="paragraph" w:styleId="CommentText">
    <w:name w:val="annotation text"/>
    <w:basedOn w:val="Normal"/>
    <w:link w:val="CommentTextChar"/>
    <w:uiPriority w:val="99"/>
    <w:semiHidden/>
    <w:rsid w:val="00B62E7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B62E79"/>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rsid w:val="005D114A"/>
    <w:rPr>
      <w:color w:val="0000FF"/>
      <w:u w:val="single"/>
    </w:rPr>
  </w:style>
  <w:style w:type="paragraph" w:styleId="EndnoteText">
    <w:name w:val="endnote text"/>
    <w:basedOn w:val="Normal"/>
    <w:link w:val="EndnoteTextChar"/>
    <w:semiHidden/>
    <w:rsid w:val="005D114A"/>
    <w:rPr>
      <w:sz w:val="20"/>
    </w:rPr>
  </w:style>
  <w:style w:type="character" w:customStyle="1" w:styleId="EndnoteTextChar">
    <w:name w:val="Endnote Text Char"/>
    <w:basedOn w:val="DefaultParagraphFont"/>
    <w:link w:val="EndnoteText"/>
    <w:semiHidden/>
    <w:rsid w:val="00503ADE"/>
    <w:rPr>
      <w:snapToGrid w:val="0"/>
      <w:kern w:val="28"/>
      <w:sz w:val="20"/>
      <w:szCs w:val="20"/>
    </w:rPr>
  </w:style>
  <w:style w:type="character" w:styleId="EndnoteReference">
    <w:name w:val="endnote reference"/>
    <w:semiHidden/>
    <w:rsid w:val="005D114A"/>
    <w:rPr>
      <w:vertAlign w:val="superscript"/>
    </w:rPr>
  </w:style>
  <w:style w:type="paragraph" w:styleId="TOAHeading">
    <w:name w:val="toa heading"/>
    <w:basedOn w:val="Normal"/>
    <w:next w:val="Normal"/>
    <w:semiHidden/>
    <w:rsid w:val="005D114A"/>
    <w:pPr>
      <w:tabs>
        <w:tab w:val="right" w:pos="9360"/>
      </w:tabs>
      <w:suppressAutoHyphens/>
    </w:pPr>
  </w:style>
  <w:style w:type="character" w:customStyle="1" w:styleId="EquationCaption">
    <w:name w:val="_Equation Caption"/>
    <w:rsid w:val="005D114A"/>
  </w:style>
  <w:style w:type="paragraph" w:customStyle="1" w:styleId="Paratitle">
    <w:name w:val="Para title"/>
    <w:basedOn w:val="Normal"/>
    <w:rsid w:val="005D114A"/>
    <w:pPr>
      <w:tabs>
        <w:tab w:val="center" w:pos="9270"/>
      </w:tabs>
      <w:spacing w:after="240"/>
    </w:pPr>
    <w:rPr>
      <w:spacing w:val="-2"/>
    </w:rPr>
  </w:style>
  <w:style w:type="paragraph" w:customStyle="1" w:styleId="TOCTitle">
    <w:name w:val="TOC Title"/>
    <w:basedOn w:val="Normal"/>
    <w:rsid w:val="005D114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114A"/>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3532</Words>
  <Characters>19264</Characters>
  <Application>Microsoft Office Word</Application>
  <DocSecurity>0</DocSecurity>
  <Lines>290</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2015-05-27T20:29:00Z</dcterms:created>
  <dcterms:modified xsi:type="dcterms:W3CDTF">2015-05-27T20:29:00Z</dcterms:modified>
  <cp:category> </cp:category>
  <cp:contentStatus> </cp:contentStatus>
</cp:coreProperties>
</file>