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D7" w:rsidRDefault="005922D7" w:rsidP="00213D00">
      <w:pPr>
        <w:spacing w:after="120"/>
        <w:jc w:val="right"/>
        <w:outlineLvl w:val="0"/>
        <w:rPr>
          <w:b/>
          <w:sz w:val="22"/>
        </w:rPr>
      </w:pPr>
      <w:bookmarkStart w:id="0" w:name="_GoBack"/>
      <w:bookmarkEnd w:id="0"/>
      <w:r>
        <w:rPr>
          <w:b/>
        </w:rPr>
        <w:tab/>
      </w:r>
      <w:r>
        <w:rPr>
          <w:b/>
        </w:rPr>
        <w:tab/>
      </w:r>
      <w:r>
        <w:rPr>
          <w:b/>
        </w:rPr>
        <w:tab/>
      </w:r>
      <w:r>
        <w:rPr>
          <w:b/>
        </w:rPr>
        <w:tab/>
      </w:r>
      <w:r>
        <w:rPr>
          <w:b/>
        </w:rPr>
        <w:tab/>
      </w:r>
      <w:r>
        <w:rPr>
          <w:b/>
          <w:sz w:val="22"/>
        </w:rPr>
        <w:t xml:space="preserve">DA </w:t>
      </w:r>
      <w:r w:rsidR="002674D6">
        <w:rPr>
          <w:b/>
          <w:sz w:val="22"/>
        </w:rPr>
        <w:t>15-636</w:t>
      </w:r>
    </w:p>
    <w:p w:rsidR="005922D7" w:rsidRDefault="005922D7">
      <w:pPr>
        <w:spacing w:after="120"/>
        <w:jc w:val="right"/>
        <w:outlineLvl w:val="0"/>
        <w:rPr>
          <w:b/>
          <w:sz w:val="22"/>
        </w:rPr>
      </w:pPr>
      <w:r>
        <w:rPr>
          <w:b/>
          <w:sz w:val="22"/>
        </w:rPr>
        <w:tab/>
      </w:r>
      <w:r>
        <w:rPr>
          <w:b/>
          <w:sz w:val="22"/>
        </w:rPr>
        <w:tab/>
      </w:r>
      <w:r>
        <w:rPr>
          <w:b/>
          <w:sz w:val="22"/>
        </w:rPr>
        <w:tab/>
      </w:r>
      <w:r>
        <w:rPr>
          <w:b/>
          <w:sz w:val="22"/>
        </w:rPr>
        <w:tab/>
      </w:r>
      <w:r>
        <w:rPr>
          <w:b/>
          <w:sz w:val="22"/>
        </w:rPr>
        <w:tab/>
      </w:r>
      <w:r>
        <w:rPr>
          <w:b/>
          <w:sz w:val="22"/>
        </w:rPr>
        <w:tab/>
        <w:t xml:space="preserve"> </w:t>
      </w:r>
      <w:r>
        <w:rPr>
          <w:b/>
          <w:sz w:val="22"/>
        </w:rPr>
        <w:tab/>
      </w:r>
      <w:r>
        <w:rPr>
          <w:b/>
          <w:sz w:val="22"/>
        </w:rPr>
        <w:tab/>
      </w:r>
      <w:r>
        <w:rPr>
          <w:b/>
          <w:sz w:val="22"/>
        </w:rPr>
        <w:tab/>
        <w:t xml:space="preserve">Released:  May </w:t>
      </w:r>
      <w:r w:rsidR="002674D6">
        <w:rPr>
          <w:b/>
          <w:sz w:val="22"/>
        </w:rPr>
        <w:t>28</w:t>
      </w:r>
      <w:r>
        <w:rPr>
          <w:b/>
          <w:sz w:val="22"/>
        </w:rPr>
        <w:t>, 201</w:t>
      </w:r>
      <w:r w:rsidR="00605805">
        <w:rPr>
          <w:b/>
          <w:sz w:val="22"/>
        </w:rPr>
        <w:t>5</w:t>
      </w:r>
    </w:p>
    <w:p w:rsidR="005922D7" w:rsidRDefault="005922D7">
      <w:pPr>
        <w:jc w:val="center"/>
        <w:outlineLvl w:val="0"/>
        <w:rPr>
          <w:b/>
          <w:sz w:val="22"/>
          <w:szCs w:val="22"/>
        </w:rPr>
      </w:pPr>
      <w:r>
        <w:rPr>
          <w:b/>
          <w:sz w:val="22"/>
          <w:szCs w:val="22"/>
        </w:rPr>
        <w:t xml:space="preserve">WIRELINE COMPETITION BUREAU ANNOUNCES ANNUAL ADJUSTMENT OF </w:t>
      </w:r>
    </w:p>
    <w:p w:rsidR="005922D7" w:rsidRDefault="005922D7">
      <w:pPr>
        <w:jc w:val="center"/>
        <w:outlineLvl w:val="0"/>
        <w:rPr>
          <w:b/>
          <w:sz w:val="22"/>
          <w:szCs w:val="22"/>
        </w:rPr>
      </w:pPr>
      <w:r>
        <w:rPr>
          <w:b/>
          <w:sz w:val="22"/>
          <w:szCs w:val="22"/>
        </w:rPr>
        <w:t>REVENUE THRESHOLDS</w:t>
      </w:r>
    </w:p>
    <w:p w:rsidR="005922D7" w:rsidRDefault="005922D7">
      <w:pPr>
        <w:rPr>
          <w:sz w:val="22"/>
          <w:szCs w:val="22"/>
        </w:rPr>
      </w:pPr>
    </w:p>
    <w:p w:rsidR="005922D7" w:rsidRDefault="005922D7" w:rsidP="00213D00">
      <w:pPr>
        <w:spacing w:after="120"/>
        <w:rPr>
          <w:sz w:val="22"/>
          <w:szCs w:val="22"/>
        </w:rPr>
      </w:pPr>
      <w:r>
        <w:rPr>
          <w:sz w:val="22"/>
          <w:szCs w:val="22"/>
        </w:rPr>
        <w:tab/>
        <w:t>This notice announces the inflation-adjusted 201</w:t>
      </w:r>
      <w:r w:rsidR="00605805">
        <w:rPr>
          <w:sz w:val="22"/>
          <w:szCs w:val="22"/>
        </w:rPr>
        <w:t>4</w:t>
      </w:r>
      <w:r>
        <w:rPr>
          <w:sz w:val="22"/>
          <w:szCs w:val="22"/>
        </w:rPr>
        <w:t xml:space="preserve"> revenue thresholds used for classifying carrier categories for various accounting and reporting purposes:  (1) distinguishing Class A carriers from Class B carriers;</w:t>
      </w:r>
      <w:r>
        <w:rPr>
          <w:rStyle w:val="FootnoteReference"/>
          <w:sz w:val="22"/>
          <w:szCs w:val="22"/>
        </w:rPr>
        <w:footnoteReference w:id="1"/>
      </w:r>
      <w:r>
        <w:rPr>
          <w:sz w:val="22"/>
          <w:szCs w:val="22"/>
        </w:rPr>
        <w:t xml:space="preserve"> and (2) distinguishing larger Class A carriers from mid-sized carriers.</w:t>
      </w:r>
      <w:r>
        <w:rPr>
          <w:rStyle w:val="FootnoteReference"/>
          <w:sz w:val="22"/>
          <w:szCs w:val="22"/>
        </w:rPr>
        <w:footnoteReference w:id="2"/>
      </w:r>
      <w:r>
        <w:rPr>
          <w:sz w:val="22"/>
          <w:szCs w:val="22"/>
        </w:rPr>
        <w:t xml:space="preserve">  The revenue threshold between Class A carriers and Class B carriers is </w:t>
      </w:r>
      <w:r w:rsidR="00605805">
        <w:rPr>
          <w:sz w:val="22"/>
          <w:szCs w:val="22"/>
        </w:rPr>
        <w:t>increased</w:t>
      </w:r>
      <w:r>
        <w:rPr>
          <w:sz w:val="22"/>
          <w:szCs w:val="22"/>
        </w:rPr>
        <w:t xml:space="preserve"> to $15</w:t>
      </w:r>
      <w:r w:rsidR="008C5013">
        <w:rPr>
          <w:sz w:val="22"/>
          <w:szCs w:val="22"/>
        </w:rPr>
        <w:t>2</w:t>
      </w:r>
      <w:r>
        <w:rPr>
          <w:sz w:val="22"/>
          <w:szCs w:val="22"/>
        </w:rPr>
        <w:t>.</w:t>
      </w:r>
      <w:r w:rsidR="00605805">
        <w:rPr>
          <w:sz w:val="22"/>
          <w:szCs w:val="22"/>
        </w:rPr>
        <w:t>5</w:t>
      </w:r>
      <w:r>
        <w:rPr>
          <w:sz w:val="22"/>
          <w:szCs w:val="22"/>
        </w:rPr>
        <w:t xml:space="preserve"> million.</w:t>
      </w:r>
      <w:r>
        <w:rPr>
          <w:rStyle w:val="FootnoteReference"/>
          <w:sz w:val="22"/>
          <w:szCs w:val="22"/>
        </w:rPr>
        <w:footnoteReference w:id="3"/>
      </w:r>
      <w:r>
        <w:rPr>
          <w:sz w:val="22"/>
          <w:szCs w:val="22"/>
        </w:rPr>
        <w:t xml:space="preserve">  The revenue threshold between larger Class A carriers and mid-sized carriers is </w:t>
      </w:r>
      <w:r w:rsidR="00311E59">
        <w:rPr>
          <w:sz w:val="22"/>
          <w:szCs w:val="22"/>
        </w:rPr>
        <w:t>increased</w:t>
      </w:r>
      <w:r>
        <w:rPr>
          <w:sz w:val="22"/>
          <w:szCs w:val="22"/>
        </w:rPr>
        <w:t xml:space="preserve"> to $</w:t>
      </w:r>
      <w:r w:rsidR="00311E59">
        <w:rPr>
          <w:sz w:val="22"/>
          <w:szCs w:val="22"/>
        </w:rPr>
        <w:t>9.03</w:t>
      </w:r>
      <w:r>
        <w:rPr>
          <w:sz w:val="22"/>
          <w:szCs w:val="22"/>
        </w:rPr>
        <w:t xml:space="preserve"> billion.</w:t>
      </w:r>
      <w:r>
        <w:rPr>
          <w:rStyle w:val="FootnoteReference"/>
          <w:sz w:val="22"/>
          <w:szCs w:val="22"/>
        </w:rPr>
        <w:footnoteReference w:id="4"/>
      </w:r>
      <w:r>
        <w:rPr>
          <w:sz w:val="22"/>
          <w:szCs w:val="22"/>
        </w:rPr>
        <w:t xml:space="preserve">  The revenue thresholds for 201</w:t>
      </w:r>
      <w:r w:rsidR="00311E59">
        <w:rPr>
          <w:sz w:val="22"/>
          <w:szCs w:val="22"/>
        </w:rPr>
        <w:t>4</w:t>
      </w:r>
      <w:r>
        <w:rPr>
          <w:sz w:val="22"/>
          <w:szCs w:val="22"/>
        </w:rPr>
        <w:t xml:space="preserve"> were determined as follows:</w:t>
      </w:r>
    </w:p>
    <w:p w:rsidR="005922D7" w:rsidRDefault="005922D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Class A to Class B      Larger Class A to Mid-size</w:t>
      </w:r>
    </w:p>
    <w:p w:rsidR="005922D7" w:rsidRDefault="005922D7">
      <w:pPr>
        <w:ind w:left="4320" w:firstLine="720"/>
        <w:rPr>
          <w:sz w:val="22"/>
          <w:szCs w:val="22"/>
        </w:rPr>
      </w:pPr>
      <w:r>
        <w:rPr>
          <w:sz w:val="22"/>
          <w:szCs w:val="22"/>
          <w:u w:val="single"/>
        </w:rPr>
        <w:t>Threshold</w:t>
      </w:r>
      <w:r>
        <w:rPr>
          <w:sz w:val="22"/>
          <w:szCs w:val="22"/>
        </w:rPr>
        <w:tab/>
      </w:r>
      <w:r>
        <w:rPr>
          <w:sz w:val="22"/>
          <w:szCs w:val="22"/>
        </w:rPr>
        <w:tab/>
      </w:r>
      <w:r>
        <w:rPr>
          <w:sz w:val="22"/>
          <w:szCs w:val="22"/>
          <w:u w:val="single"/>
        </w:rPr>
        <w:t>Threshold</w:t>
      </w:r>
    </w:p>
    <w:p w:rsidR="005922D7" w:rsidRDefault="005922D7">
      <w:pPr>
        <w:rPr>
          <w:sz w:val="22"/>
          <w:szCs w:val="22"/>
        </w:rPr>
      </w:pPr>
      <w:r>
        <w:rPr>
          <w:sz w:val="22"/>
          <w:szCs w:val="22"/>
        </w:rPr>
        <w:t>(1)</w:t>
      </w:r>
      <w:r>
        <w:rPr>
          <w:sz w:val="22"/>
          <w:szCs w:val="22"/>
        </w:rPr>
        <w:tab/>
        <w:t>GDP-CPI Base (200</w:t>
      </w:r>
      <w:r w:rsidR="003B1E78">
        <w:rPr>
          <w:sz w:val="22"/>
          <w:szCs w:val="22"/>
        </w:rPr>
        <w:t>9</w:t>
      </w:r>
      <w:r>
        <w:rPr>
          <w:sz w:val="22"/>
          <w:szCs w:val="22"/>
        </w:rPr>
        <w:t>=100)</w:t>
      </w:r>
      <w:r>
        <w:rPr>
          <w:sz w:val="22"/>
          <w:szCs w:val="22"/>
        </w:rPr>
        <w:tab/>
      </w:r>
      <w:r>
        <w:rPr>
          <w:sz w:val="22"/>
          <w:szCs w:val="22"/>
        </w:rPr>
        <w:tab/>
      </w:r>
      <w:r>
        <w:rPr>
          <w:sz w:val="22"/>
          <w:szCs w:val="22"/>
        </w:rPr>
        <w:tab/>
        <w:t>7</w:t>
      </w:r>
      <w:r w:rsidR="003B1E78">
        <w:rPr>
          <w:sz w:val="22"/>
          <w:szCs w:val="22"/>
        </w:rPr>
        <w:t>1.282</w:t>
      </w:r>
      <w:r>
        <w:rPr>
          <w:rStyle w:val="FootnoteReference"/>
          <w:sz w:val="22"/>
          <w:szCs w:val="22"/>
        </w:rPr>
        <w:footnoteReference w:id="5"/>
      </w:r>
      <w:r>
        <w:rPr>
          <w:sz w:val="22"/>
          <w:szCs w:val="22"/>
        </w:rPr>
        <w:tab/>
      </w:r>
      <w:r>
        <w:rPr>
          <w:sz w:val="22"/>
          <w:szCs w:val="22"/>
        </w:rPr>
        <w:tab/>
      </w:r>
      <w:r>
        <w:rPr>
          <w:sz w:val="22"/>
          <w:szCs w:val="22"/>
        </w:rPr>
        <w:tab/>
      </w:r>
      <w:r w:rsidR="00590A1E">
        <w:rPr>
          <w:sz w:val="22"/>
          <w:szCs w:val="22"/>
        </w:rPr>
        <w:t>84.244</w:t>
      </w:r>
      <w:r>
        <w:rPr>
          <w:rStyle w:val="FootnoteReference"/>
          <w:sz w:val="22"/>
          <w:szCs w:val="22"/>
        </w:rPr>
        <w:footnoteReference w:id="6"/>
      </w:r>
    </w:p>
    <w:p w:rsidR="005922D7" w:rsidRDefault="005922D7">
      <w:pPr>
        <w:rPr>
          <w:sz w:val="22"/>
          <w:szCs w:val="22"/>
        </w:rPr>
      </w:pPr>
      <w:r>
        <w:rPr>
          <w:sz w:val="22"/>
          <w:szCs w:val="22"/>
        </w:rPr>
        <w:t>(2)</w:t>
      </w:r>
      <w:r>
        <w:rPr>
          <w:sz w:val="22"/>
          <w:szCs w:val="22"/>
        </w:rPr>
        <w:tab/>
        <w:t>201</w:t>
      </w:r>
      <w:r w:rsidR="00605805">
        <w:rPr>
          <w:sz w:val="22"/>
          <w:szCs w:val="22"/>
        </w:rPr>
        <w:t>4</w:t>
      </w:r>
      <w:r>
        <w:rPr>
          <w:sz w:val="22"/>
          <w:szCs w:val="22"/>
        </w:rPr>
        <w:t xml:space="preserve"> GDP-CPI</w:t>
      </w:r>
      <w:r>
        <w:rPr>
          <w:rStyle w:val="FootnoteReference"/>
          <w:sz w:val="22"/>
          <w:szCs w:val="22"/>
        </w:rPr>
        <w:footnoteReference w:id="7"/>
      </w:r>
      <w:r>
        <w:rPr>
          <w:sz w:val="22"/>
          <w:szCs w:val="22"/>
        </w:rPr>
        <w:tab/>
      </w:r>
      <w:r>
        <w:rPr>
          <w:sz w:val="22"/>
          <w:szCs w:val="22"/>
        </w:rPr>
        <w:tab/>
      </w:r>
      <w:r>
        <w:rPr>
          <w:sz w:val="22"/>
          <w:szCs w:val="22"/>
        </w:rPr>
        <w:tab/>
      </w:r>
      <w:r>
        <w:rPr>
          <w:sz w:val="22"/>
          <w:szCs w:val="22"/>
        </w:rPr>
        <w:tab/>
      </w:r>
      <w:r>
        <w:rPr>
          <w:sz w:val="22"/>
          <w:szCs w:val="22"/>
        </w:rPr>
        <w:tab/>
        <w:t>1</w:t>
      </w:r>
      <w:r w:rsidR="003B1E78">
        <w:rPr>
          <w:sz w:val="22"/>
          <w:szCs w:val="22"/>
        </w:rPr>
        <w:t>0</w:t>
      </w:r>
      <w:r w:rsidR="00605805">
        <w:rPr>
          <w:sz w:val="22"/>
          <w:szCs w:val="22"/>
        </w:rPr>
        <w:t>8</w:t>
      </w:r>
      <w:r w:rsidR="003B1E78">
        <w:rPr>
          <w:sz w:val="22"/>
          <w:szCs w:val="22"/>
        </w:rPr>
        <w:t>.</w:t>
      </w:r>
      <w:r w:rsidR="00605805">
        <w:rPr>
          <w:sz w:val="22"/>
          <w:szCs w:val="22"/>
        </w:rPr>
        <w:t>681</w:t>
      </w:r>
      <w:r>
        <w:rPr>
          <w:sz w:val="22"/>
          <w:szCs w:val="22"/>
        </w:rPr>
        <w:tab/>
      </w:r>
      <w:r>
        <w:rPr>
          <w:sz w:val="22"/>
          <w:szCs w:val="22"/>
        </w:rPr>
        <w:tab/>
      </w:r>
      <w:r>
        <w:rPr>
          <w:sz w:val="22"/>
          <w:szCs w:val="22"/>
        </w:rPr>
        <w:tab/>
        <w:t>1</w:t>
      </w:r>
      <w:r w:rsidR="00590A1E">
        <w:rPr>
          <w:sz w:val="22"/>
          <w:szCs w:val="22"/>
        </w:rPr>
        <w:t>0</w:t>
      </w:r>
      <w:r w:rsidR="00605805">
        <w:rPr>
          <w:sz w:val="22"/>
          <w:szCs w:val="22"/>
        </w:rPr>
        <w:t>8</w:t>
      </w:r>
      <w:r w:rsidR="00590A1E">
        <w:rPr>
          <w:sz w:val="22"/>
          <w:szCs w:val="22"/>
        </w:rPr>
        <w:t>.</w:t>
      </w:r>
      <w:r w:rsidR="00605805">
        <w:rPr>
          <w:sz w:val="22"/>
          <w:szCs w:val="22"/>
        </w:rPr>
        <w:t>681</w:t>
      </w:r>
    </w:p>
    <w:p w:rsidR="005922D7" w:rsidRDefault="005922D7">
      <w:pPr>
        <w:rPr>
          <w:sz w:val="22"/>
          <w:szCs w:val="22"/>
        </w:rPr>
      </w:pPr>
      <w:r>
        <w:rPr>
          <w:sz w:val="22"/>
          <w:szCs w:val="22"/>
        </w:rPr>
        <w:t xml:space="preserve">(3) </w:t>
      </w:r>
      <w:r>
        <w:rPr>
          <w:sz w:val="22"/>
          <w:szCs w:val="22"/>
        </w:rPr>
        <w:tab/>
        <w:t xml:space="preserve">Inflation Factor (line 2 ÷ 1) </w:t>
      </w:r>
      <w:r>
        <w:rPr>
          <w:sz w:val="22"/>
          <w:szCs w:val="22"/>
        </w:rPr>
        <w:tab/>
        <w:t xml:space="preserve"> </w:t>
      </w:r>
      <w:r>
        <w:rPr>
          <w:sz w:val="22"/>
          <w:szCs w:val="22"/>
        </w:rPr>
        <w:tab/>
      </w:r>
      <w:r>
        <w:rPr>
          <w:sz w:val="22"/>
          <w:szCs w:val="22"/>
        </w:rPr>
        <w:tab/>
        <w:t>1.5</w:t>
      </w:r>
      <w:r w:rsidR="00605805">
        <w:rPr>
          <w:sz w:val="22"/>
          <w:szCs w:val="22"/>
        </w:rPr>
        <w:t>25</w:t>
      </w:r>
      <w:r>
        <w:rPr>
          <w:sz w:val="22"/>
          <w:szCs w:val="22"/>
        </w:rPr>
        <w:tab/>
      </w:r>
      <w:r>
        <w:rPr>
          <w:sz w:val="22"/>
          <w:szCs w:val="22"/>
        </w:rPr>
        <w:tab/>
      </w:r>
      <w:r>
        <w:rPr>
          <w:sz w:val="22"/>
          <w:szCs w:val="22"/>
        </w:rPr>
        <w:tab/>
        <w:t>1.2</w:t>
      </w:r>
      <w:r w:rsidR="00605805">
        <w:rPr>
          <w:sz w:val="22"/>
          <w:szCs w:val="22"/>
        </w:rPr>
        <w:t>90</w:t>
      </w:r>
    </w:p>
    <w:p w:rsidR="005922D7" w:rsidRDefault="005922D7">
      <w:pPr>
        <w:rPr>
          <w:sz w:val="22"/>
          <w:szCs w:val="22"/>
        </w:rPr>
      </w:pPr>
      <w:r>
        <w:rPr>
          <w:sz w:val="22"/>
          <w:szCs w:val="22"/>
        </w:rPr>
        <w:t>(4)</w:t>
      </w:r>
      <w:r>
        <w:rPr>
          <w:sz w:val="22"/>
          <w:szCs w:val="22"/>
        </w:rPr>
        <w:tab/>
        <w:t xml:space="preserve">Original Revenue Threshold </w:t>
      </w:r>
      <w:r>
        <w:rPr>
          <w:sz w:val="22"/>
          <w:szCs w:val="22"/>
        </w:rPr>
        <w:tab/>
      </w:r>
      <w:r>
        <w:rPr>
          <w:sz w:val="22"/>
          <w:szCs w:val="22"/>
        </w:rPr>
        <w:tab/>
      </w:r>
      <w:r>
        <w:rPr>
          <w:sz w:val="22"/>
          <w:szCs w:val="22"/>
        </w:rPr>
        <w:tab/>
        <w:t>$100 million</w:t>
      </w:r>
      <w:r>
        <w:rPr>
          <w:sz w:val="22"/>
          <w:szCs w:val="22"/>
        </w:rPr>
        <w:tab/>
      </w:r>
      <w:r>
        <w:rPr>
          <w:sz w:val="22"/>
          <w:szCs w:val="22"/>
        </w:rPr>
        <w:tab/>
        <w:t>$7 billion</w:t>
      </w:r>
    </w:p>
    <w:p w:rsidR="003B1E78" w:rsidRDefault="00B82A54">
      <w:pPr>
        <w:rPr>
          <w:sz w:val="22"/>
          <w:szCs w:val="22"/>
        </w:rPr>
      </w:pPr>
      <w:r>
        <w:rPr>
          <w:sz w:val="22"/>
          <w:szCs w:val="22"/>
        </w:rPr>
        <w:t>(5)</w:t>
      </w:r>
      <w:r>
        <w:rPr>
          <w:sz w:val="22"/>
          <w:szCs w:val="22"/>
        </w:rPr>
        <w:tab/>
        <w:t>2014</w:t>
      </w:r>
      <w:r w:rsidR="003B1E78">
        <w:rPr>
          <w:sz w:val="22"/>
          <w:szCs w:val="22"/>
        </w:rPr>
        <w:t xml:space="preserve"> Revenue Threshold</w:t>
      </w:r>
      <w:r w:rsidR="00507510">
        <w:rPr>
          <w:sz w:val="22"/>
          <w:szCs w:val="22"/>
        </w:rPr>
        <w:t xml:space="preserve"> </w:t>
      </w:r>
      <w:r w:rsidR="003B1E78">
        <w:rPr>
          <w:sz w:val="22"/>
          <w:szCs w:val="22"/>
        </w:rPr>
        <w:t>(line 3*4)</w:t>
      </w:r>
      <w:r w:rsidR="003B1E78">
        <w:rPr>
          <w:sz w:val="22"/>
          <w:szCs w:val="22"/>
        </w:rPr>
        <w:tab/>
      </w:r>
      <w:r w:rsidR="003B1E78">
        <w:rPr>
          <w:sz w:val="22"/>
          <w:szCs w:val="22"/>
        </w:rPr>
        <w:tab/>
        <w:t>$1</w:t>
      </w:r>
      <w:r w:rsidR="00590A1E">
        <w:rPr>
          <w:sz w:val="22"/>
          <w:szCs w:val="22"/>
        </w:rPr>
        <w:t>5</w:t>
      </w:r>
      <w:r w:rsidR="00FD5401">
        <w:rPr>
          <w:sz w:val="22"/>
          <w:szCs w:val="22"/>
        </w:rPr>
        <w:t>2</w:t>
      </w:r>
      <w:r w:rsidR="00590A1E">
        <w:rPr>
          <w:sz w:val="22"/>
          <w:szCs w:val="22"/>
        </w:rPr>
        <w:t>.</w:t>
      </w:r>
      <w:r w:rsidR="00605805">
        <w:rPr>
          <w:sz w:val="22"/>
          <w:szCs w:val="22"/>
        </w:rPr>
        <w:t>5</w:t>
      </w:r>
      <w:r w:rsidR="003B1E78">
        <w:rPr>
          <w:sz w:val="22"/>
          <w:szCs w:val="22"/>
        </w:rPr>
        <w:t xml:space="preserve"> million</w:t>
      </w:r>
      <w:r w:rsidR="003B1E78">
        <w:rPr>
          <w:sz w:val="22"/>
          <w:szCs w:val="22"/>
        </w:rPr>
        <w:tab/>
      </w:r>
      <w:r w:rsidR="00590A1E">
        <w:rPr>
          <w:sz w:val="22"/>
          <w:szCs w:val="22"/>
        </w:rPr>
        <w:tab/>
        <w:t>$</w:t>
      </w:r>
      <w:r w:rsidR="00605805">
        <w:rPr>
          <w:sz w:val="22"/>
          <w:szCs w:val="22"/>
        </w:rPr>
        <w:t>9</w:t>
      </w:r>
      <w:r w:rsidR="00590A1E">
        <w:rPr>
          <w:sz w:val="22"/>
          <w:szCs w:val="22"/>
        </w:rPr>
        <w:t>.</w:t>
      </w:r>
      <w:r w:rsidR="00605805">
        <w:rPr>
          <w:sz w:val="22"/>
          <w:szCs w:val="22"/>
        </w:rPr>
        <w:t>03</w:t>
      </w:r>
      <w:r w:rsidR="00590A1E">
        <w:rPr>
          <w:sz w:val="22"/>
          <w:szCs w:val="22"/>
        </w:rPr>
        <w:t xml:space="preserve"> billion</w:t>
      </w:r>
    </w:p>
    <w:p w:rsidR="000D38F3" w:rsidRDefault="000D38F3">
      <w:pPr>
        <w:rPr>
          <w:sz w:val="22"/>
          <w:szCs w:val="22"/>
        </w:rPr>
      </w:pPr>
    </w:p>
    <w:p w:rsidR="000D38F3" w:rsidRPr="00213D00" w:rsidRDefault="000D38F3" w:rsidP="00213D00">
      <w:pPr>
        <w:ind w:left="720"/>
        <w:jc w:val="center"/>
        <w:rPr>
          <w:b/>
          <w:sz w:val="22"/>
          <w:szCs w:val="22"/>
        </w:rPr>
      </w:pPr>
      <w:r>
        <w:rPr>
          <w:b/>
          <w:sz w:val="22"/>
          <w:szCs w:val="22"/>
        </w:rPr>
        <w:lastRenderedPageBreak/>
        <w:t>- FCC -</w:t>
      </w:r>
    </w:p>
    <w:sectPr w:rsidR="000D38F3" w:rsidRPr="00213D0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259" w:rsidRDefault="00082259">
      <w:r>
        <w:separator/>
      </w:r>
    </w:p>
  </w:endnote>
  <w:endnote w:type="continuationSeparator" w:id="0">
    <w:p w:rsidR="00082259" w:rsidRDefault="0008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2D7" w:rsidRDefault="0059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3E3F">
      <w:rPr>
        <w:rStyle w:val="PageNumber"/>
        <w:noProof/>
      </w:rPr>
      <w:t>2</w:t>
    </w:r>
    <w:r>
      <w:rPr>
        <w:rStyle w:val="PageNumber"/>
      </w:rPr>
      <w:fldChar w:fldCharType="end"/>
    </w:r>
  </w:p>
  <w:p w:rsidR="005922D7" w:rsidRDefault="005922D7">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8C" w:rsidRDefault="00900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259" w:rsidRDefault="00082259">
      <w:r>
        <w:separator/>
      </w:r>
    </w:p>
  </w:footnote>
  <w:footnote w:type="continuationSeparator" w:id="0">
    <w:p w:rsidR="00082259" w:rsidRDefault="00082259">
      <w:r>
        <w:continuationSeparator/>
      </w:r>
    </w:p>
  </w:footnote>
  <w:footnote w:id="1">
    <w:p w:rsidR="005922D7" w:rsidRDefault="005922D7">
      <w:pPr>
        <w:pStyle w:val="FootnoteText"/>
        <w:spacing w:after="120"/>
      </w:pPr>
      <w:r>
        <w:rPr>
          <w:rStyle w:val="FootnoteReference"/>
        </w:rPr>
        <w:footnoteRef/>
      </w:r>
      <w:r>
        <w:t xml:space="preserve"> </w:t>
      </w:r>
      <w:r>
        <w:rPr>
          <w:i/>
        </w:rPr>
        <w:t>See</w:t>
      </w:r>
      <w:r>
        <w:t xml:space="preserve"> 47 C.F.R. §§ 32.11, 43.21, 43.43, 64.903.</w:t>
      </w:r>
    </w:p>
  </w:footnote>
  <w:footnote w:id="2">
    <w:p w:rsidR="005922D7" w:rsidRDefault="005922D7">
      <w:pPr>
        <w:pStyle w:val="FootnoteText"/>
        <w:spacing w:after="120"/>
      </w:pPr>
      <w:r>
        <w:rPr>
          <w:rStyle w:val="FootnoteReference"/>
        </w:rPr>
        <w:footnoteRef/>
      </w:r>
      <w:r>
        <w:t xml:space="preserve"> </w:t>
      </w:r>
      <w:r>
        <w:rPr>
          <w:i/>
        </w:rPr>
        <w:t>See</w:t>
      </w:r>
      <w:r>
        <w:t xml:space="preserve"> 47 C.F.R. § 32.9000.</w:t>
      </w:r>
    </w:p>
  </w:footnote>
  <w:footnote w:id="3">
    <w:p w:rsidR="005922D7" w:rsidRDefault="005922D7">
      <w:pPr>
        <w:pStyle w:val="FootnoteText"/>
        <w:spacing w:after="120"/>
      </w:pPr>
      <w:r>
        <w:rPr>
          <w:rStyle w:val="FootnoteReference"/>
        </w:rPr>
        <w:footnoteRef/>
      </w:r>
      <w:r>
        <w:t xml:space="preserve"> Section 402(c) of the </w:t>
      </w:r>
      <w:smartTag w:uri="urn:schemas-microsoft-com:office:smarttags" w:element="PersonName">
        <w:r>
          <w:t>Telecommunications</w:t>
        </w:r>
      </w:smartTag>
      <w:r>
        <w:t xml:space="preserve"> Act of 1996 Act mandates that we adjust this revenue threshold annually to reflect the effects of inflation since October 19, 1992, at which time the threshold was $100 million.  Pub. L. No. 104-104, § 402(c), 110 Stat. 56, 130 (1996).  In accordance with the statute, we adjust the threshold based on the ratio of the gross domestic product chain-type price index (GDP-CPI) in the revenue year </w:t>
      </w:r>
      <w:r w:rsidR="001A685F">
        <w:t xml:space="preserve">to </w:t>
      </w:r>
      <w:r w:rsidRPr="001A685F">
        <w:t>the GDP-CPI for October 19, 1992.</w:t>
      </w:r>
    </w:p>
  </w:footnote>
  <w:footnote w:id="4">
    <w:p w:rsidR="005922D7" w:rsidRDefault="005922D7">
      <w:pPr>
        <w:pStyle w:val="FootnoteText"/>
        <w:spacing w:after="120"/>
      </w:pPr>
      <w:r>
        <w:rPr>
          <w:rStyle w:val="FootnoteReference"/>
        </w:rPr>
        <w:footnoteRef/>
      </w:r>
      <w:r>
        <w:t xml:space="preserve"> In the </w:t>
      </w:r>
      <w:r>
        <w:rPr>
          <w:i/>
        </w:rPr>
        <w:t>Phase 2 Report and Order</w:t>
      </w:r>
      <w:r>
        <w:t xml:space="preserve"> released November 5, 2001, the Commission concluded that it would begin annually indexing for inflation the $7 billion threshold used to separate the larger Class A carriers and the mid-sized carriers using the GDP-CPI index factor.  Because this </w:t>
      </w:r>
      <w:r w:rsidR="00947570">
        <w:t>o</w:t>
      </w:r>
      <w:r>
        <w:t>rder was released in 2001, in</w:t>
      </w:r>
      <w:r w:rsidR="00CE3922">
        <w:t>itially we used December 31, 2001 GDP-CPI</w:t>
      </w:r>
      <w:r w:rsidR="00B82A54">
        <w:t xml:space="preserve"> </w:t>
      </w:r>
      <w:r>
        <w:t xml:space="preserve">as the base.  </w:t>
      </w:r>
      <w:r>
        <w:rPr>
          <w:i/>
        </w:rPr>
        <w:t>See</w:t>
      </w:r>
      <w:r>
        <w:t xml:space="preserve"> </w:t>
      </w:r>
      <w:r>
        <w:rPr>
          <w:i/>
        </w:rPr>
        <w:t>2000 Biennial Regulatory Review – Comprehensive Review of the Accounting Requirements and ARMIS Reporting Requirements for Incumbent Local Exchange Carriers: Phase 2; Amendments to the Uniform System of Accounts for Interconnection; Jurisdictional Separations Reform and Referral to the Federal-State Joint Board; Local Competition and Broadband Reporting</w:t>
      </w:r>
      <w:r>
        <w:t>, Report and Order in CC Docket Nos. 00-199, 97-212, and 80-286; Further Notice of Proposed Rulemaking in CC Docket Nos. 00-199, 99-301, and 80-286, 16 FCC Rcd 1991</w:t>
      </w:r>
      <w:r w:rsidR="00947570">
        <w:t>1</w:t>
      </w:r>
      <w:r>
        <w:t xml:space="preserve"> (2001) (</w:t>
      </w:r>
      <w:r>
        <w:rPr>
          <w:i/>
        </w:rPr>
        <w:t>Phase 2 Report and Order</w:t>
      </w:r>
      <w:r>
        <w:t xml:space="preserve">).  </w:t>
      </w:r>
      <w:r w:rsidR="000D38F3">
        <w:t xml:space="preserve">The </w:t>
      </w:r>
      <w:r w:rsidR="00CE3922">
        <w:t>Bureau of Economic Analysis (BEA) periodically changes the Base Period year.  I</w:t>
      </w:r>
      <w:r>
        <w:t>n 201</w:t>
      </w:r>
      <w:r w:rsidR="00CE3922">
        <w:t>3</w:t>
      </w:r>
      <w:r>
        <w:t>, the B</w:t>
      </w:r>
      <w:r w:rsidR="00CE3922">
        <w:t>EA</w:t>
      </w:r>
      <w:r>
        <w:t xml:space="preserve"> changed the base year to 200</w:t>
      </w:r>
      <w:r w:rsidR="00CE3922">
        <w:t>9</w:t>
      </w:r>
      <w:r>
        <w:t xml:space="preserve">. </w:t>
      </w:r>
    </w:p>
  </w:footnote>
  <w:footnote w:id="5">
    <w:p w:rsidR="005922D7" w:rsidRDefault="005922D7">
      <w:pPr>
        <w:pStyle w:val="FootnoteText"/>
        <w:spacing w:after="120"/>
      </w:pPr>
      <w:r>
        <w:rPr>
          <w:rStyle w:val="FootnoteReference"/>
        </w:rPr>
        <w:footnoteRef/>
      </w:r>
      <w:r>
        <w:t xml:space="preserve"> GDP-CPI adjusted to October 19, 1992 (200</w:t>
      </w:r>
      <w:r w:rsidR="00CE3922">
        <w:t>9</w:t>
      </w:r>
      <w:r>
        <w:t xml:space="preserve"> = 100).</w:t>
      </w:r>
    </w:p>
  </w:footnote>
  <w:footnote w:id="6">
    <w:p w:rsidR="005922D7" w:rsidRDefault="005922D7">
      <w:pPr>
        <w:pStyle w:val="FootnoteText"/>
        <w:spacing w:after="120"/>
      </w:pPr>
      <w:r>
        <w:rPr>
          <w:rStyle w:val="FootnoteReference"/>
        </w:rPr>
        <w:footnoteRef/>
      </w:r>
      <w:r>
        <w:t xml:space="preserve"> GDP-CPI for December 31, 2001 (200</w:t>
      </w:r>
      <w:r w:rsidR="00CE3922">
        <w:t>9</w:t>
      </w:r>
      <w:r>
        <w:t xml:space="preserve"> = 100).</w:t>
      </w:r>
    </w:p>
  </w:footnote>
  <w:footnote w:id="7">
    <w:p w:rsidR="005922D7" w:rsidRDefault="005922D7">
      <w:pPr>
        <w:pStyle w:val="FootnoteText"/>
        <w:spacing w:after="120"/>
      </w:pPr>
      <w:r>
        <w:rPr>
          <w:rStyle w:val="FootnoteReference"/>
        </w:rPr>
        <w:footnoteRef/>
      </w:r>
      <w:r>
        <w:t xml:space="preserve"> National Income and Product Accounts Table, Bureau of Economic Analysis, April </w:t>
      </w:r>
      <w:r w:rsidR="00301C0F">
        <w:t xml:space="preserve">29, </w:t>
      </w:r>
      <w:r>
        <w:t>201</w:t>
      </w:r>
      <w:r w:rsidR="00301C0F">
        <w:t>5</w:t>
      </w:r>
      <w:r>
        <w:t>, Table 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8C" w:rsidRDefault="009005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58C" w:rsidRDefault="009005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0D38F3">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2D7">
      <w:tab/>
    </w:r>
    <w:r w:rsidR="005922D7">
      <w:rPr>
        <w:rFonts w:ascii="Arial" w:hAnsi="Arial"/>
        <w:b/>
        <w:sz w:val="96"/>
      </w:rPr>
      <w:t>PUBLIC NOTICE</w:t>
    </w:r>
  </w:p>
  <w:p w:rsidR="005922D7" w:rsidRDefault="000D38F3">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91440</wp:posOffset>
              </wp:positionV>
              <wp:extent cx="3547745" cy="685800"/>
              <wp:effectExtent l="3810" t="0" r="127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2D7" w:rsidRDefault="005922D7">
                          <w:pPr>
                            <w:rPr>
                              <w:rFonts w:ascii="Arial" w:hAnsi="Arial"/>
                              <w:b/>
                              <w:sz w:val="24"/>
                            </w:rPr>
                          </w:pPr>
                          <w:r>
                            <w:rPr>
                              <w:rFonts w:ascii="Arial" w:hAnsi="Arial"/>
                              <w:b/>
                              <w:sz w:val="24"/>
                            </w:rPr>
                            <w:t>Federal Communications Commission</w:t>
                          </w:r>
                        </w:p>
                        <w:p w:rsidR="005922D7" w:rsidRDefault="005922D7">
                          <w:pPr>
                            <w:rPr>
                              <w:rFonts w:ascii="Arial" w:hAnsi="Arial"/>
                              <w:b/>
                              <w:sz w:val="24"/>
                            </w:rPr>
                          </w:pPr>
                          <w:r>
                            <w:rPr>
                              <w:rFonts w:ascii="Arial" w:hAnsi="Arial"/>
                              <w:b/>
                              <w:sz w:val="24"/>
                            </w:rPr>
                            <w:t>445 12th St., SW</w:t>
                          </w:r>
                        </w:p>
                        <w:p w:rsidR="005922D7" w:rsidRDefault="005922D7">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79.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" stroked="f">
              <v:textbox>
                <w:txbxContent>
                  <w:p w:rsidR="005922D7" w:rsidRDefault="005922D7">
                    <w:pPr>
                      <w:rPr>
                        <w:rFonts w:ascii="Arial" w:hAnsi="Arial"/>
                        <w:b/>
                        <w:sz w:val="24"/>
                      </w:rPr>
                    </w:pPr>
                    <w:r>
                      <w:rPr>
                        <w:rFonts w:ascii="Arial" w:hAnsi="Arial"/>
                        <w:b/>
                        <w:sz w:val="24"/>
                      </w:rPr>
                      <w:t>Federal Communications Commission</w:t>
                    </w:r>
                  </w:p>
                  <w:p w:rsidR="005922D7" w:rsidRDefault="005922D7">
                    <w:pPr>
                      <w:rPr>
                        <w:rFonts w:ascii="Arial" w:hAnsi="Arial"/>
                        <w:b/>
                        <w:sz w:val="24"/>
                      </w:rPr>
                    </w:pPr>
                    <w:r>
                      <w:rPr>
                        <w:rFonts w:ascii="Arial" w:hAnsi="Arial"/>
                        <w:b/>
                        <w:sz w:val="24"/>
                      </w:rPr>
                      <w:t>445 12th St., SW</w:t>
                    </w:r>
                  </w:p>
                  <w:p w:rsidR="005922D7" w:rsidRDefault="005922D7">
                    <w:pPr>
                      <w:rPr>
                        <w:rFonts w:ascii="Arial" w:hAnsi="Arial"/>
                        <w:sz w:val="24"/>
                      </w:rPr>
                    </w:pPr>
                    <w:r>
                      <w:rPr>
                        <w:rFonts w:ascii="Arial" w:hAnsi="Arial"/>
                        <w:b/>
                        <w:sz w:val="24"/>
                      </w:rPr>
                      <w:t>Washington, DC 20554</w:t>
                    </w:r>
                  </w:p>
                </w:txbxContent>
              </v:textbox>
            </v:shape>
          </w:pict>
        </mc:Fallback>
      </mc:AlternateContent>
    </w:r>
    <w:r>
      <w:rPr>
        <w:rFonts w:ascii="Arial" w:hAnsi="Arial"/>
        <w:b/>
        <w:noProof/>
        <w:sz w:val="24"/>
      </w:rPr>
      <mc:AlternateContent>
        <mc:Choice Requires="wps">
          <w:drawing>
            <wp:anchor distT="0" distB="0" distL="114300" distR="114300" simplePos="0" relativeHeight="251658240" behindDoc="0" locked="0" layoutInCell="1" allowOverlap="1">
              <wp:simplePos x="0" y="0"/>
              <wp:positionH relativeFrom="column">
                <wp:posOffset>3137535</wp:posOffset>
              </wp:positionH>
              <wp:positionV relativeFrom="paragraph">
                <wp:posOffset>91440</wp:posOffset>
              </wp:positionV>
              <wp:extent cx="2857500" cy="668020"/>
              <wp:effectExtent l="381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2D7" w:rsidRDefault="005922D7">
                          <w:pPr>
                            <w:spacing w:before="40"/>
                            <w:jc w:val="right"/>
                            <w:rPr>
                              <w:rFonts w:ascii="Arial" w:hAnsi="Arial"/>
                              <w:sz w:val="16"/>
                            </w:rPr>
                          </w:pPr>
                          <w:r>
                            <w:rPr>
                              <w:rFonts w:ascii="Arial" w:hAnsi="Arial"/>
                              <w:sz w:val="16"/>
                            </w:rPr>
                            <w:tab/>
                          </w:r>
                        </w:p>
                        <w:p w:rsidR="005922D7" w:rsidRDefault="005922D7">
                          <w:pPr>
                            <w:spacing w:before="40"/>
                            <w:jc w:val="right"/>
                            <w:rPr>
                              <w:rFonts w:ascii="Arial" w:hAnsi="Arial"/>
                              <w:b/>
                              <w:sz w:val="16"/>
                            </w:rPr>
                          </w:pPr>
                          <w:r>
                            <w:rPr>
                              <w:rFonts w:ascii="Arial" w:hAnsi="Arial"/>
                              <w:b/>
                              <w:sz w:val="16"/>
                            </w:rPr>
                            <w:t>News Media Information 202 / 418-0500</w:t>
                          </w:r>
                        </w:p>
                        <w:p w:rsidR="005922D7" w:rsidRDefault="005922D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22D7" w:rsidRDefault="005922D7">
                          <w:pPr>
                            <w:jc w:val="right"/>
                            <w:rPr>
                              <w:rFonts w:ascii="Arial" w:hAnsi="Arial"/>
                              <w:b/>
                              <w:sz w:val="16"/>
                            </w:rPr>
                          </w:pPr>
                          <w:r>
                            <w:rPr>
                              <w:rFonts w:ascii="Arial" w:hAnsi="Arial"/>
                              <w:b/>
                              <w:sz w:val="16"/>
                            </w:rPr>
                            <w:t>TTY: 1-888-835-5322</w:t>
                          </w:r>
                        </w:p>
                        <w:p w:rsidR="005922D7" w:rsidRDefault="005922D7">
                          <w:pPr>
                            <w:jc w:val="right"/>
                          </w:pPr>
                        </w:p>
                        <w:p w:rsidR="005922D7" w:rsidRDefault="005922D7">
                          <w:pPr>
                            <w:jc w:val="right"/>
                            <w:rPr>
                              <w:rFonts w:ascii="Arial" w:hAnsi="Arial"/>
                              <w:sz w:val="16"/>
                            </w:rPr>
                          </w:pPr>
                        </w:p>
                        <w:p w:rsidR="005922D7" w:rsidRDefault="005922D7">
                          <w:pPr>
                            <w:jc w:val="right"/>
                            <w:rPr>
                              <w:rFonts w:ascii="Arial" w:hAnsi="Arial"/>
                              <w:sz w:val="16"/>
                            </w:rPr>
                          </w:pPr>
                          <w:r>
                            <w:rPr>
                              <w:rFonts w:ascii="Arial" w:hAnsi="Arial"/>
                              <w:sz w:val="16"/>
                            </w:rPr>
                            <w:tab/>
                          </w:r>
                        </w:p>
                        <w:p w:rsidR="005922D7" w:rsidRDefault="005922D7">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7.05pt;margin-top:7.2pt;width:22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9L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" stroked="f">
              <v:textbox>
                <w:txbxContent>
                  <w:p w:rsidR="005922D7" w:rsidRDefault="005922D7">
                    <w:pPr>
                      <w:spacing w:before="40"/>
                      <w:jc w:val="right"/>
                      <w:rPr>
                        <w:rFonts w:ascii="Arial" w:hAnsi="Arial"/>
                        <w:sz w:val="16"/>
                      </w:rPr>
                    </w:pPr>
                    <w:r>
                      <w:rPr>
                        <w:rFonts w:ascii="Arial" w:hAnsi="Arial"/>
                        <w:sz w:val="16"/>
                      </w:rPr>
                      <w:tab/>
                    </w:r>
                  </w:p>
                  <w:p w:rsidR="005922D7" w:rsidRDefault="005922D7">
                    <w:pPr>
                      <w:spacing w:before="40"/>
                      <w:jc w:val="right"/>
                      <w:rPr>
                        <w:rFonts w:ascii="Arial" w:hAnsi="Arial"/>
                        <w:b/>
                        <w:sz w:val="16"/>
                      </w:rPr>
                    </w:pPr>
                    <w:r>
                      <w:rPr>
                        <w:rFonts w:ascii="Arial" w:hAnsi="Arial"/>
                        <w:b/>
                        <w:sz w:val="16"/>
                      </w:rPr>
                      <w:t>News Media Information 202 / 418-0500</w:t>
                    </w:r>
                  </w:p>
                  <w:p w:rsidR="005922D7" w:rsidRDefault="005922D7">
                    <w:pPr>
                      <w:jc w:val="right"/>
                      <w:rPr>
                        <w:rFonts w:ascii="Arial" w:hAnsi="Arial"/>
                        <w:b/>
                        <w:sz w:val="16"/>
                      </w:rPr>
                    </w:pPr>
                    <w:r>
                      <w:rPr>
                        <w:rFonts w:ascii="Arial" w:hAnsi="Arial"/>
                        <w:b/>
                        <w:sz w:val="16"/>
                      </w:rPr>
                      <w:tab/>
                      <w:t xml:space="preserve">Internet: </w:t>
                    </w:r>
                    <w:bookmarkStart w:id="15" w:name="_Hlt233824"/>
                    <w:r>
                      <w:rPr>
                        <w:rFonts w:ascii="Arial" w:hAnsi="Arial"/>
                        <w:b/>
                        <w:sz w:val="16"/>
                      </w:rPr>
                      <w:t>h</w:t>
                    </w:r>
                    <w:bookmarkEnd w:id="15"/>
                    <w:r>
                      <w:rPr>
                        <w:rFonts w:ascii="Arial" w:hAnsi="Arial"/>
                        <w:b/>
                        <w:sz w:val="16"/>
                      </w:rPr>
                      <w:t>ttp://www.fcc.gov</w:t>
                    </w:r>
                  </w:p>
                  <w:p w:rsidR="005922D7" w:rsidRDefault="005922D7">
                    <w:pPr>
                      <w:jc w:val="right"/>
                      <w:rPr>
                        <w:rFonts w:ascii="Arial" w:hAnsi="Arial"/>
                        <w:b/>
                        <w:sz w:val="16"/>
                      </w:rPr>
                    </w:pPr>
                    <w:r>
                      <w:rPr>
                        <w:rFonts w:ascii="Arial" w:hAnsi="Arial"/>
                        <w:b/>
                        <w:sz w:val="16"/>
                      </w:rPr>
                      <w:t>TTY: 1-888-835-5322</w:t>
                    </w:r>
                  </w:p>
                  <w:p w:rsidR="005922D7" w:rsidRDefault="005922D7">
                    <w:pPr>
                      <w:jc w:val="right"/>
                    </w:pPr>
                  </w:p>
                  <w:p w:rsidR="005922D7" w:rsidRDefault="005922D7">
                    <w:pPr>
                      <w:jc w:val="right"/>
                      <w:rPr>
                        <w:rFonts w:ascii="Arial" w:hAnsi="Arial"/>
                        <w:sz w:val="16"/>
                      </w:rPr>
                    </w:pPr>
                  </w:p>
                  <w:p w:rsidR="005922D7" w:rsidRDefault="005922D7">
                    <w:pPr>
                      <w:jc w:val="right"/>
                      <w:rPr>
                        <w:rFonts w:ascii="Arial" w:hAnsi="Arial"/>
                        <w:sz w:val="16"/>
                      </w:rPr>
                    </w:pPr>
                    <w:r>
                      <w:rPr>
                        <w:rFonts w:ascii="Arial" w:hAnsi="Arial"/>
                        <w:sz w:val="16"/>
                      </w:rPr>
                      <w:tab/>
                    </w:r>
                  </w:p>
                  <w:p w:rsidR="005922D7" w:rsidRDefault="005922D7">
                    <w:pPr>
                      <w:jc w:val="right"/>
                      <w:rPr>
                        <w:rFonts w:ascii="Arial" w:hAnsi="Arial"/>
                        <w:sz w:val="16"/>
                      </w:rPr>
                    </w:pPr>
                    <w:r>
                      <w:rPr>
                        <w:rFonts w:ascii="Arial" w:hAnsi="Arial"/>
                        <w:sz w:val="16"/>
                      </w:rPr>
                      <w:tab/>
                    </w:r>
                  </w:p>
                </w:txbxContent>
              </v:textbox>
            </v:shape>
          </w:pict>
        </mc:Fallback>
      </mc:AlternateContent>
    </w:r>
  </w:p>
  <w:p w:rsidR="005922D7" w:rsidRDefault="000D38F3">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66040</wp:posOffset>
              </wp:positionV>
              <wp:extent cx="6057900" cy="0"/>
              <wp:effectExtent l="13335" t="18415" r="1524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2pt" to="47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NNGAIAADM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34714A"/>
    <w:multiLevelType w:val="hybridMultilevel"/>
    <w:tmpl w:val="C2A0EB12"/>
    <w:lvl w:ilvl="0" w:tplc="C064747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F1B3D"/>
    <w:multiLevelType w:val="singleLevel"/>
    <w:tmpl w:val="5D7609B4"/>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lvlOverride w:ilvl="0">
      <w:startOverride w:val="1"/>
    </w:lvlOverride>
  </w:num>
  <w:num w:numId="2">
    <w:abstractNumId w:val="2"/>
  </w:num>
  <w:num w:numId="3">
    <w:abstractNumId w:val="2"/>
    <w:lvlOverride w:ilvl="0">
      <w:startOverride w:val="1"/>
    </w:lvlOverride>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C5"/>
    <w:rsid w:val="00063877"/>
    <w:rsid w:val="00082259"/>
    <w:rsid w:val="000A2323"/>
    <w:rsid w:val="000D38F3"/>
    <w:rsid w:val="001A685F"/>
    <w:rsid w:val="001E75E1"/>
    <w:rsid w:val="001F736D"/>
    <w:rsid w:val="00213D00"/>
    <w:rsid w:val="002674D6"/>
    <w:rsid w:val="00301C0F"/>
    <w:rsid w:val="00311E59"/>
    <w:rsid w:val="003678DA"/>
    <w:rsid w:val="003B1E78"/>
    <w:rsid w:val="004811B1"/>
    <w:rsid w:val="00507510"/>
    <w:rsid w:val="00590A1E"/>
    <w:rsid w:val="005922D7"/>
    <w:rsid w:val="00605805"/>
    <w:rsid w:val="00663E3F"/>
    <w:rsid w:val="006A278E"/>
    <w:rsid w:val="00753D31"/>
    <w:rsid w:val="007771B0"/>
    <w:rsid w:val="00793069"/>
    <w:rsid w:val="007E17E6"/>
    <w:rsid w:val="008C5013"/>
    <w:rsid w:val="0090058C"/>
    <w:rsid w:val="00947570"/>
    <w:rsid w:val="00977F0D"/>
    <w:rsid w:val="009E44C4"/>
    <w:rsid w:val="00AA1CC8"/>
    <w:rsid w:val="00AC15B6"/>
    <w:rsid w:val="00B03EC5"/>
    <w:rsid w:val="00B71C6A"/>
    <w:rsid w:val="00B82A54"/>
    <w:rsid w:val="00C265D2"/>
    <w:rsid w:val="00CA330C"/>
    <w:rsid w:val="00CE3922"/>
    <w:rsid w:val="00D85DBA"/>
    <w:rsid w:val="00DC316E"/>
    <w:rsid w:val="00DC7462"/>
    <w:rsid w:val="00E91CAA"/>
    <w:rsid w:val="00EF183C"/>
    <w:rsid w:val="00F07477"/>
    <w:rsid w:val="00FD5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2012-04-30T14:43:00Z</cp:lastPrinted>
  <dcterms:created xsi:type="dcterms:W3CDTF">2015-05-28T15:08:00Z</dcterms:created>
  <dcterms:modified xsi:type="dcterms:W3CDTF">2015-05-28T15:08:00Z</dcterms:modified>
  <cp:category> </cp:category>
  <cp:contentStatus> </cp:contentStatus>
</cp:coreProperties>
</file>