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01" w:rsidRDefault="00BE3101" w:rsidP="00BE3101">
      <w:bookmarkStart w:id="0" w:name="_GoBack"/>
      <w:bookmarkEnd w:id="0"/>
      <w:r>
        <w:rPr>
          <w:noProof/>
        </w:rPr>
        <w:drawing>
          <wp:inline distT="0" distB="0" distL="0" distR="0" wp14:anchorId="672F8740" wp14:editId="25649950">
            <wp:extent cx="579120" cy="6038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603885"/>
                    </a:xfrm>
                    <a:prstGeom prst="rect">
                      <a:avLst/>
                    </a:prstGeom>
                    <a:noFill/>
                    <a:ln>
                      <a:noFill/>
                    </a:ln>
                  </pic:spPr>
                </pic:pic>
              </a:graphicData>
            </a:graphic>
          </wp:inline>
        </w:drawing>
      </w:r>
      <w:r>
        <w:rPr>
          <w:sz w:val="72"/>
          <w:szCs w:val="72"/>
        </w:rPr>
        <w:t>PUBLIC NOTICE</w:t>
      </w:r>
    </w:p>
    <w:p w:rsidR="00BE3101" w:rsidRDefault="00BE3101" w:rsidP="00BE3101">
      <w:pPr>
        <w:rPr>
          <w:sz w:val="24"/>
          <w:szCs w:val="24"/>
        </w:rPr>
      </w:pPr>
      <w:r>
        <w:rPr>
          <w:sz w:val="24"/>
          <w:szCs w:val="24"/>
        </w:rPr>
        <w:t>FEDERAL COMMUNICATIONS COMMISSION</w:t>
      </w:r>
    </w:p>
    <w:p w:rsidR="00BE3101" w:rsidRDefault="00BE3101" w:rsidP="00BE3101">
      <w:pPr>
        <w:rPr>
          <w:sz w:val="24"/>
          <w:szCs w:val="24"/>
        </w:rPr>
      </w:pPr>
      <w:r>
        <w:rPr>
          <w:sz w:val="24"/>
          <w:szCs w:val="24"/>
        </w:rPr>
        <w:t>445 12th Street, S.W.</w:t>
      </w:r>
    </w:p>
    <w:p w:rsidR="00BE3101" w:rsidRDefault="00BE3101" w:rsidP="00BE3101">
      <w:pPr>
        <w:rPr>
          <w:sz w:val="24"/>
          <w:szCs w:val="24"/>
          <w:u w:val="single"/>
        </w:rPr>
      </w:pPr>
      <w:r>
        <w:rPr>
          <w:sz w:val="24"/>
          <w:szCs w:val="24"/>
          <w:u w:val="single"/>
        </w:rPr>
        <w:t xml:space="preserve">WASHINGTON, DC  20554                                                                                       </w:t>
      </w:r>
      <w:r>
        <w:rPr>
          <w:b/>
          <w:bCs/>
          <w:szCs w:val="24"/>
          <w:u w:val="single"/>
        </w:rPr>
        <w:t xml:space="preserve">DA </w:t>
      </w:r>
      <w:r w:rsidR="006C4FB7">
        <w:rPr>
          <w:b/>
          <w:bCs/>
          <w:szCs w:val="24"/>
          <w:u w:val="single"/>
        </w:rPr>
        <w:t>15-647</w:t>
      </w:r>
    </w:p>
    <w:p w:rsidR="00BE3101" w:rsidRDefault="00BE3101" w:rsidP="00BE3101">
      <w:pPr>
        <w:rPr>
          <w:color w:val="000000"/>
          <w:sz w:val="16"/>
        </w:rPr>
      </w:pPr>
      <w:r>
        <w:rPr>
          <w:color w:val="000000"/>
          <w:sz w:val="16"/>
        </w:rPr>
        <w:t xml:space="preserve">News media information 202/418-0500 Fax-On Demand 202/418-2830 Internet: http://www.fcc.gov   ftp.fcc.gov </w:t>
      </w:r>
    </w:p>
    <w:p w:rsidR="00BE3101" w:rsidRDefault="00BE3101" w:rsidP="00BE3101"/>
    <w:p w:rsidR="00BE3101" w:rsidRDefault="00BE3101" w:rsidP="00BE3101">
      <w:pPr>
        <w:jc w:val="right"/>
        <w:rPr>
          <w:b/>
        </w:rPr>
      </w:pPr>
      <w:r>
        <w:rPr>
          <w:b/>
        </w:rPr>
        <w:t xml:space="preserve">Released: </w:t>
      </w:r>
      <w:r w:rsidR="00167A3E">
        <w:rPr>
          <w:b/>
        </w:rPr>
        <w:t xml:space="preserve"> </w:t>
      </w:r>
      <w:r w:rsidR="00123666">
        <w:rPr>
          <w:b/>
        </w:rPr>
        <w:t xml:space="preserve">May </w:t>
      </w:r>
      <w:r w:rsidR="00EB666F">
        <w:rPr>
          <w:b/>
        </w:rPr>
        <w:t>29</w:t>
      </w:r>
      <w:r>
        <w:rPr>
          <w:b/>
        </w:rPr>
        <w:t>, 2015</w:t>
      </w:r>
    </w:p>
    <w:p w:rsidR="00BE3101" w:rsidRDefault="00BE3101" w:rsidP="00BE3101">
      <w:pPr>
        <w:rPr>
          <w:b/>
        </w:rPr>
      </w:pPr>
    </w:p>
    <w:p w:rsidR="00BE3101" w:rsidRDefault="00BE3101" w:rsidP="00BE3101">
      <w:pPr>
        <w:jc w:val="center"/>
        <w:rPr>
          <w:b/>
        </w:rPr>
      </w:pPr>
      <w:r>
        <w:rPr>
          <w:b/>
        </w:rPr>
        <w:t xml:space="preserve">WIRELESS TELECOMMUNICATIONS BUREAU SEEKS COMMENT ON </w:t>
      </w:r>
      <w:r>
        <w:rPr>
          <w:b/>
        </w:rPr>
        <w:br/>
        <w:t>THE STATE OF MOBILE WIRELESS COMPETITION</w:t>
      </w:r>
    </w:p>
    <w:p w:rsidR="00BE3101" w:rsidRDefault="00BE3101" w:rsidP="00BE3101">
      <w:pPr>
        <w:jc w:val="center"/>
        <w:rPr>
          <w:b/>
        </w:rPr>
      </w:pPr>
    </w:p>
    <w:p w:rsidR="00BE3101" w:rsidRDefault="006C4FB7" w:rsidP="00BE3101">
      <w:pPr>
        <w:jc w:val="center"/>
        <w:rPr>
          <w:b/>
        </w:rPr>
      </w:pPr>
      <w:r>
        <w:rPr>
          <w:b/>
        </w:rPr>
        <w:t>WT Docket No. 15-125</w:t>
      </w:r>
    </w:p>
    <w:p w:rsidR="00BE3101" w:rsidRDefault="00BE3101" w:rsidP="00BE3101">
      <w:pPr>
        <w:jc w:val="center"/>
        <w:rPr>
          <w:b/>
        </w:rPr>
      </w:pPr>
    </w:p>
    <w:p w:rsidR="00BE3101" w:rsidRDefault="00BE3101" w:rsidP="00BE3101">
      <w:pPr>
        <w:rPr>
          <w:b/>
        </w:rPr>
      </w:pPr>
      <w:r>
        <w:rPr>
          <w:b/>
        </w:rPr>
        <w:t xml:space="preserve">Comments Due:  </w:t>
      </w:r>
      <w:r w:rsidR="00EB666F">
        <w:rPr>
          <w:b/>
        </w:rPr>
        <w:t>June 29</w:t>
      </w:r>
      <w:r>
        <w:rPr>
          <w:b/>
        </w:rPr>
        <w:t>, 201</w:t>
      </w:r>
      <w:r w:rsidR="00E858F5">
        <w:rPr>
          <w:b/>
        </w:rPr>
        <w:t>5</w:t>
      </w:r>
    </w:p>
    <w:p w:rsidR="00BE3101" w:rsidRDefault="00BE3101" w:rsidP="00BE3101">
      <w:pPr>
        <w:rPr>
          <w:b/>
        </w:rPr>
      </w:pPr>
      <w:r>
        <w:rPr>
          <w:b/>
        </w:rPr>
        <w:t xml:space="preserve">Reply Comments Due:  </w:t>
      </w:r>
      <w:r w:rsidR="00EB666F">
        <w:rPr>
          <w:b/>
        </w:rPr>
        <w:t>July 14</w:t>
      </w:r>
      <w:r>
        <w:rPr>
          <w:b/>
        </w:rPr>
        <w:t>, 2015</w:t>
      </w:r>
    </w:p>
    <w:p w:rsidR="00BE3101" w:rsidRDefault="00BE3101" w:rsidP="0041540A">
      <w:pPr>
        <w:pStyle w:val="Paranum0"/>
      </w:pPr>
    </w:p>
    <w:p w:rsidR="00BE3101" w:rsidRDefault="00BE3101" w:rsidP="00B829F0">
      <w:pPr>
        <w:pStyle w:val="Paranum0"/>
        <w:spacing w:after="120"/>
      </w:pPr>
      <w:r>
        <w:t>This Public Notice (</w:t>
      </w:r>
      <w:r w:rsidR="007671A1">
        <w:t>“</w:t>
      </w:r>
      <w:r w:rsidRPr="00A26A7B">
        <w:rPr>
          <w:i/>
        </w:rPr>
        <w:t>Notice</w:t>
      </w:r>
      <w:r w:rsidR="007671A1" w:rsidRPr="0050165B">
        <w:t>”</w:t>
      </w:r>
      <w:r w:rsidR="008A266B">
        <w:t>) solicits input</w:t>
      </w:r>
      <w:r>
        <w:t xml:space="preserve"> on </w:t>
      </w:r>
      <w:r w:rsidR="00C814D5">
        <w:t>competition in the mobile wireless marketplace</w:t>
      </w:r>
      <w:r>
        <w:t xml:space="preserve"> for the Federal Communications Commission’s (</w:t>
      </w:r>
      <w:r w:rsidR="00E858F5">
        <w:t>“</w:t>
      </w:r>
      <w:r>
        <w:t>Commission</w:t>
      </w:r>
      <w:r w:rsidR="00E858F5">
        <w:t>”</w:t>
      </w:r>
      <w:r>
        <w:t>) Eighteenth Annual Report on the State of Competition in Mobile Wireless, including Commercial Mobile Radio Services (</w:t>
      </w:r>
      <w:r w:rsidR="00E858F5">
        <w:t>“</w:t>
      </w:r>
      <w:r>
        <w:rPr>
          <w:i/>
          <w:iCs/>
        </w:rPr>
        <w:t>Eighteenth</w:t>
      </w:r>
      <w:r>
        <w:rPr>
          <w:i/>
        </w:rPr>
        <w:t xml:space="preserve"> Report</w:t>
      </w:r>
      <w:r w:rsidR="00E858F5" w:rsidRPr="0050165B">
        <w:t>”</w:t>
      </w:r>
      <w:r>
        <w:t xml:space="preserve">).  </w:t>
      </w:r>
      <w:r w:rsidR="003F1A3E">
        <w:t xml:space="preserve">The Communications Act requires the submission to Congress each year of </w:t>
      </w:r>
      <w:r w:rsidR="001003C3">
        <w:t>R</w:t>
      </w:r>
      <w:r>
        <w:t>eports analyzing competitive conditions with respect to commercial mobile services.</w:t>
      </w:r>
      <w:r>
        <w:rPr>
          <w:rStyle w:val="FootnoteReference"/>
        </w:rPr>
        <w:footnoteReference w:id="1"/>
      </w:r>
      <w:r>
        <w:t xml:space="preserve">  On December 18, </w:t>
      </w:r>
      <w:r w:rsidR="00E858F5">
        <w:t>2014</w:t>
      </w:r>
      <w:r>
        <w:t>, the Wireless Telecommunications Bureau (</w:t>
      </w:r>
      <w:r w:rsidR="00E858F5">
        <w:t>“</w:t>
      </w:r>
      <w:r>
        <w:t>Bureau</w:t>
      </w:r>
      <w:r w:rsidR="00E858F5">
        <w:t>”</w:t>
      </w:r>
      <w:r>
        <w:t>) released the Seventeenth Mobile Wireless Competition Report (</w:t>
      </w:r>
      <w:r w:rsidR="00E858F5">
        <w:t>“</w:t>
      </w:r>
      <w:r>
        <w:rPr>
          <w:i/>
        </w:rPr>
        <w:t>Seventeenth Report</w:t>
      </w:r>
      <w:r w:rsidR="00E858F5" w:rsidRPr="0050165B">
        <w:t>”</w:t>
      </w:r>
      <w:r>
        <w:t>).</w:t>
      </w:r>
      <w:r w:rsidRPr="00AD1009">
        <w:rPr>
          <w:rStyle w:val="FootnoteReference"/>
        </w:rPr>
        <w:footnoteReference w:id="2"/>
      </w:r>
      <w:r>
        <w:t xml:space="preserve">  With this </w:t>
      </w:r>
      <w:r>
        <w:rPr>
          <w:i/>
        </w:rPr>
        <w:t>Notice</w:t>
      </w:r>
      <w:r>
        <w:t xml:space="preserve">, the Bureau seeks to update the information and metrics used in the </w:t>
      </w:r>
      <w:r>
        <w:rPr>
          <w:i/>
        </w:rPr>
        <w:t>Seventeenth Report</w:t>
      </w:r>
      <w:r>
        <w:t xml:space="preserve">, as well as enhance </w:t>
      </w:r>
      <w:r w:rsidR="00770845">
        <w:t>our</w:t>
      </w:r>
      <w:r>
        <w:t xml:space="preserve"> analysis of </w:t>
      </w:r>
      <w:r w:rsidR="00C814D5">
        <w:t>competition in the mobile wireless marketplace</w:t>
      </w:r>
      <w:r>
        <w:t xml:space="preserve"> for the </w:t>
      </w:r>
      <w:r>
        <w:rPr>
          <w:i/>
          <w:iCs/>
        </w:rPr>
        <w:t>Eighteenth</w:t>
      </w:r>
      <w:r>
        <w:rPr>
          <w:i/>
        </w:rPr>
        <w:t xml:space="preserve"> Report.</w:t>
      </w:r>
      <w:r>
        <w:t xml:space="preserve">  </w:t>
      </w:r>
      <w:bookmarkStart w:id="1" w:name="_Toc21762267"/>
      <w:bookmarkStart w:id="2" w:name="_Toc55787787"/>
      <w:bookmarkStart w:id="3" w:name="_Toc57021199"/>
      <w:bookmarkStart w:id="4" w:name="_Toc65388449"/>
    </w:p>
    <w:p w:rsidR="00DC4C17" w:rsidRDefault="00BE3101" w:rsidP="00B829F0">
      <w:pPr>
        <w:pStyle w:val="Paranum0"/>
        <w:spacing w:after="120"/>
      </w:pPr>
      <w:r>
        <w:t xml:space="preserve">This </w:t>
      </w:r>
      <w:r>
        <w:rPr>
          <w:i/>
        </w:rPr>
        <w:t>Notice</w:t>
      </w:r>
      <w:r>
        <w:t xml:space="preserve"> seeks </w:t>
      </w:r>
      <w:r w:rsidR="00E4571D">
        <w:t xml:space="preserve">comment and </w:t>
      </w:r>
      <w:r>
        <w:t xml:space="preserve">information on competitive dynamics within the </w:t>
      </w:r>
      <w:r w:rsidR="00E858F5">
        <w:t xml:space="preserve">mobile wireless </w:t>
      </w:r>
      <w:r w:rsidR="00C814D5">
        <w:t>marketplace</w:t>
      </w:r>
      <w:r w:rsidRPr="00BE3101">
        <w:t xml:space="preserve">, </w:t>
      </w:r>
      <w:r w:rsidR="00E4571D">
        <w:t xml:space="preserve">for example, with respect to </w:t>
      </w:r>
      <w:r w:rsidR="00E858F5">
        <w:t xml:space="preserve">the number of subscribers </w:t>
      </w:r>
      <w:r w:rsidR="00770CDB">
        <w:t>and</w:t>
      </w:r>
      <w:r w:rsidR="00E4571D" w:rsidRPr="00BE3101">
        <w:t xml:space="preserve"> </w:t>
      </w:r>
      <w:r w:rsidRPr="00BE3101">
        <w:t>financial indicators</w:t>
      </w:r>
      <w:r w:rsidR="00E858F5">
        <w:t xml:space="preserve"> </w:t>
      </w:r>
      <w:r w:rsidR="00E4571D" w:rsidRPr="00BE21A8">
        <w:t>such as</w:t>
      </w:r>
      <w:r w:rsidR="00E4571D">
        <w:rPr>
          <w:i/>
        </w:rPr>
        <w:t xml:space="preserve"> </w:t>
      </w:r>
      <w:r w:rsidR="00E858F5">
        <w:t>revenue</w:t>
      </w:r>
      <w:r w:rsidR="00E4571D">
        <w:t xml:space="preserve"> or</w:t>
      </w:r>
      <w:r w:rsidR="00E858F5">
        <w:t xml:space="preserve"> profitability</w:t>
      </w:r>
      <w:r w:rsidRPr="00BE3101">
        <w:t xml:space="preserve">. </w:t>
      </w:r>
      <w:r w:rsidR="00E858F5">
        <w:t xml:space="preserve"> </w:t>
      </w:r>
      <w:r w:rsidR="00E4571D">
        <w:t xml:space="preserve">In addition, we </w:t>
      </w:r>
      <w:r w:rsidRPr="00BE3101">
        <w:t xml:space="preserve">seek </w:t>
      </w:r>
      <w:r w:rsidR="008A266B">
        <w:t>comment</w:t>
      </w:r>
      <w:r w:rsidR="00E858F5">
        <w:t xml:space="preserve"> and information on </w:t>
      </w:r>
      <w:r w:rsidRPr="00BE3101">
        <w:t xml:space="preserve">overall industry metrics such as coverage, including by </w:t>
      </w:r>
      <w:r w:rsidR="00C53564">
        <w:t xml:space="preserve">spectrum band, </w:t>
      </w:r>
      <w:r w:rsidRPr="00BE3101">
        <w:t>technology, geography, and demograph</w:t>
      </w:r>
      <w:r w:rsidR="0011329C">
        <w:t>ics</w:t>
      </w:r>
      <w:r w:rsidR="001631E7">
        <w:t>.</w:t>
      </w:r>
      <w:r w:rsidR="00E858F5">
        <w:t xml:space="preserve"> </w:t>
      </w:r>
      <w:r>
        <w:t xml:space="preserve"> We </w:t>
      </w:r>
      <w:r w:rsidR="00E4571D">
        <w:t xml:space="preserve">also </w:t>
      </w:r>
      <w:r>
        <w:t xml:space="preserve">seek </w:t>
      </w:r>
      <w:r w:rsidR="00E4571D">
        <w:t xml:space="preserve">comment and </w:t>
      </w:r>
      <w:r w:rsidR="00E858F5">
        <w:t xml:space="preserve">information </w:t>
      </w:r>
      <w:r>
        <w:t xml:space="preserve">on </w:t>
      </w:r>
      <w:r w:rsidR="00E858F5">
        <w:t>upstream (</w:t>
      </w:r>
      <w:r w:rsidR="00910EA7" w:rsidRPr="007A34B3">
        <w:rPr>
          <w:i/>
        </w:rPr>
        <w:t>e.g.,</w:t>
      </w:r>
      <w:r w:rsidR="00910EA7">
        <w:t xml:space="preserve"> spectrum</w:t>
      </w:r>
      <w:r w:rsidR="00E858F5">
        <w:t>)</w:t>
      </w:r>
      <w:r>
        <w:t xml:space="preserve"> </w:t>
      </w:r>
      <w:r w:rsidR="001631E7">
        <w:t xml:space="preserve">segments as well as on consumer behavior with respect to mobile wireless services, including consumer usage, handsets, mobile applications, and </w:t>
      </w:r>
      <w:r>
        <w:t>intermodal</w:t>
      </w:r>
      <w:r w:rsidR="00917704">
        <w:t xml:space="preserve"> </w:t>
      </w:r>
      <w:r w:rsidR="001631E7">
        <w:t>developments</w:t>
      </w:r>
      <w:r w:rsidR="0011329C">
        <w:t xml:space="preserve"> such as mobile-wireline substitution</w:t>
      </w:r>
      <w:r>
        <w:rPr>
          <w:i/>
        </w:rPr>
        <w:t>.</w:t>
      </w:r>
      <w:r>
        <w:t xml:space="preserve">  </w:t>
      </w:r>
      <w:r w:rsidR="00C53564">
        <w:t>Further, w</w:t>
      </w:r>
      <w:r>
        <w:t xml:space="preserve">e seek comment </w:t>
      </w:r>
      <w:r w:rsidR="00C53564">
        <w:t xml:space="preserve">and information </w:t>
      </w:r>
      <w:r>
        <w:t>on pricing levels and trends</w:t>
      </w:r>
      <w:r w:rsidR="00C53564">
        <w:t xml:space="preserve"> and </w:t>
      </w:r>
      <w:r w:rsidR="00A45592">
        <w:t xml:space="preserve">other </w:t>
      </w:r>
      <w:r w:rsidR="00E4571D">
        <w:t xml:space="preserve">non-price factors </w:t>
      </w:r>
      <w:r w:rsidR="00A45592">
        <w:t>on which service providers compete</w:t>
      </w:r>
      <w:r w:rsidR="00C53564">
        <w:t xml:space="preserve">, as well as </w:t>
      </w:r>
      <w:r>
        <w:t xml:space="preserve">on performance metrics for mobile broadband networks, such as speed and latency, </w:t>
      </w:r>
      <w:r w:rsidR="00C53564">
        <w:t>including</w:t>
      </w:r>
      <w:r w:rsidR="00A45592">
        <w:t xml:space="preserve"> </w:t>
      </w:r>
      <w:r>
        <w:t xml:space="preserve">the methodologies used for assessment. </w:t>
      </w:r>
      <w:r w:rsidR="00A45592">
        <w:t xml:space="preserve"> </w:t>
      </w:r>
    </w:p>
    <w:p w:rsidR="00BE3101" w:rsidRDefault="00BE3101" w:rsidP="00B829F0">
      <w:pPr>
        <w:pStyle w:val="Paranum0"/>
        <w:spacing w:after="120"/>
      </w:pPr>
      <w:r>
        <w:t xml:space="preserve">Finally, we also ask parties to comment on whether the </w:t>
      </w:r>
      <w:r w:rsidR="00E4571D">
        <w:t>metrics provided i</w:t>
      </w:r>
      <w:r>
        <w:t xml:space="preserve">n the </w:t>
      </w:r>
      <w:r>
        <w:rPr>
          <w:i/>
        </w:rPr>
        <w:t>Seventeenth Report</w:t>
      </w:r>
      <w:r>
        <w:t xml:space="preserve"> </w:t>
      </w:r>
      <w:r w:rsidR="00E4571D">
        <w:t xml:space="preserve">were </w:t>
      </w:r>
      <w:r w:rsidR="00C53564">
        <w:t xml:space="preserve">sufficient </w:t>
      </w:r>
      <w:r>
        <w:t xml:space="preserve">for analyzing </w:t>
      </w:r>
      <w:r w:rsidR="00C53564">
        <w:t>competition in the mobile wireless marketplace</w:t>
      </w:r>
      <w:r>
        <w:t xml:space="preserve"> in a useful and timely manner, or whether </w:t>
      </w:r>
      <w:r w:rsidR="00C53564">
        <w:t xml:space="preserve">any </w:t>
      </w:r>
      <w:r>
        <w:t xml:space="preserve">changes should be made for </w:t>
      </w:r>
      <w:r w:rsidR="00C53564">
        <w:t xml:space="preserve">the metrics included in </w:t>
      </w:r>
      <w:r>
        <w:t xml:space="preserve">the </w:t>
      </w:r>
      <w:r>
        <w:rPr>
          <w:i/>
        </w:rPr>
        <w:t>Eighteenth Report</w:t>
      </w:r>
      <w:r>
        <w:t xml:space="preserve">.  The Commission actively endeavors to improve and refine the way it collects, analyzes, and reports </w:t>
      </w:r>
      <w:r w:rsidR="0009299A">
        <w:t xml:space="preserve">on </w:t>
      </w:r>
      <w:r w:rsidR="00A45592">
        <w:t xml:space="preserve">wireless </w:t>
      </w:r>
      <w:r>
        <w:t xml:space="preserve">industry </w:t>
      </w:r>
      <w:r w:rsidR="0009299A">
        <w:t xml:space="preserve">information and </w:t>
      </w:r>
      <w:r>
        <w:t xml:space="preserve">data.  This </w:t>
      </w:r>
      <w:r>
        <w:rPr>
          <w:i/>
        </w:rPr>
        <w:t>Notice</w:t>
      </w:r>
      <w:r>
        <w:t xml:space="preserve"> contains a series of questions asking for </w:t>
      </w:r>
      <w:r w:rsidR="008A266B">
        <w:t>information</w:t>
      </w:r>
      <w:r>
        <w:t xml:space="preserve"> and analytic </w:t>
      </w:r>
      <w:r>
        <w:lastRenderedPageBreak/>
        <w:t xml:space="preserve">recommendations related to that effort.  We seek comment on these and any other approaches to improve the quality of the </w:t>
      </w:r>
      <w:r>
        <w:rPr>
          <w:i/>
        </w:rPr>
        <w:t xml:space="preserve">Eighteenth Report </w:t>
      </w:r>
      <w:r>
        <w:t xml:space="preserve">as well as subsequent reports. </w:t>
      </w:r>
    </w:p>
    <w:p w:rsidR="00BE3101" w:rsidRDefault="00BE3101" w:rsidP="00B829F0">
      <w:pPr>
        <w:pStyle w:val="Paranum0"/>
        <w:spacing w:after="120"/>
      </w:pPr>
      <w:r w:rsidRPr="00A57FE6">
        <w:t xml:space="preserve">The </w:t>
      </w:r>
      <w:r>
        <w:t xml:space="preserve">information used in the competitive analysis </w:t>
      </w:r>
      <w:r w:rsidRPr="00A57FE6">
        <w:t xml:space="preserve">in </w:t>
      </w:r>
      <w:r>
        <w:t xml:space="preserve">the </w:t>
      </w:r>
      <w:r>
        <w:rPr>
          <w:i/>
        </w:rPr>
        <w:t>Seventeenth Report</w:t>
      </w:r>
      <w:r w:rsidRPr="00A57FE6">
        <w:t xml:space="preserve"> </w:t>
      </w:r>
      <w:r>
        <w:t>was</w:t>
      </w:r>
      <w:r w:rsidRPr="00A57FE6">
        <w:t xml:space="preserve"> </w:t>
      </w:r>
      <w:r>
        <w:t>derived from various sources, including</w:t>
      </w:r>
      <w:r w:rsidRPr="00A57FE6">
        <w:t xml:space="preserve"> </w:t>
      </w:r>
      <w:r>
        <w:t>comments in the public record, Mosaik Solutions (</w:t>
      </w:r>
      <w:r w:rsidR="00A45592">
        <w:t>“</w:t>
      </w:r>
      <w:r>
        <w:t>Mosaik</w:t>
      </w:r>
      <w:r w:rsidR="00A45592">
        <w:t>”</w:t>
      </w:r>
      <w:r>
        <w:t>),</w:t>
      </w:r>
      <w:r>
        <w:rPr>
          <w:rStyle w:val="FootnoteReference"/>
        </w:rPr>
        <w:footnoteReference w:id="3"/>
      </w:r>
      <w:r w:rsidRPr="00A57FE6">
        <w:t xml:space="preserve"> </w:t>
      </w:r>
      <w:r>
        <w:rPr>
          <w:color w:val="000000"/>
        </w:rPr>
        <w:t>industry associations</w:t>
      </w:r>
      <w:r w:rsidRPr="00A57FE6">
        <w:t xml:space="preserve">, </w:t>
      </w:r>
      <w:r>
        <w:t>f</w:t>
      </w:r>
      <w:r w:rsidRPr="00A57FE6">
        <w:t xml:space="preserve">inancial </w:t>
      </w:r>
      <w:r>
        <w:t>i</w:t>
      </w:r>
      <w:r w:rsidRPr="00A57FE6">
        <w:t xml:space="preserve">ndustry </w:t>
      </w:r>
      <w:r>
        <w:t>a</w:t>
      </w:r>
      <w:r w:rsidRPr="00A57FE6">
        <w:t xml:space="preserve">nalysts, </w:t>
      </w:r>
      <w:r>
        <w:t>c</w:t>
      </w:r>
      <w:r w:rsidRPr="00A57FE6">
        <w:t>ompany filings and new</w:t>
      </w:r>
      <w:r>
        <w:t>s</w:t>
      </w:r>
      <w:r w:rsidRPr="00A57FE6">
        <w:t xml:space="preserve"> releases,</w:t>
      </w:r>
      <w:r>
        <w:t xml:space="preserve"> Security and Exchange Commission </w:t>
      </w:r>
      <w:r w:rsidR="00917704">
        <w:t>(</w:t>
      </w:r>
      <w:r w:rsidR="002F4B8F">
        <w:t>“</w:t>
      </w:r>
      <w:r w:rsidR="00917704">
        <w:t>SEC</w:t>
      </w:r>
      <w:r w:rsidR="002F4B8F">
        <w:t>”</w:t>
      </w:r>
      <w:r w:rsidR="00917704">
        <w:t>)</w:t>
      </w:r>
      <w:r w:rsidR="002F4B8F">
        <w:t xml:space="preserve"> </w:t>
      </w:r>
      <w:r>
        <w:t>filings, t</w:t>
      </w:r>
      <w:r w:rsidRPr="00A57FE6">
        <w:t xml:space="preserve">rade publications, </w:t>
      </w:r>
      <w:r>
        <w:t>i</w:t>
      </w:r>
      <w:r w:rsidRPr="00A57FE6">
        <w:t xml:space="preserve">ndustry trade and press releases, </w:t>
      </w:r>
      <w:r>
        <w:t>r</w:t>
      </w:r>
      <w:r w:rsidRPr="00A57FE6">
        <w:t>esearch firms</w:t>
      </w:r>
      <w:r>
        <w:t>’</w:t>
      </w:r>
      <w:r w:rsidRPr="00A57FE6">
        <w:t xml:space="preserve"> publicly</w:t>
      </w:r>
      <w:r>
        <w:t>-</w:t>
      </w:r>
      <w:r w:rsidRPr="00A57FE6">
        <w:t xml:space="preserve">available data, </w:t>
      </w:r>
      <w:r>
        <w:t>u</w:t>
      </w:r>
      <w:r w:rsidRPr="00A57FE6">
        <w:t xml:space="preserve">niversity </w:t>
      </w:r>
      <w:r>
        <w:t>r</w:t>
      </w:r>
      <w:r w:rsidRPr="00A57FE6">
        <w:t xml:space="preserve">esearchers </w:t>
      </w:r>
      <w:r>
        <w:t xml:space="preserve">and scholarly publications, </w:t>
      </w:r>
      <w:r w:rsidRPr="00A57FE6">
        <w:t>vendor market product releases</w:t>
      </w:r>
      <w:r>
        <w:t>,</w:t>
      </w:r>
      <w:r w:rsidRPr="00A57FE6">
        <w:t xml:space="preserve"> white papers</w:t>
      </w:r>
      <w:r>
        <w:t xml:space="preserve">, service provider web sites, and data submitted to the Commission through other data collection efforts such as </w:t>
      </w:r>
      <w:r w:rsidR="00917704">
        <w:t xml:space="preserve">FCC </w:t>
      </w:r>
      <w:r>
        <w:t>Form 477</w:t>
      </w:r>
      <w:r w:rsidR="004A2BC2">
        <w:t>,</w:t>
      </w:r>
      <w:r>
        <w:t xml:space="preserve"> the Numbering Resource Utilization Forecast (</w:t>
      </w:r>
      <w:r w:rsidR="00A45592">
        <w:t>“</w:t>
      </w:r>
      <w:r>
        <w:t>NRUF</w:t>
      </w:r>
      <w:r w:rsidR="00A45592">
        <w:t>”</w:t>
      </w:r>
      <w:r>
        <w:t>)</w:t>
      </w:r>
      <w:r w:rsidR="004A2BC2">
        <w:t>, and Measuring Broadband America</w:t>
      </w:r>
      <w:r w:rsidRPr="00A57FE6">
        <w:t>.</w:t>
      </w:r>
      <w:r w:rsidR="006F5BA4">
        <w:t xml:space="preserve">  We also utilize</w:t>
      </w:r>
      <w:r w:rsidR="00B65294">
        <w:t>d</w:t>
      </w:r>
      <w:r w:rsidR="006F5BA4">
        <w:t xml:space="preserve"> the Commission’s Universal Licensing System (</w:t>
      </w:r>
      <w:r w:rsidR="00BC1440">
        <w:t>“</w:t>
      </w:r>
      <w:r w:rsidR="006F5BA4">
        <w:t>ULS</w:t>
      </w:r>
      <w:r w:rsidR="00BC1440">
        <w:t>”</w:t>
      </w:r>
      <w:r w:rsidR="006F5BA4">
        <w:t xml:space="preserve">) for </w:t>
      </w:r>
      <w:r w:rsidR="001631E7">
        <w:t xml:space="preserve">service providers’ </w:t>
      </w:r>
      <w:r w:rsidR="006F5BA4">
        <w:t xml:space="preserve">spectrum holdings. </w:t>
      </w:r>
      <w:r>
        <w:t xml:space="preserve"> We seek input on whether there are o</w:t>
      </w:r>
      <w:r w:rsidRPr="00A57FE6">
        <w:t xml:space="preserve">ther sources of </w:t>
      </w:r>
      <w:r w:rsidR="008A266B">
        <w:t>information</w:t>
      </w:r>
      <w:r>
        <w:t>, especially quantitative data,</w:t>
      </w:r>
      <w:r w:rsidRPr="00A57FE6">
        <w:t xml:space="preserve"> </w:t>
      </w:r>
      <w:r>
        <w:t xml:space="preserve">which </w:t>
      </w:r>
      <w:r w:rsidR="009D0E96">
        <w:t>should be</w:t>
      </w:r>
      <w:r>
        <w:t xml:space="preserve"> use</w:t>
      </w:r>
      <w:r w:rsidR="009D0E96">
        <w:t>d</w:t>
      </w:r>
      <w:r>
        <w:t xml:space="preserve"> to perform </w:t>
      </w:r>
      <w:r w:rsidRPr="00A57FE6">
        <w:t xml:space="preserve">analysis of </w:t>
      </w:r>
      <w:r w:rsidR="002F4B8F">
        <w:t>competition in the mobile wireless marketplace</w:t>
      </w:r>
      <w:r>
        <w:t>.</w:t>
      </w:r>
      <w:r w:rsidRPr="00A57FE6">
        <w:t xml:space="preserve">  </w:t>
      </w:r>
    </w:p>
    <w:p w:rsidR="00BE3101" w:rsidRDefault="00BE3101" w:rsidP="00B829F0">
      <w:pPr>
        <w:pStyle w:val="Paranum0"/>
        <w:spacing w:after="120"/>
      </w:pPr>
      <w:r>
        <w:t xml:space="preserve">For the </w:t>
      </w:r>
      <w:r>
        <w:rPr>
          <w:i/>
        </w:rPr>
        <w:t>Eighteenth Report</w:t>
      </w:r>
      <w:r>
        <w:t xml:space="preserve">, we request that commenters submit </w:t>
      </w:r>
      <w:r w:rsidR="006568A3">
        <w:t xml:space="preserve">information, </w:t>
      </w:r>
      <w:r>
        <w:t>data</w:t>
      </w:r>
      <w:r w:rsidR="0011329C">
        <w:t>,</w:t>
      </w:r>
      <w:r>
        <w:t xml:space="preserve"> and statistics available for the second half of 2014 and the first </w:t>
      </w:r>
      <w:r w:rsidR="00B65294">
        <w:t xml:space="preserve">part </w:t>
      </w:r>
      <w:r>
        <w:t xml:space="preserve">of 2015, as well as information on any trends and developments that have occurred during 2014 and 2015.  In particular, we seek information on events or developments that have arisen after release of the </w:t>
      </w:r>
      <w:r>
        <w:rPr>
          <w:i/>
        </w:rPr>
        <w:t>Seventeenth Report</w:t>
      </w:r>
      <w:r>
        <w:t xml:space="preserve">. </w:t>
      </w:r>
      <w:r w:rsidR="00C53564">
        <w:t xml:space="preserve"> </w:t>
      </w:r>
      <w:r w:rsidR="006F5BA4">
        <w:t>I</w:t>
      </w:r>
      <w:r>
        <w:t>ndustry</w:t>
      </w:r>
      <w:r w:rsidR="006F5BA4">
        <w:t xml:space="preserve"> stakeholders</w:t>
      </w:r>
      <w:r>
        <w:t xml:space="preserve">, the public, and other interested parties are encouraged to submit information, comments, and analyses regarding </w:t>
      </w:r>
      <w:r w:rsidR="00C53564">
        <w:t>competition in the mobile wireless marketplace</w:t>
      </w:r>
      <w:r>
        <w:t xml:space="preserve">.  In order to facilitate </w:t>
      </w:r>
      <w:r w:rsidR="009D0E96">
        <w:t xml:space="preserve">our </w:t>
      </w:r>
      <w:r>
        <w:t xml:space="preserve">analysis of competitive trends, </w:t>
      </w:r>
      <w:r w:rsidR="002F4B8F">
        <w:t>we</w:t>
      </w:r>
      <w:r>
        <w:t xml:space="preserve"> request that parties </w:t>
      </w:r>
      <w:r w:rsidR="00730C96">
        <w:t>that submi</w:t>
      </w:r>
      <w:r w:rsidR="0009299A">
        <w:t>t data</w:t>
      </w:r>
      <w:r w:rsidR="00730C96">
        <w:t xml:space="preserve"> should </w:t>
      </w:r>
      <w:r>
        <w:t>submit current data, as well as historic data, that are comparable over time.  Commenters seeking confidential treatment of their submissions should request that their submission, or a specific part thereof, be withheld from public inspection.</w:t>
      </w:r>
      <w:bookmarkStart w:id="5" w:name="_Ref27311566"/>
      <w:r>
        <w:rPr>
          <w:rStyle w:val="FootnoteReference"/>
        </w:rPr>
        <w:footnoteReference w:id="4"/>
      </w:r>
      <w:bookmarkEnd w:id="5"/>
      <w:r>
        <w:rPr>
          <w:rStyle w:val="FootnoteReference"/>
        </w:rPr>
        <w:t xml:space="preserve"> </w:t>
      </w:r>
      <w:r>
        <w:t xml:space="preserve"> </w:t>
      </w:r>
    </w:p>
    <w:p w:rsidR="00587994" w:rsidRPr="00587994" w:rsidRDefault="00B74B83" w:rsidP="00B829F0">
      <w:pPr>
        <w:pStyle w:val="Heading1"/>
        <w:ind w:left="720"/>
      </w:pPr>
      <w:r>
        <w:t>mobile wireless industry</w:t>
      </w:r>
    </w:p>
    <w:bookmarkEnd w:id="1"/>
    <w:bookmarkEnd w:id="2"/>
    <w:bookmarkEnd w:id="3"/>
    <w:bookmarkEnd w:id="4"/>
    <w:p w:rsidR="006568A3" w:rsidRDefault="008E6CEB" w:rsidP="00B829F0">
      <w:pPr>
        <w:pStyle w:val="ParaNum"/>
        <w:numPr>
          <w:ilvl w:val="0"/>
          <w:numId w:val="0"/>
        </w:numPr>
        <w:rPr>
          <w:szCs w:val="22"/>
        </w:rPr>
      </w:pPr>
      <w:r>
        <w:t xml:space="preserve">The </w:t>
      </w:r>
      <w:r>
        <w:rPr>
          <w:i/>
        </w:rPr>
        <w:t xml:space="preserve">Seventeenth Report </w:t>
      </w:r>
      <w:r>
        <w:rPr>
          <w:szCs w:val="22"/>
        </w:rPr>
        <w:t>focused</w:t>
      </w:r>
      <w:r w:rsidR="00BE3101" w:rsidRPr="00B4547B">
        <w:rPr>
          <w:szCs w:val="22"/>
        </w:rPr>
        <w:t xml:space="preserve"> on “competitive market conditions with respect to commercial mobile services,”</w:t>
      </w:r>
      <w:r w:rsidR="00FD1AA1" w:rsidRPr="00FD1AA1">
        <w:rPr>
          <w:vertAlign w:val="superscript"/>
        </w:rPr>
        <w:t xml:space="preserve"> </w:t>
      </w:r>
      <w:r w:rsidR="00FD1AA1" w:rsidRPr="00B53FFB">
        <w:rPr>
          <w:vertAlign w:val="superscript"/>
        </w:rPr>
        <w:footnoteReference w:id="5"/>
      </w:r>
      <w:r w:rsidR="00BE3101" w:rsidRPr="00B4547B">
        <w:rPr>
          <w:szCs w:val="22"/>
        </w:rPr>
        <w:t xml:space="preserve"> </w:t>
      </w:r>
      <w:r w:rsidR="00730C96">
        <w:rPr>
          <w:szCs w:val="22"/>
        </w:rPr>
        <w:t>and</w:t>
      </w:r>
      <w:r>
        <w:rPr>
          <w:szCs w:val="22"/>
        </w:rPr>
        <w:t xml:space="preserve"> </w:t>
      </w:r>
      <w:r w:rsidR="00FD1AA1">
        <w:t xml:space="preserve">employed a more data-centric model than had previous </w:t>
      </w:r>
      <w:r w:rsidR="00FD1AA1">
        <w:rPr>
          <w:i/>
        </w:rPr>
        <w:t>Reports</w:t>
      </w:r>
      <w:r w:rsidR="00FD1AA1">
        <w:rPr>
          <w:szCs w:val="22"/>
        </w:rPr>
        <w:t>, presenting</w:t>
      </w:r>
      <w:r w:rsidR="00FD1AA1" w:rsidRPr="00B4547B">
        <w:rPr>
          <w:szCs w:val="22"/>
        </w:rPr>
        <w:t xml:space="preserve"> </w:t>
      </w:r>
      <w:r w:rsidR="00BE3101" w:rsidRPr="00B4547B">
        <w:rPr>
          <w:szCs w:val="22"/>
        </w:rPr>
        <w:t>a multitude of industry data on various aspects of mobile wireless competition</w:t>
      </w:r>
      <w:r w:rsidR="00FD1AA1">
        <w:rPr>
          <w:szCs w:val="22"/>
        </w:rPr>
        <w:t>.</w:t>
      </w:r>
      <w:r w:rsidR="00BE3101">
        <w:t xml:space="preserve">  </w:t>
      </w:r>
      <w:r w:rsidR="0009299A">
        <w:t>Further, w</w:t>
      </w:r>
      <w:r w:rsidR="00F74AF4">
        <w:t xml:space="preserve">ith the </w:t>
      </w:r>
      <w:r w:rsidR="0009299A">
        <w:t xml:space="preserve">release of the </w:t>
      </w:r>
      <w:r w:rsidR="00F74AF4" w:rsidRPr="00F74AF4">
        <w:rPr>
          <w:i/>
        </w:rPr>
        <w:t>Seventeenth</w:t>
      </w:r>
      <w:r w:rsidR="00F74AF4">
        <w:rPr>
          <w:i/>
        </w:rPr>
        <w:t xml:space="preserve"> Report</w:t>
      </w:r>
      <w:r w:rsidR="0009299A">
        <w:t>,</w:t>
      </w:r>
      <w:r w:rsidR="00BE3101">
        <w:t xml:space="preserve"> </w:t>
      </w:r>
      <w:r w:rsidR="00F74AF4">
        <w:t>the</w:t>
      </w:r>
      <w:r w:rsidR="00BE3101">
        <w:t xml:space="preserve"> charts and tables </w:t>
      </w:r>
      <w:r w:rsidR="00F74AF4">
        <w:t xml:space="preserve">and much of the underlying data </w:t>
      </w:r>
      <w:r w:rsidR="0009299A">
        <w:t xml:space="preserve">were </w:t>
      </w:r>
      <w:r w:rsidR="00F74AF4">
        <w:t>provided</w:t>
      </w:r>
      <w:r w:rsidR="00BE3101">
        <w:t xml:space="preserve"> on a dedicated website </w:t>
      </w:r>
      <w:r w:rsidR="00F74AF4">
        <w:t xml:space="preserve">that is updated as new data becomes available in advance of and in conjunction with the release of the </w:t>
      </w:r>
      <w:r w:rsidR="00F74AF4">
        <w:rPr>
          <w:i/>
        </w:rPr>
        <w:t>Eighteenth Report</w:t>
      </w:r>
      <w:r w:rsidR="00F74AF4">
        <w:t>.</w:t>
      </w:r>
      <w:r w:rsidR="00BC1440">
        <w:rPr>
          <w:rStyle w:val="FootnoteReference"/>
        </w:rPr>
        <w:footnoteReference w:id="6"/>
      </w:r>
      <w:r w:rsidR="0009299A">
        <w:t xml:space="preserve">  </w:t>
      </w:r>
      <w:r w:rsidR="0006400B">
        <w:rPr>
          <w:szCs w:val="22"/>
        </w:rPr>
        <w:t xml:space="preserve">The </w:t>
      </w:r>
      <w:r w:rsidR="0006400B" w:rsidRPr="007A34B3">
        <w:rPr>
          <w:i/>
          <w:szCs w:val="22"/>
        </w:rPr>
        <w:t>Seventeenth</w:t>
      </w:r>
      <w:r w:rsidR="00BE3101" w:rsidRPr="00C731B2">
        <w:rPr>
          <w:szCs w:val="22"/>
        </w:rPr>
        <w:t xml:space="preserve"> </w:t>
      </w:r>
      <w:r w:rsidR="00BE3101" w:rsidRPr="00C731B2">
        <w:rPr>
          <w:i/>
          <w:szCs w:val="22"/>
        </w:rPr>
        <w:t>Report</w:t>
      </w:r>
      <w:r w:rsidR="00BE3101" w:rsidRPr="00C731B2">
        <w:rPr>
          <w:szCs w:val="22"/>
        </w:rPr>
        <w:t xml:space="preserve"> </w:t>
      </w:r>
      <w:r w:rsidR="0006400B">
        <w:rPr>
          <w:szCs w:val="22"/>
        </w:rPr>
        <w:t>was</w:t>
      </w:r>
      <w:r w:rsidR="00BE3101">
        <w:rPr>
          <w:szCs w:val="22"/>
        </w:rPr>
        <w:t xml:space="preserve"> based</w:t>
      </w:r>
      <w:r w:rsidR="00BE3101" w:rsidRPr="00C731B2">
        <w:rPr>
          <w:szCs w:val="22"/>
        </w:rPr>
        <w:t xml:space="preserve"> on a consumer-oriented view of mobile </w:t>
      </w:r>
      <w:r w:rsidR="00A45592">
        <w:rPr>
          <w:szCs w:val="22"/>
        </w:rPr>
        <w:t xml:space="preserve">wireless </w:t>
      </w:r>
      <w:r w:rsidR="00BE3101" w:rsidRPr="00C731B2">
        <w:rPr>
          <w:szCs w:val="22"/>
        </w:rPr>
        <w:t>services</w:t>
      </w:r>
      <w:r w:rsidR="00BE3101">
        <w:rPr>
          <w:szCs w:val="22"/>
        </w:rPr>
        <w:t xml:space="preserve">, with a focus </w:t>
      </w:r>
      <w:r w:rsidR="00BE3101" w:rsidRPr="00C731B2">
        <w:rPr>
          <w:szCs w:val="22"/>
        </w:rPr>
        <w:t>on specific product categories regardless of their regulatory classification</w:t>
      </w:r>
      <w:r w:rsidR="0006400B">
        <w:rPr>
          <w:szCs w:val="22"/>
        </w:rPr>
        <w:t xml:space="preserve">, with </w:t>
      </w:r>
      <w:r w:rsidR="00BE3101">
        <w:rPr>
          <w:szCs w:val="22"/>
        </w:rPr>
        <w:t xml:space="preserve">analysis of </w:t>
      </w:r>
      <w:r w:rsidR="00BE3101" w:rsidRPr="00D40600">
        <w:t>commercial mobile radio services (</w:t>
      </w:r>
      <w:r w:rsidR="00770845">
        <w:t>“</w:t>
      </w:r>
      <w:r w:rsidR="00BE3101" w:rsidRPr="00D40600">
        <w:t>CMRS</w:t>
      </w:r>
      <w:r w:rsidR="00770845">
        <w:t>”</w:t>
      </w:r>
      <w:r w:rsidR="00BE3101" w:rsidRPr="00D40600">
        <w:t xml:space="preserve">) </w:t>
      </w:r>
      <w:r w:rsidR="00BE3101">
        <w:rPr>
          <w:szCs w:val="22"/>
        </w:rPr>
        <w:t xml:space="preserve">integrated </w:t>
      </w:r>
      <w:r w:rsidR="00BE3101" w:rsidRPr="00C731B2">
        <w:rPr>
          <w:szCs w:val="22"/>
        </w:rPr>
        <w:t xml:space="preserve">into an analysis of all mobile wireless services, </w:t>
      </w:r>
      <w:r w:rsidR="00BE3101">
        <w:rPr>
          <w:szCs w:val="22"/>
        </w:rPr>
        <w:t xml:space="preserve">including </w:t>
      </w:r>
      <w:r w:rsidR="00BE3101" w:rsidRPr="00C731B2">
        <w:rPr>
          <w:szCs w:val="22"/>
        </w:rPr>
        <w:t>voice, messaging</w:t>
      </w:r>
      <w:r w:rsidR="00B65294">
        <w:rPr>
          <w:szCs w:val="22"/>
        </w:rPr>
        <w:t>,</w:t>
      </w:r>
      <w:r w:rsidR="00BE3101" w:rsidRPr="00C731B2">
        <w:rPr>
          <w:szCs w:val="22"/>
        </w:rPr>
        <w:t xml:space="preserve"> and broadband.  Because consumers </w:t>
      </w:r>
      <w:r w:rsidR="00BE3101">
        <w:rPr>
          <w:szCs w:val="22"/>
        </w:rPr>
        <w:t xml:space="preserve">increasingly </w:t>
      </w:r>
      <w:r w:rsidR="00BE3101" w:rsidRPr="00C731B2">
        <w:rPr>
          <w:szCs w:val="22"/>
        </w:rPr>
        <w:t xml:space="preserve">view </w:t>
      </w:r>
      <w:r w:rsidR="00BE3101">
        <w:rPr>
          <w:szCs w:val="22"/>
        </w:rPr>
        <w:t xml:space="preserve">various mobile </w:t>
      </w:r>
      <w:r w:rsidR="00BE3101" w:rsidRPr="00C731B2">
        <w:rPr>
          <w:szCs w:val="22"/>
        </w:rPr>
        <w:t xml:space="preserve">services as interchangeable with </w:t>
      </w:r>
      <w:r w:rsidR="00BE3101">
        <w:rPr>
          <w:szCs w:val="22"/>
        </w:rPr>
        <w:t xml:space="preserve">one another, </w:t>
      </w:r>
      <w:r w:rsidR="00BE3101" w:rsidRPr="00C731B2">
        <w:rPr>
          <w:szCs w:val="22"/>
        </w:rPr>
        <w:t xml:space="preserve">service providers </w:t>
      </w:r>
      <w:r w:rsidR="00BE3101">
        <w:rPr>
          <w:szCs w:val="22"/>
        </w:rPr>
        <w:t xml:space="preserve">are </w:t>
      </w:r>
      <w:r w:rsidR="00BE3101" w:rsidRPr="00C731B2">
        <w:rPr>
          <w:szCs w:val="22"/>
        </w:rPr>
        <w:t>compet</w:t>
      </w:r>
      <w:r w:rsidR="00BE3101">
        <w:rPr>
          <w:szCs w:val="22"/>
        </w:rPr>
        <w:t>ing</w:t>
      </w:r>
      <w:r w:rsidR="00BE3101" w:rsidRPr="00C731B2">
        <w:rPr>
          <w:szCs w:val="22"/>
        </w:rPr>
        <w:t xml:space="preserve"> for customers using CMRS </w:t>
      </w:r>
      <w:r w:rsidR="00BE3101" w:rsidRPr="00756455">
        <w:rPr>
          <w:szCs w:val="22"/>
        </w:rPr>
        <w:t>services</w:t>
      </w:r>
      <w:r w:rsidR="00BE3101" w:rsidRPr="00C731B2">
        <w:rPr>
          <w:szCs w:val="22"/>
        </w:rPr>
        <w:t xml:space="preserve"> as well as non-CMRS services.  As a result, the Commission has indicated that it is important to consider </w:t>
      </w:r>
      <w:r w:rsidR="00BE3101">
        <w:rPr>
          <w:szCs w:val="22"/>
        </w:rPr>
        <w:t>potential substitutes</w:t>
      </w:r>
      <w:r w:rsidR="00BE3101" w:rsidRPr="00C731B2">
        <w:rPr>
          <w:szCs w:val="22"/>
        </w:rPr>
        <w:t xml:space="preserve"> </w:t>
      </w:r>
      <w:r w:rsidR="00BE3101">
        <w:rPr>
          <w:szCs w:val="22"/>
        </w:rPr>
        <w:t>when</w:t>
      </w:r>
      <w:r w:rsidR="00BE3101" w:rsidRPr="00C731B2">
        <w:rPr>
          <w:szCs w:val="22"/>
        </w:rPr>
        <w:t xml:space="preserve"> analyzing the competitive landscape for these services</w:t>
      </w:r>
      <w:r w:rsidR="00BE3101">
        <w:rPr>
          <w:szCs w:val="22"/>
        </w:rPr>
        <w:t>, and to</w:t>
      </w:r>
      <w:r w:rsidR="00BE3101" w:rsidRPr="00C731B2">
        <w:rPr>
          <w:szCs w:val="22"/>
        </w:rPr>
        <w:t xml:space="preserve"> </w:t>
      </w:r>
      <w:r w:rsidR="00BE3101">
        <w:rPr>
          <w:szCs w:val="22"/>
        </w:rPr>
        <w:t>evaluate</w:t>
      </w:r>
      <w:r w:rsidR="00BE3101" w:rsidRPr="00C731B2">
        <w:rPr>
          <w:szCs w:val="22"/>
        </w:rPr>
        <w:t xml:space="preserve"> the mobile wireless industry</w:t>
      </w:r>
      <w:r w:rsidR="00BE3101">
        <w:rPr>
          <w:szCs w:val="22"/>
        </w:rPr>
        <w:t xml:space="preserve"> as a whole</w:t>
      </w:r>
      <w:r w:rsidR="00BE3101" w:rsidRPr="00C731B2">
        <w:rPr>
          <w:szCs w:val="22"/>
        </w:rPr>
        <w:t xml:space="preserve">, rather than </w:t>
      </w:r>
      <w:r w:rsidR="00770845">
        <w:rPr>
          <w:szCs w:val="22"/>
        </w:rPr>
        <w:t xml:space="preserve">focusing </w:t>
      </w:r>
      <w:r w:rsidR="00A45592">
        <w:rPr>
          <w:szCs w:val="22"/>
        </w:rPr>
        <w:t>solely</w:t>
      </w:r>
      <w:r w:rsidR="00BE3101" w:rsidRPr="00C731B2">
        <w:rPr>
          <w:szCs w:val="22"/>
        </w:rPr>
        <w:t xml:space="preserve"> </w:t>
      </w:r>
      <w:r w:rsidR="00BE3101">
        <w:rPr>
          <w:szCs w:val="22"/>
        </w:rPr>
        <w:t xml:space="preserve">on </w:t>
      </w:r>
      <w:r w:rsidR="00BE3101" w:rsidRPr="00C731B2">
        <w:rPr>
          <w:szCs w:val="22"/>
        </w:rPr>
        <w:t>the provision of CMRS services.</w:t>
      </w:r>
      <w:r w:rsidR="00BE3101" w:rsidRPr="00B53FFB">
        <w:rPr>
          <w:rStyle w:val="FootnoteReference"/>
          <w:szCs w:val="22"/>
        </w:rPr>
        <w:footnoteReference w:id="7"/>
      </w:r>
    </w:p>
    <w:p w:rsidR="008D6C2A" w:rsidRDefault="00965A4E" w:rsidP="00B829F0">
      <w:pPr>
        <w:pStyle w:val="ParaNum"/>
        <w:numPr>
          <w:ilvl w:val="0"/>
          <w:numId w:val="0"/>
        </w:numPr>
        <w:rPr>
          <w:szCs w:val="22"/>
        </w:rPr>
      </w:pPr>
      <w:r>
        <w:rPr>
          <w:szCs w:val="22"/>
        </w:rPr>
        <w:t>We anticipate that t</w:t>
      </w:r>
      <w:r w:rsidR="00CE62B0">
        <w:rPr>
          <w:szCs w:val="22"/>
        </w:rPr>
        <w:t xml:space="preserve">he </w:t>
      </w:r>
      <w:r w:rsidR="00606104">
        <w:rPr>
          <w:i/>
          <w:szCs w:val="22"/>
        </w:rPr>
        <w:t>Eighteenth</w:t>
      </w:r>
      <w:r w:rsidR="00CE62B0" w:rsidRPr="00C731B2">
        <w:rPr>
          <w:szCs w:val="22"/>
        </w:rPr>
        <w:t xml:space="preserve"> </w:t>
      </w:r>
      <w:r w:rsidR="00BE3101" w:rsidRPr="00C731B2">
        <w:rPr>
          <w:i/>
          <w:szCs w:val="22"/>
        </w:rPr>
        <w:t>Report</w:t>
      </w:r>
      <w:r w:rsidR="00BE3101" w:rsidRPr="00C731B2">
        <w:rPr>
          <w:szCs w:val="22"/>
        </w:rPr>
        <w:t xml:space="preserve"> </w:t>
      </w:r>
      <w:r w:rsidR="00CE62B0">
        <w:rPr>
          <w:szCs w:val="22"/>
        </w:rPr>
        <w:t xml:space="preserve">will similarly </w:t>
      </w:r>
      <w:r w:rsidR="00CE62B0" w:rsidRPr="00C731B2">
        <w:rPr>
          <w:szCs w:val="22"/>
        </w:rPr>
        <w:t>anal</w:t>
      </w:r>
      <w:r w:rsidR="00CE62B0">
        <w:rPr>
          <w:szCs w:val="22"/>
        </w:rPr>
        <w:t>yze</w:t>
      </w:r>
      <w:r w:rsidR="00BE3101" w:rsidRPr="00C731B2">
        <w:rPr>
          <w:szCs w:val="22"/>
        </w:rPr>
        <w:t xml:space="preserve"> competition across the entire mobile wireless </w:t>
      </w:r>
      <w:r w:rsidR="0009299A">
        <w:rPr>
          <w:szCs w:val="22"/>
        </w:rPr>
        <w:t>ecosystem</w:t>
      </w:r>
      <w:r w:rsidR="00BE3101" w:rsidRPr="00C731B2">
        <w:rPr>
          <w:szCs w:val="22"/>
        </w:rPr>
        <w:t xml:space="preserve">, including </w:t>
      </w:r>
      <w:r w:rsidR="00BE3101">
        <w:rPr>
          <w:szCs w:val="22"/>
        </w:rPr>
        <w:t>key</w:t>
      </w:r>
      <w:r w:rsidR="00BE3101" w:rsidRPr="00C731B2">
        <w:rPr>
          <w:szCs w:val="22"/>
        </w:rPr>
        <w:t xml:space="preserve"> </w:t>
      </w:r>
      <w:r w:rsidR="007E13D3">
        <w:rPr>
          <w:szCs w:val="22"/>
        </w:rPr>
        <w:t xml:space="preserve">input </w:t>
      </w:r>
      <w:r w:rsidR="00BE3101" w:rsidRPr="00C731B2">
        <w:rPr>
          <w:szCs w:val="22"/>
        </w:rPr>
        <w:t>market segments such as spectrum</w:t>
      </w:r>
      <w:r w:rsidR="00BE3101">
        <w:rPr>
          <w:szCs w:val="22"/>
        </w:rPr>
        <w:t xml:space="preserve"> and infrastructure</w:t>
      </w:r>
      <w:r w:rsidR="007E13D3">
        <w:rPr>
          <w:szCs w:val="22"/>
        </w:rPr>
        <w:t>, as well as downstream segments such as mobile applications</w:t>
      </w:r>
      <w:r w:rsidR="00BE3101" w:rsidRPr="00C731B2">
        <w:rPr>
          <w:szCs w:val="22"/>
        </w:rPr>
        <w:t xml:space="preserve">.  </w:t>
      </w:r>
      <w:r w:rsidR="008D6C2A">
        <w:rPr>
          <w:szCs w:val="22"/>
        </w:rPr>
        <w:t xml:space="preserve">We </w:t>
      </w:r>
      <w:r w:rsidR="00CE62B0">
        <w:rPr>
          <w:szCs w:val="22"/>
        </w:rPr>
        <w:t xml:space="preserve">therefore </w:t>
      </w:r>
      <w:r w:rsidR="006568A3">
        <w:rPr>
          <w:szCs w:val="22"/>
        </w:rPr>
        <w:t xml:space="preserve">invite commenters to address the sources of data </w:t>
      </w:r>
      <w:r w:rsidR="00CE061F">
        <w:rPr>
          <w:szCs w:val="22"/>
        </w:rPr>
        <w:t xml:space="preserve">utilized </w:t>
      </w:r>
      <w:r w:rsidR="006568A3">
        <w:rPr>
          <w:szCs w:val="22"/>
        </w:rPr>
        <w:t xml:space="preserve">and the analysis of metrics and information relating to the various aspects of the mobile wireless ecosystem </w:t>
      </w:r>
      <w:r w:rsidR="00CE061F">
        <w:rPr>
          <w:szCs w:val="22"/>
        </w:rPr>
        <w:t xml:space="preserve">outlined </w:t>
      </w:r>
      <w:r w:rsidR="006568A3">
        <w:rPr>
          <w:szCs w:val="22"/>
        </w:rPr>
        <w:t xml:space="preserve">below.  </w:t>
      </w:r>
    </w:p>
    <w:p w:rsidR="007D3B5F" w:rsidRDefault="007D3B5F" w:rsidP="00B829F0">
      <w:pPr>
        <w:pStyle w:val="Heading1"/>
        <w:ind w:left="720"/>
      </w:pPr>
      <w:r>
        <w:t>competitive dynamics in the mobile wireless marketplace</w:t>
      </w:r>
    </w:p>
    <w:p w:rsidR="00B74B83" w:rsidRDefault="00B163FE" w:rsidP="00B829F0">
      <w:pPr>
        <w:pStyle w:val="Heading2"/>
      </w:pPr>
      <w:r>
        <w:t>Service Providers</w:t>
      </w:r>
    </w:p>
    <w:p w:rsidR="00656287" w:rsidRDefault="00656287" w:rsidP="00B829F0">
      <w:pPr>
        <w:pStyle w:val="ParaNum"/>
        <w:numPr>
          <w:ilvl w:val="0"/>
          <w:numId w:val="0"/>
        </w:numPr>
        <w:rPr>
          <w:szCs w:val="22"/>
        </w:rPr>
      </w:pPr>
      <w:r>
        <w:rPr>
          <w:szCs w:val="22"/>
        </w:rPr>
        <w:t xml:space="preserve">Our analysis of competition within the mobile wireless </w:t>
      </w:r>
      <w:r w:rsidR="000F0180">
        <w:rPr>
          <w:szCs w:val="22"/>
        </w:rPr>
        <w:t>marketplace</w:t>
      </w:r>
      <w:r>
        <w:rPr>
          <w:szCs w:val="22"/>
        </w:rPr>
        <w:t xml:space="preserve"> </w:t>
      </w:r>
      <w:r w:rsidR="00965A4E">
        <w:rPr>
          <w:szCs w:val="22"/>
        </w:rPr>
        <w:t>start</w:t>
      </w:r>
      <w:r w:rsidR="00770845">
        <w:rPr>
          <w:szCs w:val="22"/>
        </w:rPr>
        <w:t>s</w:t>
      </w:r>
      <w:r w:rsidR="00965A4E">
        <w:rPr>
          <w:szCs w:val="22"/>
        </w:rPr>
        <w:t xml:space="preserve"> with </w:t>
      </w:r>
      <w:r>
        <w:rPr>
          <w:szCs w:val="22"/>
        </w:rPr>
        <w:t xml:space="preserve">a baseline understanding </w:t>
      </w:r>
      <w:r w:rsidR="000F0180">
        <w:rPr>
          <w:szCs w:val="22"/>
        </w:rPr>
        <w:t xml:space="preserve">of </w:t>
      </w:r>
      <w:r>
        <w:rPr>
          <w:szCs w:val="22"/>
        </w:rPr>
        <w:t xml:space="preserve">the competitive dynamics at </w:t>
      </w:r>
      <w:r w:rsidR="000F0180">
        <w:rPr>
          <w:szCs w:val="22"/>
        </w:rPr>
        <w:t>play</w:t>
      </w:r>
      <w:r>
        <w:rPr>
          <w:szCs w:val="22"/>
        </w:rPr>
        <w:t xml:space="preserve">.  </w:t>
      </w:r>
      <w:r w:rsidR="000F0180">
        <w:rPr>
          <w:szCs w:val="22"/>
        </w:rPr>
        <w:t>Service p</w:t>
      </w:r>
      <w:r>
        <w:rPr>
          <w:szCs w:val="22"/>
        </w:rPr>
        <w:t>roviders offer an array of services, including interconnected voice, text and multimedia messaging, and mobile broadband internet access.</w:t>
      </w:r>
      <w:r w:rsidR="000F0180">
        <w:rPr>
          <w:szCs w:val="22"/>
        </w:rPr>
        <w:t xml:space="preserve"> </w:t>
      </w:r>
      <w:r>
        <w:rPr>
          <w:szCs w:val="22"/>
        </w:rPr>
        <w:t xml:space="preserve"> </w:t>
      </w:r>
      <w:r w:rsidR="000F0180">
        <w:rPr>
          <w:szCs w:val="22"/>
        </w:rPr>
        <w:t>Service p</w:t>
      </w:r>
      <w:r>
        <w:rPr>
          <w:szCs w:val="22"/>
        </w:rPr>
        <w:t>roviders also may offer other services such as machine-to-machine connections, smart grid devices, home security monitoring, and vehicle telematics</w:t>
      </w:r>
      <w:r w:rsidR="009D0E96">
        <w:rPr>
          <w:szCs w:val="22"/>
        </w:rPr>
        <w:t>, all part of the “Internet of Things” (“IOT”)</w:t>
      </w:r>
      <w:r>
        <w:rPr>
          <w:szCs w:val="22"/>
        </w:rPr>
        <w:t xml:space="preserve">.  </w:t>
      </w:r>
      <w:r w:rsidR="008D6C2A">
        <w:rPr>
          <w:szCs w:val="22"/>
        </w:rPr>
        <w:t xml:space="preserve">We seek comment </w:t>
      </w:r>
      <w:r w:rsidR="000F0180">
        <w:rPr>
          <w:szCs w:val="22"/>
        </w:rPr>
        <w:t xml:space="preserve">and </w:t>
      </w:r>
      <w:r w:rsidR="0046187B">
        <w:rPr>
          <w:szCs w:val="22"/>
        </w:rPr>
        <w:t>analysis</w:t>
      </w:r>
      <w:r w:rsidR="000F0180">
        <w:rPr>
          <w:szCs w:val="22"/>
        </w:rPr>
        <w:t xml:space="preserve"> </w:t>
      </w:r>
      <w:r w:rsidR="0046187B">
        <w:rPr>
          <w:szCs w:val="22"/>
        </w:rPr>
        <w:t>to update the information on the</w:t>
      </w:r>
      <w:r w:rsidR="008D6C2A">
        <w:rPr>
          <w:szCs w:val="22"/>
        </w:rPr>
        <w:t xml:space="preserve"> </w:t>
      </w:r>
      <w:r w:rsidR="007C647F">
        <w:rPr>
          <w:szCs w:val="22"/>
        </w:rPr>
        <w:t>roles of nationwide and regional or local facilities-based service</w:t>
      </w:r>
      <w:r w:rsidR="008D6C2A">
        <w:rPr>
          <w:szCs w:val="22"/>
        </w:rPr>
        <w:t xml:space="preserve"> providers in the </w:t>
      </w:r>
      <w:r w:rsidR="00812FFF">
        <w:rPr>
          <w:szCs w:val="22"/>
        </w:rPr>
        <w:t xml:space="preserve">United States </w:t>
      </w:r>
      <w:r w:rsidR="000F0180">
        <w:rPr>
          <w:szCs w:val="22"/>
        </w:rPr>
        <w:t xml:space="preserve">mobile wireless </w:t>
      </w:r>
      <w:r w:rsidR="008D6C2A">
        <w:rPr>
          <w:szCs w:val="22"/>
        </w:rPr>
        <w:t>marketplace</w:t>
      </w:r>
      <w:r w:rsidR="007C647F">
        <w:rPr>
          <w:szCs w:val="22"/>
        </w:rPr>
        <w:t xml:space="preserve"> today.</w:t>
      </w:r>
      <w:r w:rsidR="007C647F">
        <w:rPr>
          <w:rStyle w:val="FootnoteReference"/>
          <w:szCs w:val="22"/>
        </w:rPr>
        <w:footnoteReference w:id="8"/>
      </w:r>
      <w:r w:rsidR="007C647F">
        <w:rPr>
          <w:szCs w:val="22"/>
        </w:rPr>
        <w:t xml:space="preserve">  In addition, we seek to update the </w:t>
      </w:r>
      <w:r w:rsidR="007C647F">
        <w:t>information on the major resellers/Mobile Virtual Network Operators (</w:t>
      </w:r>
      <w:r w:rsidR="00D7146B">
        <w:t>“</w:t>
      </w:r>
      <w:r w:rsidR="007C647F">
        <w:t>MVNOs</w:t>
      </w:r>
      <w:r w:rsidR="00D7146B">
        <w:t>”</w:t>
      </w:r>
      <w:r w:rsidR="007C647F">
        <w:t>)</w:t>
      </w:r>
      <w:r w:rsidR="00D7146B">
        <w:t xml:space="preserve">, and </w:t>
      </w:r>
      <w:r w:rsidR="004A2BC2">
        <w:t>other</w:t>
      </w:r>
      <w:r w:rsidR="007C647F">
        <w:t xml:space="preserve"> </w:t>
      </w:r>
      <w:r w:rsidR="00D7146B">
        <w:t xml:space="preserve">providers operating </w:t>
      </w:r>
      <w:r w:rsidR="007C647F">
        <w:t xml:space="preserve">in the United States </w:t>
      </w:r>
      <w:r w:rsidR="00D7146B">
        <w:t xml:space="preserve">as presented </w:t>
      </w:r>
      <w:r w:rsidR="007C647F">
        <w:t xml:space="preserve">in the </w:t>
      </w:r>
      <w:r w:rsidR="007C647F">
        <w:rPr>
          <w:i/>
        </w:rPr>
        <w:t>Seventeenth</w:t>
      </w:r>
      <w:r w:rsidR="007C647F" w:rsidRPr="00CB7CDD">
        <w:rPr>
          <w:i/>
        </w:rPr>
        <w:t xml:space="preserve"> Report</w:t>
      </w:r>
      <w:r w:rsidR="007C647F">
        <w:t>.</w:t>
      </w:r>
      <w:r w:rsidR="007C647F">
        <w:rPr>
          <w:rStyle w:val="FootnoteReference"/>
        </w:rPr>
        <w:footnoteReference w:id="9"/>
      </w:r>
    </w:p>
    <w:p w:rsidR="00B163FE" w:rsidRDefault="00B163FE" w:rsidP="00B829F0">
      <w:pPr>
        <w:pStyle w:val="Heading2"/>
      </w:pPr>
      <w:r>
        <w:t xml:space="preserve">Connections, Net Additions, </w:t>
      </w:r>
      <w:r w:rsidR="00D22028">
        <w:t xml:space="preserve">and </w:t>
      </w:r>
      <w:r>
        <w:t>Churn</w:t>
      </w:r>
    </w:p>
    <w:p w:rsidR="0041540A" w:rsidRPr="00CD7D8D" w:rsidRDefault="00AD08E0" w:rsidP="00B829F0">
      <w:pPr>
        <w:pStyle w:val="Default"/>
        <w:spacing w:after="120"/>
        <w:rPr>
          <w:sz w:val="22"/>
          <w:szCs w:val="22"/>
        </w:rPr>
      </w:pPr>
      <w:r w:rsidRPr="00CD7D8D">
        <w:rPr>
          <w:sz w:val="22"/>
          <w:szCs w:val="22"/>
        </w:rPr>
        <w:t xml:space="preserve">We seek comment on </w:t>
      </w:r>
      <w:r w:rsidR="00965A4E">
        <w:rPr>
          <w:sz w:val="22"/>
          <w:szCs w:val="22"/>
        </w:rPr>
        <w:t xml:space="preserve">the </w:t>
      </w:r>
      <w:r w:rsidRPr="00CD7D8D">
        <w:rPr>
          <w:sz w:val="22"/>
          <w:szCs w:val="22"/>
        </w:rPr>
        <w:t xml:space="preserve">analysis </w:t>
      </w:r>
      <w:r w:rsidR="00965A4E">
        <w:rPr>
          <w:sz w:val="22"/>
          <w:szCs w:val="22"/>
        </w:rPr>
        <w:t xml:space="preserve">in the </w:t>
      </w:r>
      <w:r w:rsidR="00917704">
        <w:rPr>
          <w:i/>
          <w:sz w:val="22"/>
          <w:szCs w:val="22"/>
        </w:rPr>
        <w:t>Seventeenth</w:t>
      </w:r>
      <w:r w:rsidR="00965A4E">
        <w:rPr>
          <w:i/>
          <w:sz w:val="22"/>
          <w:szCs w:val="22"/>
        </w:rPr>
        <w:t xml:space="preserve"> Report </w:t>
      </w:r>
      <w:r w:rsidRPr="00CD7D8D">
        <w:rPr>
          <w:sz w:val="22"/>
          <w:szCs w:val="22"/>
        </w:rPr>
        <w:t>of the total number of mobile wireless connections nationwide, and by service segment.  The main source of data used by the Commission to calculate total mobile wireless connections is NRUF, which tracks the number of phone numbers that have been assigned to mobile wireless devices.</w:t>
      </w:r>
      <w:r w:rsidR="002876EF">
        <w:rPr>
          <w:rStyle w:val="FootnoteReference"/>
          <w:szCs w:val="22"/>
        </w:rPr>
        <w:footnoteReference w:id="10"/>
      </w:r>
      <w:r w:rsidRPr="00CD7D8D">
        <w:rPr>
          <w:sz w:val="22"/>
          <w:szCs w:val="22"/>
        </w:rPr>
        <w:t xml:space="preserve">  As noted in the </w:t>
      </w:r>
      <w:r w:rsidRPr="00CD7D8D">
        <w:rPr>
          <w:i/>
          <w:sz w:val="22"/>
          <w:szCs w:val="22"/>
        </w:rPr>
        <w:t xml:space="preserve">Seventeenth Report, </w:t>
      </w:r>
      <w:r w:rsidRPr="00CD7D8D">
        <w:rPr>
          <w:sz w:val="22"/>
          <w:szCs w:val="22"/>
        </w:rPr>
        <w:t xml:space="preserve">NRUF no longer </w:t>
      </w:r>
      <w:r w:rsidR="002876EF">
        <w:rPr>
          <w:sz w:val="22"/>
          <w:szCs w:val="22"/>
        </w:rPr>
        <w:t>accurately reflects</w:t>
      </w:r>
      <w:r w:rsidRPr="00CD7D8D">
        <w:rPr>
          <w:sz w:val="22"/>
          <w:szCs w:val="22"/>
        </w:rPr>
        <w:t xml:space="preserve"> the number of individual </w:t>
      </w:r>
      <w:r w:rsidR="00873B23">
        <w:rPr>
          <w:sz w:val="22"/>
          <w:szCs w:val="22"/>
        </w:rPr>
        <w:t>subscriber</w:t>
      </w:r>
      <w:r w:rsidR="002876EF">
        <w:rPr>
          <w:sz w:val="22"/>
          <w:szCs w:val="22"/>
        </w:rPr>
        <w:t>s</w:t>
      </w:r>
      <w:r w:rsidR="00EE73CE">
        <w:rPr>
          <w:sz w:val="22"/>
          <w:szCs w:val="22"/>
        </w:rPr>
        <w:t xml:space="preserve"> due primarily to the </w:t>
      </w:r>
      <w:r w:rsidR="002876EF">
        <w:rPr>
          <w:sz w:val="22"/>
          <w:szCs w:val="22"/>
        </w:rPr>
        <w:t xml:space="preserve"> growth of multi-device accounts, and we seek comment on the effect of these limitations on our analysis</w:t>
      </w:r>
      <w:r w:rsidRPr="00CD7D8D">
        <w:rPr>
          <w:sz w:val="22"/>
          <w:szCs w:val="22"/>
        </w:rPr>
        <w:t>.</w:t>
      </w:r>
      <w:r w:rsidRPr="00CD7D8D">
        <w:rPr>
          <w:rStyle w:val="FootnoteReference"/>
          <w:szCs w:val="22"/>
        </w:rPr>
        <w:footnoteReference w:id="11"/>
      </w:r>
      <w:r w:rsidRPr="00CD7D8D">
        <w:rPr>
          <w:sz w:val="22"/>
          <w:szCs w:val="22"/>
        </w:rPr>
        <w:t xml:space="preserve">  </w:t>
      </w:r>
      <w:r w:rsidR="002876EF">
        <w:rPr>
          <w:sz w:val="22"/>
          <w:szCs w:val="22"/>
        </w:rPr>
        <w:t>Further, w</w:t>
      </w:r>
      <w:r w:rsidR="0046187B" w:rsidRPr="00CD7D8D">
        <w:rPr>
          <w:sz w:val="22"/>
          <w:szCs w:val="22"/>
        </w:rPr>
        <w:t xml:space="preserve">e seek comment on </w:t>
      </w:r>
      <w:r w:rsidR="00965A4E">
        <w:rPr>
          <w:sz w:val="22"/>
          <w:szCs w:val="22"/>
        </w:rPr>
        <w:t>the</w:t>
      </w:r>
      <w:r w:rsidR="0046187B" w:rsidRPr="00CD7D8D">
        <w:rPr>
          <w:sz w:val="22"/>
          <w:szCs w:val="22"/>
        </w:rPr>
        <w:t xml:space="preserve"> analysis </w:t>
      </w:r>
      <w:r w:rsidR="00965A4E">
        <w:rPr>
          <w:sz w:val="22"/>
          <w:szCs w:val="22"/>
        </w:rPr>
        <w:t xml:space="preserve">in the </w:t>
      </w:r>
      <w:r w:rsidR="00965A4E">
        <w:rPr>
          <w:i/>
          <w:sz w:val="22"/>
          <w:szCs w:val="22"/>
        </w:rPr>
        <w:t>Seventee</w:t>
      </w:r>
      <w:r w:rsidR="002876EF">
        <w:rPr>
          <w:i/>
          <w:sz w:val="22"/>
          <w:szCs w:val="22"/>
        </w:rPr>
        <w:t>n</w:t>
      </w:r>
      <w:r w:rsidR="00965A4E">
        <w:rPr>
          <w:i/>
          <w:sz w:val="22"/>
          <w:szCs w:val="22"/>
        </w:rPr>
        <w:t xml:space="preserve">th Report </w:t>
      </w:r>
      <w:r w:rsidR="0046187B" w:rsidRPr="00CD7D8D">
        <w:rPr>
          <w:sz w:val="22"/>
          <w:szCs w:val="22"/>
        </w:rPr>
        <w:t xml:space="preserve">of net subscriber additions, or “net adds,” for the industry as a whole, and </w:t>
      </w:r>
      <w:r w:rsidRPr="00CD7D8D">
        <w:rPr>
          <w:sz w:val="22"/>
          <w:szCs w:val="22"/>
        </w:rPr>
        <w:t xml:space="preserve">by service provider, and </w:t>
      </w:r>
      <w:r w:rsidR="0046187B" w:rsidRPr="00CD7D8D">
        <w:rPr>
          <w:sz w:val="22"/>
          <w:szCs w:val="22"/>
        </w:rPr>
        <w:t xml:space="preserve">ask whether we should make any changes or add any new measures to the </w:t>
      </w:r>
      <w:r w:rsidR="0046187B" w:rsidRPr="00CD7D8D">
        <w:rPr>
          <w:i/>
          <w:sz w:val="22"/>
          <w:szCs w:val="22"/>
        </w:rPr>
        <w:t>Eighteenth Report</w:t>
      </w:r>
      <w:r w:rsidR="0046187B" w:rsidRPr="00CD7D8D">
        <w:rPr>
          <w:sz w:val="22"/>
          <w:szCs w:val="22"/>
        </w:rPr>
        <w:t xml:space="preserve">.  </w:t>
      </w:r>
      <w:r w:rsidR="002876EF">
        <w:rPr>
          <w:sz w:val="22"/>
          <w:szCs w:val="22"/>
        </w:rPr>
        <w:t>In addition</w:t>
      </w:r>
      <w:r w:rsidRPr="00CD7D8D">
        <w:rPr>
          <w:sz w:val="22"/>
          <w:szCs w:val="22"/>
        </w:rPr>
        <w:t xml:space="preserve">, we </w:t>
      </w:r>
      <w:r w:rsidR="00995768" w:rsidRPr="00CD7D8D">
        <w:rPr>
          <w:sz w:val="22"/>
          <w:szCs w:val="22"/>
        </w:rPr>
        <w:t xml:space="preserve">request up-to-date churn information and ask </w:t>
      </w:r>
      <w:r w:rsidR="000E1714" w:rsidRPr="00CD7D8D">
        <w:rPr>
          <w:sz w:val="22"/>
          <w:szCs w:val="22"/>
        </w:rPr>
        <w:t>h</w:t>
      </w:r>
      <w:r w:rsidR="00995768" w:rsidRPr="00CD7D8D">
        <w:rPr>
          <w:sz w:val="22"/>
          <w:szCs w:val="22"/>
        </w:rPr>
        <w:t>ow the overall churn rate, as well as the churn rates of particular service providers, change</w:t>
      </w:r>
      <w:r w:rsidRPr="00CD7D8D">
        <w:rPr>
          <w:sz w:val="22"/>
          <w:szCs w:val="22"/>
        </w:rPr>
        <w:t>d</w:t>
      </w:r>
      <w:r w:rsidR="00995768" w:rsidRPr="00CD7D8D">
        <w:rPr>
          <w:sz w:val="22"/>
          <w:szCs w:val="22"/>
        </w:rPr>
        <w:t xml:space="preserve"> during 201</w:t>
      </w:r>
      <w:r w:rsidR="000E1714" w:rsidRPr="00CD7D8D">
        <w:rPr>
          <w:sz w:val="22"/>
          <w:szCs w:val="22"/>
        </w:rPr>
        <w:t>4</w:t>
      </w:r>
      <w:r w:rsidR="00995768" w:rsidRPr="00CD7D8D">
        <w:rPr>
          <w:sz w:val="22"/>
          <w:szCs w:val="22"/>
        </w:rPr>
        <w:t xml:space="preserve"> and </w:t>
      </w:r>
      <w:r w:rsidR="000E1714" w:rsidRPr="00CD7D8D">
        <w:rPr>
          <w:sz w:val="22"/>
          <w:szCs w:val="22"/>
        </w:rPr>
        <w:t xml:space="preserve">the first part of </w:t>
      </w:r>
      <w:r w:rsidR="00995768" w:rsidRPr="00CD7D8D">
        <w:rPr>
          <w:sz w:val="22"/>
          <w:szCs w:val="22"/>
        </w:rPr>
        <w:t>201</w:t>
      </w:r>
      <w:r w:rsidR="000E1714" w:rsidRPr="00CD7D8D">
        <w:rPr>
          <w:sz w:val="22"/>
          <w:szCs w:val="22"/>
        </w:rPr>
        <w:t>5</w:t>
      </w:r>
      <w:r w:rsidR="00D22028" w:rsidRPr="00CD7D8D">
        <w:rPr>
          <w:sz w:val="22"/>
          <w:szCs w:val="22"/>
        </w:rPr>
        <w:t>.</w:t>
      </w:r>
      <w:r w:rsidR="00995768" w:rsidRPr="00CD7D8D">
        <w:rPr>
          <w:sz w:val="22"/>
          <w:szCs w:val="22"/>
        </w:rPr>
        <w:t xml:space="preserve">  Further, </w:t>
      </w:r>
      <w:r w:rsidR="0080334C">
        <w:rPr>
          <w:sz w:val="22"/>
          <w:szCs w:val="22"/>
        </w:rPr>
        <w:t xml:space="preserve">we </w:t>
      </w:r>
      <w:r w:rsidR="00995768" w:rsidRPr="00CD7D8D">
        <w:rPr>
          <w:sz w:val="22"/>
          <w:szCs w:val="22"/>
        </w:rPr>
        <w:t xml:space="preserve">seek </w:t>
      </w:r>
      <w:r w:rsidR="000E1714" w:rsidRPr="00CD7D8D">
        <w:rPr>
          <w:sz w:val="22"/>
          <w:szCs w:val="22"/>
        </w:rPr>
        <w:t xml:space="preserve">information on </w:t>
      </w:r>
      <w:r w:rsidR="00995768" w:rsidRPr="00CD7D8D">
        <w:rPr>
          <w:sz w:val="22"/>
          <w:szCs w:val="22"/>
        </w:rPr>
        <w:t>the reasons for consumer churn</w:t>
      </w:r>
      <w:r w:rsidR="000E1714" w:rsidRPr="00CD7D8D">
        <w:rPr>
          <w:sz w:val="22"/>
          <w:szCs w:val="22"/>
        </w:rPr>
        <w:t>, and whether th</w:t>
      </w:r>
      <w:r w:rsidRPr="00CD7D8D">
        <w:rPr>
          <w:sz w:val="22"/>
          <w:szCs w:val="22"/>
        </w:rPr>
        <w:t>ese</w:t>
      </w:r>
      <w:r w:rsidR="000E1714" w:rsidRPr="00CD7D8D">
        <w:rPr>
          <w:sz w:val="22"/>
          <w:szCs w:val="22"/>
        </w:rPr>
        <w:t xml:space="preserve"> reasons have changed since the </w:t>
      </w:r>
      <w:r w:rsidR="000E1714" w:rsidRPr="00CD7D8D">
        <w:rPr>
          <w:i/>
          <w:sz w:val="22"/>
          <w:szCs w:val="22"/>
        </w:rPr>
        <w:t>Seventeenth Report</w:t>
      </w:r>
      <w:r w:rsidR="000E1714" w:rsidRPr="00CD7D8D">
        <w:rPr>
          <w:sz w:val="22"/>
          <w:szCs w:val="22"/>
        </w:rPr>
        <w:t>.</w:t>
      </w:r>
      <w:r w:rsidR="00995768" w:rsidRPr="00CD7D8D">
        <w:rPr>
          <w:sz w:val="22"/>
          <w:szCs w:val="22"/>
        </w:rPr>
        <w:t xml:space="preserve">  </w:t>
      </w:r>
      <w:r w:rsidR="000E1714" w:rsidRPr="00CD7D8D">
        <w:rPr>
          <w:sz w:val="22"/>
          <w:szCs w:val="22"/>
        </w:rPr>
        <w:t xml:space="preserve">Commenters should also provide information and analysis on the usefulness of reporting metrics such as the total number of connections, subscribers, net additions and churn.  </w:t>
      </w:r>
    </w:p>
    <w:p w:rsidR="00B163FE" w:rsidRDefault="00B163FE" w:rsidP="00B829F0">
      <w:pPr>
        <w:pStyle w:val="Heading2"/>
      </w:pPr>
      <w:r>
        <w:t>Market Shares and Concentration</w:t>
      </w:r>
    </w:p>
    <w:p w:rsidR="0046187B" w:rsidRDefault="00BA5D1E" w:rsidP="00B829F0">
      <w:pPr>
        <w:pStyle w:val="ParaNum"/>
        <w:numPr>
          <w:ilvl w:val="0"/>
          <w:numId w:val="0"/>
        </w:numPr>
        <w:rPr>
          <w:szCs w:val="22"/>
        </w:rPr>
      </w:pPr>
      <w:r>
        <w:t xml:space="preserve">We seek comment on whether it would be helpful to estimate market shares or </w:t>
      </w:r>
      <w:r w:rsidR="00873B23">
        <w:t xml:space="preserve">market </w:t>
      </w:r>
      <w:r>
        <w:t xml:space="preserve">concentration for specific mobile wireless services and how we might estimate such </w:t>
      </w:r>
      <w:r w:rsidR="00873B23">
        <w:t>metrics</w:t>
      </w:r>
      <w:r>
        <w:t xml:space="preserve">.  </w:t>
      </w:r>
      <w:r w:rsidR="00847BD6">
        <w:t xml:space="preserve">In the </w:t>
      </w:r>
      <w:r w:rsidR="00847BD6">
        <w:rPr>
          <w:i/>
        </w:rPr>
        <w:t xml:space="preserve">Seventeenth </w:t>
      </w:r>
      <w:r w:rsidR="00847BD6" w:rsidRPr="00B96509">
        <w:rPr>
          <w:i/>
        </w:rPr>
        <w:t>Report</w:t>
      </w:r>
      <w:r w:rsidR="00847BD6">
        <w:t xml:space="preserve">, </w:t>
      </w:r>
      <w:r w:rsidR="00873B23">
        <w:t>we calculated market shares based on service revenues.</w:t>
      </w:r>
      <w:r w:rsidR="00873B23">
        <w:rPr>
          <w:rStyle w:val="FootnoteReference"/>
        </w:rPr>
        <w:footnoteReference w:id="12"/>
      </w:r>
      <w:r w:rsidR="00873B23">
        <w:t xml:space="preserve">  In addition, </w:t>
      </w:r>
      <w:r w:rsidR="00847BD6">
        <w:t xml:space="preserve">as in previous </w:t>
      </w:r>
      <w:r w:rsidR="00847BD6">
        <w:rPr>
          <w:i/>
        </w:rPr>
        <w:t>Reports</w:t>
      </w:r>
      <w:r w:rsidR="00847BD6">
        <w:t xml:space="preserve">, the </w:t>
      </w:r>
      <w:r w:rsidR="00556AA9">
        <w:rPr>
          <w:i/>
        </w:rPr>
        <w:t xml:space="preserve">Seventeenth </w:t>
      </w:r>
      <w:r w:rsidR="00556AA9" w:rsidRPr="00B96509">
        <w:rPr>
          <w:i/>
        </w:rPr>
        <w:t>Report</w:t>
      </w:r>
      <w:r w:rsidR="00556AA9">
        <w:t xml:space="preserve"> </w:t>
      </w:r>
      <w:r w:rsidR="00847BD6">
        <w:t>analyzed horizontal concentration by calculating</w:t>
      </w:r>
      <w:r w:rsidR="00C449C4">
        <w:t>, based on NRUF data,</w:t>
      </w:r>
      <w:r w:rsidR="00847BD6">
        <w:t xml:space="preserve"> the Herfindahl-Hirschman Index (“HHI”) for each Economic Area (“EA”) in the United States and determining an average HHI, weighted by EA population, for the entire country.</w:t>
      </w:r>
      <w:r w:rsidR="00847BD6">
        <w:rPr>
          <w:rStyle w:val="FootnoteReference"/>
        </w:rPr>
        <w:footnoteReference w:id="13"/>
      </w:r>
      <w:r w:rsidR="00847BD6">
        <w:t xml:space="preserve">  We seek comment on the use of the HHI index </w:t>
      </w:r>
      <w:r w:rsidR="00C449C4">
        <w:t>to measure</w:t>
      </w:r>
      <w:r w:rsidR="00EB5A2F">
        <w:t xml:space="preserve"> </w:t>
      </w:r>
      <w:r w:rsidR="00C449C4">
        <w:t xml:space="preserve">market </w:t>
      </w:r>
      <w:r w:rsidR="00EB5A2F">
        <w:t xml:space="preserve">concentration </w:t>
      </w:r>
      <w:r w:rsidR="00847BD6">
        <w:t xml:space="preserve">and </w:t>
      </w:r>
      <w:r w:rsidR="00C449C4">
        <w:t xml:space="preserve">ask </w:t>
      </w:r>
      <w:r w:rsidR="00847BD6">
        <w:t xml:space="preserve">whether there are </w:t>
      </w:r>
      <w:r w:rsidR="00C449C4">
        <w:t xml:space="preserve">alternative ways of measuring and analyzing market </w:t>
      </w:r>
      <w:r w:rsidR="00EB5A2F">
        <w:t>concentration.</w:t>
      </w:r>
    </w:p>
    <w:p w:rsidR="00B163FE" w:rsidRDefault="00B163FE" w:rsidP="00B829F0">
      <w:pPr>
        <w:pStyle w:val="Heading2"/>
      </w:pPr>
      <w:r>
        <w:t>Financial Indicators</w:t>
      </w:r>
    </w:p>
    <w:p w:rsidR="008E5775" w:rsidRDefault="0080334C" w:rsidP="00B829F0">
      <w:pPr>
        <w:pStyle w:val="Paranum0"/>
        <w:spacing w:after="120"/>
      </w:pPr>
      <w:r>
        <w:t>We also</w:t>
      </w:r>
      <w:r w:rsidR="0046187B">
        <w:t xml:space="preserve"> seek comment on the use </w:t>
      </w:r>
      <w:r w:rsidR="00EB5A2F">
        <w:t xml:space="preserve">in </w:t>
      </w:r>
      <w:r>
        <w:t>the</w:t>
      </w:r>
      <w:r w:rsidR="00EB5A2F">
        <w:t xml:space="preserve"> analysis of</w:t>
      </w:r>
      <w:r w:rsidR="0046187B">
        <w:t xml:space="preserve"> key </w:t>
      </w:r>
      <w:r w:rsidR="00EB5A2F">
        <w:t>financial indicators</w:t>
      </w:r>
      <w:r w:rsidR="0046187B">
        <w:t>, including total industry revenues</w:t>
      </w:r>
      <w:r w:rsidR="00C21E90">
        <w:t xml:space="preserve">, </w:t>
      </w:r>
      <w:r w:rsidR="00EB5A2F">
        <w:t>average revenue per user (</w:t>
      </w:r>
      <w:r w:rsidR="00556AA9">
        <w:t>“</w:t>
      </w:r>
      <w:r w:rsidR="00EB5A2F">
        <w:t>ARPU</w:t>
      </w:r>
      <w:r w:rsidR="00556AA9">
        <w:t>”</w:t>
      </w:r>
      <w:r w:rsidR="00EB5A2F">
        <w:t>)</w:t>
      </w:r>
      <w:r w:rsidR="00C21E90">
        <w:t>, the wireless telephone services Cellular Consumer Price Index (“CPI”) and profitability metrics</w:t>
      </w:r>
      <w:r w:rsidR="0046187B">
        <w:t xml:space="preserve">.  </w:t>
      </w:r>
      <w:r w:rsidR="00C21E90">
        <w:t xml:space="preserve">We request provider-specific ARPU data for the </w:t>
      </w:r>
      <w:r w:rsidR="00C21E90">
        <w:rPr>
          <w:i/>
        </w:rPr>
        <w:t>Eighteenth Report</w:t>
      </w:r>
      <w:r w:rsidR="00C21E90">
        <w:t xml:space="preserve">, including information on how service providers allocate ARPU to different types of mobile wireless services or devices.  </w:t>
      </w:r>
      <w:r w:rsidR="0046187B">
        <w:t xml:space="preserve">Are additional ARPU data available that we should consider, in particular data depicting whether and how ARPU varies by region and/or demographic group?  </w:t>
      </w:r>
      <w:r w:rsidR="00556AA9">
        <w:t>We</w:t>
      </w:r>
      <w:r w:rsidR="00C21E90">
        <w:t xml:space="preserve"> request comment and information on the possible causes for any recent trends in ARPU, the usefulness of ARPU as a key metric and the methodological issues associated with its calculation.  </w:t>
      </w:r>
      <w:r w:rsidR="00556AA9">
        <w:t>We</w:t>
      </w:r>
      <w:r w:rsidR="00C21E90">
        <w:t xml:space="preserve"> seek comment on the use of the CPI as a metric.  </w:t>
      </w:r>
      <w:r w:rsidR="00D22028">
        <w:t xml:space="preserve">We </w:t>
      </w:r>
      <w:r w:rsidR="008E5775">
        <w:t xml:space="preserve">also </w:t>
      </w:r>
      <w:r w:rsidR="00D22028">
        <w:t xml:space="preserve">request </w:t>
      </w:r>
      <w:r w:rsidR="008E5775">
        <w:t>comment</w:t>
      </w:r>
      <w:r w:rsidR="00D22028">
        <w:t xml:space="preserve"> on the use of </w:t>
      </w:r>
      <w:r w:rsidR="008E5775">
        <w:t>pr</w:t>
      </w:r>
      <w:r w:rsidR="00D22028">
        <w:t xml:space="preserve">ofitability </w:t>
      </w:r>
      <w:r w:rsidR="008E5775">
        <w:t>measures such as EBITDA and the EBITDA margin</w:t>
      </w:r>
      <w:r w:rsidR="00D22028">
        <w:t xml:space="preserve">.  Are there different estimates of profitability that should be included in the </w:t>
      </w:r>
      <w:r w:rsidR="008E5775">
        <w:rPr>
          <w:i/>
        </w:rPr>
        <w:t xml:space="preserve">Eighteenth </w:t>
      </w:r>
      <w:r w:rsidR="00D22028">
        <w:rPr>
          <w:i/>
        </w:rPr>
        <w:t>Report</w:t>
      </w:r>
      <w:r w:rsidR="00D22028">
        <w:t>?  What are the most appropriate ways to measure change in profitability over time for the industry as a whole, as well as for individual firms?</w:t>
      </w:r>
    </w:p>
    <w:p w:rsidR="00B163FE" w:rsidRDefault="00B163FE" w:rsidP="00B829F0">
      <w:pPr>
        <w:pStyle w:val="Heading1"/>
        <w:ind w:left="720"/>
      </w:pPr>
      <w:r>
        <w:t>overall Mobile wireless industry metrics</w:t>
      </w:r>
    </w:p>
    <w:p w:rsidR="00B74B83" w:rsidRDefault="008E5775" w:rsidP="00B829F0">
      <w:pPr>
        <w:pStyle w:val="Heading2"/>
      </w:pPr>
      <w:r>
        <w:t>Network Coverage</w:t>
      </w:r>
    </w:p>
    <w:p w:rsidR="00D628CD" w:rsidRDefault="008E5775" w:rsidP="0050165B">
      <w:pPr>
        <w:widowControl/>
        <w:spacing w:after="120"/>
      </w:pPr>
      <w:r>
        <w:t>Since the</w:t>
      </w:r>
      <w:r>
        <w:rPr>
          <w:i/>
          <w:iCs/>
        </w:rPr>
        <w:t xml:space="preserve"> Twelfth</w:t>
      </w:r>
      <w:r>
        <w:rPr>
          <w:iCs/>
        </w:rPr>
        <w:t xml:space="preserve"> </w:t>
      </w:r>
      <w:r>
        <w:rPr>
          <w:i/>
          <w:iCs/>
        </w:rPr>
        <w:t>Report</w:t>
      </w:r>
      <w:r>
        <w:t xml:space="preserve">, the Commission has used data from Mosaik to analyze the extent of mobile wireless network deployment.  </w:t>
      </w:r>
      <w:r w:rsidR="006B185D">
        <w:t xml:space="preserve">While the analyses based on Mosaik data provide a quantitative baseline that can be compared across network types, technologies, and providers over time, as noted in the </w:t>
      </w:r>
      <w:r w:rsidR="006B185D" w:rsidRPr="00A80F95">
        <w:rPr>
          <w:i/>
        </w:rPr>
        <w:t>Seventeenth Report</w:t>
      </w:r>
      <w:r w:rsidR="006B185D">
        <w:t xml:space="preserve">, </w:t>
      </w:r>
      <w:r w:rsidR="00CD7D8D">
        <w:t xml:space="preserve">among other drawbacks, </w:t>
      </w:r>
      <w:r w:rsidR="006B185D">
        <w:t>the Mosaik data likely overstate the coverage actually experienced by consumers.</w:t>
      </w:r>
      <w:r w:rsidR="006B185D">
        <w:rPr>
          <w:rStyle w:val="FootnoteReference"/>
        </w:rPr>
        <w:footnoteReference w:id="14"/>
      </w:r>
      <w:r w:rsidR="006B185D">
        <w:t xml:space="preserve">  In the </w:t>
      </w:r>
      <w:r w:rsidR="006B185D" w:rsidRPr="00A80F95">
        <w:rPr>
          <w:i/>
        </w:rPr>
        <w:t>Eighteenth Report</w:t>
      </w:r>
      <w:r w:rsidR="006B185D">
        <w:t xml:space="preserve">, </w:t>
      </w:r>
      <w:r w:rsidR="0080334C">
        <w:t xml:space="preserve">we anticipate </w:t>
      </w:r>
      <w:r w:rsidR="001003C3">
        <w:t xml:space="preserve">being able to use </w:t>
      </w:r>
      <w:r w:rsidR="0080334C">
        <w:t xml:space="preserve">Form 477 coverage data to perform the analyses below, </w:t>
      </w:r>
      <w:r w:rsidR="008F3D1C">
        <w:t>as well as Mosaik data to main</w:t>
      </w:r>
      <w:r w:rsidR="004B7C2F">
        <w:t>tain</w:t>
      </w:r>
      <w:r w:rsidR="008F3D1C">
        <w:t xml:space="preserve"> continuity, </w:t>
      </w:r>
      <w:r w:rsidR="006B185D">
        <w:t xml:space="preserve">and ask for comment on </w:t>
      </w:r>
      <w:r w:rsidR="0080334C">
        <w:t>this approach</w:t>
      </w:r>
      <w:r w:rsidR="006B185D">
        <w:t xml:space="preserve">.  </w:t>
      </w:r>
      <w:r>
        <w:t xml:space="preserve">Using </w:t>
      </w:r>
      <w:r w:rsidR="006B185D">
        <w:t>the Form 477 data</w:t>
      </w:r>
      <w:r w:rsidR="00CF3EB0">
        <w:t>, and/or the Mosaik data,</w:t>
      </w:r>
      <w:r>
        <w:t xml:space="preserve"> and population data from the Census Bureau, </w:t>
      </w:r>
      <w:r w:rsidR="00556AA9">
        <w:t>we</w:t>
      </w:r>
      <w:r>
        <w:t xml:space="preserve"> </w:t>
      </w:r>
      <w:r w:rsidR="000D3468">
        <w:t xml:space="preserve">should be </w:t>
      </w:r>
      <w:r>
        <w:t>able to estimate the percentage of the U.S. population covered by (1) a certain number of providers,</w:t>
      </w:r>
      <w:r>
        <w:rPr>
          <w:rStyle w:val="FootnoteReference"/>
        </w:rPr>
        <w:footnoteReference w:id="15"/>
      </w:r>
      <w:r>
        <w:t xml:space="preserve"> (2) different types of network technologies, </w:t>
      </w:r>
      <w:r w:rsidR="00963D3C">
        <w:t xml:space="preserve">as well provide </w:t>
      </w:r>
      <w:r>
        <w:t xml:space="preserve">estimates of U.S. road miles covered.  </w:t>
      </w:r>
      <w:r w:rsidR="00DA4AA9">
        <w:t xml:space="preserve">To obtain a better understanding of </w:t>
      </w:r>
      <w:r w:rsidR="00D628CD">
        <w:t>coverage</w:t>
      </w:r>
      <w:r w:rsidR="00DA4AA9">
        <w:t xml:space="preserve"> in rural areas and tribal lands, </w:t>
      </w:r>
      <w:r w:rsidR="0080334C">
        <w:t>we</w:t>
      </w:r>
      <w:r w:rsidR="00DA4AA9">
        <w:t xml:space="preserve"> request comment on the extent of mobile voice and broadband network deployment in these areas.  Are there noteworthy trends in </w:t>
      </w:r>
      <w:r w:rsidR="00BD2701">
        <w:t>deployment</w:t>
      </w:r>
      <w:r w:rsidR="00DA4AA9">
        <w:t xml:space="preserve"> in rural areas and tribal lands?</w:t>
      </w:r>
      <w:r w:rsidR="00BD2701">
        <w:t xml:space="preserve">  </w:t>
      </w:r>
      <w:r w:rsidR="00DA4AA9">
        <w:t>Furthermore, regarding rural areas and tribal lands, to what extent do providers offer coverage only in certain parts of these areas, such as near major roads, where they do not market service to residents of those areas?</w:t>
      </w:r>
      <w:r w:rsidR="0081698E">
        <w:rPr>
          <w:rStyle w:val="FootnoteReference"/>
        </w:rPr>
        <w:footnoteReference w:id="16"/>
      </w:r>
      <w:r w:rsidR="00DA4AA9">
        <w:t xml:space="preserve">  </w:t>
      </w:r>
      <w:r w:rsidR="00231421">
        <w:t xml:space="preserve">We also seek </w:t>
      </w:r>
      <w:r w:rsidR="00486C69">
        <w:t>information</w:t>
      </w:r>
      <w:r w:rsidR="00231421">
        <w:t xml:space="preserve"> on providers</w:t>
      </w:r>
      <w:r w:rsidR="00E20002">
        <w:t>’</w:t>
      </w:r>
      <w:r w:rsidR="00231421">
        <w:t xml:space="preserve"> use </w:t>
      </w:r>
      <w:r w:rsidR="003D08E9">
        <w:t>of</w:t>
      </w:r>
      <w:r w:rsidR="00231421">
        <w:t xml:space="preserve"> roaming to </w:t>
      </w:r>
      <w:r w:rsidR="003D08E9">
        <w:t>provide services in areas where they lack facilities</w:t>
      </w:r>
      <w:r w:rsidR="00867CC8">
        <w:t>-based coverage</w:t>
      </w:r>
      <w:r w:rsidR="003D08E9">
        <w:t xml:space="preserve">. </w:t>
      </w:r>
      <w:r w:rsidR="00304215">
        <w:t xml:space="preserve"> </w:t>
      </w:r>
    </w:p>
    <w:p w:rsidR="00D628CD" w:rsidRDefault="00D628CD" w:rsidP="00B829F0">
      <w:pPr>
        <w:pStyle w:val="Heading2"/>
      </w:pPr>
      <w:r>
        <w:t>Connections and Subscribers</w:t>
      </w:r>
    </w:p>
    <w:p w:rsidR="00CD7D8D" w:rsidRDefault="00556AA9" w:rsidP="00B829F0">
      <w:pPr>
        <w:spacing w:after="120"/>
      </w:pPr>
      <w:r>
        <w:t>T</w:t>
      </w:r>
      <w:r w:rsidR="00D628CD" w:rsidRPr="00CD7D8D">
        <w:t xml:space="preserve">he </w:t>
      </w:r>
      <w:r w:rsidR="00D628CD" w:rsidRPr="00CD7D8D">
        <w:rPr>
          <w:i/>
        </w:rPr>
        <w:t>Seventeenth Report</w:t>
      </w:r>
      <w:r w:rsidR="00D628CD" w:rsidRPr="00CD7D8D">
        <w:t xml:space="preserve">, as </w:t>
      </w:r>
      <w:r w:rsidR="009D0E96">
        <w:t>did</w:t>
      </w:r>
      <w:r w:rsidR="009D0E96" w:rsidRPr="00CD7D8D">
        <w:t xml:space="preserve"> </w:t>
      </w:r>
      <w:r w:rsidR="00D628CD" w:rsidRPr="00CD7D8D">
        <w:t>previous Reports, calculated penetration rates by EA.</w:t>
      </w:r>
      <w:r w:rsidR="00D628CD" w:rsidRPr="00CD7D8D">
        <w:rPr>
          <w:vertAlign w:val="superscript"/>
        </w:rPr>
        <w:footnoteReference w:id="17"/>
      </w:r>
      <w:r w:rsidR="00CD7D8D">
        <w:t xml:space="preserve">  </w:t>
      </w:r>
      <w:r w:rsidR="0004180C" w:rsidRPr="00CD7D8D">
        <w:t xml:space="preserve">In addition, the </w:t>
      </w:r>
      <w:r w:rsidR="0004180C" w:rsidRPr="00CD7D8D">
        <w:rPr>
          <w:i/>
        </w:rPr>
        <w:t>Seventeenth Report</w:t>
      </w:r>
      <w:r w:rsidR="0004180C" w:rsidRPr="00CD7D8D">
        <w:t xml:space="preserve"> presented information on the number of connections/subscribers by various socio-economic and demographic measures, including income and age.  We seek comment on th</w:t>
      </w:r>
      <w:r w:rsidR="00687E73">
        <w:t>is</w:t>
      </w:r>
      <w:r w:rsidR="0004180C" w:rsidRPr="00CD7D8D">
        <w:t xml:space="preserve"> analy</w:t>
      </w:r>
      <w:r w:rsidR="00687E73">
        <w:t>sis of</w:t>
      </w:r>
      <w:r w:rsidR="0004180C" w:rsidRPr="00CD7D8D">
        <w:t xml:space="preserve"> the adoption rates of mobile wireless services among different segments of the population, including by age group, income level, and geographic area.  Further, we seek comment on whether we should extend this type of analysis to include other factors</w:t>
      </w:r>
      <w:r w:rsidR="0004180C">
        <w:t xml:space="preserve"> in the </w:t>
      </w:r>
      <w:r w:rsidR="0004180C">
        <w:rPr>
          <w:i/>
        </w:rPr>
        <w:t>Eighteenth</w:t>
      </w:r>
      <w:r w:rsidR="0004180C" w:rsidRPr="00927440">
        <w:rPr>
          <w:i/>
        </w:rPr>
        <w:t xml:space="preserve"> Report</w:t>
      </w:r>
      <w:r w:rsidR="0004180C">
        <w:t xml:space="preserve"> and if so, </w:t>
      </w:r>
      <w:r w:rsidR="00BC1440">
        <w:t xml:space="preserve">the factors that </w:t>
      </w:r>
      <w:r w:rsidR="00A2676B">
        <w:t>should be considered</w:t>
      </w:r>
      <w:r w:rsidR="0004180C">
        <w:t>.</w:t>
      </w:r>
    </w:p>
    <w:p w:rsidR="003A7004" w:rsidRDefault="003A7004" w:rsidP="00B829F0">
      <w:pPr>
        <w:pStyle w:val="Heading1"/>
        <w:ind w:left="720"/>
      </w:pPr>
      <w:r>
        <w:t>input market segments in the mobile wireless industry</w:t>
      </w:r>
    </w:p>
    <w:p w:rsidR="00867CC8" w:rsidRDefault="003A7004" w:rsidP="00B829F0">
      <w:pPr>
        <w:pStyle w:val="Heading2"/>
      </w:pPr>
      <w:r>
        <w:t>Spectrum</w:t>
      </w:r>
    </w:p>
    <w:p w:rsidR="004A2BC2" w:rsidRDefault="00AD08E0" w:rsidP="00B829F0">
      <w:pPr>
        <w:spacing w:after="120"/>
      </w:pPr>
      <w:r>
        <w:t xml:space="preserve">We ask for </w:t>
      </w:r>
      <w:r w:rsidR="0092189A">
        <w:t xml:space="preserve">comment and </w:t>
      </w:r>
      <w:r w:rsidR="006B185D">
        <w:t xml:space="preserve">information on how </w:t>
      </w:r>
      <w:r>
        <w:t xml:space="preserve">mobile wireless service providers and spectrum licensees </w:t>
      </w:r>
      <w:r w:rsidRPr="00B64F48">
        <w:t>currently use their licensed spectrum</w:t>
      </w:r>
      <w:r w:rsidR="006B185D">
        <w:t>.</w:t>
      </w:r>
      <w:r w:rsidRPr="00B64F48">
        <w:t xml:space="preserve">  Are certain </w:t>
      </w:r>
      <w:r w:rsidR="00C449C4" w:rsidRPr="00B64F48">
        <w:t>frequenc</w:t>
      </w:r>
      <w:r w:rsidR="00C449C4">
        <w:t>y</w:t>
      </w:r>
      <w:r w:rsidR="00C449C4" w:rsidRPr="00B64F48">
        <w:t xml:space="preserve"> </w:t>
      </w:r>
      <w:r w:rsidR="004A2BC2">
        <w:t xml:space="preserve">bands </w:t>
      </w:r>
      <w:r w:rsidRPr="00B64F48">
        <w:t>used heavily while others lie fallow</w:t>
      </w:r>
      <w:r w:rsidR="004A2BC2">
        <w:t>, and if so why</w:t>
      </w:r>
      <w:r w:rsidRPr="00B64F48">
        <w:t>?  How does this vary across different types of geographic areas</w:t>
      </w:r>
      <w:r w:rsidR="00A2676B">
        <w:t xml:space="preserve"> or in urban</w:t>
      </w:r>
      <w:r w:rsidR="004A2BC2">
        <w:t>,</w:t>
      </w:r>
      <w:r w:rsidR="00A2676B">
        <w:t xml:space="preserve"> as compared to rural markets</w:t>
      </w:r>
      <w:r w:rsidRPr="00B64F48">
        <w:t xml:space="preserve">?  </w:t>
      </w:r>
      <w:r w:rsidR="004A2BC2" w:rsidRPr="00B64F48">
        <w:t xml:space="preserve">Of the spectrum that is currently unused, to what extent do licensees plan to use that spectrum to provide service in the future?  Are there geographic areas within spectrum license boundaries that licensees do not plan to serve? </w:t>
      </w:r>
      <w:r w:rsidR="002B2E70">
        <w:t xml:space="preserve"> </w:t>
      </w:r>
      <w:r w:rsidR="004A2BC2" w:rsidRPr="00B64F48">
        <w:t>How much of the spectrum available for the provision of mobile wireless services is actually used to provide service?</w:t>
      </w:r>
      <w:r w:rsidR="002F5983">
        <w:t xml:space="preserve">  How do providers utilize, or plan to utilize, unlicensed spectrum to </w:t>
      </w:r>
      <w:r w:rsidR="00CF3EB0">
        <w:t>complement their use of</w:t>
      </w:r>
      <w:r w:rsidR="002F5983">
        <w:t xml:space="preserve"> licensed spectrum?</w:t>
      </w:r>
    </w:p>
    <w:p w:rsidR="00AD08E0" w:rsidRDefault="004A2BC2" w:rsidP="00B829F0">
      <w:pPr>
        <w:spacing w:after="120"/>
        <w:rPr>
          <w:szCs w:val="22"/>
        </w:rPr>
      </w:pPr>
      <w:r>
        <w:t>What</w:t>
      </w:r>
      <w:r w:rsidRPr="00B64F48">
        <w:t xml:space="preserve"> spectrum is being used to provide services over 3G</w:t>
      </w:r>
      <w:r>
        <w:t xml:space="preserve"> and 4G</w:t>
      </w:r>
      <w:r w:rsidRPr="00B64F48">
        <w:t xml:space="preserve"> network technologies versus </w:t>
      </w:r>
      <w:r>
        <w:t>2G digital voice</w:t>
      </w:r>
      <w:r w:rsidRPr="00B64F48">
        <w:t xml:space="preserve"> technologies?  How much</w:t>
      </w:r>
      <w:r>
        <w:t>, and what,</w:t>
      </w:r>
      <w:r w:rsidRPr="00B64F48">
        <w:t xml:space="preserve"> spectrum is </w:t>
      </w:r>
      <w:r>
        <w:t xml:space="preserve">being used </w:t>
      </w:r>
      <w:r w:rsidRPr="00B64F48">
        <w:t>to roll</w:t>
      </w:r>
      <w:r>
        <w:t xml:space="preserve"> </w:t>
      </w:r>
      <w:r w:rsidRPr="00B64F48">
        <w:t xml:space="preserve">out services over technologies such as </w:t>
      </w:r>
      <w:r>
        <w:t>LTE</w:t>
      </w:r>
      <w:r w:rsidRPr="00B64F48">
        <w:t>?</w:t>
      </w:r>
      <w:r w:rsidR="00C449C4">
        <w:t xml:space="preserve">  </w:t>
      </w:r>
      <w:r w:rsidR="00660C99">
        <w:t>What</w:t>
      </w:r>
      <w:r w:rsidR="00AD08E0" w:rsidRPr="00B64F48">
        <w:t xml:space="preserve"> additional spectrum will be required to support next generation technologies and mobile broadband applications</w:t>
      </w:r>
      <w:r w:rsidR="00AD08E0">
        <w:t>, and in what locations</w:t>
      </w:r>
      <w:r w:rsidR="00AD08E0" w:rsidRPr="00B64F48">
        <w:t xml:space="preserve">?  </w:t>
      </w:r>
      <w:r w:rsidR="006B185D">
        <w:t>W</w:t>
      </w:r>
      <w:r w:rsidR="00AD08E0">
        <w:t>hat are the benefits of transmitting in different frequency bands</w:t>
      </w:r>
      <w:r w:rsidR="006B185D">
        <w:t xml:space="preserve"> and do </w:t>
      </w:r>
      <w:r w:rsidR="00AD08E0">
        <w:t xml:space="preserve">these benefits vary across geographic areas?  How are service providers’ network deployment plans affected by their spectrum holdings in the frequencies above and below 1 GHz?  </w:t>
      </w:r>
    </w:p>
    <w:p w:rsidR="00AD08E0" w:rsidRDefault="00660C99" w:rsidP="00B829F0">
      <w:pPr>
        <w:spacing w:after="120"/>
      </w:pPr>
      <w:r>
        <w:t>We</w:t>
      </w:r>
      <w:r w:rsidR="00AD08E0">
        <w:t xml:space="preserve"> seek comment on whether there is access to sufficient spectrum, either through Commission auctions or through secondary market transactions</w:t>
      </w:r>
      <w:r w:rsidR="001F52EA">
        <w:t xml:space="preserve"> for multiple service providers to be able to provide robust competition</w:t>
      </w:r>
      <w:r w:rsidR="00AD08E0">
        <w:t>.  Are existing service providers spectrum constrained?  If so, in which geographic markets are providers most likely to be constrained?  How have advanced network technologies affected spectrum access?  Have mobile wireless service providers become more or less spectrum-constrained after rolling out new networks and services?  Do providers anticipate needing additional spectrum to deploy faster and more advanced mobile broadband networks?</w:t>
      </w:r>
      <w:r w:rsidR="004A2BC2" w:rsidRPr="004A2BC2">
        <w:t xml:space="preserve"> </w:t>
      </w:r>
      <w:r w:rsidR="002B2E70">
        <w:t xml:space="preserve"> </w:t>
      </w:r>
      <w:r w:rsidR="004A2BC2" w:rsidRPr="00B64F48">
        <w:t xml:space="preserve">To what extent do spectrum licensees lease, partition, or disaggregate their spectrum?  </w:t>
      </w:r>
    </w:p>
    <w:p w:rsidR="003A7004" w:rsidRDefault="00D628CD" w:rsidP="00B829F0">
      <w:pPr>
        <w:pStyle w:val="Heading2"/>
      </w:pPr>
      <w:r>
        <w:t>Non-Spectrum Inputs</w:t>
      </w:r>
    </w:p>
    <w:p w:rsidR="00587994" w:rsidRDefault="001F52EA" w:rsidP="00B829F0">
      <w:pPr>
        <w:spacing w:after="120"/>
      </w:pPr>
      <w:r>
        <w:t xml:space="preserve">Mobile wireless service providers also depend critically on access to </w:t>
      </w:r>
      <w:r w:rsidR="00587994" w:rsidRPr="00B64F48">
        <w:t xml:space="preserve">inputs such as </w:t>
      </w:r>
      <w:r w:rsidR="00587994">
        <w:t xml:space="preserve">network infrastructure (cell sites and towers), as well as </w:t>
      </w:r>
      <w:r w:rsidR="00587994" w:rsidRPr="00B64F48">
        <w:t xml:space="preserve">backhaul facilities.  </w:t>
      </w:r>
      <w:r w:rsidR="00587994">
        <w:t xml:space="preserve">With respect to infrastructure, </w:t>
      </w:r>
      <w:r w:rsidR="00556AA9">
        <w:t>we</w:t>
      </w:r>
      <w:r w:rsidR="00587994">
        <w:t xml:space="preserve"> seek comment </w:t>
      </w:r>
      <w:r w:rsidR="00F51D9C">
        <w:t xml:space="preserve">and information </w:t>
      </w:r>
      <w:r w:rsidR="00587994">
        <w:t xml:space="preserve">on how many new cell sites were deployed in </w:t>
      </w:r>
      <w:r w:rsidR="00F51D9C">
        <w:t>2014 and 2015</w:t>
      </w:r>
      <w:r w:rsidR="00587994">
        <w:t>, and by which service providers</w:t>
      </w:r>
      <w:r w:rsidR="00F51D9C">
        <w:t>.</w:t>
      </w:r>
      <w:r w:rsidR="00587994">
        <w:t xml:space="preserve">  </w:t>
      </w:r>
      <w:r w:rsidR="00650808">
        <w:t>Further, t</w:t>
      </w:r>
      <w:r w:rsidR="00587994">
        <w:t>o what extent do service providers lease space from independent tower companies</w:t>
      </w:r>
      <w:r w:rsidR="00650808">
        <w:t>, and d</w:t>
      </w:r>
      <w:r w:rsidR="00587994">
        <w:t>oes this vary across different types of geographic areas?  In addition, what are the major barriers or constraints faced by service providers needing to add or modify cell sites in their networks?  To what extent do regulatory and zoning approvals from state and local government authorities act as barriers to tower and cell site deployment?</w:t>
      </w:r>
      <w:r>
        <w:t xml:space="preserve">  </w:t>
      </w:r>
      <w:r w:rsidR="008D0A0C">
        <w:t xml:space="preserve">We seek comment on barriers to deployment on federal lands. </w:t>
      </w:r>
      <w:r>
        <w:t>Commenters should address the need for access to physical infrastructure such as towers</w:t>
      </w:r>
      <w:r w:rsidR="008D0A0C">
        <w:t>, buildings, and other structures</w:t>
      </w:r>
      <w:r>
        <w:t xml:space="preserve">, conduit, rights-of-way, etc.  This should include information on deployments of all sizes including small-cells, distributed antenna systems, and </w:t>
      </w:r>
      <w:r w:rsidR="000011E5">
        <w:t>Wi-Fi</w:t>
      </w:r>
      <w:r>
        <w:t>-offload.</w:t>
      </w:r>
      <w:r w:rsidR="0092189A">
        <w:t xml:space="preserve">  </w:t>
      </w:r>
      <w:r w:rsidR="00587994">
        <w:t>We seek information on the extent to which mobile wireless service providers will likely need to purchase additional</w:t>
      </w:r>
      <w:r w:rsidR="00587994" w:rsidRPr="00B64F48">
        <w:t xml:space="preserve"> backhaul transmission facilities </w:t>
      </w:r>
      <w:r w:rsidR="00587994">
        <w:t xml:space="preserve">– such as </w:t>
      </w:r>
      <w:r w:rsidR="00587994" w:rsidRPr="00B64F48">
        <w:t>T1</w:t>
      </w:r>
      <w:r w:rsidR="00587994">
        <w:t xml:space="preserve"> lines</w:t>
      </w:r>
      <w:r w:rsidR="00587994" w:rsidRPr="00B64F48">
        <w:t>, cable,</w:t>
      </w:r>
      <w:r w:rsidR="00587994">
        <w:t xml:space="preserve"> wireless</w:t>
      </w:r>
      <w:r w:rsidR="00587994" w:rsidRPr="00B64F48">
        <w:t xml:space="preserve"> microwave, and fiber optics </w:t>
      </w:r>
      <w:r w:rsidR="00587994">
        <w:t>– in order</w:t>
      </w:r>
      <w:r w:rsidR="00587994" w:rsidRPr="00B64F48">
        <w:t xml:space="preserve"> t</w:t>
      </w:r>
      <w:r w:rsidR="00587994">
        <w:t xml:space="preserve">o accommodate increasing mobile </w:t>
      </w:r>
      <w:r w:rsidR="00587994" w:rsidRPr="00B64F48">
        <w:t xml:space="preserve">broadband traffic.  </w:t>
      </w:r>
      <w:r w:rsidR="007A089F">
        <w:t xml:space="preserve">We </w:t>
      </w:r>
      <w:r w:rsidR="00A841BF">
        <w:t>also seek information</w:t>
      </w:r>
      <w:r w:rsidR="007A089F">
        <w:t xml:space="preserve"> on the importance of special access </w:t>
      </w:r>
      <w:r w:rsidR="00A841BF">
        <w:t xml:space="preserve">services </w:t>
      </w:r>
      <w:r w:rsidR="007A089F">
        <w:t xml:space="preserve">to mobile wireless service providers.  </w:t>
      </w:r>
      <w:r w:rsidR="00587994">
        <w:t xml:space="preserve">Which types of technologies are service providers using for backhaul, and what are the costs </w:t>
      </w:r>
      <w:r w:rsidR="00F51D9C">
        <w:t xml:space="preserve">of the different technologies? </w:t>
      </w:r>
    </w:p>
    <w:p w:rsidR="003A7004" w:rsidRDefault="001631E7" w:rsidP="00B829F0">
      <w:pPr>
        <w:pStyle w:val="Heading1"/>
        <w:ind w:left="720"/>
      </w:pPr>
      <w:r>
        <w:t>consumers and mobile wireless</w:t>
      </w:r>
    </w:p>
    <w:p w:rsidR="008F3D1C" w:rsidRDefault="00995768" w:rsidP="008F3D1C">
      <w:pPr>
        <w:spacing w:after="120"/>
      </w:pPr>
      <w:r>
        <w:t>Handsets, devices</w:t>
      </w:r>
      <w:r w:rsidR="00660C99">
        <w:t>,</w:t>
      </w:r>
      <w:r>
        <w:t xml:space="preserve"> and the download of applications are central to a consumer’s experience.  </w:t>
      </w:r>
      <w:r w:rsidR="002D5C99">
        <w:t xml:space="preserve">We seek comment on </w:t>
      </w:r>
      <w:r w:rsidR="001631E7">
        <w:t xml:space="preserve">various </w:t>
      </w:r>
      <w:r w:rsidR="002D5C99">
        <w:t xml:space="preserve">components of the </w:t>
      </w:r>
      <w:r w:rsidR="002E039F">
        <w:t xml:space="preserve">mobile </w:t>
      </w:r>
      <w:r w:rsidR="002D5C99">
        <w:t xml:space="preserve">wireless </w:t>
      </w:r>
      <w:r w:rsidR="008F3D1C">
        <w:t>ecosystem</w:t>
      </w:r>
      <w:r w:rsidR="002D5C99">
        <w:t>.</w:t>
      </w:r>
      <w:r w:rsidR="00304215">
        <w:t xml:space="preserve"> </w:t>
      </w:r>
      <w:r>
        <w:t xml:space="preserve"> </w:t>
      </w:r>
      <w:r w:rsidR="008F3D1C">
        <w:t xml:space="preserve">We seek information on the factors affecting consumers’ choices, including the importance of switching costs, in the mobile wireless industry today, and on the usage of mobile wireless services.  Commenters should provide information on use of data, voice, </w:t>
      </w:r>
      <w:r w:rsidR="002F5983">
        <w:t>short message service (</w:t>
      </w:r>
      <w:r w:rsidR="00CF3EB0">
        <w:t>“</w:t>
      </w:r>
      <w:r w:rsidR="008F3D1C">
        <w:t>SMS</w:t>
      </w:r>
      <w:r w:rsidR="00CF3EB0">
        <w:t>”</w:t>
      </w:r>
      <w:r w:rsidR="002F5983">
        <w:t>)</w:t>
      </w:r>
      <w:r w:rsidR="008F3D1C">
        <w:t xml:space="preserve">, and </w:t>
      </w:r>
      <w:r w:rsidR="004E72EC">
        <w:t xml:space="preserve">multimedia messaging service (“MMS”), </w:t>
      </w:r>
      <w:r w:rsidR="008F3D1C">
        <w:t>including overall usage numbers and trends.  While industry-wide data on total and average voice minutes of use (</w:t>
      </w:r>
      <w:r w:rsidR="00556AA9">
        <w:t>“</w:t>
      </w:r>
      <w:r w:rsidR="008F3D1C">
        <w:t>MOUs</w:t>
      </w:r>
      <w:r w:rsidR="00556AA9">
        <w:t>”</w:t>
      </w:r>
      <w:r w:rsidR="008F3D1C">
        <w:t>),</w:t>
      </w:r>
      <w:r w:rsidR="00B12A2D">
        <w:t xml:space="preserve"> have</w:t>
      </w:r>
      <w:r w:rsidR="008F3D1C">
        <w:t xml:space="preserve"> </w:t>
      </w:r>
      <w:r w:rsidR="00B12A2D">
        <w:t xml:space="preserve">been available from </w:t>
      </w:r>
      <w:r w:rsidR="00CF3EB0">
        <w:t>t</w:t>
      </w:r>
      <w:r w:rsidR="002F5983">
        <w:t xml:space="preserve">he </w:t>
      </w:r>
      <w:r w:rsidR="00F37A91">
        <w:t>CTIA – The Wireless Association</w:t>
      </w:r>
      <w:r w:rsidR="00F37A91" w:rsidRPr="0050165B">
        <w:rPr>
          <w:rFonts w:ascii="Arial" w:hAnsi="Arial" w:cs="Arial"/>
          <w:color w:val="6E6E6E"/>
          <w:sz w:val="23"/>
          <w:szCs w:val="23"/>
          <w:shd w:val="clear" w:color="auto" w:fill="FFFFFF"/>
          <w:vertAlign w:val="superscript"/>
        </w:rPr>
        <w:t>®</w:t>
      </w:r>
      <w:r w:rsidR="00F37A91">
        <w:t xml:space="preserve"> </w:t>
      </w:r>
      <w:r w:rsidR="002F5983">
        <w:t>(</w:t>
      </w:r>
      <w:r w:rsidR="00CF3EB0">
        <w:t>“</w:t>
      </w:r>
      <w:r w:rsidR="00B12A2D">
        <w:t>CTIA</w:t>
      </w:r>
      <w:r w:rsidR="00CF3EB0">
        <w:t>”</w:t>
      </w:r>
      <w:r w:rsidR="002F5983">
        <w:t>)</w:t>
      </w:r>
      <w:r w:rsidR="00B12A2D">
        <w:t>, data on</w:t>
      </w:r>
      <w:r w:rsidR="008F3D1C">
        <w:t xml:space="preserve"> text messaging and MMS traffic volumes</w:t>
      </w:r>
      <w:r w:rsidR="00B12A2D">
        <w:t xml:space="preserve"> </w:t>
      </w:r>
      <w:r w:rsidR="009116EC">
        <w:t>are no longer reported separately</w:t>
      </w:r>
      <w:r w:rsidR="002B2E70">
        <w:t xml:space="preserve"> by CTIA</w:t>
      </w:r>
      <w:r w:rsidR="00B12A2D">
        <w:t xml:space="preserve">. </w:t>
      </w:r>
      <w:r w:rsidR="00C449C4">
        <w:t xml:space="preserve"> </w:t>
      </w:r>
      <w:r w:rsidR="00B12A2D">
        <w:t xml:space="preserve">Also, </w:t>
      </w:r>
      <w:r w:rsidR="00C449C4">
        <w:t xml:space="preserve">although </w:t>
      </w:r>
      <w:r w:rsidR="008F3D1C">
        <w:t>data on the number of megabytes of mobile data traffic</w:t>
      </w:r>
      <w:r w:rsidR="00C449C4">
        <w:t xml:space="preserve"> are </w:t>
      </w:r>
      <w:r w:rsidR="00B12A2D">
        <w:t xml:space="preserve">available from several sources, </w:t>
      </w:r>
      <w:r w:rsidR="009116EC">
        <w:t>differing methodologies have led to a fairly large range of reported totals.</w:t>
      </w:r>
      <w:r w:rsidR="008F3D1C">
        <w:rPr>
          <w:rStyle w:val="FootnoteReference"/>
          <w:szCs w:val="22"/>
        </w:rPr>
        <w:footnoteReference w:id="18"/>
      </w:r>
      <w:r w:rsidR="008F3D1C">
        <w:t xml:space="preserve">  Because of the increasing importance of mobile data and broadband services in the mobile wireless industry, we ask that commenters, particularly mobile wireless service providers, submit data on mobile data traffic volumes.  </w:t>
      </w:r>
    </w:p>
    <w:p w:rsidR="00995768" w:rsidRDefault="008F3D1C" w:rsidP="00B829F0">
      <w:pPr>
        <w:pStyle w:val="ParaNum"/>
        <w:numPr>
          <w:ilvl w:val="0"/>
          <w:numId w:val="0"/>
        </w:numPr>
      </w:pPr>
      <w:r>
        <w:t xml:space="preserve">We seek information on the market penetration of smartphones and other data-centric devices such as tablets, as well as on market developments </w:t>
      </w:r>
      <w:r w:rsidR="004E72EC">
        <w:t xml:space="preserve">related to the IoT, </w:t>
      </w:r>
      <w:r>
        <w:t>such as connected cars</w:t>
      </w:r>
      <w:r w:rsidR="004E72EC">
        <w:t>,</w:t>
      </w:r>
      <w:r>
        <w:t xml:space="preserve"> that use embedded wireless devices.  We seek comment on how access to such devices differs among customers of various providers and </w:t>
      </w:r>
      <w:r w:rsidR="004E72EC">
        <w:t>affects</w:t>
      </w:r>
      <w:r>
        <w:t xml:space="preserve"> competition.  We seek information on market shares of smartphones by operating system and </w:t>
      </w:r>
      <w:r w:rsidR="004E4470">
        <w:t>manufacturer</w:t>
      </w:r>
      <w:r>
        <w:t xml:space="preserve">.  </w:t>
      </w:r>
      <w:r w:rsidR="00184A48">
        <w:t xml:space="preserve">Commenters should address </w:t>
      </w:r>
      <w:r w:rsidR="00A1045A">
        <w:t xml:space="preserve">marketplace </w:t>
      </w:r>
      <w:r w:rsidR="00184A48">
        <w:t xml:space="preserve">trends such as rates of smartphone adoption as well as new features and services driving </w:t>
      </w:r>
      <w:r w:rsidR="00A1045A">
        <w:t xml:space="preserve">consumer </w:t>
      </w:r>
      <w:r w:rsidR="00184A48">
        <w:t xml:space="preserve">demand. </w:t>
      </w:r>
      <w:r w:rsidR="00304215">
        <w:t xml:space="preserve"> </w:t>
      </w:r>
      <w:r w:rsidR="00184A48">
        <w:t>We seek comment on the impact of equipment installment plans (</w:t>
      </w:r>
      <w:r w:rsidR="00A1045A">
        <w:t>“</w:t>
      </w:r>
      <w:r w:rsidR="00184A48">
        <w:t>EIPs</w:t>
      </w:r>
      <w:r w:rsidR="00A1045A">
        <w:t>”</w:t>
      </w:r>
      <w:r w:rsidR="00184A48">
        <w:t>) on the previously prevailing subsidy model</w:t>
      </w:r>
      <w:r w:rsidR="00EE0472">
        <w:t xml:space="preserve">, </w:t>
      </w:r>
      <w:r w:rsidR="00D877D6">
        <w:t xml:space="preserve">as well as on consumer choice and competition between providers. </w:t>
      </w:r>
      <w:r w:rsidR="00304215">
        <w:t xml:space="preserve"> </w:t>
      </w:r>
      <w:r w:rsidR="00B1604A">
        <w:t xml:space="preserve">We seek comment on </w:t>
      </w:r>
      <w:r w:rsidR="002E039F">
        <w:t xml:space="preserve">how </w:t>
      </w:r>
      <w:r w:rsidR="00B1604A">
        <w:t xml:space="preserve">providers’ implementation of device unlocking </w:t>
      </w:r>
      <w:r w:rsidR="002E039F">
        <w:t>h</w:t>
      </w:r>
      <w:r w:rsidR="00B1604A">
        <w:t xml:space="preserve">as </w:t>
      </w:r>
      <w:r w:rsidR="002E039F">
        <w:t>a</w:t>
      </w:r>
      <w:r w:rsidR="00B1604A">
        <w:t xml:space="preserve">ffected competition and consumer choice. </w:t>
      </w:r>
      <w:r w:rsidR="00304215">
        <w:t xml:space="preserve"> </w:t>
      </w:r>
      <w:r w:rsidR="00B1604A">
        <w:t xml:space="preserve">Parties should address how handsets’ ability to interoperate on multiple networks </w:t>
      </w:r>
      <w:r w:rsidR="002E039F">
        <w:t xml:space="preserve">affects </w:t>
      </w:r>
      <w:r w:rsidR="00B1604A">
        <w:t xml:space="preserve">competition.  We also seek comment on whether </w:t>
      </w:r>
      <w:r w:rsidR="00974E7B">
        <w:t xml:space="preserve">all service </w:t>
      </w:r>
      <w:r w:rsidR="00B1604A">
        <w:t xml:space="preserve">providers have </w:t>
      </w:r>
      <w:r w:rsidR="002F5983">
        <w:t xml:space="preserve">similar </w:t>
      </w:r>
      <w:r w:rsidR="00B1604A">
        <w:t xml:space="preserve">access to </w:t>
      </w:r>
      <w:r w:rsidR="00970C32">
        <w:t>recently</w:t>
      </w:r>
      <w:r w:rsidR="00F37A91">
        <w:t xml:space="preserve"> </w:t>
      </w:r>
      <w:r w:rsidR="00970C32">
        <w:t xml:space="preserve">released </w:t>
      </w:r>
      <w:r w:rsidR="004E4470">
        <w:t xml:space="preserve"> or flagship </w:t>
      </w:r>
      <w:r w:rsidR="00B1604A">
        <w:t xml:space="preserve">devices for their customers.   </w:t>
      </w:r>
    </w:p>
    <w:p w:rsidR="001631E7" w:rsidRDefault="001631E7" w:rsidP="001631E7">
      <w:pPr>
        <w:spacing w:after="120"/>
      </w:pPr>
      <w:r>
        <w:t>We also seek information on the number of mobile applications that have been launched, as well as downloaded by customers.  Further, what information sources are available to consumers about the availability, effective price, quality, and features of mobile wireless services and devices?  How have these information sources evolved in 2014 and 2015?  Are there new avenues for consumers to gain information through retailers or third parties, such as online or in-store comparisons of pricing plans, services, and handsets and devices?  We seek comment and information on intermodal developments such as</w:t>
      </w:r>
      <w:r w:rsidR="00451978">
        <w:t xml:space="preserve"> mobile</w:t>
      </w:r>
      <w:r>
        <w:t xml:space="preserve"> wireless-wireline substitution including the numbers of </w:t>
      </w:r>
      <w:r w:rsidR="00451978">
        <w:t xml:space="preserve">mobile </w:t>
      </w:r>
      <w:r>
        <w:t xml:space="preserve">wireless-only households.  What type of data provides evidence on the extent of </w:t>
      </w:r>
      <w:r w:rsidR="00451978">
        <w:t xml:space="preserve">mobile </w:t>
      </w:r>
      <w:r>
        <w:t xml:space="preserve">wireless-wireline voice substitution?  How many and what types of households or individuals have “cut the cord” and use a mobile phone as their sole phone?  </w:t>
      </w:r>
    </w:p>
    <w:p w:rsidR="005D6B89" w:rsidRDefault="00D628CD" w:rsidP="00B829F0">
      <w:pPr>
        <w:pStyle w:val="Heading1"/>
        <w:ind w:left="720"/>
      </w:pPr>
      <w:r>
        <w:t>Pricing Levels and Trends</w:t>
      </w:r>
    </w:p>
    <w:p w:rsidR="00476CE1" w:rsidRDefault="00B1604A" w:rsidP="00B829F0">
      <w:pPr>
        <w:pStyle w:val="ParaNum"/>
        <w:numPr>
          <w:ilvl w:val="0"/>
          <w:numId w:val="0"/>
        </w:numPr>
      </w:pPr>
      <w:r>
        <w:t xml:space="preserve">We seek comment </w:t>
      </w:r>
      <w:r w:rsidR="00476CE1">
        <w:t xml:space="preserve">and information </w:t>
      </w:r>
      <w:r>
        <w:t xml:space="preserve">on </w:t>
      </w:r>
      <w:r w:rsidR="00476CE1">
        <w:t xml:space="preserve">innovations or developments that have occurred with mobile wireless pricing plans during 2014 and </w:t>
      </w:r>
      <w:r w:rsidR="00FC53C2">
        <w:t xml:space="preserve">the first </w:t>
      </w:r>
      <w:r w:rsidR="00451978">
        <w:t xml:space="preserve">part </w:t>
      </w:r>
      <w:r w:rsidR="00FC53C2">
        <w:t xml:space="preserve">of </w:t>
      </w:r>
      <w:r w:rsidR="00476CE1">
        <w:t>2015</w:t>
      </w:r>
      <w:r w:rsidR="00BA44D5">
        <w:t xml:space="preserve">. </w:t>
      </w:r>
      <w:r w:rsidR="00476CE1">
        <w:t xml:space="preserve"> </w:t>
      </w:r>
      <w:r w:rsidR="00BA44D5">
        <w:t xml:space="preserve">Commenters should discuss developments </w:t>
      </w:r>
      <w:r w:rsidR="002927C8">
        <w:t xml:space="preserve">such as moves from term contracts to other models and differences between pre-paid and post-paid pricing plans since the advent of EIPs. </w:t>
      </w:r>
      <w:r w:rsidR="00304215">
        <w:t xml:space="preserve"> </w:t>
      </w:r>
      <w:r w:rsidR="00FC53C2">
        <w:t xml:space="preserve">Have such pricing innovations occurred throughout the mobile wireless industry, or have they been limited to certain types of services or a subset of providers?  Are providers targeting different pricing plans to different types of consumers?  If so, how?  </w:t>
      </w:r>
      <w:r w:rsidR="002927C8">
        <w:t xml:space="preserve">We seek comment on </w:t>
      </w:r>
      <w:r w:rsidR="00842B3C">
        <w:t xml:space="preserve">specific prices, plans, promotions, incentives, and features offered by providers during the </w:t>
      </w:r>
      <w:r w:rsidR="00525CA9">
        <w:t xml:space="preserve">reporting period.  We seek such </w:t>
      </w:r>
      <w:r w:rsidR="0004793F">
        <w:t>information</w:t>
      </w:r>
      <w:r w:rsidR="00525CA9">
        <w:t xml:space="preserve"> for both pre-paid and post-paid service offerings.</w:t>
      </w:r>
      <w:r w:rsidR="00304215">
        <w:t xml:space="preserve">  </w:t>
      </w:r>
      <w:r w:rsidR="00842B3C">
        <w:t xml:space="preserve">How have providers responded to moves by their rivals? </w:t>
      </w:r>
      <w:r w:rsidR="00304215">
        <w:t xml:space="preserve"> </w:t>
      </w:r>
      <w:r w:rsidR="00525CA9">
        <w:t xml:space="preserve">How do the service offerings differ between pre-paid and post-paid plans? </w:t>
      </w:r>
      <w:r w:rsidR="00970C32">
        <w:t xml:space="preserve"> </w:t>
      </w:r>
      <w:r w:rsidR="00525CA9">
        <w:t xml:space="preserve">Parties should discuss handset availability, coverage and roaming, data speeds and allowances, and any other key differences.  </w:t>
      </w:r>
      <w:r w:rsidR="0092189A">
        <w:t>Further, h</w:t>
      </w:r>
      <w:r w:rsidR="00476CE1">
        <w:t xml:space="preserve">ow are providers pricing mobile Internet access services for non-voice devices such as tablets, e-readers, laptops, </w:t>
      </w:r>
      <w:r w:rsidR="002F5983">
        <w:t xml:space="preserve">USB </w:t>
      </w:r>
      <w:r w:rsidR="004E4470">
        <w:t>modems</w:t>
      </w:r>
      <w:r w:rsidR="002F5983">
        <w:t xml:space="preserve">, </w:t>
      </w:r>
      <w:r w:rsidR="00476CE1">
        <w:t xml:space="preserve">and </w:t>
      </w:r>
      <w:r w:rsidR="002F5983">
        <w:t>portable Wi-Fi hotspots</w:t>
      </w:r>
      <w:r w:rsidR="00476CE1">
        <w:t>, and how has this changed in the past year?  Are there any reports or analyses that discuss pricing trends for mobile data services?  How have such trends affected mobile data subscribership and use?</w:t>
      </w:r>
    </w:p>
    <w:p w:rsidR="005D6B89" w:rsidRDefault="0092189A" w:rsidP="00B829F0">
      <w:pPr>
        <w:pStyle w:val="Heading1"/>
        <w:ind w:left="720"/>
      </w:pPr>
      <w:r>
        <w:t>Non-Price Rivalry</w:t>
      </w:r>
    </w:p>
    <w:p w:rsidR="00A2318C" w:rsidRDefault="00525CA9" w:rsidP="00B829F0">
      <w:pPr>
        <w:spacing w:after="120"/>
      </w:pPr>
      <w:r>
        <w:t xml:space="preserve">We seek </w:t>
      </w:r>
      <w:r w:rsidR="0004793F">
        <w:t>information</w:t>
      </w:r>
      <w:r>
        <w:t xml:space="preserve"> on </w:t>
      </w:r>
      <w:r w:rsidR="005D6B89">
        <w:t xml:space="preserve">capital </w:t>
      </w:r>
      <w:r>
        <w:t>investments</w:t>
      </w:r>
      <w:r w:rsidR="00A1045A">
        <w:t>/expenditures</w:t>
      </w:r>
      <w:r>
        <w:t xml:space="preserve"> in </w:t>
      </w:r>
      <w:r w:rsidR="00650808">
        <w:t>service providers’</w:t>
      </w:r>
      <w:r>
        <w:t xml:space="preserve"> networks.</w:t>
      </w:r>
      <w:r w:rsidR="00304215">
        <w:t xml:space="preserve"> </w:t>
      </w:r>
      <w:r w:rsidR="00B829F0">
        <w:t xml:space="preserve">We ask for updated information </w:t>
      </w:r>
      <w:r w:rsidR="00A2318C">
        <w:t>on</w:t>
      </w:r>
      <w:r w:rsidR="00B829F0">
        <w:t xml:space="preserve"> investment levels in the mobile wireless industry, including total investment levels over time, as well as investment per subscriber, investment as a percentage of revenue, and capital expenditures by individual mobile wireless service providers.  Did investment – both for the industry as a whole and by individual providers – increase or decrease during 2014 and 2015? </w:t>
      </w:r>
    </w:p>
    <w:p w:rsidR="00B829F0" w:rsidRDefault="00650808" w:rsidP="00B829F0">
      <w:pPr>
        <w:spacing w:after="120"/>
      </w:pPr>
      <w:r>
        <w:rPr>
          <w:szCs w:val="22"/>
        </w:rPr>
        <w:t>Further, we request</w:t>
      </w:r>
      <w:r w:rsidR="00B829F0">
        <w:rPr>
          <w:szCs w:val="22"/>
        </w:rPr>
        <w:t xml:space="preserve"> info</w:t>
      </w:r>
      <w:r w:rsidR="00B829F0">
        <w:t>rmation on the extent to which mobile wireless providers have upgraded, or plan to upgrade, their networks with 3G and 4G technologies</w:t>
      </w:r>
      <w:r w:rsidR="00B829F0">
        <w:rPr>
          <w:szCs w:val="22"/>
        </w:rPr>
        <w:t xml:space="preserve">.  </w:t>
      </w:r>
      <w:r w:rsidR="00451978">
        <w:rPr>
          <w:szCs w:val="22"/>
        </w:rPr>
        <w:t xml:space="preserve">What has been the extent of </w:t>
      </w:r>
      <w:r w:rsidR="00B829F0">
        <w:t xml:space="preserve">further deployment of these technologies since the release of the </w:t>
      </w:r>
      <w:r w:rsidR="00B829F0">
        <w:rPr>
          <w:i/>
        </w:rPr>
        <w:t>Seventeenth</w:t>
      </w:r>
      <w:r w:rsidR="00B829F0" w:rsidRPr="00066B32">
        <w:rPr>
          <w:i/>
        </w:rPr>
        <w:t xml:space="preserve"> Report</w:t>
      </w:r>
      <w:r w:rsidR="00B829F0">
        <w:t xml:space="preserve">?  How extensively have providers deployed advanced technologies in rural areas?  </w:t>
      </w:r>
      <w:r w:rsidR="00A2318C">
        <w:t>We seek information on providers’ deployments of LTE and their plans to transition to Voice over LTE (</w:t>
      </w:r>
      <w:r w:rsidR="00970C32">
        <w:t>“</w:t>
      </w:r>
      <w:r w:rsidR="00A2318C">
        <w:t>VoLTE</w:t>
      </w:r>
      <w:r w:rsidR="00970C32">
        <w:t>”</w:t>
      </w:r>
      <w:r w:rsidR="00A2318C">
        <w:t xml:space="preserve">).  </w:t>
      </w:r>
      <w:r w:rsidR="00B829F0">
        <w:t xml:space="preserve">We seek information on how </w:t>
      </w:r>
      <w:r w:rsidR="00451978">
        <w:t xml:space="preserve">and when </w:t>
      </w:r>
      <w:r w:rsidR="00B829F0">
        <w:t>providers plan to deploy services in the WCS, AWS-3 and AWS-4 bands including the technologies and speeds they plan to offer.  Are the services to be offered</w:t>
      </w:r>
      <w:r w:rsidR="00451978">
        <w:t>,</w:t>
      </w:r>
      <w:r w:rsidR="00B829F0">
        <w:t xml:space="preserve"> and networks to be deployed</w:t>
      </w:r>
      <w:r w:rsidR="00451978">
        <w:t>,</w:t>
      </w:r>
      <w:r w:rsidR="00B829F0">
        <w:t xml:space="preserve"> using this spectrum </w:t>
      </w:r>
      <w:r w:rsidR="00451978">
        <w:t xml:space="preserve">likely to be </w:t>
      </w:r>
      <w:r w:rsidR="00B829F0">
        <w:t>similar to or different from the services offered using other frequenc</w:t>
      </w:r>
      <w:r w:rsidR="00451978">
        <w:t>y bands</w:t>
      </w:r>
      <w:r w:rsidR="00B829F0">
        <w:t xml:space="preserve">, such as </w:t>
      </w:r>
      <w:r w:rsidR="00970C32">
        <w:t xml:space="preserve">AWS-1, </w:t>
      </w:r>
      <w:r w:rsidR="00B829F0">
        <w:t>Cellular, Broad</w:t>
      </w:r>
      <w:r>
        <w:t>band PCS, and the 700 MHz Band?</w:t>
      </w:r>
      <w:r w:rsidR="00A2318C">
        <w:t xml:space="preserve">  </w:t>
      </w:r>
    </w:p>
    <w:p w:rsidR="00B829F0" w:rsidRDefault="004069B9" w:rsidP="00B829F0">
      <w:pPr>
        <w:pStyle w:val="ParaNum"/>
        <w:numPr>
          <w:ilvl w:val="0"/>
          <w:numId w:val="0"/>
        </w:numPr>
      </w:pPr>
      <w:r>
        <w:t xml:space="preserve">We seek comment on </w:t>
      </w:r>
      <w:r w:rsidR="00A1045A">
        <w:t xml:space="preserve">providers’ </w:t>
      </w:r>
      <w:r w:rsidR="00525CA9">
        <w:t xml:space="preserve">service quality and reliability, </w:t>
      </w:r>
      <w:r>
        <w:t xml:space="preserve">including factors such as </w:t>
      </w:r>
      <w:r w:rsidR="00525CA9">
        <w:t>data speed</w:t>
      </w:r>
      <w:r>
        <w:t>s</w:t>
      </w:r>
      <w:r w:rsidR="00C85DF9">
        <w:t xml:space="preserve"> and</w:t>
      </w:r>
      <w:r w:rsidR="00A2318C">
        <w:t xml:space="preserve"> latency</w:t>
      </w:r>
      <w:r w:rsidR="004B7B8C">
        <w:t>.</w:t>
      </w:r>
      <w:r w:rsidR="00900FE9">
        <w:t xml:space="preserve"> </w:t>
      </w:r>
      <w:r w:rsidR="00B829F0">
        <w:t xml:space="preserve"> </w:t>
      </w:r>
      <w:r w:rsidR="00F92325">
        <w:t>Speed measurements may vary widely due to a large number of factors.  It is generally measured in one of two ways</w:t>
      </w:r>
      <w:r w:rsidR="00A1045A">
        <w:t xml:space="preserve">:  </w:t>
      </w:r>
      <w:r w:rsidR="00F92325">
        <w:t>Crowd</w:t>
      </w:r>
      <w:r w:rsidR="005D6B89">
        <w:t>-</w:t>
      </w:r>
      <w:r w:rsidR="00F92325">
        <w:t>sourced tests use mobile app</w:t>
      </w:r>
      <w:r w:rsidR="005D6B89">
        <w:t>lications</w:t>
      </w:r>
      <w:r w:rsidR="00F92325">
        <w:t xml:space="preserve"> that allow end users to measure and report the speeds at various times and ha</w:t>
      </w:r>
      <w:r w:rsidR="005D6B89">
        <w:t>ve</w:t>
      </w:r>
      <w:r w:rsidR="00F92325">
        <w:t xml:space="preserve"> the advantage of large sample size</w:t>
      </w:r>
      <w:r w:rsidR="00A1045A">
        <w:t>; d</w:t>
      </w:r>
      <w:r w:rsidR="00F92325">
        <w:t>rive</w:t>
      </w:r>
      <w:r w:rsidR="005D6B89">
        <w:t>-</w:t>
      </w:r>
      <w:r w:rsidR="00F92325">
        <w:t xml:space="preserve">testing is </w:t>
      </w:r>
      <w:r w:rsidR="00A1045A">
        <w:t>better</w:t>
      </w:r>
      <w:r w:rsidR="00F92325">
        <w:t xml:space="preserve"> controlled for location and conditions, but </w:t>
      </w:r>
      <w:r w:rsidR="00A1045A">
        <w:t xml:space="preserve">has </w:t>
      </w:r>
      <w:r w:rsidR="00F92325">
        <w:t>smaller sample sizes.  We seek data collected using both methodologies from a variety of sources.</w:t>
      </w:r>
      <w:r w:rsidR="00304215">
        <w:t xml:space="preserve"> </w:t>
      </w:r>
      <w:r w:rsidR="00B829F0">
        <w:t xml:space="preserve"> </w:t>
      </w:r>
      <w:r w:rsidR="00F92325">
        <w:t xml:space="preserve">In addition to upload and download speeds we seek data on latency. </w:t>
      </w:r>
      <w:r w:rsidR="005D6B89">
        <w:t xml:space="preserve"> </w:t>
      </w:r>
      <w:r w:rsidR="00F92325" w:rsidRPr="00950D6E">
        <w:t>One common measure is round-trip latency, which measures the amount of time it takes a data packet to travel from a source to a destination and back</w:t>
      </w:r>
      <w:r w:rsidR="00F92325">
        <w:t>.  For certain applications, such as voice, video, or other real-time communications</w:t>
      </w:r>
      <w:r w:rsidR="005D6B89">
        <w:t>,</w:t>
      </w:r>
      <w:r w:rsidR="00F92325">
        <w:t xml:space="preserve"> latency </w:t>
      </w:r>
      <w:r w:rsidR="00451978">
        <w:t>can be an important</w:t>
      </w:r>
      <w:r w:rsidR="00F92325">
        <w:t xml:space="preserve"> factor for quality of service.</w:t>
      </w:r>
      <w:r w:rsidR="00304215">
        <w:t xml:space="preserve"> </w:t>
      </w:r>
      <w:r w:rsidR="00FC2AE8">
        <w:t xml:space="preserve"> </w:t>
      </w:r>
    </w:p>
    <w:p w:rsidR="00F92325" w:rsidRDefault="00A1045A" w:rsidP="0050165B">
      <w:pPr>
        <w:spacing w:after="120"/>
      </w:pPr>
      <w:r>
        <w:t>We seek comment on how providers use device offerings to differentiate themselves from their rivals</w:t>
      </w:r>
      <w:r w:rsidR="00A841BF">
        <w:t xml:space="preserve"> and on how </w:t>
      </w:r>
      <w:r w:rsidR="000011E5">
        <w:t xml:space="preserve">providers </w:t>
      </w:r>
      <w:r w:rsidR="00A841BF">
        <w:t xml:space="preserve">use </w:t>
      </w:r>
      <w:r w:rsidR="000011E5">
        <w:t>device innovations as a way to compete</w:t>
      </w:r>
      <w:r w:rsidR="00A841BF">
        <w:t xml:space="preserve">.  </w:t>
      </w:r>
      <w:r w:rsidR="00F92325">
        <w:t xml:space="preserve">We seek comment on how providers use marketing and advertising to develop brand awareness and differentiate themselves to potential customers.  </w:t>
      </w:r>
      <w:r w:rsidR="00A2318C">
        <w:t>How much did individual providers, and the industry as a whole, spend on advertising and marketing in 2014 and early 2015?  Have providers increased the amount of money spent on customer acquisition?  How have advertising and marketing campaigns and practices changed during 201</w:t>
      </w:r>
      <w:r w:rsidR="000011E5">
        <w:t>4</w:t>
      </w:r>
      <w:r w:rsidR="00A2318C">
        <w:t xml:space="preserve"> and </w:t>
      </w:r>
      <w:r w:rsidR="000011E5">
        <w:t xml:space="preserve">early </w:t>
      </w:r>
      <w:r w:rsidR="00A2318C">
        <w:t>201</w:t>
      </w:r>
      <w:r w:rsidR="000011E5">
        <w:t>5</w:t>
      </w:r>
      <w:r w:rsidR="00A2318C">
        <w:t xml:space="preserve">?  In addition, what are the most popular retail channels used by mobile wireless providers, and how has this changed over the past year?  </w:t>
      </w:r>
    </w:p>
    <w:p w:rsidR="005D6B89" w:rsidRDefault="005D6B89" w:rsidP="00B829F0">
      <w:pPr>
        <w:pStyle w:val="Heading1"/>
        <w:ind w:left="720"/>
      </w:pPr>
      <w:r>
        <w:t>Other Developments in the Mobile Wireless Industry</w:t>
      </w:r>
      <w:r w:rsidR="00101227">
        <w:t xml:space="preserve"> </w:t>
      </w:r>
    </w:p>
    <w:p w:rsidR="00451978" w:rsidRDefault="0021159B" w:rsidP="00B829F0">
      <w:pPr>
        <w:spacing w:after="120"/>
      </w:pPr>
      <w:r>
        <w:t xml:space="preserve">In addition to alternative sources of data and information to update </w:t>
      </w:r>
      <w:r w:rsidR="0092189A">
        <w:t>the data and metrics</w:t>
      </w:r>
      <w:r>
        <w:t xml:space="preserve"> used in the </w:t>
      </w:r>
      <w:r>
        <w:rPr>
          <w:i/>
        </w:rPr>
        <w:t>Seventeenth Report</w:t>
      </w:r>
      <w:r>
        <w:t xml:space="preserve"> and previous </w:t>
      </w:r>
      <w:r>
        <w:rPr>
          <w:i/>
        </w:rPr>
        <w:t>Reports</w:t>
      </w:r>
      <w:r>
        <w:t xml:space="preserve">, </w:t>
      </w:r>
      <w:r w:rsidR="00556AA9">
        <w:t>we</w:t>
      </w:r>
      <w:r>
        <w:t xml:space="preserve"> invite commenters to recommend additional or alternative indicators to enhance the analysis of competitive market conditions with respect to mobile wireless.  </w:t>
      </w:r>
      <w:r w:rsidR="000854ED">
        <w:t xml:space="preserve">To the extent that commenters believe we should include additional metrics or perform additional analyses, we ask that they provide these data and explain these analyses.  </w:t>
      </w:r>
      <w:r>
        <w:t>In each case, the commenter should also submit, or identify sources for, the data and information needed to compile the proposed indicator.</w:t>
      </w:r>
      <w:r w:rsidR="002F0033">
        <w:t xml:space="preserve">  </w:t>
      </w:r>
    </w:p>
    <w:p w:rsidR="005D6B89" w:rsidRPr="008D6C2A" w:rsidRDefault="0022476F" w:rsidP="00B829F0">
      <w:pPr>
        <w:spacing w:after="120"/>
      </w:pPr>
      <w:r>
        <w:t xml:space="preserve">Finally, we seek comment on other factors or developments </w:t>
      </w:r>
      <w:r w:rsidR="005D6B89">
        <w:t xml:space="preserve">that </w:t>
      </w:r>
      <w:r w:rsidR="00101227">
        <w:t>may</w:t>
      </w:r>
      <w:r w:rsidR="005D6B89">
        <w:t xml:space="preserve"> </w:t>
      </w:r>
      <w:r>
        <w:t xml:space="preserve">affect or </w:t>
      </w:r>
      <w:r w:rsidR="00101227">
        <w:t>be</w:t>
      </w:r>
      <w:r w:rsidR="00163E58">
        <w:t xml:space="preserve"> </w:t>
      </w:r>
      <w:r>
        <w:t xml:space="preserve">relevant to competition </w:t>
      </w:r>
      <w:r w:rsidR="00101227">
        <w:t xml:space="preserve">and consumer choice </w:t>
      </w:r>
      <w:r>
        <w:t>in the mobile wireless marketplace.</w:t>
      </w:r>
      <w:r w:rsidR="00304215">
        <w:t xml:space="preserve">  For example, </w:t>
      </w:r>
      <w:r w:rsidR="00D43E89">
        <w:t xml:space="preserve">we seek information on the participation of minority and women-owned businesses in the mobile wireless marketplace, and how such participation may affect services provided to minority consumers or other niche market segments.  In addition, </w:t>
      </w:r>
      <w:r w:rsidR="00666C07">
        <w:t xml:space="preserve">we seek </w:t>
      </w:r>
      <w:r w:rsidR="005C3120">
        <w:t>comment</w:t>
      </w:r>
      <w:r w:rsidR="00666C07">
        <w:t xml:space="preserve"> on the extent to which features such as network security, privacy, and resiliency are important to consumers when choosing a mobile wireless service provider</w:t>
      </w:r>
      <w:r w:rsidR="000B6435">
        <w:t xml:space="preserve">. </w:t>
      </w:r>
      <w:r w:rsidR="00D43E89">
        <w:t xml:space="preserve"> </w:t>
      </w:r>
      <w:r w:rsidR="000B6435">
        <w:t>We also seek information on</w:t>
      </w:r>
      <w:r w:rsidR="005C3120">
        <w:t xml:space="preserve"> consumers’ willingness to pay, if at all, for such features</w:t>
      </w:r>
      <w:r w:rsidR="00666C07">
        <w:t xml:space="preserve">.  </w:t>
      </w:r>
      <w:r w:rsidR="00974E7B">
        <w:t>Further, w</w:t>
      </w:r>
      <w:r w:rsidR="002F0033">
        <w:t xml:space="preserve">e invite commenters to submit any studies or analyses that compare the mobile wireless marketplace in the United States with that in other countries.  </w:t>
      </w:r>
      <w:r w:rsidR="005D6B89">
        <w:t xml:space="preserve">Commenters should address any other </w:t>
      </w:r>
      <w:r w:rsidR="00CD5752">
        <w:t xml:space="preserve">recent </w:t>
      </w:r>
      <w:r w:rsidR="005D6B89">
        <w:t xml:space="preserve">developments </w:t>
      </w:r>
      <w:r w:rsidR="00CD5752">
        <w:t xml:space="preserve">in the mobile wireless industry </w:t>
      </w:r>
      <w:r w:rsidR="005D6B89">
        <w:t>as they find them important to competition.</w:t>
      </w:r>
    </w:p>
    <w:p w:rsidR="00BE3101" w:rsidRDefault="00BE3101" w:rsidP="00B829F0">
      <w:pPr>
        <w:pStyle w:val="Heading1"/>
        <w:ind w:left="720"/>
      </w:pPr>
      <w:r>
        <w:t>Procedural Matters</w:t>
      </w:r>
    </w:p>
    <w:p w:rsidR="00BE3101" w:rsidRPr="004C061C" w:rsidRDefault="00BE3101" w:rsidP="00B829F0">
      <w:pPr>
        <w:spacing w:after="120"/>
      </w:pPr>
      <w:r>
        <w:rPr>
          <w:szCs w:val="22"/>
        </w:rPr>
        <w:t>Pursuant to sections 1.415 and 1.419 of the Commission’s rules, 47 CFR §§ 1.415, 1.419, interested parties may file comments on or before</w:t>
      </w:r>
      <w:r w:rsidRPr="00F114B8">
        <w:rPr>
          <w:szCs w:val="22"/>
        </w:rPr>
        <w:t xml:space="preserve"> </w:t>
      </w:r>
      <w:r w:rsidR="00EB666F" w:rsidRPr="00EB666F">
        <w:rPr>
          <w:b/>
          <w:szCs w:val="22"/>
        </w:rPr>
        <w:t>June 29, 2015</w:t>
      </w:r>
      <w:r w:rsidR="00185EE3">
        <w:rPr>
          <w:szCs w:val="22"/>
        </w:rPr>
        <w:t xml:space="preserve"> </w:t>
      </w:r>
      <w:r w:rsidRPr="00C567C6">
        <w:rPr>
          <w:szCs w:val="22"/>
        </w:rPr>
        <w:t xml:space="preserve">and reply comments on or before </w:t>
      </w:r>
      <w:r w:rsidR="00EB666F">
        <w:rPr>
          <w:b/>
          <w:szCs w:val="22"/>
        </w:rPr>
        <w:t>July</w:t>
      </w:r>
      <w:r w:rsidR="006C4FB7">
        <w:rPr>
          <w:b/>
          <w:szCs w:val="22"/>
        </w:rPr>
        <w:t xml:space="preserve"> 14, 2015</w:t>
      </w:r>
      <w:r w:rsidRPr="00C567C6">
        <w:rPr>
          <w:szCs w:val="22"/>
        </w:rPr>
        <w:t xml:space="preserve">.  All filings should refer to WT Docket No. </w:t>
      </w:r>
      <w:r w:rsidR="00185EE3">
        <w:rPr>
          <w:b/>
          <w:szCs w:val="22"/>
        </w:rPr>
        <w:t>15-</w:t>
      </w:r>
      <w:r w:rsidR="006C4FB7">
        <w:rPr>
          <w:b/>
          <w:szCs w:val="22"/>
        </w:rPr>
        <w:t>125</w:t>
      </w:r>
      <w:r>
        <w:t xml:space="preserve">.  </w:t>
      </w:r>
      <w:r>
        <w:rPr>
          <w:szCs w:val="22"/>
        </w:rPr>
        <w:t xml:space="preserve">Comments may be filed: (1) using the Commission’s Electronic Comment Filing System (ECFS), or (2) by filing paper copies.  See Electronic Filing of Documents in Rulemaking Proceedings, 63 FR 24121 (1998).  </w:t>
      </w:r>
    </w:p>
    <w:p w:rsidR="00BE3101" w:rsidRPr="004C061C" w:rsidRDefault="00BE3101" w:rsidP="00B829F0">
      <w:pPr>
        <w:spacing w:after="120"/>
        <w:rPr>
          <w:szCs w:val="22"/>
        </w:rPr>
      </w:pPr>
      <w:r w:rsidRPr="00160E06">
        <w:t xml:space="preserve">Comments and reply comments filed in response to this </w:t>
      </w:r>
      <w:r w:rsidRPr="00160E06">
        <w:rPr>
          <w:i/>
        </w:rPr>
        <w:t>Public Notice</w:t>
      </w:r>
      <w:r w:rsidRPr="00160E06">
        <w:t xml:space="preserve"> will be available for public inspectio</w:t>
      </w:r>
      <w:r>
        <w:t>n and copying in the Commission’</w:t>
      </w:r>
      <w:r w:rsidRPr="00160E06">
        <w:t>s Reference Center, Room CY-A257, 445 12th Street, S.W., Washington, D.C</w:t>
      </w:r>
      <w:r>
        <w:t>. 20554, and via the Commission’</w:t>
      </w:r>
      <w:r w:rsidRPr="00160E06">
        <w:t>s Electronic Comment Filing System (ECFS) by ente</w:t>
      </w:r>
      <w:r>
        <w:t>ring the docket number, WT 11-186</w:t>
      </w:r>
      <w:r w:rsidRPr="00160E06">
        <w:t xml:space="preserve">.  </w:t>
      </w:r>
    </w:p>
    <w:p w:rsidR="00BE3101" w:rsidRDefault="00BE3101" w:rsidP="00B829F0">
      <w:pPr>
        <w:pStyle w:val="BodyText2"/>
        <w:spacing w:line="240" w:lineRule="auto"/>
      </w:pPr>
      <w:r>
        <w:t xml:space="preserve">Comments may be filed using the ECFS or by filing paper copies.  </w:t>
      </w:r>
      <w:r>
        <w:rPr>
          <w:i/>
        </w:rPr>
        <w:t>See</w:t>
      </w:r>
      <w:r>
        <w:t xml:space="preserve"> Electronic Filing of Documents in Rulemaking Proceedings, 63 Fed. Reg. 24121 (1998).  Comments filed through the ECFS can be sent as an electronic file via the Internet to </w:t>
      </w:r>
      <w:hyperlink r:id="rId9" w:history="1">
        <w:r>
          <w:rPr>
            <w:rStyle w:val="Hyperlink"/>
          </w:rPr>
          <w:t>http://www.fcc.gov/cgb/ecfs/</w:t>
        </w:r>
      </w:hyperlink>
      <w:r>
        <w:t xml:space="preserve">.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w:t>
      </w:r>
      <w:hyperlink r:id="rId10" w:history="1">
        <w:r>
          <w:rPr>
            <w:rStyle w:val="Hyperlink"/>
          </w:rPr>
          <w:t>ecfs@fcc.gov</w:t>
        </w:r>
      </w:hyperlink>
      <w:r>
        <w:t xml:space="preserve"> , and should include the following words in the body of the message, “get form.”  A sample form and directions will be sent in reply.</w:t>
      </w:r>
    </w:p>
    <w:p w:rsidR="00BE3101" w:rsidRDefault="00BE3101" w:rsidP="00B829F0">
      <w:pPr>
        <w:pStyle w:val="BodyText2"/>
        <w:spacing w:line="240" w:lineRule="auto"/>
      </w:pPr>
      <w:r>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rsidR="00BE3101" w:rsidRDefault="00BE3101" w:rsidP="00B829F0">
      <w:pPr>
        <w:pStyle w:val="BodyText2"/>
        <w:spacing w:line="240" w:lineRule="auto"/>
      </w:pPr>
      <w: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 as follows:</w:t>
      </w:r>
    </w:p>
    <w:p w:rsidR="00BE3101" w:rsidRDefault="00BE3101" w:rsidP="00B829F0">
      <w:pPr>
        <w:pStyle w:val="BodyText2"/>
        <w:spacing w:line="228" w:lineRule="auto"/>
        <w:ind w:left="720"/>
      </w:pPr>
      <w:r>
        <w:t>-All hand-delivered paper filings for the Commission’s Secretary must be delivered to FCC Headquarters at 445 12</w:t>
      </w:r>
      <w:r>
        <w:rPr>
          <w:vertAlign w:val="superscript"/>
        </w:rPr>
        <w:t>th</w:t>
      </w:r>
      <w:r>
        <w:t xml:space="preserve"> St., S.W., Room TW-A325, Washington, DC 20554.  All hand deliveries must be held together with rubber bands or fasteners.  Envelopes must be disposed of before entering the building.  The filing hours at this location are 8:00 a.m. to 7:00 p.m.  </w:t>
      </w:r>
      <w:r>
        <w:rPr>
          <w:b/>
        </w:rPr>
        <w:t xml:space="preserve">PLEASE NOTE:  </w:t>
      </w:r>
      <w:r>
        <w:t xml:space="preserve">This is the </w:t>
      </w:r>
      <w:r>
        <w:rPr>
          <w:b/>
        </w:rPr>
        <w:t>ONLY</w:t>
      </w:r>
      <w:r>
        <w:t xml:space="preserve"> location where hand-delivered or messenger-delivered paper filings for the Commission’s Secretary will be accepted.  The Commission’s former filing location at 236 Massachusetts Ave., N.E., is permanently closed. </w:t>
      </w:r>
    </w:p>
    <w:p w:rsidR="00BE3101" w:rsidRDefault="00BE3101" w:rsidP="00B829F0">
      <w:pPr>
        <w:pStyle w:val="BodyText2"/>
        <w:spacing w:line="228" w:lineRule="auto"/>
        <w:ind w:left="720"/>
      </w:pPr>
      <w:r>
        <w:t>-Commercial overnight mail (other than U.S. Postal Service Express Mail and Priority Mail) must be sent to 9300 East Hampton Drive, Capitol Heights, MD 20743.</w:t>
      </w:r>
    </w:p>
    <w:p w:rsidR="00BE3101" w:rsidRDefault="00BE3101" w:rsidP="00B829F0">
      <w:pPr>
        <w:pStyle w:val="BodyText2"/>
        <w:spacing w:line="228" w:lineRule="auto"/>
        <w:ind w:left="720"/>
      </w:pPr>
      <w:r>
        <w:t>-U.S. Postal Service first-class mail, Express Mail, and Priority Mail should be addressed to 445 12th Street, S.W., Washington, DC 20554.</w:t>
      </w:r>
    </w:p>
    <w:p w:rsidR="00BE3101" w:rsidRDefault="00BE3101" w:rsidP="00B829F0">
      <w:pPr>
        <w:pStyle w:val="BodyText2"/>
        <w:spacing w:line="240" w:lineRule="auto"/>
        <w:ind w:left="720"/>
      </w:pPr>
      <w:r>
        <w:t>-All filings must be addressed to the Commission's Secretary, Office of the Secretary, Federal Communications Commission.</w:t>
      </w:r>
    </w:p>
    <w:p w:rsidR="00BE3101" w:rsidRDefault="00BE3101" w:rsidP="00B829F0">
      <w:pPr>
        <w:spacing w:after="120"/>
        <w:rPr>
          <w:szCs w:val="22"/>
        </w:rPr>
      </w:pPr>
      <w:r>
        <w:t xml:space="preserve">Alternate formats of this </w:t>
      </w:r>
      <w:r>
        <w:rPr>
          <w:i/>
        </w:rPr>
        <w:t>Public Notice</w:t>
      </w:r>
      <w:r>
        <w:t xml:space="preserve"> (computer diskette, large print, audio recording, and Braille) are available to persons with disabilities by contacting the Consumer &amp; Governmental Affairs Bureau at (202) 418-0530 (voice), (202) 418-0432 (TTY), or send an e-mail to fcc504@fcc.gov.</w:t>
      </w:r>
    </w:p>
    <w:p w:rsidR="00BE3101" w:rsidRDefault="00BE3101" w:rsidP="00B829F0">
      <w:pPr>
        <w:pStyle w:val="Paranum0"/>
        <w:spacing w:after="120"/>
        <w:rPr>
          <w:szCs w:val="22"/>
        </w:rPr>
      </w:pPr>
      <w:r>
        <w:t xml:space="preserve">For further information, contact </w:t>
      </w:r>
      <w:r w:rsidR="005D6B89">
        <w:t>Catherine Matraves,</w:t>
      </w:r>
      <w:r>
        <w:t xml:space="preserve"> Spectrum &amp; Competition Policy Division, Wireless Telecommunications Bureau, (202) </w:t>
      </w:r>
      <w:r w:rsidR="005D6B89">
        <w:t>391-6272</w:t>
      </w:r>
      <w:r>
        <w:t xml:space="preserve">, or </w:t>
      </w:r>
      <w:r w:rsidR="00846786">
        <w:t>Leon Jackler</w:t>
      </w:r>
      <w:r>
        <w:t>, Spectrum &amp; Competition Policy Division, Wireless Telecommunications Bureau, (202) 418-</w:t>
      </w:r>
      <w:r w:rsidR="00846786">
        <w:t>0946</w:t>
      </w:r>
      <w:r>
        <w:t>.</w:t>
      </w:r>
    </w:p>
    <w:sectPr w:rsidR="00BE3101" w:rsidSect="00CD7D8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64" w:rsidRDefault="007E1B64" w:rsidP="00BE3101">
      <w:r>
        <w:separator/>
      </w:r>
    </w:p>
  </w:endnote>
  <w:endnote w:type="continuationSeparator" w:id="0">
    <w:p w:rsidR="007E1B64" w:rsidRDefault="007E1B64" w:rsidP="00BE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9B" w:rsidRDefault="00BE3101" w:rsidP="00BE12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419B" w:rsidRDefault="00CF2426" w:rsidP="00BE12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661524"/>
      <w:docPartObj>
        <w:docPartGallery w:val="Page Numbers (Bottom of Page)"/>
        <w:docPartUnique/>
      </w:docPartObj>
    </w:sdtPr>
    <w:sdtEndPr>
      <w:rPr>
        <w:noProof/>
      </w:rPr>
    </w:sdtEndPr>
    <w:sdtContent>
      <w:p w:rsidR="005E57DF" w:rsidRDefault="005E57DF">
        <w:pPr>
          <w:pStyle w:val="Footer"/>
          <w:jc w:val="center"/>
        </w:pPr>
        <w:r>
          <w:fldChar w:fldCharType="begin"/>
        </w:r>
        <w:r>
          <w:instrText xml:space="preserve"> PAGE   \* MERGEFORMAT </w:instrText>
        </w:r>
        <w:r>
          <w:fldChar w:fldCharType="separate"/>
        </w:r>
        <w:r w:rsidR="006C4FB7">
          <w:rPr>
            <w:noProof/>
          </w:rPr>
          <w:t>4</w:t>
        </w:r>
        <w:r>
          <w:rPr>
            <w:noProof/>
          </w:rPr>
          <w:fldChar w:fldCharType="end"/>
        </w:r>
      </w:p>
    </w:sdtContent>
  </w:sdt>
  <w:p w:rsidR="005E57DF" w:rsidRDefault="005E5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930859"/>
      <w:docPartObj>
        <w:docPartGallery w:val="Page Numbers (Bottom of Page)"/>
        <w:docPartUnique/>
      </w:docPartObj>
    </w:sdtPr>
    <w:sdtEndPr>
      <w:rPr>
        <w:noProof/>
      </w:rPr>
    </w:sdtEndPr>
    <w:sdtContent>
      <w:p w:rsidR="005E57DF" w:rsidRDefault="005E57DF">
        <w:pPr>
          <w:pStyle w:val="Footer"/>
          <w:jc w:val="center"/>
        </w:pPr>
        <w:r>
          <w:fldChar w:fldCharType="begin"/>
        </w:r>
        <w:r>
          <w:instrText xml:space="preserve"> PAGE   \* MERGEFORMAT </w:instrText>
        </w:r>
        <w:r>
          <w:fldChar w:fldCharType="separate"/>
        </w:r>
        <w:r w:rsidR="00CF2426">
          <w:rPr>
            <w:noProof/>
          </w:rPr>
          <w:t>1</w:t>
        </w:r>
        <w:r>
          <w:rPr>
            <w:noProof/>
          </w:rPr>
          <w:fldChar w:fldCharType="end"/>
        </w:r>
      </w:p>
    </w:sdtContent>
  </w:sdt>
  <w:p w:rsidR="005E57DF" w:rsidRDefault="005E5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64" w:rsidRDefault="007E1B64" w:rsidP="00BE3101">
      <w:r>
        <w:separator/>
      </w:r>
    </w:p>
  </w:footnote>
  <w:footnote w:type="continuationSeparator" w:id="0">
    <w:p w:rsidR="007E1B64" w:rsidRDefault="007E1B64" w:rsidP="00BE3101">
      <w:r>
        <w:continuationSeparator/>
      </w:r>
    </w:p>
  </w:footnote>
  <w:footnote w:id="1">
    <w:p w:rsidR="00BE3101" w:rsidRDefault="00BE3101" w:rsidP="00BE3101">
      <w:pPr>
        <w:pStyle w:val="FootnoteText"/>
      </w:pPr>
      <w:r>
        <w:rPr>
          <w:rStyle w:val="FootnoteReference"/>
        </w:rPr>
        <w:footnoteRef/>
      </w:r>
      <w:r>
        <w:t xml:space="preserve"> </w:t>
      </w:r>
      <w:r>
        <w:rPr>
          <w:i/>
        </w:rPr>
        <w:t>See</w:t>
      </w:r>
      <w:r>
        <w:t xml:space="preserve"> 47 U.S.C. § 332(c)(1)(C).</w:t>
      </w:r>
    </w:p>
  </w:footnote>
  <w:footnote w:id="2">
    <w:p w:rsidR="00BE3101" w:rsidRDefault="00BE3101" w:rsidP="00BE3101">
      <w:pPr>
        <w:pStyle w:val="FootnoteText"/>
      </w:pPr>
      <w:r>
        <w:rPr>
          <w:rStyle w:val="FootnoteReference"/>
        </w:rPr>
        <w:footnoteRef/>
      </w:r>
      <w:r>
        <w:t xml:space="preserve"> Implementation of Section 6002(b) of the Omnibus Budget Reconciliation Act of 1993, Annual Report and Analysis of Competitive Market Conditions with Respect to Mobile Wireless, including Commercial Mobile Services, WT Docket No. 13-135, </w:t>
      </w:r>
      <w:r>
        <w:rPr>
          <w:i/>
        </w:rPr>
        <w:t>Seventeenth Report</w:t>
      </w:r>
      <w:r>
        <w:t xml:space="preserve">, </w:t>
      </w:r>
      <w:r w:rsidR="00BE0521">
        <w:t>29 FCC Rcd. 15311</w:t>
      </w:r>
      <w:r>
        <w:t xml:space="preserve"> (2014). </w:t>
      </w:r>
    </w:p>
  </w:footnote>
  <w:footnote w:id="3">
    <w:p w:rsidR="00BE3101" w:rsidRDefault="00BE3101" w:rsidP="00BE3101">
      <w:pPr>
        <w:pStyle w:val="FootnoteText"/>
      </w:pPr>
      <w:r>
        <w:rPr>
          <w:rStyle w:val="FootnoteReference"/>
        </w:rPr>
        <w:footnoteRef/>
      </w:r>
      <w:r>
        <w:t xml:space="preserve"> Mosaik Solutions is an independent consulting firm that produces coverage maps based on public sources as well as confidential information supplied directly by service providers.</w:t>
      </w:r>
      <w:r>
        <w:rPr>
          <w:i/>
        </w:rPr>
        <w:t xml:space="preserve"> </w:t>
      </w:r>
    </w:p>
  </w:footnote>
  <w:footnote w:id="4">
    <w:p w:rsidR="00BE3101" w:rsidRDefault="00BE3101" w:rsidP="00BE3101">
      <w:pPr>
        <w:pStyle w:val="FootnoteText"/>
        <w:jc w:val="both"/>
      </w:pPr>
      <w:r>
        <w:rPr>
          <w:rStyle w:val="FootnoteReference"/>
          <w:szCs w:val="16"/>
        </w:rPr>
        <w:footnoteRef/>
      </w:r>
      <w:r>
        <w:rPr>
          <w:rStyle w:val="FootnoteReference"/>
          <w:szCs w:val="16"/>
        </w:rPr>
        <w:t xml:space="preserve"> </w:t>
      </w:r>
      <w:r>
        <w:t>47 C.F.R. §</w:t>
      </w:r>
      <w:r w:rsidR="00A45592">
        <w:t xml:space="preserve"> </w:t>
      </w:r>
      <w:r>
        <w:t>0.459.</w:t>
      </w:r>
    </w:p>
  </w:footnote>
  <w:footnote w:id="5">
    <w:p w:rsidR="00FD1AA1" w:rsidRPr="008A6A0C" w:rsidRDefault="00FD1AA1" w:rsidP="00FD1AA1">
      <w:pPr>
        <w:pStyle w:val="FootnoteText"/>
      </w:pPr>
      <w:r w:rsidRPr="008A6A0C">
        <w:rPr>
          <w:rStyle w:val="FootnoteReference"/>
        </w:rPr>
        <w:footnoteRef/>
      </w:r>
      <w:r>
        <w:t xml:space="preserve"> 47 U.S.C. § 332(c)(1)(C). </w:t>
      </w:r>
      <w:r w:rsidRPr="008A6A0C">
        <w:t xml:space="preserve">  </w:t>
      </w:r>
    </w:p>
  </w:footnote>
  <w:footnote w:id="6">
    <w:p w:rsidR="00BC1440" w:rsidRPr="00853D64" w:rsidRDefault="00BC1440" w:rsidP="00BC1440">
      <w:pPr>
        <w:pStyle w:val="FootnoteText"/>
      </w:pPr>
      <w:r>
        <w:rPr>
          <w:rStyle w:val="FootnoteReference"/>
        </w:rPr>
        <w:footnoteRef/>
      </w:r>
      <w:r>
        <w:t xml:space="preserve"> </w:t>
      </w:r>
      <w:r>
        <w:rPr>
          <w:i/>
        </w:rPr>
        <w:t xml:space="preserve">See </w:t>
      </w:r>
      <w:r w:rsidRPr="00853D64">
        <w:t>fcc.gov/wireless-competition-report</w:t>
      </w:r>
      <w:r>
        <w:t>.</w:t>
      </w:r>
    </w:p>
  </w:footnote>
  <w:footnote w:id="7">
    <w:p w:rsidR="00BE3101" w:rsidRPr="004A2BC2" w:rsidRDefault="00BE3101" w:rsidP="00BE3101">
      <w:pPr>
        <w:pStyle w:val="FootnoteText"/>
      </w:pPr>
      <w:r w:rsidRPr="008A6A0C">
        <w:rPr>
          <w:rStyle w:val="FootnoteReference"/>
        </w:rPr>
        <w:footnoteRef/>
      </w:r>
      <w:r w:rsidRPr="008A6A0C">
        <w:t xml:space="preserve"> </w:t>
      </w:r>
      <w:r w:rsidR="00917704" w:rsidRPr="00B14DD1">
        <w:rPr>
          <w:i/>
        </w:rPr>
        <w:t>See</w:t>
      </w:r>
      <w:r w:rsidR="00917704">
        <w:t xml:space="preserve"> </w:t>
      </w:r>
      <w:r w:rsidR="00917704" w:rsidRPr="00B14DD1">
        <w:rPr>
          <w:i/>
        </w:rPr>
        <w:t>Seventeenth Report</w:t>
      </w:r>
      <w:r w:rsidR="00917704">
        <w:t xml:space="preserve">, ¶ 3; </w:t>
      </w:r>
      <w:r w:rsidR="00917704" w:rsidRPr="00E24E10">
        <w:rPr>
          <w:i/>
        </w:rPr>
        <w:t>Sixteenth Report</w:t>
      </w:r>
      <w:r w:rsidR="00917704">
        <w:t xml:space="preserve">, ¶ 4; </w:t>
      </w:r>
      <w:r w:rsidR="00917704" w:rsidRPr="00E24E10">
        <w:rPr>
          <w:i/>
        </w:rPr>
        <w:t>Fifteenth Report</w:t>
      </w:r>
      <w:r w:rsidR="00917704">
        <w:t xml:space="preserve">, ¶ 4.  Similar to earlier reports, the </w:t>
      </w:r>
      <w:r w:rsidR="00917704" w:rsidRPr="00E24E10">
        <w:rPr>
          <w:i/>
        </w:rPr>
        <w:t>Seventeenth Report</w:t>
      </w:r>
      <w:r w:rsidR="00917704">
        <w:t xml:space="preserve"> included mobile Broadband Internet Access Service (</w:t>
      </w:r>
      <w:r w:rsidR="002F4B8F">
        <w:t>“</w:t>
      </w:r>
      <w:r w:rsidR="00917704">
        <w:t>BIAS</w:t>
      </w:r>
      <w:r w:rsidR="002F4B8F">
        <w:t>”</w:t>
      </w:r>
      <w:r w:rsidR="00917704">
        <w:t xml:space="preserve">) in its analysis even though the Commission had not yet classified mobile BIAS as CMRS.  </w:t>
      </w:r>
      <w:r w:rsidR="00917704" w:rsidRPr="00B14DD1">
        <w:rPr>
          <w:i/>
        </w:rPr>
        <w:t>See generally,</w:t>
      </w:r>
      <w:r w:rsidR="00917704">
        <w:t xml:space="preserve"> In the Matter of Protecting and Promoting the Open Internet, GN Docket No. 14-28, </w:t>
      </w:r>
      <w:r w:rsidR="00917704" w:rsidRPr="00901D04">
        <w:rPr>
          <w:i/>
        </w:rPr>
        <w:t>Report and Order on Remand, Declaratory Ruling, and Order,</w:t>
      </w:r>
      <w:r w:rsidR="00917704">
        <w:t xml:space="preserve"> FCC 15-24, </w:t>
      </w:r>
      <w:r w:rsidR="00E8113E">
        <w:t>¶¶</w:t>
      </w:r>
      <w:r w:rsidR="00917704">
        <w:t xml:space="preserve"> 388-408 (rel. Mar. 13, 2015) (classifying mobile BIAS as CMRS).</w:t>
      </w:r>
    </w:p>
  </w:footnote>
  <w:footnote w:id="8">
    <w:p w:rsidR="007C647F" w:rsidRDefault="007C647F">
      <w:pPr>
        <w:pStyle w:val="FootnoteText"/>
      </w:pPr>
      <w:r>
        <w:rPr>
          <w:rStyle w:val="FootnoteReference"/>
        </w:rPr>
        <w:footnoteRef/>
      </w:r>
      <w:r>
        <w:t xml:space="preserve"> </w:t>
      </w:r>
      <w:r w:rsidRPr="008D3009">
        <w:rPr>
          <w:i/>
        </w:rPr>
        <w:t xml:space="preserve">See </w:t>
      </w:r>
      <w:r>
        <w:rPr>
          <w:i/>
        </w:rPr>
        <w:t>Seventeenth</w:t>
      </w:r>
      <w:r w:rsidRPr="008D3009">
        <w:rPr>
          <w:i/>
        </w:rPr>
        <w:t xml:space="preserve"> Report</w:t>
      </w:r>
      <w:r>
        <w:t xml:space="preserve"> at </w:t>
      </w:r>
      <w:r w:rsidRPr="00D40600">
        <w:t>¶¶</w:t>
      </w:r>
      <w:r>
        <w:t xml:space="preserve"> 11-14.</w:t>
      </w:r>
    </w:p>
  </w:footnote>
  <w:footnote w:id="9">
    <w:p w:rsidR="007C647F" w:rsidRDefault="007C647F" w:rsidP="007C647F">
      <w:pPr>
        <w:pStyle w:val="FootnoteText"/>
      </w:pPr>
      <w:r>
        <w:rPr>
          <w:rStyle w:val="FootnoteReference"/>
        </w:rPr>
        <w:footnoteRef/>
      </w:r>
      <w:r>
        <w:t xml:space="preserve"> </w:t>
      </w:r>
      <w:r w:rsidRPr="008D3009">
        <w:rPr>
          <w:i/>
        </w:rPr>
        <w:t xml:space="preserve">See </w:t>
      </w:r>
      <w:r>
        <w:rPr>
          <w:i/>
        </w:rPr>
        <w:t>Seventeenth</w:t>
      </w:r>
      <w:r w:rsidRPr="008D3009">
        <w:rPr>
          <w:i/>
        </w:rPr>
        <w:t xml:space="preserve"> Report</w:t>
      </w:r>
      <w:r>
        <w:t xml:space="preserve"> at </w:t>
      </w:r>
      <w:r w:rsidRPr="00D40600">
        <w:t>¶¶</w:t>
      </w:r>
      <w:r>
        <w:t xml:space="preserve"> 15-18.</w:t>
      </w:r>
    </w:p>
  </w:footnote>
  <w:footnote w:id="10">
    <w:p w:rsidR="002876EF" w:rsidRDefault="002876EF">
      <w:pPr>
        <w:pStyle w:val="FootnoteText"/>
      </w:pPr>
      <w:r>
        <w:rPr>
          <w:rStyle w:val="FootnoteReference"/>
        </w:rPr>
        <w:footnoteRef/>
      </w:r>
      <w:r>
        <w:t xml:space="preserve"> </w:t>
      </w:r>
      <w:r w:rsidRPr="008D3009">
        <w:rPr>
          <w:i/>
        </w:rPr>
        <w:t xml:space="preserve">See </w:t>
      </w:r>
      <w:r>
        <w:rPr>
          <w:i/>
        </w:rPr>
        <w:t>Seventeenth</w:t>
      </w:r>
      <w:r w:rsidRPr="008D3009">
        <w:rPr>
          <w:i/>
        </w:rPr>
        <w:t xml:space="preserve"> Report</w:t>
      </w:r>
      <w:r>
        <w:t xml:space="preserve"> at ¶ 20.</w:t>
      </w:r>
    </w:p>
  </w:footnote>
  <w:footnote w:id="11">
    <w:p w:rsidR="00AD08E0" w:rsidRPr="00BA5D1E" w:rsidRDefault="00AD08E0" w:rsidP="00AD08E0">
      <w:pPr>
        <w:pStyle w:val="FootnoteText"/>
      </w:pPr>
      <w:r w:rsidRPr="00D22028">
        <w:rPr>
          <w:rStyle w:val="FootnoteReference"/>
          <w:sz w:val="20"/>
        </w:rPr>
        <w:footnoteRef/>
      </w:r>
      <w:r w:rsidRPr="00D22028">
        <w:t xml:space="preserve"> </w:t>
      </w:r>
      <w:r w:rsidR="00EE73CE" w:rsidRPr="008A6A0C">
        <w:rPr>
          <w:rStyle w:val="FootnoteTextChar2"/>
        </w:rPr>
        <w:t xml:space="preserve">When all mobile wireless devices were assigned telephone numbers and subscribers generally carried one mobile device for making voice calls, NRUF provided reasonably accurate measures of subscribership.  </w:t>
      </w:r>
      <w:r w:rsidR="00873B23">
        <w:rPr>
          <w:rStyle w:val="FootnoteTextChar2"/>
        </w:rPr>
        <w:t>Consumers today</w:t>
      </w:r>
      <w:r w:rsidR="002B2E70">
        <w:rPr>
          <w:rStyle w:val="FootnoteTextChar2"/>
        </w:rPr>
        <w:t>, however,</w:t>
      </w:r>
      <w:r w:rsidR="00873B23">
        <w:rPr>
          <w:rStyle w:val="FootnoteTextChar2"/>
        </w:rPr>
        <w:t xml:space="preserve"> </w:t>
      </w:r>
      <w:r w:rsidR="00EE73CE" w:rsidRPr="008A6A0C">
        <w:rPr>
          <w:rStyle w:val="FootnoteTextChar2"/>
        </w:rPr>
        <w:t>are more likely to use more than one mobile device that ha</w:t>
      </w:r>
      <w:r w:rsidR="00873B23">
        <w:rPr>
          <w:rStyle w:val="FootnoteTextChar2"/>
        </w:rPr>
        <w:t>s</w:t>
      </w:r>
      <w:r w:rsidR="00EE73CE" w:rsidRPr="008A6A0C">
        <w:rPr>
          <w:rStyle w:val="FootnoteTextChar2"/>
        </w:rPr>
        <w:t xml:space="preserve"> been assigned</w:t>
      </w:r>
      <w:r w:rsidR="00873B23">
        <w:rPr>
          <w:rStyle w:val="FootnoteTextChar2"/>
        </w:rPr>
        <w:t xml:space="preserve"> a </w:t>
      </w:r>
      <w:r w:rsidR="00EE73CE" w:rsidRPr="008A6A0C">
        <w:rPr>
          <w:rStyle w:val="FootnoteTextChar2"/>
        </w:rPr>
        <w:t>telephone number</w:t>
      </w:r>
      <w:r w:rsidR="002B2E70">
        <w:rPr>
          <w:rStyle w:val="FootnoteTextChar2"/>
        </w:rPr>
        <w:t xml:space="preserve">. </w:t>
      </w:r>
      <w:r w:rsidR="00EE73CE" w:rsidRPr="008A6A0C">
        <w:rPr>
          <w:rStyle w:val="FootnoteTextChar2"/>
        </w:rPr>
        <w:t xml:space="preserve"> In addition, certain mobile broadband providers do not assign telephone numbers to at least some of the devices on their networks.  </w:t>
      </w:r>
      <w:r w:rsidR="002B2E70">
        <w:rPr>
          <w:rStyle w:val="FootnoteTextChar2"/>
        </w:rPr>
        <w:t>As a result,</w:t>
      </w:r>
      <w:r w:rsidR="00EE73CE" w:rsidRPr="008A6A0C">
        <w:rPr>
          <w:rStyle w:val="FootnoteTextChar2"/>
        </w:rPr>
        <w:t xml:space="preserve"> NRUF is becoming less useful in measuring the number of individual subscribers</w:t>
      </w:r>
      <w:r w:rsidR="00873B23">
        <w:rPr>
          <w:rStyle w:val="FootnoteTextChar2"/>
        </w:rPr>
        <w:t>, and i</w:t>
      </w:r>
      <w:r w:rsidR="00EE73CE" w:rsidRPr="008A6A0C">
        <w:rPr>
          <w:rStyle w:val="FootnoteTextChar2"/>
        </w:rPr>
        <w:t xml:space="preserve">nstead, </w:t>
      </w:r>
      <w:r w:rsidR="00873B23">
        <w:rPr>
          <w:rStyle w:val="FootnoteTextChar2"/>
        </w:rPr>
        <w:t xml:space="preserve">provides </w:t>
      </w:r>
      <w:r w:rsidR="00EE73CE" w:rsidRPr="008A6A0C">
        <w:rPr>
          <w:rStyle w:val="FootnoteTextChar2"/>
        </w:rPr>
        <w:t xml:space="preserve">more of an estimate of the number of connected devices.  </w:t>
      </w:r>
      <w:r w:rsidRPr="00D22028">
        <w:rPr>
          <w:i/>
        </w:rPr>
        <w:t xml:space="preserve">See </w:t>
      </w:r>
      <w:r w:rsidR="00B37397" w:rsidRPr="00D22028">
        <w:rPr>
          <w:i/>
        </w:rPr>
        <w:t>Seventeenth Report</w:t>
      </w:r>
      <w:r w:rsidR="00B37397" w:rsidRPr="00D22028">
        <w:t xml:space="preserve"> at ¶</w:t>
      </w:r>
      <w:r w:rsidR="00B37397" w:rsidRPr="00BA5D1E">
        <w:t xml:space="preserve"> 20 n.37.</w:t>
      </w:r>
    </w:p>
  </w:footnote>
  <w:footnote w:id="12">
    <w:p w:rsidR="00873B23" w:rsidRDefault="00873B23">
      <w:pPr>
        <w:pStyle w:val="FootnoteText"/>
      </w:pPr>
      <w:r>
        <w:rPr>
          <w:rStyle w:val="FootnoteReference"/>
        </w:rPr>
        <w:footnoteRef/>
      </w:r>
      <w:r>
        <w:t xml:space="preserve"> </w:t>
      </w:r>
      <w:r w:rsidRPr="008D3009">
        <w:rPr>
          <w:i/>
        </w:rPr>
        <w:t xml:space="preserve">See </w:t>
      </w:r>
      <w:r>
        <w:rPr>
          <w:i/>
        </w:rPr>
        <w:t>Seventeenth</w:t>
      </w:r>
      <w:r w:rsidRPr="008D3009">
        <w:rPr>
          <w:i/>
        </w:rPr>
        <w:t xml:space="preserve"> Report</w:t>
      </w:r>
      <w:r>
        <w:t xml:space="preserve">, at </w:t>
      </w:r>
      <w:r w:rsidRPr="00D40600">
        <w:t>¶</w:t>
      </w:r>
      <w:r>
        <w:t xml:space="preserve"> 30.</w:t>
      </w:r>
    </w:p>
  </w:footnote>
  <w:footnote w:id="13">
    <w:p w:rsidR="00847BD6" w:rsidRDefault="00847BD6" w:rsidP="00847BD6">
      <w:pPr>
        <w:pStyle w:val="FootnoteText"/>
      </w:pPr>
      <w:r w:rsidRPr="00F41E3D">
        <w:rPr>
          <w:rStyle w:val="FootnoteReference"/>
        </w:rPr>
        <w:footnoteRef/>
      </w:r>
      <w:r w:rsidRPr="00F41E3D">
        <w:t xml:space="preserve"> </w:t>
      </w:r>
      <w:r w:rsidRPr="008D3009">
        <w:rPr>
          <w:i/>
        </w:rPr>
        <w:t xml:space="preserve">See </w:t>
      </w:r>
      <w:r>
        <w:rPr>
          <w:i/>
        </w:rPr>
        <w:t>Seventeenth</w:t>
      </w:r>
      <w:r w:rsidRPr="008D3009">
        <w:rPr>
          <w:i/>
        </w:rPr>
        <w:t xml:space="preserve"> Report</w:t>
      </w:r>
      <w:r>
        <w:t xml:space="preserve">, at </w:t>
      </w:r>
      <w:r w:rsidRPr="00D40600">
        <w:t>¶</w:t>
      </w:r>
      <w:r w:rsidR="00BA5D1E" w:rsidRPr="00D40600">
        <w:t>¶</w:t>
      </w:r>
      <w:r>
        <w:t xml:space="preserve"> </w:t>
      </w:r>
      <w:r w:rsidR="00BA5D1E">
        <w:t>32-</w:t>
      </w:r>
      <w:r>
        <w:t xml:space="preserve">33.  </w:t>
      </w:r>
      <w:r w:rsidR="00BA5D1E" w:rsidRPr="00E97FA6">
        <w:t>The</w:t>
      </w:r>
      <w:r w:rsidR="00BA5D1E">
        <w:t xml:space="preserve"> data source used for this calculation is the NRUF data that are submitted to the Commission on a rate center basis and track the number of phone numbers that have been assigned to mobile wireless devices</w:t>
      </w:r>
    </w:p>
  </w:footnote>
  <w:footnote w:id="14">
    <w:p w:rsidR="006B185D" w:rsidRPr="00963D3C" w:rsidRDefault="006B185D" w:rsidP="006B185D">
      <w:pPr>
        <w:pStyle w:val="FootnoteText"/>
      </w:pPr>
      <w:r>
        <w:rPr>
          <w:rStyle w:val="FootnoteReference"/>
        </w:rPr>
        <w:footnoteRef/>
      </w:r>
      <w:r>
        <w:t xml:space="preserve"> </w:t>
      </w:r>
      <w:r w:rsidRPr="008D3009">
        <w:rPr>
          <w:i/>
        </w:rPr>
        <w:t xml:space="preserve">See </w:t>
      </w:r>
      <w:r>
        <w:rPr>
          <w:i/>
        </w:rPr>
        <w:t>Seventeenth Report</w:t>
      </w:r>
      <w:r>
        <w:t>, at ¶ 45, n.69.</w:t>
      </w:r>
    </w:p>
  </w:footnote>
  <w:footnote w:id="15">
    <w:p w:rsidR="008E5775" w:rsidRDefault="008E5775" w:rsidP="008E5775">
      <w:pPr>
        <w:pStyle w:val="FootnoteText"/>
      </w:pPr>
      <w:r>
        <w:rPr>
          <w:rStyle w:val="FootnoteReference"/>
        </w:rPr>
        <w:footnoteRef/>
      </w:r>
      <w:r>
        <w:t xml:space="preserve"> The</w:t>
      </w:r>
      <w:r w:rsidRPr="007A1E62">
        <w:t xml:space="preserve"> coverage data may not represent the number of choices actually available to consumers living in particular areas, as service providers provide network coverage in certain areas to serve customers resident elsewhere</w:t>
      </w:r>
      <w:r>
        <w:t>.</w:t>
      </w:r>
    </w:p>
  </w:footnote>
  <w:footnote w:id="16">
    <w:p w:rsidR="0081698E" w:rsidRPr="0081698E" w:rsidRDefault="0081698E" w:rsidP="0081698E">
      <w:pPr>
        <w:widowControl/>
        <w:autoSpaceDE w:val="0"/>
        <w:autoSpaceDN w:val="0"/>
        <w:adjustRightInd w:val="0"/>
        <w:rPr>
          <w:sz w:val="20"/>
        </w:rPr>
      </w:pPr>
      <w:r>
        <w:rPr>
          <w:rStyle w:val="FootnoteReference"/>
        </w:rPr>
        <w:footnoteRef/>
      </w:r>
      <w:r>
        <w:t xml:space="preserve"> </w:t>
      </w:r>
      <w:r w:rsidRPr="003623B7">
        <w:rPr>
          <w:i/>
          <w:sz w:val="20"/>
        </w:rPr>
        <w:t>See e.g</w:t>
      </w:r>
      <w:r>
        <w:rPr>
          <w:i/>
        </w:rPr>
        <w:t xml:space="preserve">. </w:t>
      </w:r>
      <w:r w:rsidRPr="003623B7">
        <w:rPr>
          <w:sz w:val="20"/>
        </w:rPr>
        <w:t>Goldman Sachs Equity Research: T-Mobile US Inc.</w:t>
      </w:r>
      <w:r>
        <w:rPr>
          <w:sz w:val="20"/>
        </w:rPr>
        <w:t xml:space="preserve"> </w:t>
      </w:r>
      <w:r w:rsidRPr="003623B7">
        <w:rPr>
          <w:sz w:val="20"/>
        </w:rPr>
        <w:t xml:space="preserve"> </w:t>
      </w:r>
      <w:r w:rsidRPr="003623B7">
        <w:rPr>
          <w:i/>
          <w:iCs/>
          <w:sz w:val="20"/>
        </w:rPr>
        <w:t>Three reasons we maintain CL-Buy following management meeting</w:t>
      </w:r>
      <w:r w:rsidRPr="003623B7">
        <w:rPr>
          <w:sz w:val="20"/>
        </w:rPr>
        <w:t xml:space="preserve">, Ap. 2, 2015. </w:t>
      </w:r>
      <w:r>
        <w:rPr>
          <w:sz w:val="20"/>
        </w:rPr>
        <w:t xml:space="preserve"> </w:t>
      </w:r>
      <w:r w:rsidRPr="003623B7">
        <w:rPr>
          <w:sz w:val="20"/>
        </w:rPr>
        <w:t>Brett Feldman, Jonathan Epstein, Jiord</w:t>
      </w:r>
      <w:r>
        <w:rPr>
          <w:sz w:val="20"/>
        </w:rPr>
        <w:t>e</w:t>
      </w:r>
      <w:r w:rsidRPr="003623B7">
        <w:rPr>
          <w:sz w:val="20"/>
        </w:rPr>
        <w:t xml:space="preserve">n Sanchez </w:t>
      </w:r>
      <w:r>
        <w:rPr>
          <w:sz w:val="20"/>
        </w:rPr>
        <w:t>and</w:t>
      </w:r>
      <w:r w:rsidRPr="003623B7">
        <w:rPr>
          <w:sz w:val="20"/>
        </w:rPr>
        <w:t xml:space="preserve"> Stephen Laszc</w:t>
      </w:r>
      <w:r>
        <w:rPr>
          <w:sz w:val="20"/>
        </w:rPr>
        <w:t>z</w:t>
      </w:r>
      <w:r w:rsidRPr="003623B7">
        <w:rPr>
          <w:sz w:val="20"/>
        </w:rPr>
        <w:t>yk</w:t>
      </w:r>
      <w:r>
        <w:rPr>
          <w:sz w:val="20"/>
        </w:rPr>
        <w:t xml:space="preserve">, in which T-Mobile discusses </w:t>
      </w:r>
      <w:r w:rsidR="001B0057" w:rsidRPr="001B0057">
        <w:rPr>
          <w:sz w:val="20"/>
        </w:rPr>
        <w:t>separately its future plans for its distribution footprint and its broader coverage footprint</w:t>
      </w:r>
      <w:r w:rsidRPr="0081698E">
        <w:rPr>
          <w:sz w:val="20"/>
        </w:rPr>
        <w:t>.</w:t>
      </w:r>
    </w:p>
  </w:footnote>
  <w:footnote w:id="17">
    <w:p w:rsidR="00D628CD" w:rsidRDefault="00D628CD" w:rsidP="00D628CD">
      <w:pPr>
        <w:pStyle w:val="FootnoteText"/>
      </w:pPr>
      <w:r>
        <w:rPr>
          <w:rStyle w:val="FootnoteReference"/>
        </w:rPr>
        <w:footnoteRef/>
      </w:r>
      <w:r>
        <w:t xml:space="preserve"> </w:t>
      </w:r>
      <w:r w:rsidRPr="008D3009">
        <w:rPr>
          <w:i/>
        </w:rPr>
        <w:t xml:space="preserve">See </w:t>
      </w:r>
      <w:r>
        <w:rPr>
          <w:i/>
        </w:rPr>
        <w:t>Seventeenth Report</w:t>
      </w:r>
      <w:r>
        <w:t>, at ¶ 66.</w:t>
      </w:r>
    </w:p>
  </w:footnote>
  <w:footnote w:id="18">
    <w:p w:rsidR="008F3D1C" w:rsidRDefault="008F3D1C" w:rsidP="008F3D1C">
      <w:pPr>
        <w:pStyle w:val="FootnoteText"/>
      </w:pPr>
      <w:r>
        <w:rPr>
          <w:rStyle w:val="FootnoteReference"/>
        </w:rPr>
        <w:footnoteRef/>
      </w:r>
      <w:r>
        <w:t xml:space="preserve"> </w:t>
      </w:r>
      <w:r w:rsidRPr="008D3009">
        <w:rPr>
          <w:i/>
        </w:rPr>
        <w:t xml:space="preserve">See </w:t>
      </w:r>
      <w:r w:rsidR="009116EC">
        <w:rPr>
          <w:i/>
        </w:rPr>
        <w:t xml:space="preserve">Seventeenth </w:t>
      </w:r>
      <w:r w:rsidR="00C449C4">
        <w:rPr>
          <w:i/>
        </w:rPr>
        <w:t>R</w:t>
      </w:r>
      <w:r w:rsidR="009116EC">
        <w:rPr>
          <w:i/>
        </w:rPr>
        <w:t xml:space="preserve">eport at </w:t>
      </w:r>
      <w:r w:rsidR="009116EC" w:rsidRPr="00D40600">
        <w:t>¶</w:t>
      </w:r>
      <w:r w:rsidR="009116EC">
        <w:t xml:space="preserve"> 73.</w:t>
      </w:r>
      <w:r w:rsidR="009116EC">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08" w:rsidRDefault="00B87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08" w:rsidRDefault="00B87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08" w:rsidRDefault="00B87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2A47"/>
    <w:multiLevelType w:val="hybridMultilevel"/>
    <w:tmpl w:val="3D182CAE"/>
    <w:lvl w:ilvl="0" w:tplc="322C46C4">
      <w:start w:val="4"/>
      <w:numFmt w:val="upperLetter"/>
      <w:lvlText w:val="%1&gt;"/>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CFA4852"/>
    <w:multiLevelType w:val="multilevel"/>
    <w:tmpl w:val="05A4A4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7E06CBB"/>
    <w:multiLevelType w:val="multilevel"/>
    <w:tmpl w:val="7BC0FD08"/>
    <w:lvl w:ilvl="0">
      <w:start w:val="1"/>
      <w:numFmt w:val="upperRoman"/>
      <w:pStyle w:val="Heading1"/>
      <w:lvlText w:val="%1."/>
      <w:lvlJc w:val="left"/>
      <w:pPr>
        <w:tabs>
          <w:tab w:val="num" w:pos="2610"/>
        </w:tabs>
        <w:ind w:left="2610" w:hanging="720"/>
      </w:pPr>
      <w:rPr>
        <w:rFonts w:cs="Times New Roman"/>
      </w:rPr>
    </w:lvl>
    <w:lvl w:ilvl="1">
      <w:start w:val="1"/>
      <w:numFmt w:val="upperLetter"/>
      <w:pStyle w:val="Heading2"/>
      <w:lvlText w:val="%2."/>
      <w:lvlJc w:val="left"/>
      <w:pPr>
        <w:tabs>
          <w:tab w:val="num" w:pos="-2070"/>
        </w:tabs>
        <w:ind w:left="-2070" w:hanging="720"/>
      </w:pPr>
      <w:rPr>
        <w:rFonts w:cs="Times New Roman"/>
      </w:rPr>
    </w:lvl>
    <w:lvl w:ilvl="2">
      <w:start w:val="1"/>
      <w:numFmt w:val="upperLetter"/>
      <w:pStyle w:val="Heading3"/>
      <w:lvlText w:val="%3."/>
      <w:lvlJc w:val="left"/>
      <w:pPr>
        <w:tabs>
          <w:tab w:val="num" w:pos="-1350"/>
        </w:tabs>
        <w:ind w:left="-1350" w:hanging="720"/>
      </w:pPr>
    </w:lvl>
    <w:lvl w:ilvl="3">
      <w:start w:val="1"/>
      <w:numFmt w:val="lowerLetter"/>
      <w:pStyle w:val="Heading4"/>
      <w:lvlText w:val="%4."/>
      <w:lvlJc w:val="left"/>
      <w:pPr>
        <w:tabs>
          <w:tab w:val="num" w:pos="-630"/>
        </w:tabs>
        <w:ind w:left="-630" w:hanging="720"/>
      </w:pPr>
      <w:rPr>
        <w:rFonts w:cs="Times New Roman"/>
      </w:rPr>
    </w:lvl>
    <w:lvl w:ilvl="4">
      <w:start w:val="1"/>
      <w:numFmt w:val="lowerRoman"/>
      <w:pStyle w:val="Heading5"/>
      <w:lvlText w:val="(%5)"/>
      <w:lvlJc w:val="left"/>
      <w:pPr>
        <w:tabs>
          <w:tab w:val="num" w:pos="90"/>
        </w:tabs>
        <w:ind w:left="90" w:hanging="720"/>
      </w:pPr>
      <w:rPr>
        <w:rFonts w:cs="Times New Roman"/>
      </w:rPr>
    </w:lvl>
    <w:lvl w:ilvl="5">
      <w:start w:val="1"/>
      <w:numFmt w:val="lowerLetter"/>
      <w:pStyle w:val="Heading6"/>
      <w:lvlText w:val="(%6)"/>
      <w:lvlJc w:val="left"/>
      <w:pPr>
        <w:tabs>
          <w:tab w:val="num" w:pos="810"/>
        </w:tabs>
        <w:ind w:left="810" w:hanging="720"/>
      </w:pPr>
      <w:rPr>
        <w:rFonts w:cs="Times New Roman"/>
      </w:rPr>
    </w:lvl>
    <w:lvl w:ilvl="6">
      <w:start w:val="1"/>
      <w:numFmt w:val="lowerRoman"/>
      <w:pStyle w:val="Heading7"/>
      <w:lvlText w:val="(%7)"/>
      <w:lvlJc w:val="left"/>
      <w:pPr>
        <w:tabs>
          <w:tab w:val="num" w:pos="1530"/>
        </w:tabs>
        <w:ind w:left="810"/>
      </w:pPr>
      <w:rPr>
        <w:rFonts w:cs="Times New Roman"/>
      </w:rPr>
    </w:lvl>
    <w:lvl w:ilvl="7">
      <w:start w:val="1"/>
      <w:numFmt w:val="lowerLetter"/>
      <w:pStyle w:val="Heading8"/>
      <w:lvlText w:val="(%8)"/>
      <w:lvlJc w:val="left"/>
      <w:pPr>
        <w:tabs>
          <w:tab w:val="num" w:pos="1890"/>
        </w:tabs>
        <w:ind w:left="1530"/>
      </w:pPr>
      <w:rPr>
        <w:rFonts w:cs="Times New Roman"/>
      </w:rPr>
    </w:lvl>
    <w:lvl w:ilvl="8">
      <w:start w:val="1"/>
      <w:numFmt w:val="lowerRoman"/>
      <w:pStyle w:val="Heading9"/>
      <w:lvlText w:val="(%9)"/>
      <w:lvlJc w:val="left"/>
      <w:pPr>
        <w:tabs>
          <w:tab w:val="num" w:pos="2610"/>
        </w:tabs>
        <w:ind w:left="2250"/>
      </w:pPr>
      <w:rPr>
        <w:rFonts w:cs="Times New Roman"/>
      </w:rPr>
    </w:lvl>
  </w:abstractNum>
  <w:abstractNum w:abstractNumId="3">
    <w:nsid w:val="3D786889"/>
    <w:multiLevelType w:val="multilevel"/>
    <w:tmpl w:val="78F0EB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8871B33"/>
    <w:multiLevelType w:val="multilevel"/>
    <w:tmpl w:val="21F630FC"/>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9145688"/>
    <w:multiLevelType w:val="multilevel"/>
    <w:tmpl w:val="8668C98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A5617B5"/>
    <w:multiLevelType w:val="multilevel"/>
    <w:tmpl w:val="27A2BDD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ABE7D43"/>
    <w:multiLevelType w:val="multilevel"/>
    <w:tmpl w:val="1D28DD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DA40611"/>
    <w:multiLevelType w:val="multilevel"/>
    <w:tmpl w:val="D556D910"/>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16320B6"/>
    <w:multiLevelType w:val="hybridMultilevel"/>
    <w:tmpl w:val="18306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07F2C"/>
    <w:multiLevelType w:val="hybridMultilevel"/>
    <w:tmpl w:val="3D321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E0446A"/>
    <w:multiLevelType w:val="multilevel"/>
    <w:tmpl w:val="A59CEBA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12"/>
  </w:num>
  <w:num w:numId="4">
    <w:abstractNumId w:val="7"/>
  </w:num>
  <w:num w:numId="5">
    <w:abstractNumId w:val="10"/>
  </w:num>
  <w:num w:numId="6">
    <w:abstractNumId w:val="11"/>
  </w:num>
  <w:num w:numId="7">
    <w:abstractNumId w:val="9"/>
  </w:num>
  <w:num w:numId="8">
    <w:abstractNumId w:val="4"/>
  </w:num>
  <w:num w:numId="9">
    <w:abstractNumId w:val="3"/>
  </w:num>
  <w:num w:numId="10">
    <w:abstractNumId w:val="1"/>
  </w:num>
  <w:num w:numId="11">
    <w:abstractNumId w:val="6"/>
  </w:num>
  <w:num w:numId="12">
    <w:abstractNumId w:val="5"/>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01"/>
    <w:rsid w:val="000011E5"/>
    <w:rsid w:val="0004180C"/>
    <w:rsid w:val="0004793F"/>
    <w:rsid w:val="0006400B"/>
    <w:rsid w:val="000710EF"/>
    <w:rsid w:val="000854ED"/>
    <w:rsid w:val="0009299A"/>
    <w:rsid w:val="000941AB"/>
    <w:rsid w:val="000B6435"/>
    <w:rsid w:val="000C49FC"/>
    <w:rsid w:val="000C77C3"/>
    <w:rsid w:val="000D3468"/>
    <w:rsid w:val="000E1714"/>
    <w:rsid w:val="000F0180"/>
    <w:rsid w:val="000F4C8A"/>
    <w:rsid w:val="001003C3"/>
    <w:rsid w:val="00101227"/>
    <w:rsid w:val="0011244F"/>
    <w:rsid w:val="0011329C"/>
    <w:rsid w:val="00123666"/>
    <w:rsid w:val="001247AC"/>
    <w:rsid w:val="001618C0"/>
    <w:rsid w:val="001631E7"/>
    <w:rsid w:val="00163E58"/>
    <w:rsid w:val="00167A3E"/>
    <w:rsid w:val="00184A48"/>
    <w:rsid w:val="00185EE3"/>
    <w:rsid w:val="0019632C"/>
    <w:rsid w:val="001A45C4"/>
    <w:rsid w:val="001A48A4"/>
    <w:rsid w:val="001B0057"/>
    <w:rsid w:val="001B3F29"/>
    <w:rsid w:val="001E3E41"/>
    <w:rsid w:val="001F47DD"/>
    <w:rsid w:val="001F52EA"/>
    <w:rsid w:val="001F6F22"/>
    <w:rsid w:val="00204EFB"/>
    <w:rsid w:val="0021159B"/>
    <w:rsid w:val="002144B1"/>
    <w:rsid w:val="0022476F"/>
    <w:rsid w:val="00231421"/>
    <w:rsid w:val="0024432F"/>
    <w:rsid w:val="002754DA"/>
    <w:rsid w:val="002876EF"/>
    <w:rsid w:val="00290EBF"/>
    <w:rsid w:val="002927C8"/>
    <w:rsid w:val="00297A17"/>
    <w:rsid w:val="002A0C96"/>
    <w:rsid w:val="002A478F"/>
    <w:rsid w:val="002B2E70"/>
    <w:rsid w:val="002D5C99"/>
    <w:rsid w:val="002E039F"/>
    <w:rsid w:val="002F0033"/>
    <w:rsid w:val="002F4B8F"/>
    <w:rsid w:val="002F5983"/>
    <w:rsid w:val="00304215"/>
    <w:rsid w:val="00353722"/>
    <w:rsid w:val="003623B7"/>
    <w:rsid w:val="003A7004"/>
    <w:rsid w:val="003C4FB4"/>
    <w:rsid w:val="003D08E9"/>
    <w:rsid w:val="003F1A3E"/>
    <w:rsid w:val="003F7633"/>
    <w:rsid w:val="0040230D"/>
    <w:rsid w:val="004069B9"/>
    <w:rsid w:val="0041540A"/>
    <w:rsid w:val="00451978"/>
    <w:rsid w:val="0046187B"/>
    <w:rsid w:val="00470043"/>
    <w:rsid w:val="00476CE1"/>
    <w:rsid w:val="00486C69"/>
    <w:rsid w:val="004A2BC2"/>
    <w:rsid w:val="004B0101"/>
    <w:rsid w:val="004B413F"/>
    <w:rsid w:val="004B7B8C"/>
    <w:rsid w:val="004B7C2F"/>
    <w:rsid w:val="004E4470"/>
    <w:rsid w:val="004E72EC"/>
    <w:rsid w:val="0050165B"/>
    <w:rsid w:val="0052308B"/>
    <w:rsid w:val="00525CA9"/>
    <w:rsid w:val="00550F33"/>
    <w:rsid w:val="00556AA9"/>
    <w:rsid w:val="00587994"/>
    <w:rsid w:val="005A0D81"/>
    <w:rsid w:val="005A26D7"/>
    <w:rsid w:val="005C3120"/>
    <w:rsid w:val="005D6B89"/>
    <w:rsid w:val="005E57DF"/>
    <w:rsid w:val="00603B2A"/>
    <w:rsid w:val="00606104"/>
    <w:rsid w:val="00650808"/>
    <w:rsid w:val="00656287"/>
    <w:rsid w:val="006568A3"/>
    <w:rsid w:val="00660C99"/>
    <w:rsid w:val="00666C07"/>
    <w:rsid w:val="00685749"/>
    <w:rsid w:val="00687E73"/>
    <w:rsid w:val="006B0C6C"/>
    <w:rsid w:val="006B185D"/>
    <w:rsid w:val="006C4FB7"/>
    <w:rsid w:val="006F4505"/>
    <w:rsid w:val="006F5BA4"/>
    <w:rsid w:val="0070242B"/>
    <w:rsid w:val="0070582E"/>
    <w:rsid w:val="00721054"/>
    <w:rsid w:val="007230C5"/>
    <w:rsid w:val="00730C96"/>
    <w:rsid w:val="007671A1"/>
    <w:rsid w:val="00770845"/>
    <w:rsid w:val="00770CDB"/>
    <w:rsid w:val="007A089F"/>
    <w:rsid w:val="007A34B3"/>
    <w:rsid w:val="007B3155"/>
    <w:rsid w:val="007C647F"/>
    <w:rsid w:val="007D3B5F"/>
    <w:rsid w:val="007D60BB"/>
    <w:rsid w:val="007E13D3"/>
    <w:rsid w:val="007E1B64"/>
    <w:rsid w:val="0080334C"/>
    <w:rsid w:val="00812FFF"/>
    <w:rsid w:val="00816054"/>
    <w:rsid w:val="0081698E"/>
    <w:rsid w:val="00842B3C"/>
    <w:rsid w:val="00846786"/>
    <w:rsid w:val="00847BD6"/>
    <w:rsid w:val="0085262B"/>
    <w:rsid w:val="00867CC8"/>
    <w:rsid w:val="00873B23"/>
    <w:rsid w:val="008A266B"/>
    <w:rsid w:val="008C17A1"/>
    <w:rsid w:val="008D0A0C"/>
    <w:rsid w:val="008D262D"/>
    <w:rsid w:val="008D6C2A"/>
    <w:rsid w:val="008E5775"/>
    <w:rsid w:val="008E6CEB"/>
    <w:rsid w:val="008F3D1C"/>
    <w:rsid w:val="00900FE9"/>
    <w:rsid w:val="00910EA7"/>
    <w:rsid w:val="009116EC"/>
    <w:rsid w:val="00917704"/>
    <w:rsid w:val="0092189A"/>
    <w:rsid w:val="00933684"/>
    <w:rsid w:val="009376F4"/>
    <w:rsid w:val="00942BFC"/>
    <w:rsid w:val="00963D3C"/>
    <w:rsid w:val="00965A4E"/>
    <w:rsid w:val="00970C32"/>
    <w:rsid w:val="00974E7B"/>
    <w:rsid w:val="00981FA6"/>
    <w:rsid w:val="00986AB8"/>
    <w:rsid w:val="00995768"/>
    <w:rsid w:val="009A4EB6"/>
    <w:rsid w:val="009B34EB"/>
    <w:rsid w:val="009D0E96"/>
    <w:rsid w:val="00A1045A"/>
    <w:rsid w:val="00A15CB8"/>
    <w:rsid w:val="00A2318C"/>
    <w:rsid w:val="00A2676B"/>
    <w:rsid w:val="00A45592"/>
    <w:rsid w:val="00A52381"/>
    <w:rsid w:val="00A73D16"/>
    <w:rsid w:val="00A841BF"/>
    <w:rsid w:val="00A90D88"/>
    <w:rsid w:val="00AC3A70"/>
    <w:rsid w:val="00AD08E0"/>
    <w:rsid w:val="00B06732"/>
    <w:rsid w:val="00B12A2D"/>
    <w:rsid w:val="00B1604A"/>
    <w:rsid w:val="00B163FE"/>
    <w:rsid w:val="00B37397"/>
    <w:rsid w:val="00B3773B"/>
    <w:rsid w:val="00B65294"/>
    <w:rsid w:val="00B74B83"/>
    <w:rsid w:val="00B82989"/>
    <w:rsid w:val="00B829F0"/>
    <w:rsid w:val="00B87008"/>
    <w:rsid w:val="00BA139F"/>
    <w:rsid w:val="00BA44D5"/>
    <w:rsid w:val="00BA5D1E"/>
    <w:rsid w:val="00BC1440"/>
    <w:rsid w:val="00BD2701"/>
    <w:rsid w:val="00BE003A"/>
    <w:rsid w:val="00BE0521"/>
    <w:rsid w:val="00BE21A8"/>
    <w:rsid w:val="00BE3101"/>
    <w:rsid w:val="00BF31A3"/>
    <w:rsid w:val="00BF554F"/>
    <w:rsid w:val="00C0789A"/>
    <w:rsid w:val="00C13BAE"/>
    <w:rsid w:val="00C21E90"/>
    <w:rsid w:val="00C449C4"/>
    <w:rsid w:val="00C53564"/>
    <w:rsid w:val="00C64D98"/>
    <w:rsid w:val="00C73B4F"/>
    <w:rsid w:val="00C814D5"/>
    <w:rsid w:val="00C85DF9"/>
    <w:rsid w:val="00C90E9B"/>
    <w:rsid w:val="00CD5752"/>
    <w:rsid w:val="00CD7325"/>
    <w:rsid w:val="00CD7D8D"/>
    <w:rsid w:val="00CE061F"/>
    <w:rsid w:val="00CE62B0"/>
    <w:rsid w:val="00CF2426"/>
    <w:rsid w:val="00CF3EB0"/>
    <w:rsid w:val="00D00B17"/>
    <w:rsid w:val="00D22028"/>
    <w:rsid w:val="00D37CDB"/>
    <w:rsid w:val="00D42C04"/>
    <w:rsid w:val="00D43E89"/>
    <w:rsid w:val="00D53860"/>
    <w:rsid w:val="00D628CD"/>
    <w:rsid w:val="00D70E16"/>
    <w:rsid w:val="00D7146B"/>
    <w:rsid w:val="00D825C1"/>
    <w:rsid w:val="00D877D6"/>
    <w:rsid w:val="00DA4AA9"/>
    <w:rsid w:val="00DB7D2B"/>
    <w:rsid w:val="00DC4C17"/>
    <w:rsid w:val="00DD2088"/>
    <w:rsid w:val="00DE204E"/>
    <w:rsid w:val="00DF4FC7"/>
    <w:rsid w:val="00DF74BC"/>
    <w:rsid w:val="00E02CD9"/>
    <w:rsid w:val="00E031A7"/>
    <w:rsid w:val="00E20002"/>
    <w:rsid w:val="00E4571D"/>
    <w:rsid w:val="00E74D4B"/>
    <w:rsid w:val="00E8113E"/>
    <w:rsid w:val="00E811E2"/>
    <w:rsid w:val="00E858F5"/>
    <w:rsid w:val="00EA09FA"/>
    <w:rsid w:val="00EB5A2F"/>
    <w:rsid w:val="00EB666F"/>
    <w:rsid w:val="00ED24A5"/>
    <w:rsid w:val="00EE0472"/>
    <w:rsid w:val="00EE73CE"/>
    <w:rsid w:val="00F063EA"/>
    <w:rsid w:val="00F355ED"/>
    <w:rsid w:val="00F37A91"/>
    <w:rsid w:val="00F51D9C"/>
    <w:rsid w:val="00F74AF4"/>
    <w:rsid w:val="00F92325"/>
    <w:rsid w:val="00F950D2"/>
    <w:rsid w:val="00FC2AE8"/>
    <w:rsid w:val="00FC53C2"/>
    <w:rsid w:val="00FC5E89"/>
    <w:rsid w:val="00FD1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01"/>
    <w:pPr>
      <w:widowControl w:val="0"/>
      <w:spacing w:after="0" w:line="240" w:lineRule="auto"/>
    </w:pPr>
    <w:rPr>
      <w:rFonts w:ascii="Times New Roman" w:eastAsia="Times New Roman" w:hAnsi="Times New Roman" w:cs="Times New Roman"/>
      <w:kern w:val="28"/>
      <w:szCs w:val="20"/>
    </w:rPr>
  </w:style>
  <w:style w:type="paragraph" w:styleId="Heading1">
    <w:name w:val="heading 1"/>
    <w:basedOn w:val="Normal"/>
    <w:next w:val="Paranum0"/>
    <w:link w:val="Heading1Char"/>
    <w:qFormat/>
    <w:rsid w:val="00BE3101"/>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CD7D8D"/>
    <w:pPr>
      <w:keepNext/>
      <w:numPr>
        <w:ilvl w:val="1"/>
        <w:numId w:val="1"/>
      </w:numPr>
      <w:spacing w:after="120"/>
      <w:ind w:left="2160"/>
      <w:outlineLvl w:val="1"/>
    </w:pPr>
    <w:rPr>
      <w:b/>
      <w:bCs/>
    </w:rPr>
  </w:style>
  <w:style w:type="paragraph" w:styleId="Heading3">
    <w:name w:val="heading 3"/>
    <w:basedOn w:val="Normal"/>
    <w:next w:val="Paranum0"/>
    <w:link w:val="Heading3Char"/>
    <w:qFormat/>
    <w:rsid w:val="00BE3101"/>
    <w:pPr>
      <w:keepNext/>
      <w:numPr>
        <w:ilvl w:val="2"/>
        <w:numId w:val="1"/>
      </w:numPr>
      <w:spacing w:after="120"/>
      <w:outlineLvl w:val="2"/>
    </w:pPr>
    <w:rPr>
      <w:b/>
    </w:rPr>
  </w:style>
  <w:style w:type="paragraph" w:styleId="Heading4">
    <w:name w:val="heading 4"/>
    <w:basedOn w:val="Normal"/>
    <w:next w:val="Paranum0"/>
    <w:link w:val="Heading4Char"/>
    <w:qFormat/>
    <w:rsid w:val="00BE3101"/>
    <w:pPr>
      <w:keepNext/>
      <w:numPr>
        <w:ilvl w:val="3"/>
        <w:numId w:val="1"/>
      </w:numPr>
      <w:spacing w:after="120"/>
      <w:outlineLvl w:val="3"/>
    </w:pPr>
    <w:rPr>
      <w:b/>
    </w:rPr>
  </w:style>
  <w:style w:type="paragraph" w:styleId="Heading5">
    <w:name w:val="heading 5"/>
    <w:basedOn w:val="Normal"/>
    <w:next w:val="Paranum0"/>
    <w:link w:val="Heading5Char"/>
    <w:qFormat/>
    <w:rsid w:val="00BE3101"/>
    <w:pPr>
      <w:keepNext/>
      <w:numPr>
        <w:ilvl w:val="4"/>
        <w:numId w:val="1"/>
      </w:numPr>
      <w:suppressAutoHyphens/>
      <w:spacing w:after="120"/>
      <w:outlineLvl w:val="4"/>
    </w:pPr>
    <w:rPr>
      <w:b/>
    </w:rPr>
  </w:style>
  <w:style w:type="paragraph" w:styleId="Heading6">
    <w:name w:val="heading 6"/>
    <w:basedOn w:val="Normal"/>
    <w:next w:val="Paranum0"/>
    <w:link w:val="Heading6Char"/>
    <w:qFormat/>
    <w:rsid w:val="00BE3101"/>
    <w:pPr>
      <w:numPr>
        <w:ilvl w:val="5"/>
        <w:numId w:val="1"/>
      </w:numPr>
      <w:spacing w:after="120"/>
      <w:outlineLvl w:val="5"/>
    </w:pPr>
    <w:rPr>
      <w:b/>
    </w:rPr>
  </w:style>
  <w:style w:type="paragraph" w:styleId="Heading7">
    <w:name w:val="heading 7"/>
    <w:basedOn w:val="Normal"/>
    <w:next w:val="Paranum0"/>
    <w:link w:val="Heading7Char"/>
    <w:qFormat/>
    <w:rsid w:val="00BE3101"/>
    <w:pPr>
      <w:numPr>
        <w:ilvl w:val="6"/>
        <w:numId w:val="1"/>
      </w:numPr>
      <w:spacing w:after="120"/>
      <w:outlineLvl w:val="6"/>
    </w:pPr>
    <w:rPr>
      <w:b/>
    </w:rPr>
  </w:style>
  <w:style w:type="paragraph" w:styleId="Heading8">
    <w:name w:val="heading 8"/>
    <w:basedOn w:val="Normal"/>
    <w:next w:val="Paranum0"/>
    <w:link w:val="Heading8Char"/>
    <w:qFormat/>
    <w:rsid w:val="00BE3101"/>
    <w:pPr>
      <w:numPr>
        <w:ilvl w:val="7"/>
        <w:numId w:val="1"/>
      </w:numPr>
      <w:tabs>
        <w:tab w:val="left" w:pos="5760"/>
      </w:tabs>
      <w:spacing w:after="120"/>
      <w:outlineLvl w:val="7"/>
    </w:pPr>
    <w:rPr>
      <w:b/>
    </w:rPr>
  </w:style>
  <w:style w:type="paragraph" w:styleId="Heading9">
    <w:name w:val="heading 9"/>
    <w:basedOn w:val="Normal"/>
    <w:next w:val="Paranum0"/>
    <w:link w:val="Heading9Char"/>
    <w:qFormat/>
    <w:rsid w:val="00BE3101"/>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101"/>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rsid w:val="00CD7D8D"/>
    <w:rPr>
      <w:rFonts w:ascii="Times New Roman" w:eastAsia="Times New Roman" w:hAnsi="Times New Roman" w:cs="Times New Roman"/>
      <w:b/>
      <w:bCs/>
      <w:kern w:val="28"/>
      <w:szCs w:val="20"/>
    </w:rPr>
  </w:style>
  <w:style w:type="character" w:customStyle="1" w:styleId="Heading3Char">
    <w:name w:val="Heading 3 Char"/>
    <w:basedOn w:val="DefaultParagraphFont"/>
    <w:link w:val="Heading3"/>
    <w:rsid w:val="00BE3101"/>
    <w:rPr>
      <w:rFonts w:ascii="Times New Roman" w:eastAsia="Times New Roman" w:hAnsi="Times New Roman" w:cs="Times New Roman"/>
      <w:b/>
      <w:kern w:val="28"/>
      <w:szCs w:val="20"/>
    </w:rPr>
  </w:style>
  <w:style w:type="character" w:customStyle="1" w:styleId="Heading4Char">
    <w:name w:val="Heading 4 Char"/>
    <w:basedOn w:val="DefaultParagraphFont"/>
    <w:link w:val="Heading4"/>
    <w:rsid w:val="00BE3101"/>
    <w:rPr>
      <w:rFonts w:ascii="Times New Roman" w:eastAsia="Times New Roman" w:hAnsi="Times New Roman" w:cs="Times New Roman"/>
      <w:b/>
      <w:kern w:val="28"/>
      <w:szCs w:val="20"/>
    </w:rPr>
  </w:style>
  <w:style w:type="character" w:customStyle="1" w:styleId="Heading5Char">
    <w:name w:val="Heading 5 Char"/>
    <w:basedOn w:val="DefaultParagraphFont"/>
    <w:link w:val="Heading5"/>
    <w:rsid w:val="00BE3101"/>
    <w:rPr>
      <w:rFonts w:ascii="Times New Roman" w:eastAsia="Times New Roman" w:hAnsi="Times New Roman" w:cs="Times New Roman"/>
      <w:b/>
      <w:kern w:val="28"/>
      <w:szCs w:val="20"/>
    </w:rPr>
  </w:style>
  <w:style w:type="character" w:customStyle="1" w:styleId="Heading6Char">
    <w:name w:val="Heading 6 Char"/>
    <w:basedOn w:val="DefaultParagraphFont"/>
    <w:link w:val="Heading6"/>
    <w:rsid w:val="00BE3101"/>
    <w:rPr>
      <w:rFonts w:ascii="Times New Roman" w:eastAsia="Times New Roman" w:hAnsi="Times New Roman" w:cs="Times New Roman"/>
      <w:b/>
      <w:kern w:val="28"/>
      <w:szCs w:val="20"/>
    </w:rPr>
  </w:style>
  <w:style w:type="character" w:customStyle="1" w:styleId="Heading7Char">
    <w:name w:val="Heading 7 Char"/>
    <w:basedOn w:val="DefaultParagraphFont"/>
    <w:link w:val="Heading7"/>
    <w:rsid w:val="00BE3101"/>
    <w:rPr>
      <w:rFonts w:ascii="Times New Roman" w:eastAsia="Times New Roman" w:hAnsi="Times New Roman" w:cs="Times New Roman"/>
      <w:b/>
      <w:kern w:val="28"/>
      <w:szCs w:val="20"/>
    </w:rPr>
  </w:style>
  <w:style w:type="character" w:customStyle="1" w:styleId="Heading8Char">
    <w:name w:val="Heading 8 Char"/>
    <w:basedOn w:val="DefaultParagraphFont"/>
    <w:link w:val="Heading8"/>
    <w:rsid w:val="00BE3101"/>
    <w:rPr>
      <w:rFonts w:ascii="Times New Roman" w:eastAsia="Times New Roman" w:hAnsi="Times New Roman" w:cs="Times New Roman"/>
      <w:b/>
      <w:kern w:val="28"/>
      <w:szCs w:val="20"/>
    </w:rPr>
  </w:style>
  <w:style w:type="character" w:customStyle="1" w:styleId="Heading9Char">
    <w:name w:val="Heading 9 Char"/>
    <w:basedOn w:val="DefaultParagraphFont"/>
    <w:link w:val="Heading9"/>
    <w:rsid w:val="00BE3101"/>
    <w:rPr>
      <w:rFonts w:ascii="Times New Roman" w:eastAsia="Times New Roman" w:hAnsi="Times New Roman" w:cs="Times New Roman"/>
      <w:b/>
      <w:kern w:val="28"/>
      <w:szCs w:val="20"/>
    </w:rPr>
  </w:style>
  <w:style w:type="character" w:styleId="FootnoteReference">
    <w:name w:val="footnote reference"/>
    <w:aliases w:val="Appel note de bas de p,Style 12,(NECG) Footnote Reference,Style 124,o,fr,Style 3,Style 13,FR,Style 17,Style 6,Footnote Reference/,Style 7,Style 4,Footnote Reference1"/>
    <w:basedOn w:val="DefaultParagraphFont"/>
    <w:rsid w:val="00BE3101"/>
    <w:rPr>
      <w:rFonts w:ascii="Times New Roman" w:hAnsi="Times New Roman" w:cs="Times New Roman"/>
      <w:color w:val="auto"/>
      <w:sz w:val="22"/>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basedOn w:val="Normal"/>
    <w:link w:val="FootnoteTextChar"/>
    <w:rsid w:val="00BE3101"/>
    <w:pPr>
      <w:widowControl/>
      <w:spacing w:after="120"/>
    </w:pPr>
    <w:rPr>
      <w:kern w:val="0"/>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rsid w:val="00BE3101"/>
    <w:rPr>
      <w:rFonts w:ascii="Times New Roman" w:eastAsia="Times New Roman" w:hAnsi="Times New Roman" w:cs="Times New Roman"/>
      <w:sz w:val="20"/>
      <w:szCs w:val="20"/>
    </w:rPr>
  </w:style>
  <w:style w:type="paragraph" w:styleId="Header">
    <w:name w:val="header"/>
    <w:basedOn w:val="Normal"/>
    <w:link w:val="HeaderChar"/>
    <w:autoRedefine/>
    <w:uiPriority w:val="99"/>
    <w:rsid w:val="00BE3101"/>
    <w:pPr>
      <w:tabs>
        <w:tab w:val="center" w:pos="4680"/>
        <w:tab w:val="right" w:pos="9360"/>
      </w:tabs>
    </w:pPr>
    <w:rPr>
      <w:b/>
    </w:rPr>
  </w:style>
  <w:style w:type="character" w:customStyle="1" w:styleId="HeaderChar">
    <w:name w:val="Header Char"/>
    <w:basedOn w:val="DefaultParagraphFont"/>
    <w:link w:val="Header"/>
    <w:uiPriority w:val="99"/>
    <w:rsid w:val="00BE3101"/>
    <w:rPr>
      <w:rFonts w:ascii="Times New Roman" w:eastAsia="Times New Roman" w:hAnsi="Times New Roman" w:cs="Times New Roman"/>
      <w:b/>
      <w:kern w:val="28"/>
      <w:szCs w:val="20"/>
    </w:rPr>
  </w:style>
  <w:style w:type="paragraph" w:styleId="Footer">
    <w:name w:val="footer"/>
    <w:basedOn w:val="Normal"/>
    <w:link w:val="FooterChar"/>
    <w:uiPriority w:val="99"/>
    <w:rsid w:val="00BE3101"/>
    <w:pPr>
      <w:tabs>
        <w:tab w:val="center" w:pos="4320"/>
        <w:tab w:val="right" w:pos="8640"/>
      </w:tabs>
    </w:pPr>
  </w:style>
  <w:style w:type="character" w:customStyle="1" w:styleId="FooterChar">
    <w:name w:val="Footer Char"/>
    <w:basedOn w:val="DefaultParagraphFont"/>
    <w:link w:val="Footer"/>
    <w:uiPriority w:val="99"/>
    <w:rsid w:val="00BE3101"/>
    <w:rPr>
      <w:rFonts w:ascii="Times New Roman" w:eastAsia="Times New Roman" w:hAnsi="Times New Roman" w:cs="Times New Roman"/>
      <w:kern w:val="28"/>
      <w:szCs w:val="20"/>
    </w:rPr>
  </w:style>
  <w:style w:type="character" w:styleId="Hyperlink">
    <w:name w:val="Hyperlink"/>
    <w:basedOn w:val="DefaultParagraphFont"/>
    <w:rsid w:val="00BE3101"/>
    <w:rPr>
      <w:rFonts w:cs="Times New Roman"/>
      <w:color w:val="0000FF"/>
      <w:u w:val="single"/>
    </w:rPr>
  </w:style>
  <w:style w:type="paragraph" w:customStyle="1" w:styleId="Paranum0">
    <w:name w:val="Paranum"/>
    <w:basedOn w:val="Normal"/>
    <w:autoRedefine/>
    <w:rsid w:val="0041540A"/>
    <w:pPr>
      <w:widowControl/>
      <w:spacing w:after="220"/>
    </w:pPr>
  </w:style>
  <w:style w:type="character" w:styleId="PageNumber">
    <w:name w:val="page number"/>
    <w:basedOn w:val="DefaultParagraphFont"/>
    <w:rsid w:val="00BE3101"/>
    <w:rPr>
      <w:rFonts w:cs="Times New Roman"/>
    </w:rPr>
  </w:style>
  <w:style w:type="paragraph" w:customStyle="1" w:styleId="Default">
    <w:name w:val="Default"/>
    <w:rsid w:val="00BE3101"/>
    <w:pPr>
      <w:autoSpaceDE w:val="0"/>
      <w:autoSpaceDN w:val="0"/>
      <w:adjustRightInd w:val="0"/>
      <w:spacing w:after="0" w:line="240" w:lineRule="auto"/>
    </w:pPr>
    <w:rPr>
      <w:rFonts w:ascii="Times New Roman" w:eastAsia="SimSun" w:hAnsi="Times New Roman" w:cs="Times New Roman"/>
      <w:color w:val="000000"/>
      <w:sz w:val="24"/>
      <w:szCs w:val="24"/>
      <w:lang w:eastAsia="ja-JP"/>
    </w:rPr>
  </w:style>
  <w:style w:type="paragraph" w:styleId="BodyText2">
    <w:name w:val="Body Text 2"/>
    <w:basedOn w:val="Normal"/>
    <w:link w:val="BodyText2Char"/>
    <w:rsid w:val="00BE3101"/>
    <w:pPr>
      <w:spacing w:after="120" w:line="480" w:lineRule="auto"/>
    </w:pPr>
  </w:style>
  <w:style w:type="character" w:customStyle="1" w:styleId="BodyText2Char">
    <w:name w:val="Body Text 2 Char"/>
    <w:basedOn w:val="DefaultParagraphFont"/>
    <w:link w:val="BodyText2"/>
    <w:rsid w:val="00BE3101"/>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BE3101"/>
    <w:rPr>
      <w:rFonts w:ascii="Tahoma" w:hAnsi="Tahoma" w:cs="Tahoma"/>
      <w:sz w:val="16"/>
      <w:szCs w:val="16"/>
    </w:rPr>
  </w:style>
  <w:style w:type="character" w:customStyle="1" w:styleId="BalloonTextChar">
    <w:name w:val="Balloon Text Char"/>
    <w:basedOn w:val="DefaultParagraphFont"/>
    <w:link w:val="BalloonText"/>
    <w:uiPriority w:val="99"/>
    <w:semiHidden/>
    <w:rsid w:val="00BE3101"/>
    <w:rPr>
      <w:rFonts w:ascii="Tahoma" w:eastAsia="Times New Roman" w:hAnsi="Tahoma" w:cs="Tahoma"/>
      <w:kern w:val="28"/>
      <w:sz w:val="16"/>
      <w:szCs w:val="16"/>
    </w:rPr>
  </w:style>
  <w:style w:type="character" w:customStyle="1" w:styleId="FootnoteTextChar2">
    <w:name w:val="Footnote Text Char2"/>
    <w:aliases w:val="Footnote Text Char Char Char Char,Footnote Text Char2 Char1 Char Char Char,Footnote Text Char1 Char Char1 Char Char1 Char,Footnote Text Char Char Char Char1 Char Char1 Char,Footnote Text Char1 Char1"/>
    <w:locked/>
    <w:rsid w:val="00BE3101"/>
    <w:rPr>
      <w:rFonts w:ascii="Times New Roman" w:eastAsia="Times New Roman" w:hAnsi="Times New Roman" w:cs="Times New Roman"/>
      <w:sz w:val="20"/>
      <w:szCs w:val="20"/>
    </w:rPr>
  </w:style>
  <w:style w:type="paragraph" w:customStyle="1" w:styleId="ParaNum">
    <w:name w:val="ParaNum"/>
    <w:basedOn w:val="Normal"/>
    <w:link w:val="ParaNumChar1"/>
    <w:rsid w:val="00BE3101"/>
    <w:pPr>
      <w:numPr>
        <w:numId w:val="2"/>
      </w:numPr>
      <w:spacing w:after="120"/>
    </w:pPr>
    <w:rPr>
      <w:snapToGrid w:val="0"/>
    </w:rPr>
  </w:style>
  <w:style w:type="character" w:customStyle="1" w:styleId="ParaNumChar1">
    <w:name w:val="ParaNum Char1"/>
    <w:link w:val="ParaNum"/>
    <w:locked/>
    <w:rsid w:val="00BE3101"/>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DF4FC7"/>
    <w:rPr>
      <w:sz w:val="16"/>
      <w:szCs w:val="16"/>
    </w:rPr>
  </w:style>
  <w:style w:type="paragraph" w:styleId="CommentText">
    <w:name w:val="annotation text"/>
    <w:basedOn w:val="Normal"/>
    <w:link w:val="CommentTextChar"/>
    <w:uiPriority w:val="99"/>
    <w:semiHidden/>
    <w:unhideWhenUsed/>
    <w:rsid w:val="00DF4FC7"/>
    <w:rPr>
      <w:sz w:val="20"/>
    </w:rPr>
  </w:style>
  <w:style w:type="character" w:customStyle="1" w:styleId="CommentTextChar">
    <w:name w:val="Comment Text Char"/>
    <w:basedOn w:val="DefaultParagraphFont"/>
    <w:link w:val="CommentText"/>
    <w:uiPriority w:val="99"/>
    <w:semiHidden/>
    <w:rsid w:val="00DF4FC7"/>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F4FC7"/>
    <w:rPr>
      <w:b/>
      <w:bCs/>
    </w:rPr>
  </w:style>
  <w:style w:type="character" w:customStyle="1" w:styleId="CommentSubjectChar">
    <w:name w:val="Comment Subject Char"/>
    <w:basedOn w:val="CommentTextChar"/>
    <w:link w:val="CommentSubject"/>
    <w:uiPriority w:val="99"/>
    <w:semiHidden/>
    <w:rsid w:val="00DF4FC7"/>
    <w:rPr>
      <w:rFonts w:ascii="Times New Roman" w:eastAsia="Times New Roman" w:hAnsi="Times New Roman" w:cs="Times New Roman"/>
      <w:b/>
      <w:bCs/>
      <w:kern w:val="28"/>
      <w:sz w:val="20"/>
      <w:szCs w:val="20"/>
    </w:rPr>
  </w:style>
  <w:style w:type="paragraph" w:styleId="Revision">
    <w:name w:val="Revision"/>
    <w:hidden/>
    <w:uiPriority w:val="99"/>
    <w:semiHidden/>
    <w:rsid w:val="00C0789A"/>
    <w:pPr>
      <w:spacing w:after="0" w:line="240" w:lineRule="auto"/>
    </w:pPr>
    <w:rPr>
      <w:rFonts w:ascii="Times New Roman" w:eastAsia="Times New Roman" w:hAnsi="Times New Roman" w:cs="Times New Roman"/>
      <w:kern w:val="28"/>
      <w:szCs w:val="20"/>
    </w:rPr>
  </w:style>
  <w:style w:type="paragraph" w:styleId="EndnoteText">
    <w:name w:val="endnote text"/>
    <w:basedOn w:val="Normal"/>
    <w:link w:val="EndnoteTextChar"/>
    <w:uiPriority w:val="99"/>
    <w:semiHidden/>
    <w:unhideWhenUsed/>
    <w:rsid w:val="001247AC"/>
    <w:rPr>
      <w:sz w:val="20"/>
    </w:rPr>
  </w:style>
  <w:style w:type="character" w:customStyle="1" w:styleId="EndnoteTextChar">
    <w:name w:val="Endnote Text Char"/>
    <w:basedOn w:val="DefaultParagraphFont"/>
    <w:link w:val="EndnoteText"/>
    <w:uiPriority w:val="99"/>
    <w:semiHidden/>
    <w:rsid w:val="001247AC"/>
    <w:rPr>
      <w:rFonts w:ascii="Times New Roman" w:eastAsia="Times New Roman" w:hAnsi="Times New Roman" w:cs="Times New Roman"/>
      <w:kern w:val="28"/>
      <w:sz w:val="20"/>
      <w:szCs w:val="20"/>
    </w:rPr>
  </w:style>
  <w:style w:type="character" w:styleId="EndnoteReference">
    <w:name w:val="endnote reference"/>
    <w:basedOn w:val="DefaultParagraphFont"/>
    <w:uiPriority w:val="99"/>
    <w:semiHidden/>
    <w:unhideWhenUsed/>
    <w:rsid w:val="001247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01"/>
    <w:pPr>
      <w:widowControl w:val="0"/>
      <w:spacing w:after="0" w:line="240" w:lineRule="auto"/>
    </w:pPr>
    <w:rPr>
      <w:rFonts w:ascii="Times New Roman" w:eastAsia="Times New Roman" w:hAnsi="Times New Roman" w:cs="Times New Roman"/>
      <w:kern w:val="28"/>
      <w:szCs w:val="20"/>
    </w:rPr>
  </w:style>
  <w:style w:type="paragraph" w:styleId="Heading1">
    <w:name w:val="heading 1"/>
    <w:basedOn w:val="Normal"/>
    <w:next w:val="Paranum0"/>
    <w:link w:val="Heading1Char"/>
    <w:qFormat/>
    <w:rsid w:val="00BE3101"/>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CD7D8D"/>
    <w:pPr>
      <w:keepNext/>
      <w:numPr>
        <w:ilvl w:val="1"/>
        <w:numId w:val="1"/>
      </w:numPr>
      <w:spacing w:after="120"/>
      <w:ind w:left="2160"/>
      <w:outlineLvl w:val="1"/>
    </w:pPr>
    <w:rPr>
      <w:b/>
      <w:bCs/>
    </w:rPr>
  </w:style>
  <w:style w:type="paragraph" w:styleId="Heading3">
    <w:name w:val="heading 3"/>
    <w:basedOn w:val="Normal"/>
    <w:next w:val="Paranum0"/>
    <w:link w:val="Heading3Char"/>
    <w:qFormat/>
    <w:rsid w:val="00BE3101"/>
    <w:pPr>
      <w:keepNext/>
      <w:numPr>
        <w:ilvl w:val="2"/>
        <w:numId w:val="1"/>
      </w:numPr>
      <w:spacing w:after="120"/>
      <w:outlineLvl w:val="2"/>
    </w:pPr>
    <w:rPr>
      <w:b/>
    </w:rPr>
  </w:style>
  <w:style w:type="paragraph" w:styleId="Heading4">
    <w:name w:val="heading 4"/>
    <w:basedOn w:val="Normal"/>
    <w:next w:val="Paranum0"/>
    <w:link w:val="Heading4Char"/>
    <w:qFormat/>
    <w:rsid w:val="00BE3101"/>
    <w:pPr>
      <w:keepNext/>
      <w:numPr>
        <w:ilvl w:val="3"/>
        <w:numId w:val="1"/>
      </w:numPr>
      <w:spacing w:after="120"/>
      <w:outlineLvl w:val="3"/>
    </w:pPr>
    <w:rPr>
      <w:b/>
    </w:rPr>
  </w:style>
  <w:style w:type="paragraph" w:styleId="Heading5">
    <w:name w:val="heading 5"/>
    <w:basedOn w:val="Normal"/>
    <w:next w:val="Paranum0"/>
    <w:link w:val="Heading5Char"/>
    <w:qFormat/>
    <w:rsid w:val="00BE3101"/>
    <w:pPr>
      <w:keepNext/>
      <w:numPr>
        <w:ilvl w:val="4"/>
        <w:numId w:val="1"/>
      </w:numPr>
      <w:suppressAutoHyphens/>
      <w:spacing w:after="120"/>
      <w:outlineLvl w:val="4"/>
    </w:pPr>
    <w:rPr>
      <w:b/>
    </w:rPr>
  </w:style>
  <w:style w:type="paragraph" w:styleId="Heading6">
    <w:name w:val="heading 6"/>
    <w:basedOn w:val="Normal"/>
    <w:next w:val="Paranum0"/>
    <w:link w:val="Heading6Char"/>
    <w:qFormat/>
    <w:rsid w:val="00BE3101"/>
    <w:pPr>
      <w:numPr>
        <w:ilvl w:val="5"/>
        <w:numId w:val="1"/>
      </w:numPr>
      <w:spacing w:after="120"/>
      <w:outlineLvl w:val="5"/>
    </w:pPr>
    <w:rPr>
      <w:b/>
    </w:rPr>
  </w:style>
  <w:style w:type="paragraph" w:styleId="Heading7">
    <w:name w:val="heading 7"/>
    <w:basedOn w:val="Normal"/>
    <w:next w:val="Paranum0"/>
    <w:link w:val="Heading7Char"/>
    <w:qFormat/>
    <w:rsid w:val="00BE3101"/>
    <w:pPr>
      <w:numPr>
        <w:ilvl w:val="6"/>
        <w:numId w:val="1"/>
      </w:numPr>
      <w:spacing w:after="120"/>
      <w:outlineLvl w:val="6"/>
    </w:pPr>
    <w:rPr>
      <w:b/>
    </w:rPr>
  </w:style>
  <w:style w:type="paragraph" w:styleId="Heading8">
    <w:name w:val="heading 8"/>
    <w:basedOn w:val="Normal"/>
    <w:next w:val="Paranum0"/>
    <w:link w:val="Heading8Char"/>
    <w:qFormat/>
    <w:rsid w:val="00BE3101"/>
    <w:pPr>
      <w:numPr>
        <w:ilvl w:val="7"/>
        <w:numId w:val="1"/>
      </w:numPr>
      <w:tabs>
        <w:tab w:val="left" w:pos="5760"/>
      </w:tabs>
      <w:spacing w:after="120"/>
      <w:outlineLvl w:val="7"/>
    </w:pPr>
    <w:rPr>
      <w:b/>
    </w:rPr>
  </w:style>
  <w:style w:type="paragraph" w:styleId="Heading9">
    <w:name w:val="heading 9"/>
    <w:basedOn w:val="Normal"/>
    <w:next w:val="Paranum0"/>
    <w:link w:val="Heading9Char"/>
    <w:qFormat/>
    <w:rsid w:val="00BE3101"/>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101"/>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rsid w:val="00CD7D8D"/>
    <w:rPr>
      <w:rFonts w:ascii="Times New Roman" w:eastAsia="Times New Roman" w:hAnsi="Times New Roman" w:cs="Times New Roman"/>
      <w:b/>
      <w:bCs/>
      <w:kern w:val="28"/>
      <w:szCs w:val="20"/>
    </w:rPr>
  </w:style>
  <w:style w:type="character" w:customStyle="1" w:styleId="Heading3Char">
    <w:name w:val="Heading 3 Char"/>
    <w:basedOn w:val="DefaultParagraphFont"/>
    <w:link w:val="Heading3"/>
    <w:rsid w:val="00BE3101"/>
    <w:rPr>
      <w:rFonts w:ascii="Times New Roman" w:eastAsia="Times New Roman" w:hAnsi="Times New Roman" w:cs="Times New Roman"/>
      <w:b/>
      <w:kern w:val="28"/>
      <w:szCs w:val="20"/>
    </w:rPr>
  </w:style>
  <w:style w:type="character" w:customStyle="1" w:styleId="Heading4Char">
    <w:name w:val="Heading 4 Char"/>
    <w:basedOn w:val="DefaultParagraphFont"/>
    <w:link w:val="Heading4"/>
    <w:rsid w:val="00BE3101"/>
    <w:rPr>
      <w:rFonts w:ascii="Times New Roman" w:eastAsia="Times New Roman" w:hAnsi="Times New Roman" w:cs="Times New Roman"/>
      <w:b/>
      <w:kern w:val="28"/>
      <w:szCs w:val="20"/>
    </w:rPr>
  </w:style>
  <w:style w:type="character" w:customStyle="1" w:styleId="Heading5Char">
    <w:name w:val="Heading 5 Char"/>
    <w:basedOn w:val="DefaultParagraphFont"/>
    <w:link w:val="Heading5"/>
    <w:rsid w:val="00BE3101"/>
    <w:rPr>
      <w:rFonts w:ascii="Times New Roman" w:eastAsia="Times New Roman" w:hAnsi="Times New Roman" w:cs="Times New Roman"/>
      <w:b/>
      <w:kern w:val="28"/>
      <w:szCs w:val="20"/>
    </w:rPr>
  </w:style>
  <w:style w:type="character" w:customStyle="1" w:styleId="Heading6Char">
    <w:name w:val="Heading 6 Char"/>
    <w:basedOn w:val="DefaultParagraphFont"/>
    <w:link w:val="Heading6"/>
    <w:rsid w:val="00BE3101"/>
    <w:rPr>
      <w:rFonts w:ascii="Times New Roman" w:eastAsia="Times New Roman" w:hAnsi="Times New Roman" w:cs="Times New Roman"/>
      <w:b/>
      <w:kern w:val="28"/>
      <w:szCs w:val="20"/>
    </w:rPr>
  </w:style>
  <w:style w:type="character" w:customStyle="1" w:styleId="Heading7Char">
    <w:name w:val="Heading 7 Char"/>
    <w:basedOn w:val="DefaultParagraphFont"/>
    <w:link w:val="Heading7"/>
    <w:rsid w:val="00BE3101"/>
    <w:rPr>
      <w:rFonts w:ascii="Times New Roman" w:eastAsia="Times New Roman" w:hAnsi="Times New Roman" w:cs="Times New Roman"/>
      <w:b/>
      <w:kern w:val="28"/>
      <w:szCs w:val="20"/>
    </w:rPr>
  </w:style>
  <w:style w:type="character" w:customStyle="1" w:styleId="Heading8Char">
    <w:name w:val="Heading 8 Char"/>
    <w:basedOn w:val="DefaultParagraphFont"/>
    <w:link w:val="Heading8"/>
    <w:rsid w:val="00BE3101"/>
    <w:rPr>
      <w:rFonts w:ascii="Times New Roman" w:eastAsia="Times New Roman" w:hAnsi="Times New Roman" w:cs="Times New Roman"/>
      <w:b/>
      <w:kern w:val="28"/>
      <w:szCs w:val="20"/>
    </w:rPr>
  </w:style>
  <w:style w:type="character" w:customStyle="1" w:styleId="Heading9Char">
    <w:name w:val="Heading 9 Char"/>
    <w:basedOn w:val="DefaultParagraphFont"/>
    <w:link w:val="Heading9"/>
    <w:rsid w:val="00BE3101"/>
    <w:rPr>
      <w:rFonts w:ascii="Times New Roman" w:eastAsia="Times New Roman" w:hAnsi="Times New Roman" w:cs="Times New Roman"/>
      <w:b/>
      <w:kern w:val="28"/>
      <w:szCs w:val="20"/>
    </w:rPr>
  </w:style>
  <w:style w:type="character" w:styleId="FootnoteReference">
    <w:name w:val="footnote reference"/>
    <w:aliases w:val="Appel note de bas de p,Style 12,(NECG) Footnote Reference,Style 124,o,fr,Style 3,Style 13,FR,Style 17,Style 6,Footnote Reference/,Style 7,Style 4,Footnote Reference1"/>
    <w:basedOn w:val="DefaultParagraphFont"/>
    <w:rsid w:val="00BE3101"/>
    <w:rPr>
      <w:rFonts w:ascii="Times New Roman" w:hAnsi="Times New Roman" w:cs="Times New Roman"/>
      <w:color w:val="auto"/>
      <w:sz w:val="22"/>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basedOn w:val="Normal"/>
    <w:link w:val="FootnoteTextChar"/>
    <w:rsid w:val="00BE3101"/>
    <w:pPr>
      <w:widowControl/>
      <w:spacing w:after="120"/>
    </w:pPr>
    <w:rPr>
      <w:kern w:val="0"/>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rsid w:val="00BE3101"/>
    <w:rPr>
      <w:rFonts w:ascii="Times New Roman" w:eastAsia="Times New Roman" w:hAnsi="Times New Roman" w:cs="Times New Roman"/>
      <w:sz w:val="20"/>
      <w:szCs w:val="20"/>
    </w:rPr>
  </w:style>
  <w:style w:type="paragraph" w:styleId="Header">
    <w:name w:val="header"/>
    <w:basedOn w:val="Normal"/>
    <w:link w:val="HeaderChar"/>
    <w:autoRedefine/>
    <w:uiPriority w:val="99"/>
    <w:rsid w:val="00BE3101"/>
    <w:pPr>
      <w:tabs>
        <w:tab w:val="center" w:pos="4680"/>
        <w:tab w:val="right" w:pos="9360"/>
      </w:tabs>
    </w:pPr>
    <w:rPr>
      <w:b/>
    </w:rPr>
  </w:style>
  <w:style w:type="character" w:customStyle="1" w:styleId="HeaderChar">
    <w:name w:val="Header Char"/>
    <w:basedOn w:val="DefaultParagraphFont"/>
    <w:link w:val="Header"/>
    <w:uiPriority w:val="99"/>
    <w:rsid w:val="00BE3101"/>
    <w:rPr>
      <w:rFonts w:ascii="Times New Roman" w:eastAsia="Times New Roman" w:hAnsi="Times New Roman" w:cs="Times New Roman"/>
      <w:b/>
      <w:kern w:val="28"/>
      <w:szCs w:val="20"/>
    </w:rPr>
  </w:style>
  <w:style w:type="paragraph" w:styleId="Footer">
    <w:name w:val="footer"/>
    <w:basedOn w:val="Normal"/>
    <w:link w:val="FooterChar"/>
    <w:uiPriority w:val="99"/>
    <w:rsid w:val="00BE3101"/>
    <w:pPr>
      <w:tabs>
        <w:tab w:val="center" w:pos="4320"/>
        <w:tab w:val="right" w:pos="8640"/>
      </w:tabs>
    </w:pPr>
  </w:style>
  <w:style w:type="character" w:customStyle="1" w:styleId="FooterChar">
    <w:name w:val="Footer Char"/>
    <w:basedOn w:val="DefaultParagraphFont"/>
    <w:link w:val="Footer"/>
    <w:uiPriority w:val="99"/>
    <w:rsid w:val="00BE3101"/>
    <w:rPr>
      <w:rFonts w:ascii="Times New Roman" w:eastAsia="Times New Roman" w:hAnsi="Times New Roman" w:cs="Times New Roman"/>
      <w:kern w:val="28"/>
      <w:szCs w:val="20"/>
    </w:rPr>
  </w:style>
  <w:style w:type="character" w:styleId="Hyperlink">
    <w:name w:val="Hyperlink"/>
    <w:basedOn w:val="DefaultParagraphFont"/>
    <w:rsid w:val="00BE3101"/>
    <w:rPr>
      <w:rFonts w:cs="Times New Roman"/>
      <w:color w:val="0000FF"/>
      <w:u w:val="single"/>
    </w:rPr>
  </w:style>
  <w:style w:type="paragraph" w:customStyle="1" w:styleId="Paranum0">
    <w:name w:val="Paranum"/>
    <w:basedOn w:val="Normal"/>
    <w:autoRedefine/>
    <w:rsid w:val="0041540A"/>
    <w:pPr>
      <w:widowControl/>
      <w:spacing w:after="220"/>
    </w:pPr>
  </w:style>
  <w:style w:type="character" w:styleId="PageNumber">
    <w:name w:val="page number"/>
    <w:basedOn w:val="DefaultParagraphFont"/>
    <w:rsid w:val="00BE3101"/>
    <w:rPr>
      <w:rFonts w:cs="Times New Roman"/>
    </w:rPr>
  </w:style>
  <w:style w:type="paragraph" w:customStyle="1" w:styleId="Default">
    <w:name w:val="Default"/>
    <w:rsid w:val="00BE3101"/>
    <w:pPr>
      <w:autoSpaceDE w:val="0"/>
      <w:autoSpaceDN w:val="0"/>
      <w:adjustRightInd w:val="0"/>
      <w:spacing w:after="0" w:line="240" w:lineRule="auto"/>
    </w:pPr>
    <w:rPr>
      <w:rFonts w:ascii="Times New Roman" w:eastAsia="SimSun" w:hAnsi="Times New Roman" w:cs="Times New Roman"/>
      <w:color w:val="000000"/>
      <w:sz w:val="24"/>
      <w:szCs w:val="24"/>
      <w:lang w:eastAsia="ja-JP"/>
    </w:rPr>
  </w:style>
  <w:style w:type="paragraph" w:styleId="BodyText2">
    <w:name w:val="Body Text 2"/>
    <w:basedOn w:val="Normal"/>
    <w:link w:val="BodyText2Char"/>
    <w:rsid w:val="00BE3101"/>
    <w:pPr>
      <w:spacing w:after="120" w:line="480" w:lineRule="auto"/>
    </w:pPr>
  </w:style>
  <w:style w:type="character" w:customStyle="1" w:styleId="BodyText2Char">
    <w:name w:val="Body Text 2 Char"/>
    <w:basedOn w:val="DefaultParagraphFont"/>
    <w:link w:val="BodyText2"/>
    <w:rsid w:val="00BE3101"/>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BE3101"/>
    <w:rPr>
      <w:rFonts w:ascii="Tahoma" w:hAnsi="Tahoma" w:cs="Tahoma"/>
      <w:sz w:val="16"/>
      <w:szCs w:val="16"/>
    </w:rPr>
  </w:style>
  <w:style w:type="character" w:customStyle="1" w:styleId="BalloonTextChar">
    <w:name w:val="Balloon Text Char"/>
    <w:basedOn w:val="DefaultParagraphFont"/>
    <w:link w:val="BalloonText"/>
    <w:uiPriority w:val="99"/>
    <w:semiHidden/>
    <w:rsid w:val="00BE3101"/>
    <w:rPr>
      <w:rFonts w:ascii="Tahoma" w:eastAsia="Times New Roman" w:hAnsi="Tahoma" w:cs="Tahoma"/>
      <w:kern w:val="28"/>
      <w:sz w:val="16"/>
      <w:szCs w:val="16"/>
    </w:rPr>
  </w:style>
  <w:style w:type="character" w:customStyle="1" w:styleId="FootnoteTextChar2">
    <w:name w:val="Footnote Text Char2"/>
    <w:aliases w:val="Footnote Text Char Char Char Char,Footnote Text Char2 Char1 Char Char Char,Footnote Text Char1 Char Char1 Char Char1 Char,Footnote Text Char Char Char Char1 Char Char1 Char,Footnote Text Char1 Char1"/>
    <w:locked/>
    <w:rsid w:val="00BE3101"/>
    <w:rPr>
      <w:rFonts w:ascii="Times New Roman" w:eastAsia="Times New Roman" w:hAnsi="Times New Roman" w:cs="Times New Roman"/>
      <w:sz w:val="20"/>
      <w:szCs w:val="20"/>
    </w:rPr>
  </w:style>
  <w:style w:type="paragraph" w:customStyle="1" w:styleId="ParaNum">
    <w:name w:val="ParaNum"/>
    <w:basedOn w:val="Normal"/>
    <w:link w:val="ParaNumChar1"/>
    <w:rsid w:val="00BE3101"/>
    <w:pPr>
      <w:numPr>
        <w:numId w:val="2"/>
      </w:numPr>
      <w:spacing w:after="120"/>
    </w:pPr>
    <w:rPr>
      <w:snapToGrid w:val="0"/>
    </w:rPr>
  </w:style>
  <w:style w:type="character" w:customStyle="1" w:styleId="ParaNumChar1">
    <w:name w:val="ParaNum Char1"/>
    <w:link w:val="ParaNum"/>
    <w:locked/>
    <w:rsid w:val="00BE3101"/>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DF4FC7"/>
    <w:rPr>
      <w:sz w:val="16"/>
      <w:szCs w:val="16"/>
    </w:rPr>
  </w:style>
  <w:style w:type="paragraph" w:styleId="CommentText">
    <w:name w:val="annotation text"/>
    <w:basedOn w:val="Normal"/>
    <w:link w:val="CommentTextChar"/>
    <w:uiPriority w:val="99"/>
    <w:semiHidden/>
    <w:unhideWhenUsed/>
    <w:rsid w:val="00DF4FC7"/>
    <w:rPr>
      <w:sz w:val="20"/>
    </w:rPr>
  </w:style>
  <w:style w:type="character" w:customStyle="1" w:styleId="CommentTextChar">
    <w:name w:val="Comment Text Char"/>
    <w:basedOn w:val="DefaultParagraphFont"/>
    <w:link w:val="CommentText"/>
    <w:uiPriority w:val="99"/>
    <w:semiHidden/>
    <w:rsid w:val="00DF4FC7"/>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F4FC7"/>
    <w:rPr>
      <w:b/>
      <w:bCs/>
    </w:rPr>
  </w:style>
  <w:style w:type="character" w:customStyle="1" w:styleId="CommentSubjectChar">
    <w:name w:val="Comment Subject Char"/>
    <w:basedOn w:val="CommentTextChar"/>
    <w:link w:val="CommentSubject"/>
    <w:uiPriority w:val="99"/>
    <w:semiHidden/>
    <w:rsid w:val="00DF4FC7"/>
    <w:rPr>
      <w:rFonts w:ascii="Times New Roman" w:eastAsia="Times New Roman" w:hAnsi="Times New Roman" w:cs="Times New Roman"/>
      <w:b/>
      <w:bCs/>
      <w:kern w:val="28"/>
      <w:sz w:val="20"/>
      <w:szCs w:val="20"/>
    </w:rPr>
  </w:style>
  <w:style w:type="paragraph" w:styleId="Revision">
    <w:name w:val="Revision"/>
    <w:hidden/>
    <w:uiPriority w:val="99"/>
    <w:semiHidden/>
    <w:rsid w:val="00C0789A"/>
    <w:pPr>
      <w:spacing w:after="0" w:line="240" w:lineRule="auto"/>
    </w:pPr>
    <w:rPr>
      <w:rFonts w:ascii="Times New Roman" w:eastAsia="Times New Roman" w:hAnsi="Times New Roman" w:cs="Times New Roman"/>
      <w:kern w:val="28"/>
      <w:szCs w:val="20"/>
    </w:rPr>
  </w:style>
  <w:style w:type="paragraph" w:styleId="EndnoteText">
    <w:name w:val="endnote text"/>
    <w:basedOn w:val="Normal"/>
    <w:link w:val="EndnoteTextChar"/>
    <w:uiPriority w:val="99"/>
    <w:semiHidden/>
    <w:unhideWhenUsed/>
    <w:rsid w:val="001247AC"/>
    <w:rPr>
      <w:sz w:val="20"/>
    </w:rPr>
  </w:style>
  <w:style w:type="character" w:customStyle="1" w:styleId="EndnoteTextChar">
    <w:name w:val="Endnote Text Char"/>
    <w:basedOn w:val="DefaultParagraphFont"/>
    <w:link w:val="EndnoteText"/>
    <w:uiPriority w:val="99"/>
    <w:semiHidden/>
    <w:rsid w:val="001247AC"/>
    <w:rPr>
      <w:rFonts w:ascii="Times New Roman" w:eastAsia="Times New Roman" w:hAnsi="Times New Roman" w:cs="Times New Roman"/>
      <w:kern w:val="28"/>
      <w:sz w:val="20"/>
      <w:szCs w:val="20"/>
    </w:rPr>
  </w:style>
  <w:style w:type="character" w:styleId="EndnoteReference">
    <w:name w:val="endnote reference"/>
    <w:basedOn w:val="DefaultParagraphFont"/>
    <w:uiPriority w:val="99"/>
    <w:semiHidden/>
    <w:unhideWhenUsed/>
    <w:rsid w:val="00124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7479">
      <w:bodyDiv w:val="1"/>
      <w:marLeft w:val="0"/>
      <w:marRight w:val="0"/>
      <w:marTop w:val="0"/>
      <w:marBottom w:val="0"/>
      <w:divBdr>
        <w:top w:val="none" w:sz="0" w:space="0" w:color="auto"/>
        <w:left w:val="none" w:sz="0" w:space="0" w:color="auto"/>
        <w:bottom w:val="none" w:sz="0" w:space="0" w:color="auto"/>
        <w:right w:val="none" w:sz="0" w:space="0" w:color="auto"/>
      </w:divBdr>
    </w:div>
    <w:div w:id="1423600036">
      <w:bodyDiv w:val="1"/>
      <w:marLeft w:val="0"/>
      <w:marRight w:val="0"/>
      <w:marTop w:val="0"/>
      <w:marBottom w:val="0"/>
      <w:divBdr>
        <w:top w:val="none" w:sz="0" w:space="0" w:color="auto"/>
        <w:left w:val="none" w:sz="0" w:space="0" w:color="auto"/>
        <w:bottom w:val="none" w:sz="0" w:space="0" w:color="auto"/>
        <w:right w:val="none" w:sz="0" w:space="0" w:color="auto"/>
      </w:divBdr>
    </w:div>
    <w:div w:id="16237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cfs@fcc.gov" TargetMode="External"/><Relationship Id="rId4" Type="http://schemas.openxmlformats.org/officeDocument/2006/relationships/settings" Target="settings.xml"/><Relationship Id="rId9" Type="http://schemas.openxmlformats.org/officeDocument/2006/relationships/hyperlink" Target="http://www.fcc.gov/cgb/ecf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4550</Words>
  <Characters>25776</Characters>
  <Application>Microsoft Office Word</Application>
  <DocSecurity>0</DocSecurity>
  <Lines>342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2015-05-08T12:24:00Z</cp:lastPrinted>
  <dcterms:created xsi:type="dcterms:W3CDTF">2015-05-29T14:14:00Z</dcterms:created>
  <dcterms:modified xsi:type="dcterms:W3CDTF">2015-05-29T14:14:00Z</dcterms:modified>
  <cp:category> </cp:category>
  <cp:contentStatus> </cp:contentStatus>
</cp:coreProperties>
</file>