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E3" w:rsidRPr="00790B4B" w:rsidRDefault="00E273E3" w:rsidP="002659F3">
      <w:pPr>
        <w:widowControl/>
        <w:jc w:val="center"/>
        <w:rPr>
          <w:b/>
        </w:rPr>
      </w:pPr>
      <w:bookmarkStart w:id="0" w:name="_GoBack"/>
      <w:bookmarkEnd w:id="0"/>
      <w:r w:rsidRPr="00790B4B">
        <w:rPr>
          <w:b/>
          <w:kern w:val="0"/>
          <w:szCs w:val="22"/>
        </w:rPr>
        <w:t>Before</w:t>
      </w:r>
      <w:r w:rsidRPr="00790B4B">
        <w:rPr>
          <w:b/>
        </w:rPr>
        <w:t xml:space="preserve"> the</w:t>
      </w:r>
    </w:p>
    <w:p w:rsidR="00E273E3" w:rsidRPr="00790B4B" w:rsidRDefault="00E273E3" w:rsidP="002659F3">
      <w:pPr>
        <w:pStyle w:val="StyleBoldCentered"/>
        <w:widowControl/>
        <w:rPr>
          <w:rFonts w:ascii="Times New Roman" w:hAnsi="Times New Roman"/>
        </w:rPr>
      </w:pPr>
      <w:r w:rsidRPr="00790B4B">
        <w:rPr>
          <w:rFonts w:ascii="Times New Roman" w:hAnsi="Times New Roman"/>
        </w:rPr>
        <w:t>F</w:t>
      </w:r>
      <w:r w:rsidRPr="00790B4B">
        <w:rPr>
          <w:rFonts w:ascii="Times New Roman" w:hAnsi="Times New Roman"/>
          <w:caps w:val="0"/>
        </w:rPr>
        <w:t>ederal Communications Commission</w:t>
      </w:r>
    </w:p>
    <w:p w:rsidR="00E273E3" w:rsidRPr="00790B4B" w:rsidRDefault="00E273E3" w:rsidP="002659F3">
      <w:pPr>
        <w:pStyle w:val="StyleBoldCentered"/>
        <w:widowControl/>
        <w:rPr>
          <w:rFonts w:ascii="Times New Roman" w:hAnsi="Times New Roman"/>
        </w:rPr>
      </w:pPr>
      <w:r w:rsidRPr="00790B4B">
        <w:rPr>
          <w:rFonts w:ascii="Times New Roman" w:hAnsi="Times New Roman"/>
          <w:caps w:val="0"/>
        </w:rPr>
        <w:t>Washington</w:t>
      </w:r>
      <w:r w:rsidRPr="00790B4B">
        <w:rPr>
          <w:rFonts w:ascii="Times New Roman" w:hAnsi="Times New Roman"/>
        </w:rPr>
        <w:t>, DC 20554</w:t>
      </w:r>
    </w:p>
    <w:p w:rsidR="00E273E3" w:rsidRPr="00790B4B" w:rsidRDefault="00E273E3" w:rsidP="002659F3">
      <w:pPr>
        <w:widowControl/>
      </w:pPr>
    </w:p>
    <w:tbl>
      <w:tblPr>
        <w:tblW w:w="0" w:type="auto"/>
        <w:tblLayout w:type="fixed"/>
        <w:tblLook w:val="0000" w:firstRow="0" w:lastRow="0" w:firstColumn="0" w:lastColumn="0" w:noHBand="0" w:noVBand="0"/>
      </w:tblPr>
      <w:tblGrid>
        <w:gridCol w:w="4698"/>
        <w:gridCol w:w="630"/>
        <w:gridCol w:w="4248"/>
      </w:tblGrid>
      <w:tr w:rsidR="00E273E3" w:rsidRPr="00344C0B">
        <w:tc>
          <w:tcPr>
            <w:tcW w:w="4698" w:type="dxa"/>
          </w:tcPr>
          <w:p w:rsidR="00E273E3" w:rsidRPr="00790B4B" w:rsidRDefault="00E273E3" w:rsidP="002659F3">
            <w:pPr>
              <w:widowControl/>
              <w:suppressAutoHyphens/>
              <w:rPr>
                <w:spacing w:val="-2"/>
              </w:rPr>
            </w:pPr>
            <w:r w:rsidRPr="00790B4B">
              <w:rPr>
                <w:spacing w:val="-2"/>
              </w:rPr>
              <w:t>In the Matter of</w:t>
            </w:r>
          </w:p>
          <w:p w:rsidR="00E273E3" w:rsidRPr="00790B4B" w:rsidRDefault="00E273E3" w:rsidP="002659F3">
            <w:pPr>
              <w:widowControl/>
              <w:suppressAutoHyphens/>
              <w:rPr>
                <w:spacing w:val="-2"/>
              </w:rPr>
            </w:pPr>
          </w:p>
          <w:p w:rsidR="00E273E3" w:rsidRPr="00344C0B" w:rsidRDefault="006B44D3" w:rsidP="006B44D3">
            <w:pPr>
              <w:widowControl/>
              <w:suppressAutoHyphens/>
              <w:rPr>
                <w:spacing w:val="-2"/>
              </w:rPr>
            </w:pPr>
            <w:r>
              <w:rPr>
                <w:spacing w:val="-2"/>
              </w:rPr>
              <w:t>Assist Wireless, LLC</w:t>
            </w:r>
            <w:r w:rsidR="00E273E3" w:rsidRPr="00344C0B">
              <w:rPr>
                <w:spacing w:val="-2"/>
              </w:rPr>
              <w:t xml:space="preserve"> </w:t>
            </w:r>
          </w:p>
        </w:tc>
        <w:tc>
          <w:tcPr>
            <w:tcW w:w="630" w:type="dxa"/>
          </w:tcPr>
          <w:p w:rsidR="00E273E3" w:rsidRPr="00344C0B" w:rsidRDefault="00E273E3" w:rsidP="002659F3">
            <w:pPr>
              <w:widowControl/>
              <w:suppressAutoHyphens/>
              <w:rPr>
                <w:spacing w:val="-2"/>
              </w:rPr>
            </w:pPr>
            <w:r w:rsidRPr="00344C0B">
              <w:rPr>
                <w:spacing w:val="-2"/>
              </w:rPr>
              <w:t>)</w:t>
            </w:r>
          </w:p>
          <w:p w:rsidR="00E273E3" w:rsidRPr="00344C0B" w:rsidRDefault="00E273E3" w:rsidP="002659F3">
            <w:pPr>
              <w:widowControl/>
              <w:suppressAutoHyphens/>
              <w:rPr>
                <w:spacing w:val="-2"/>
              </w:rPr>
            </w:pPr>
            <w:r w:rsidRPr="00344C0B">
              <w:rPr>
                <w:spacing w:val="-2"/>
              </w:rPr>
              <w:t>)</w:t>
            </w:r>
          </w:p>
          <w:p w:rsidR="00E273E3" w:rsidRPr="00344C0B" w:rsidRDefault="00E273E3" w:rsidP="002659F3">
            <w:pPr>
              <w:widowControl/>
              <w:suppressAutoHyphens/>
              <w:rPr>
                <w:spacing w:val="-2"/>
              </w:rPr>
            </w:pPr>
            <w:r w:rsidRPr="00344C0B">
              <w:rPr>
                <w:spacing w:val="-2"/>
              </w:rPr>
              <w:t>)</w:t>
            </w:r>
          </w:p>
          <w:p w:rsidR="00E273E3" w:rsidRPr="00344C0B" w:rsidRDefault="00E273E3" w:rsidP="002659F3">
            <w:pPr>
              <w:widowControl/>
              <w:suppressAutoHyphens/>
              <w:rPr>
                <w:spacing w:val="-2"/>
              </w:rPr>
            </w:pPr>
            <w:r w:rsidRPr="00344C0B">
              <w:rPr>
                <w:spacing w:val="-2"/>
              </w:rPr>
              <w:t>)</w:t>
            </w:r>
          </w:p>
          <w:p w:rsidR="00E273E3" w:rsidRPr="00344C0B" w:rsidRDefault="00E273E3" w:rsidP="002659F3">
            <w:pPr>
              <w:widowControl/>
              <w:suppressAutoHyphens/>
              <w:rPr>
                <w:spacing w:val="-2"/>
              </w:rPr>
            </w:pPr>
            <w:r w:rsidRPr="00344C0B">
              <w:rPr>
                <w:spacing w:val="-2"/>
              </w:rPr>
              <w:t>)</w:t>
            </w:r>
          </w:p>
        </w:tc>
        <w:tc>
          <w:tcPr>
            <w:tcW w:w="4248" w:type="dxa"/>
          </w:tcPr>
          <w:p w:rsidR="00E273E3" w:rsidRPr="00344C0B" w:rsidRDefault="00E273E3" w:rsidP="002659F3">
            <w:pPr>
              <w:widowControl/>
              <w:suppressAutoHyphens/>
              <w:rPr>
                <w:spacing w:val="-2"/>
              </w:rPr>
            </w:pPr>
          </w:p>
          <w:p w:rsidR="00E273E3" w:rsidRPr="00344C0B" w:rsidRDefault="00E273E3" w:rsidP="002659F3">
            <w:pPr>
              <w:widowControl/>
              <w:suppressAutoHyphens/>
              <w:rPr>
                <w:spacing w:val="-2"/>
              </w:rPr>
            </w:pPr>
          </w:p>
          <w:p w:rsidR="00E273E3" w:rsidRPr="0007571D" w:rsidRDefault="00E273E3" w:rsidP="00EE05DB">
            <w:pPr>
              <w:widowControl/>
              <w:suppressAutoHyphens/>
              <w:ind w:left="432"/>
              <w:rPr>
                <w:spacing w:val="-2"/>
              </w:rPr>
            </w:pPr>
            <w:r w:rsidRPr="00344C0B">
              <w:rPr>
                <w:spacing w:val="-2"/>
              </w:rPr>
              <w:t xml:space="preserve">File No.:  </w:t>
            </w:r>
            <w:r w:rsidR="006B44D3" w:rsidRPr="00E05F4A">
              <w:rPr>
                <w:spacing w:val="-2"/>
              </w:rPr>
              <w:t>EB-SED-1</w:t>
            </w:r>
            <w:r w:rsidR="006B44D3">
              <w:rPr>
                <w:spacing w:val="-2"/>
              </w:rPr>
              <w:t>4</w:t>
            </w:r>
            <w:r w:rsidR="006B44D3" w:rsidRPr="00E05F4A">
              <w:rPr>
                <w:spacing w:val="-2"/>
              </w:rPr>
              <w:t>-0001</w:t>
            </w:r>
            <w:r w:rsidR="006B44D3">
              <w:rPr>
                <w:spacing w:val="-2"/>
              </w:rPr>
              <w:t>3385</w:t>
            </w:r>
          </w:p>
          <w:p w:rsidR="00E273E3" w:rsidRPr="0007571D" w:rsidRDefault="00E273E3" w:rsidP="00EE05DB">
            <w:pPr>
              <w:widowControl/>
              <w:suppressAutoHyphens/>
              <w:ind w:left="432"/>
              <w:rPr>
                <w:spacing w:val="-2"/>
              </w:rPr>
            </w:pPr>
            <w:r w:rsidRPr="00344C0B">
              <w:rPr>
                <w:spacing w:val="-2"/>
              </w:rPr>
              <w:t xml:space="preserve">NAL/Acct. No.:  </w:t>
            </w:r>
            <w:r w:rsidR="006B44D3">
              <w:rPr>
                <w:spacing w:val="-2"/>
              </w:rPr>
              <w:t>201432100012</w:t>
            </w:r>
            <w:r w:rsidR="006B44D3" w:rsidRPr="00344C0B">
              <w:rPr>
                <w:spacing w:val="-2"/>
              </w:rPr>
              <w:t xml:space="preserve"> </w:t>
            </w:r>
          </w:p>
          <w:p w:rsidR="00E273E3" w:rsidRPr="0007571D" w:rsidRDefault="00E273E3" w:rsidP="006B44D3">
            <w:pPr>
              <w:widowControl/>
              <w:suppressAutoHyphens/>
              <w:ind w:left="432"/>
              <w:rPr>
                <w:spacing w:val="-2"/>
              </w:rPr>
            </w:pPr>
            <w:r w:rsidRPr="00344C0B">
              <w:rPr>
                <w:spacing w:val="-2"/>
              </w:rPr>
              <w:t xml:space="preserve">FRN:  </w:t>
            </w:r>
            <w:r w:rsidR="006B44D3">
              <w:rPr>
                <w:spacing w:val="-2"/>
              </w:rPr>
              <w:t>0020277489</w:t>
            </w:r>
          </w:p>
        </w:tc>
      </w:tr>
    </w:tbl>
    <w:p w:rsidR="00E273E3" w:rsidRPr="00344C0B" w:rsidRDefault="00E273E3" w:rsidP="002659F3">
      <w:pPr>
        <w:widowControl/>
      </w:pPr>
    </w:p>
    <w:p w:rsidR="00E273E3" w:rsidRPr="00344C0B" w:rsidRDefault="00E273E3" w:rsidP="002659F3">
      <w:pPr>
        <w:pStyle w:val="StyleBoldCentered"/>
        <w:widowControl/>
        <w:spacing w:after="220"/>
      </w:pPr>
      <w:r w:rsidRPr="00344C0B">
        <w:t>forfeiture ORDER</w:t>
      </w:r>
    </w:p>
    <w:p w:rsidR="00E273E3" w:rsidRPr="0007571D" w:rsidRDefault="00E273E3" w:rsidP="00226191">
      <w:pPr>
        <w:widowControl/>
        <w:tabs>
          <w:tab w:val="right" w:pos="9360"/>
        </w:tabs>
        <w:suppressAutoHyphens/>
        <w:rPr>
          <w:spacing w:val="-2"/>
        </w:rPr>
      </w:pPr>
      <w:r w:rsidRPr="00344C0B">
        <w:rPr>
          <w:b/>
          <w:spacing w:val="-2"/>
        </w:rPr>
        <w:t xml:space="preserve">Adopted:  </w:t>
      </w:r>
      <w:r w:rsidR="003107A0">
        <w:rPr>
          <w:b/>
          <w:spacing w:val="-2"/>
        </w:rPr>
        <w:t>June 1, 2015</w:t>
      </w:r>
      <w:r w:rsidR="006D2212" w:rsidRPr="0007571D">
        <w:rPr>
          <w:b/>
          <w:spacing w:val="-2"/>
        </w:rPr>
        <w:tab/>
        <w:t xml:space="preserve">Released:  </w:t>
      </w:r>
      <w:r w:rsidR="003107A0">
        <w:rPr>
          <w:b/>
          <w:spacing w:val="-2"/>
        </w:rPr>
        <w:t>June 2, 2015</w:t>
      </w:r>
    </w:p>
    <w:p w:rsidR="00E273E3" w:rsidRPr="00344C0B" w:rsidRDefault="00E273E3" w:rsidP="00EE05DB">
      <w:pPr>
        <w:widowControl/>
        <w:jc w:val="center"/>
      </w:pPr>
    </w:p>
    <w:p w:rsidR="00E273E3" w:rsidRPr="00344C0B" w:rsidRDefault="00E273E3" w:rsidP="002659F3">
      <w:pPr>
        <w:widowControl/>
        <w:rPr>
          <w:spacing w:val="-2"/>
        </w:rPr>
      </w:pPr>
      <w:r w:rsidRPr="00344C0B">
        <w:t xml:space="preserve">By the </w:t>
      </w:r>
      <w:r w:rsidR="00535F1C">
        <w:t xml:space="preserve">Chief, Spectrum Enforcement Division, </w:t>
      </w:r>
      <w:r w:rsidRPr="00344C0B">
        <w:t>Enforcement Bureau</w:t>
      </w:r>
      <w:r w:rsidRPr="0007571D">
        <w:rPr>
          <w:spacing w:val="-2"/>
        </w:rPr>
        <w:t>:</w:t>
      </w:r>
    </w:p>
    <w:p w:rsidR="00E273E3" w:rsidRPr="00344C0B" w:rsidRDefault="00E273E3" w:rsidP="002659F3">
      <w:pPr>
        <w:widowControl/>
        <w:rPr>
          <w:spacing w:val="-2"/>
        </w:rPr>
      </w:pPr>
    </w:p>
    <w:p w:rsidR="00E273E3" w:rsidRPr="00344C0B" w:rsidRDefault="00E273E3" w:rsidP="00226191">
      <w:pPr>
        <w:pStyle w:val="Heading1"/>
      </w:pPr>
      <w:bookmarkStart w:id="1" w:name="_Toc379288998"/>
      <w:bookmarkStart w:id="2" w:name="_Toc379365499"/>
      <w:r w:rsidRPr="00344C0B">
        <w:t>INTRODUCTION</w:t>
      </w:r>
      <w:bookmarkEnd w:id="1"/>
      <w:bookmarkEnd w:id="2"/>
    </w:p>
    <w:p w:rsidR="00E273E3" w:rsidRPr="00344C0B" w:rsidRDefault="00E273E3" w:rsidP="008B6E2B">
      <w:pPr>
        <w:pStyle w:val="ParaNum"/>
      </w:pPr>
      <w:r w:rsidRPr="00344C0B">
        <w:t xml:space="preserve">We </w:t>
      </w:r>
      <w:r w:rsidR="00535F1C">
        <w:t>impose a penalty of $6,000 against Assist Wireless, LLC (Assist Wireless) for failing to timely file its digital wireless handset hearing aid compatibility status report due by January 15, 2013.  These reports are essential to implement and enforce the hearing aid compatibility rules.  Assist Wireless does not deny the violations, but requests that we cancel or reduce the proposed forfeiture because of its good faith efforts and history of compliance</w:t>
      </w:r>
      <w:r w:rsidR="00886F95">
        <w:t xml:space="preserve">. </w:t>
      </w:r>
      <w:r w:rsidR="005A0409">
        <w:t>As discussed below, w</w:t>
      </w:r>
      <w:r w:rsidR="00535F1C">
        <w:t xml:space="preserve">e </w:t>
      </w:r>
      <w:r w:rsidR="00943DEF">
        <w:t xml:space="preserve">reject </w:t>
      </w:r>
      <w:r w:rsidR="005A0409">
        <w:t xml:space="preserve">this request.  </w:t>
      </w:r>
      <w:r w:rsidR="00535F1C">
        <w:t xml:space="preserve">After reviewing </w:t>
      </w:r>
      <w:r w:rsidR="00B90CA8">
        <w:t xml:space="preserve">the </w:t>
      </w:r>
      <w:r w:rsidR="00535F1C">
        <w:t xml:space="preserve">Assist Wireless response to the </w:t>
      </w:r>
      <w:r w:rsidR="00535F1C" w:rsidRPr="00391B7B">
        <w:rPr>
          <w:i/>
        </w:rPr>
        <w:t>NAL</w:t>
      </w:r>
      <w:r w:rsidR="00535F1C">
        <w:t>, we find no reason to cancel withdraw, or reduce the proposed penalty, and therefore a</w:t>
      </w:r>
      <w:r w:rsidR="00976F2A">
        <w:t>ffirm</w:t>
      </w:r>
      <w:r w:rsidR="00535F1C">
        <w:t xml:space="preserve"> the $6,000 forfeiture the Bureau previously </w:t>
      </w:r>
      <w:r w:rsidR="006101E3">
        <w:t>pro</w:t>
      </w:r>
      <w:r w:rsidR="00535F1C">
        <w:t>posed.</w:t>
      </w:r>
      <w:r w:rsidR="00A204BA" w:rsidRPr="00344C0B">
        <w:t xml:space="preserve"> </w:t>
      </w:r>
      <w:r w:rsidRPr="00344C0B">
        <w:t xml:space="preserve">     </w:t>
      </w:r>
    </w:p>
    <w:p w:rsidR="00E273E3" w:rsidRPr="00344C0B" w:rsidRDefault="00E273E3" w:rsidP="00226191">
      <w:pPr>
        <w:pStyle w:val="Heading1"/>
      </w:pPr>
      <w:bookmarkStart w:id="3" w:name="_Toc379288999"/>
      <w:bookmarkStart w:id="4" w:name="_Toc379365500"/>
      <w:r w:rsidRPr="00344C0B">
        <w:t>BACKGROUND</w:t>
      </w:r>
      <w:bookmarkEnd w:id="3"/>
      <w:bookmarkEnd w:id="4"/>
    </w:p>
    <w:p w:rsidR="00535F1C" w:rsidRPr="00620592" w:rsidRDefault="00535F1C" w:rsidP="008B6E2B">
      <w:pPr>
        <w:pStyle w:val="ParaNum"/>
        <w:widowControl/>
        <w:spacing w:after="220"/>
      </w:pPr>
      <w:r w:rsidRPr="004F7CFB">
        <w:rPr>
          <w:szCs w:val="22"/>
        </w:rPr>
        <w:t>Assist Wireless failed to timely file its hearing aid compatibility status report for the period January 1, 2012, through December 31, 2012 (2012 Status Report), which was due to be filed on January 15, 2013.</w:t>
      </w:r>
      <w:r>
        <w:rPr>
          <w:rStyle w:val="FootnoteReference"/>
          <w:szCs w:val="22"/>
        </w:rPr>
        <w:footnoteReference w:id="2"/>
      </w:r>
      <w:r w:rsidRPr="004F7CFB">
        <w:rPr>
          <w:szCs w:val="22"/>
        </w:rPr>
        <w:t xml:space="preserve">  </w:t>
      </w:r>
      <w:r w:rsidR="003B4052">
        <w:rPr>
          <w:szCs w:val="22"/>
        </w:rPr>
        <w:t xml:space="preserve">As explained more fully in the </w:t>
      </w:r>
      <w:r w:rsidR="003B4052" w:rsidRPr="00943DEF">
        <w:rPr>
          <w:i/>
          <w:szCs w:val="22"/>
        </w:rPr>
        <w:t>NAL</w:t>
      </w:r>
      <w:r w:rsidR="003B4052">
        <w:rPr>
          <w:szCs w:val="22"/>
        </w:rPr>
        <w:t xml:space="preserve">, the Commission’s Wireless Telecommunications Bureau (Wireless Bureau) created </w:t>
      </w:r>
      <w:r w:rsidR="00C70E32">
        <w:rPr>
          <w:szCs w:val="22"/>
        </w:rPr>
        <w:t>two</w:t>
      </w:r>
      <w:r w:rsidR="003B4052">
        <w:rPr>
          <w:szCs w:val="22"/>
        </w:rPr>
        <w:t xml:space="preserve"> </w:t>
      </w:r>
      <w:r w:rsidR="005A0409">
        <w:rPr>
          <w:szCs w:val="22"/>
        </w:rPr>
        <w:t xml:space="preserve">additional </w:t>
      </w:r>
      <w:r w:rsidR="003B4052">
        <w:rPr>
          <w:szCs w:val="22"/>
        </w:rPr>
        <w:t>filing window</w:t>
      </w:r>
      <w:r w:rsidR="00C70E32">
        <w:rPr>
          <w:szCs w:val="22"/>
        </w:rPr>
        <w:t>s</w:t>
      </w:r>
      <w:r w:rsidR="003B4052">
        <w:rPr>
          <w:szCs w:val="22"/>
        </w:rPr>
        <w:t xml:space="preserve"> for Assist Wireless </w:t>
      </w:r>
      <w:r w:rsidR="005A0409">
        <w:rPr>
          <w:szCs w:val="22"/>
        </w:rPr>
        <w:t xml:space="preserve">after </w:t>
      </w:r>
      <w:r w:rsidR="003B4052">
        <w:rPr>
          <w:szCs w:val="22"/>
        </w:rPr>
        <w:t>Assist</w:t>
      </w:r>
      <w:r w:rsidR="005A0409">
        <w:rPr>
          <w:szCs w:val="22"/>
        </w:rPr>
        <w:t xml:space="preserve"> Wireless failed </w:t>
      </w:r>
      <w:r w:rsidRPr="004F7CFB">
        <w:rPr>
          <w:szCs w:val="22"/>
        </w:rPr>
        <w:t xml:space="preserve">to file its 2012 Status Report by the January 15, 2013 filing deadline.  Assist Wireless </w:t>
      </w:r>
      <w:r w:rsidR="002F369A">
        <w:rPr>
          <w:szCs w:val="22"/>
        </w:rPr>
        <w:t xml:space="preserve">finally </w:t>
      </w:r>
      <w:r w:rsidRPr="004F7CFB">
        <w:rPr>
          <w:szCs w:val="22"/>
        </w:rPr>
        <w:t>filed its 2012 Status Report on March 20, 2013</w:t>
      </w:r>
      <w:r>
        <w:rPr>
          <w:rStyle w:val="FootnoteReference"/>
          <w:szCs w:val="22"/>
        </w:rPr>
        <w:footnoteReference w:id="3"/>
      </w:r>
      <w:r w:rsidRPr="004F7CFB">
        <w:rPr>
          <w:szCs w:val="22"/>
        </w:rPr>
        <w:t xml:space="preserve">  </w:t>
      </w:r>
      <w:r w:rsidR="003B4052">
        <w:rPr>
          <w:szCs w:val="22"/>
        </w:rPr>
        <w:t>and</w:t>
      </w:r>
      <w:r w:rsidR="00E06C6C">
        <w:rPr>
          <w:szCs w:val="22"/>
        </w:rPr>
        <w:t xml:space="preserve"> t</w:t>
      </w:r>
      <w:r w:rsidR="003B4052">
        <w:rPr>
          <w:szCs w:val="22"/>
        </w:rPr>
        <w:t>he</w:t>
      </w:r>
      <w:r w:rsidRPr="004F7CFB">
        <w:rPr>
          <w:szCs w:val="22"/>
        </w:rPr>
        <w:t xml:space="preserve"> Wireless Bureau subsequently referred Assist Wireless’s apparent violation of the hearing aid compatibility reporting requirement to the Enforcement Bureau (Bureau).</w:t>
      </w:r>
    </w:p>
    <w:p w:rsidR="00535F1C" w:rsidRPr="004F7CFB" w:rsidRDefault="00C70E32" w:rsidP="00535F1C">
      <w:pPr>
        <w:pStyle w:val="ParaNum"/>
        <w:widowControl/>
        <w:spacing w:after="220"/>
      </w:pPr>
      <w:r>
        <w:t>T</w:t>
      </w:r>
      <w:r w:rsidR="00535F1C">
        <w:t>he Bureau’s Spectrum Enforcement Division (Division) issued a letter of inquiry (LOI)</w:t>
      </w:r>
      <w:r w:rsidR="00D15AB8">
        <w:rPr>
          <w:rStyle w:val="FootnoteReference"/>
        </w:rPr>
        <w:footnoteReference w:id="4"/>
      </w:r>
      <w:r w:rsidRPr="00C70E32">
        <w:rPr>
          <w:rStyle w:val="FootnoteReference"/>
        </w:rPr>
        <w:t xml:space="preserve"> </w:t>
      </w:r>
      <w:r>
        <w:t>and su</w:t>
      </w:r>
      <w:r w:rsidR="00943DEF">
        <w:t>pplemental inquiry</w:t>
      </w:r>
      <w:r>
        <w:rPr>
          <w:rStyle w:val="FootnoteReference"/>
        </w:rPr>
        <w:footnoteReference w:id="5"/>
      </w:r>
      <w:r>
        <w:t xml:space="preserve"> </w:t>
      </w:r>
      <w:r w:rsidR="00535F1C">
        <w:t xml:space="preserve"> to Assist Wireless, directing the company to submit a sworn written response </w:t>
      </w:r>
      <w:r w:rsidR="00535F1C">
        <w:lastRenderedPageBreak/>
        <w:t xml:space="preserve">to a series of questions related to its compliance with the hearing aid compatibility reporting requirement.  In response to </w:t>
      </w:r>
      <w:r w:rsidR="00D15AB8">
        <w:t>the</w:t>
      </w:r>
      <w:r w:rsidR="00535F1C">
        <w:t xml:space="preserve"> </w:t>
      </w:r>
      <w:r>
        <w:t xml:space="preserve">supplemental </w:t>
      </w:r>
      <w:r w:rsidR="00943DEF">
        <w:t>inquiry,</w:t>
      </w:r>
      <w:r w:rsidR="00535F1C">
        <w:t xml:space="preserve"> Assist Wireless asserted that its agent, Visi Consulting Services, LLC, had requested from the Wireless Bureau an extension of time to file its 2012 Status Report, and suggested that by opening a subsequent filing window, the Wireless Bureau had granted that request.</w:t>
      </w:r>
      <w:r w:rsidR="00535F1C">
        <w:rPr>
          <w:rStyle w:val="FootnoteReference"/>
        </w:rPr>
        <w:footnoteReference w:id="6"/>
      </w:r>
      <w:r w:rsidR="00390FA0">
        <w:t xml:space="preserve"> </w:t>
      </w:r>
    </w:p>
    <w:p w:rsidR="00A75553" w:rsidRPr="00A75553" w:rsidRDefault="00535F1C" w:rsidP="00535F1C">
      <w:pPr>
        <w:pStyle w:val="ParaNum"/>
        <w:widowControl/>
        <w:spacing w:after="220"/>
      </w:pPr>
      <w:r w:rsidRPr="00D05D9A">
        <w:rPr>
          <w:snapToGrid/>
        </w:rPr>
        <w:t>On February 18, 2014, the Bureau</w:t>
      </w:r>
      <w:r>
        <w:rPr>
          <w:snapToGrid/>
        </w:rPr>
        <w:t xml:space="preserve"> issued the </w:t>
      </w:r>
      <w:r w:rsidRPr="00E10286">
        <w:rPr>
          <w:i/>
          <w:snapToGrid/>
        </w:rPr>
        <w:t>NAL</w:t>
      </w:r>
      <w:r>
        <w:rPr>
          <w:snapToGrid/>
        </w:rPr>
        <w:t xml:space="preserve"> proposing a </w:t>
      </w:r>
      <w:r w:rsidRPr="00D05D9A">
        <w:rPr>
          <w:snapToGrid/>
        </w:rPr>
        <w:t>$6,000 forfeiture against Assist Wireless for its apparent willful</w:t>
      </w:r>
      <w:r w:rsidR="00127CE9" w:rsidRPr="00AB2292">
        <w:rPr>
          <w:rStyle w:val="FootnoteReference"/>
          <w:szCs w:val="22"/>
        </w:rPr>
        <w:footnoteReference w:id="7"/>
      </w:r>
      <w:r w:rsidRPr="00D05D9A">
        <w:rPr>
          <w:snapToGrid/>
        </w:rPr>
        <w:t xml:space="preserve"> and repeated</w:t>
      </w:r>
      <w:r w:rsidR="00127CE9" w:rsidRPr="00AB2292">
        <w:rPr>
          <w:rStyle w:val="FootnoteReference"/>
          <w:szCs w:val="22"/>
        </w:rPr>
        <w:footnoteReference w:id="8"/>
      </w:r>
      <w:r w:rsidRPr="00D05D9A">
        <w:rPr>
          <w:snapToGrid/>
        </w:rPr>
        <w:t xml:space="preserve"> violation of Section 20.19(i)(1) of the </w:t>
      </w:r>
      <w:r w:rsidR="006101E3">
        <w:rPr>
          <w:snapToGrid/>
        </w:rPr>
        <w:t xml:space="preserve">Commission’s </w:t>
      </w:r>
      <w:r w:rsidR="00713771">
        <w:rPr>
          <w:snapToGrid/>
        </w:rPr>
        <w:t>r</w:t>
      </w:r>
      <w:r w:rsidRPr="00D05D9A">
        <w:rPr>
          <w:snapToGrid/>
        </w:rPr>
        <w:t>ules</w:t>
      </w:r>
      <w:r w:rsidR="00713771">
        <w:rPr>
          <w:snapToGrid/>
        </w:rPr>
        <w:t xml:space="preserve"> (Rules)</w:t>
      </w:r>
      <w:r w:rsidRPr="00D05D9A">
        <w:rPr>
          <w:snapToGrid/>
          <w:sz w:val="20"/>
          <w:vertAlign w:val="superscript"/>
        </w:rPr>
        <w:footnoteReference w:id="9"/>
      </w:r>
      <w:r w:rsidRPr="00D05D9A">
        <w:rPr>
          <w:snapToGrid/>
        </w:rPr>
        <w:t xml:space="preserve"> by failing to timely file its hearing aid compatibility status report for the period January 1, 2012, through December 31, 2012 (2012 Status Report), which was due to be filed on January 15, 2013.</w:t>
      </w:r>
    </w:p>
    <w:p w:rsidR="00A75553" w:rsidRDefault="00A75553" w:rsidP="00A75553">
      <w:pPr>
        <w:pStyle w:val="ParaNum"/>
        <w:widowControl/>
        <w:spacing w:after="220"/>
        <w:rPr>
          <w:snapToGrid/>
        </w:rPr>
      </w:pPr>
      <w:r>
        <w:rPr>
          <w:snapToGrid/>
        </w:rPr>
        <w:t xml:space="preserve">On March 20, 2014, Assist Wireless filed a response </w:t>
      </w:r>
      <w:r w:rsidRPr="00D05D9A">
        <w:rPr>
          <w:snapToGrid/>
        </w:rPr>
        <w:t xml:space="preserve">to the </w:t>
      </w:r>
      <w:r w:rsidRPr="00D05D9A">
        <w:rPr>
          <w:i/>
          <w:snapToGrid/>
        </w:rPr>
        <w:t>NAL</w:t>
      </w:r>
      <w:r>
        <w:rPr>
          <w:snapToGrid/>
        </w:rPr>
        <w:t>.</w:t>
      </w:r>
      <w:r w:rsidRPr="00D05D9A">
        <w:rPr>
          <w:snapToGrid/>
          <w:sz w:val="20"/>
          <w:vertAlign w:val="superscript"/>
        </w:rPr>
        <w:footnoteReference w:id="10"/>
      </w:r>
      <w:r>
        <w:rPr>
          <w:snapToGrid/>
        </w:rPr>
        <w:t xml:space="preserve">  Assist Wireless makes a number of arguments as to why the </w:t>
      </w:r>
      <w:r w:rsidRPr="00E10286">
        <w:rPr>
          <w:i/>
          <w:snapToGrid/>
        </w:rPr>
        <w:t>NAL</w:t>
      </w:r>
      <w:r>
        <w:rPr>
          <w:snapToGrid/>
        </w:rPr>
        <w:t xml:space="preserve"> should be </w:t>
      </w:r>
      <w:r w:rsidRPr="00D05D9A">
        <w:rPr>
          <w:snapToGrid/>
        </w:rPr>
        <w:t>reduce</w:t>
      </w:r>
      <w:r>
        <w:rPr>
          <w:snapToGrid/>
        </w:rPr>
        <w:t>d</w:t>
      </w:r>
      <w:r w:rsidRPr="00D05D9A">
        <w:rPr>
          <w:snapToGrid/>
        </w:rPr>
        <w:t xml:space="preserve"> or </w:t>
      </w:r>
      <w:r>
        <w:rPr>
          <w:snapToGrid/>
        </w:rPr>
        <w:t xml:space="preserve">canceled, arguing </w:t>
      </w:r>
      <w:r w:rsidRPr="00D05D9A">
        <w:rPr>
          <w:snapToGrid/>
        </w:rPr>
        <w:t>that its violation was not willful or repeated, but was self-disclosed and promptly corrected.</w:t>
      </w:r>
      <w:r w:rsidRPr="00D05D9A">
        <w:rPr>
          <w:snapToGrid/>
          <w:sz w:val="20"/>
          <w:vertAlign w:val="superscript"/>
        </w:rPr>
        <w:footnoteReference w:id="11"/>
      </w:r>
      <w:r w:rsidRPr="00D05D9A">
        <w:rPr>
          <w:snapToGrid/>
        </w:rPr>
        <w:t xml:space="preserve">  Assist Wireless also asserts that it has a history of compliance and has implemented measures to ensure that future hearing aid compatibility status reports are timely filed.</w:t>
      </w:r>
      <w:r w:rsidRPr="00D05D9A">
        <w:rPr>
          <w:snapToGrid/>
          <w:sz w:val="20"/>
          <w:vertAlign w:val="superscript"/>
        </w:rPr>
        <w:footnoteReference w:id="12"/>
      </w:r>
    </w:p>
    <w:p w:rsidR="00E273E3" w:rsidRPr="00344C0B" w:rsidRDefault="00E273E3" w:rsidP="00226191">
      <w:pPr>
        <w:pStyle w:val="Heading1"/>
      </w:pPr>
      <w:bookmarkStart w:id="5" w:name="_Toc379289000"/>
      <w:bookmarkStart w:id="6" w:name="_Toc379365501"/>
      <w:r w:rsidRPr="00344C0B">
        <w:t>DISCUSSION</w:t>
      </w:r>
      <w:bookmarkEnd w:id="5"/>
      <w:bookmarkEnd w:id="6"/>
    </w:p>
    <w:p w:rsidR="00E6009E" w:rsidRPr="00344C0B" w:rsidRDefault="00E6009E" w:rsidP="00162CE1">
      <w:pPr>
        <w:pStyle w:val="ParaNum"/>
        <w:widowControl/>
        <w:spacing w:after="220"/>
      </w:pPr>
      <w:r w:rsidRPr="00344C0B">
        <w:t xml:space="preserve">The </w:t>
      </w:r>
      <w:r w:rsidR="008D1BE7" w:rsidRPr="00344C0B">
        <w:t>Bureau</w:t>
      </w:r>
      <w:r w:rsidRPr="00344C0B">
        <w:t xml:space="preserve"> </w:t>
      </w:r>
      <w:r w:rsidR="00E273E3" w:rsidRPr="00344C0B">
        <w:t xml:space="preserve">proposed </w:t>
      </w:r>
      <w:r w:rsidRPr="00344C0B">
        <w:t xml:space="preserve">a </w:t>
      </w:r>
      <w:r w:rsidR="00E273E3" w:rsidRPr="00344C0B">
        <w:t>forfeiture in this case in accordance with Section 503(b) of the Communications Act of 1934, as amended (Act),</w:t>
      </w:r>
      <w:r w:rsidR="00E273E3" w:rsidRPr="0007571D">
        <w:rPr>
          <w:rStyle w:val="FootnoteReference"/>
        </w:rPr>
        <w:footnoteReference w:id="13"/>
      </w:r>
      <w:r w:rsidR="00E273E3" w:rsidRPr="0007571D">
        <w:t xml:space="preserve"> Section 1.80 of the </w:t>
      </w:r>
      <w:r w:rsidR="00C339C4">
        <w:t>Commission’s r</w:t>
      </w:r>
      <w:r w:rsidR="00E273E3" w:rsidRPr="0007571D">
        <w:t>ules,</w:t>
      </w:r>
      <w:r w:rsidR="00E273E3" w:rsidRPr="0007571D">
        <w:rPr>
          <w:vertAlign w:val="superscript"/>
        </w:rPr>
        <w:footnoteReference w:id="14"/>
      </w:r>
      <w:r w:rsidR="00E273E3" w:rsidRPr="0007571D">
        <w:t xml:space="preserve"> and the Commissi</w:t>
      </w:r>
      <w:r w:rsidR="00E273E3" w:rsidRPr="00344C0B">
        <w:t xml:space="preserve">on’s </w:t>
      </w:r>
      <w:r w:rsidR="00E273E3" w:rsidRPr="00344C0B">
        <w:rPr>
          <w:i/>
        </w:rPr>
        <w:t xml:space="preserve">Forfeiture Policy </w:t>
      </w:r>
      <w:r w:rsidR="00E273E3" w:rsidRPr="00344C0B">
        <w:rPr>
          <w:rFonts w:eastAsia="MS Mincho"/>
          <w:i/>
          <w:szCs w:val="22"/>
        </w:rPr>
        <w:t>Statement</w:t>
      </w:r>
      <w:r w:rsidR="00E273E3" w:rsidRPr="00344C0B">
        <w:t>.</w:t>
      </w:r>
      <w:r w:rsidR="00E273E3" w:rsidRPr="0007571D">
        <w:rPr>
          <w:rStyle w:val="FootnoteReference"/>
          <w:szCs w:val="22"/>
        </w:rPr>
        <w:footnoteReference w:id="15"/>
      </w:r>
      <w:r w:rsidR="00E273E3" w:rsidRPr="0007571D">
        <w:t xml:space="preserve">  </w:t>
      </w:r>
      <w:r w:rsidRPr="00344C0B">
        <w:t>When we assess</w:t>
      </w:r>
      <w:r w:rsidR="00E273E3" w:rsidRPr="00344C0B">
        <w:t xml:space="preserve"> forfeitures, Section 503(b)(2)(E) requires that we take into account the “nature, circumstances, extent, and gravity of the violation and, with respect to the violator, the degree of culpability, any history of prior offenses, ability to pay, and such other matters as justice may require.”</w:t>
      </w:r>
      <w:r w:rsidR="00E273E3" w:rsidRPr="0007571D">
        <w:rPr>
          <w:vertAlign w:val="superscript"/>
        </w:rPr>
        <w:footnoteReference w:id="16"/>
      </w:r>
      <w:r w:rsidR="00E273E3" w:rsidRPr="0007571D">
        <w:t xml:space="preserve">  </w:t>
      </w:r>
      <w:r w:rsidR="006B685D" w:rsidRPr="00344C0B">
        <w:rPr>
          <w:szCs w:val="22"/>
        </w:rPr>
        <w:t>As discussed below, we</w:t>
      </w:r>
      <w:r w:rsidRPr="00344C0B">
        <w:rPr>
          <w:szCs w:val="22"/>
        </w:rPr>
        <w:t xml:space="preserve"> have </w:t>
      </w:r>
      <w:r w:rsidR="006B685D" w:rsidRPr="00344C0B">
        <w:rPr>
          <w:szCs w:val="22"/>
        </w:rPr>
        <w:t xml:space="preserve">fully </w:t>
      </w:r>
      <w:r w:rsidRPr="00344C0B">
        <w:rPr>
          <w:szCs w:val="22"/>
        </w:rPr>
        <w:t xml:space="preserve">considered </w:t>
      </w:r>
      <w:r w:rsidR="002F369A">
        <w:rPr>
          <w:szCs w:val="22"/>
        </w:rPr>
        <w:t xml:space="preserve">the </w:t>
      </w:r>
      <w:r w:rsidR="00535F1C">
        <w:rPr>
          <w:szCs w:val="22"/>
        </w:rPr>
        <w:t xml:space="preserve">Assist Wireless </w:t>
      </w:r>
      <w:r w:rsidRPr="00344C0B">
        <w:rPr>
          <w:szCs w:val="22"/>
        </w:rPr>
        <w:t xml:space="preserve">response to the </w:t>
      </w:r>
      <w:r w:rsidRPr="00344C0B">
        <w:rPr>
          <w:i/>
          <w:szCs w:val="22"/>
        </w:rPr>
        <w:t>NAL</w:t>
      </w:r>
      <w:r w:rsidRPr="00344C0B">
        <w:rPr>
          <w:szCs w:val="22"/>
        </w:rPr>
        <w:t xml:space="preserve">, </w:t>
      </w:r>
      <w:r w:rsidR="00162CE1">
        <w:rPr>
          <w:szCs w:val="22"/>
        </w:rPr>
        <w:t xml:space="preserve">but we find none of the arguments persuasive.  </w:t>
      </w:r>
      <w:r w:rsidRPr="00344C0B">
        <w:rPr>
          <w:szCs w:val="22"/>
        </w:rPr>
        <w:t xml:space="preserve">We therefore affirm the </w:t>
      </w:r>
      <w:r w:rsidR="00162CE1">
        <w:rPr>
          <w:szCs w:val="22"/>
        </w:rPr>
        <w:t>$6,000</w:t>
      </w:r>
      <w:r w:rsidRPr="0007571D">
        <w:rPr>
          <w:szCs w:val="22"/>
        </w:rPr>
        <w:t xml:space="preserve"> forfeiture proposed in the </w:t>
      </w:r>
      <w:r w:rsidRPr="0007571D">
        <w:rPr>
          <w:i/>
          <w:szCs w:val="22"/>
        </w:rPr>
        <w:t>NAL.</w:t>
      </w:r>
    </w:p>
    <w:p w:rsidR="00162CE1" w:rsidRDefault="00162CE1" w:rsidP="00162CE1">
      <w:pPr>
        <w:pStyle w:val="Heading2"/>
        <w:rPr>
          <w:snapToGrid/>
        </w:rPr>
      </w:pPr>
      <w:r>
        <w:rPr>
          <w:snapToGrid/>
        </w:rPr>
        <w:t xml:space="preserve">The </w:t>
      </w:r>
      <w:r w:rsidRPr="00AB4719">
        <w:rPr>
          <w:i/>
          <w:snapToGrid/>
        </w:rPr>
        <w:t>NAL</w:t>
      </w:r>
      <w:r>
        <w:rPr>
          <w:snapToGrid/>
        </w:rPr>
        <w:t xml:space="preserve"> Correctly Found that </w:t>
      </w:r>
      <w:r w:rsidR="002F369A">
        <w:rPr>
          <w:snapToGrid/>
        </w:rPr>
        <w:t xml:space="preserve">the </w:t>
      </w:r>
      <w:r>
        <w:rPr>
          <w:snapToGrid/>
        </w:rPr>
        <w:t>Assist Wireless Violation was Willful and Repeated</w:t>
      </w:r>
    </w:p>
    <w:p w:rsidR="00162CE1" w:rsidRDefault="00162CE1" w:rsidP="00162CE1">
      <w:pPr>
        <w:pStyle w:val="ParaNum"/>
        <w:widowControl/>
        <w:spacing w:after="220"/>
      </w:pPr>
      <w:r>
        <w:t xml:space="preserve">In its NAL Response, </w:t>
      </w:r>
      <w:r w:rsidR="00E06C6C">
        <w:t xml:space="preserve">Assist Wireless does not dispute that it filed its 2012 Status Report late.  </w:t>
      </w:r>
      <w:r>
        <w:t>Assist Wireless argues that the nature and circumstances of this case demonstrate that it did not act willfully or repeatedly in failing to file its 2012 Status Report by the January 15, 2013 deadline.</w:t>
      </w:r>
      <w:r>
        <w:rPr>
          <w:rStyle w:val="FootnoteReference"/>
        </w:rPr>
        <w:footnoteReference w:id="17"/>
      </w:r>
      <w:r>
        <w:t xml:space="preserve">  </w:t>
      </w:r>
      <w:r w:rsidRPr="001F7EE0">
        <w:rPr>
          <w:szCs w:val="22"/>
        </w:rPr>
        <w:t xml:space="preserve">We disagree.  </w:t>
      </w:r>
      <w:r w:rsidRPr="000E582D">
        <w:rPr>
          <w:szCs w:val="22"/>
        </w:rPr>
        <w:t>In the context of a forfeiture action, the term “willful” means that the violator knew it was taking (or not taking) the action in question, irrespective of any intent to violate the law.</w:t>
      </w:r>
      <w:r w:rsidRPr="001F7EE0">
        <w:rPr>
          <w:rStyle w:val="FootnoteReference"/>
          <w:szCs w:val="22"/>
        </w:rPr>
        <w:footnoteReference w:id="18"/>
      </w:r>
      <w:r w:rsidRPr="001F7EE0">
        <w:rPr>
          <w:szCs w:val="22"/>
        </w:rPr>
        <w:t xml:space="preserve">  </w:t>
      </w:r>
      <w:r w:rsidRPr="000E582D">
        <w:rPr>
          <w:szCs w:val="22"/>
        </w:rPr>
        <w:t>Thus, a willfulnes</w:t>
      </w:r>
      <w:r>
        <w:rPr>
          <w:szCs w:val="22"/>
        </w:rPr>
        <w:t>s</w:t>
      </w:r>
      <w:r w:rsidRPr="000E582D">
        <w:rPr>
          <w:szCs w:val="22"/>
        </w:rPr>
        <w:t xml:space="preserve"> determination does not require a finding that the rule violation was intentional</w:t>
      </w:r>
      <w:r>
        <w:rPr>
          <w:szCs w:val="22"/>
        </w:rPr>
        <w:t>.</w:t>
      </w:r>
      <w:r>
        <w:rPr>
          <w:rStyle w:val="FootnoteReference"/>
          <w:szCs w:val="22"/>
        </w:rPr>
        <w:footnoteReference w:id="19"/>
      </w:r>
      <w:r>
        <w:rPr>
          <w:szCs w:val="22"/>
        </w:rPr>
        <w:t xml:space="preserve">  </w:t>
      </w:r>
      <w:r w:rsidR="00D15AB8">
        <w:rPr>
          <w:szCs w:val="22"/>
        </w:rPr>
        <w:t xml:space="preserve">We also reject </w:t>
      </w:r>
      <w:r>
        <w:rPr>
          <w:szCs w:val="22"/>
        </w:rPr>
        <w:t>Assist Wireless</w:t>
      </w:r>
      <w:r w:rsidR="00D15AB8">
        <w:rPr>
          <w:szCs w:val="22"/>
        </w:rPr>
        <w:t>’s contention</w:t>
      </w:r>
      <w:r>
        <w:rPr>
          <w:szCs w:val="22"/>
        </w:rPr>
        <w:t xml:space="preserve"> that its violation of Section 20.19(i)(1) </w:t>
      </w:r>
      <w:r>
        <w:t>was not repeated as that term is contemplated by Section 503(b) of the Act.</w:t>
      </w:r>
      <w:r>
        <w:rPr>
          <w:rStyle w:val="FootnoteReference"/>
        </w:rPr>
        <w:footnoteReference w:id="20"/>
      </w:r>
      <w:r>
        <w:t xml:space="preserve">  A</w:t>
      </w:r>
      <w:r w:rsidRPr="00B84F93">
        <w:rPr>
          <w:szCs w:val="22"/>
        </w:rPr>
        <w:t>s we have previously stated, the failure to file a hearing aid compatibility status report constitutes a continuing violation that persists until the violation is cured.</w:t>
      </w:r>
      <w:r>
        <w:rPr>
          <w:rStyle w:val="FootnoteReference"/>
          <w:szCs w:val="22"/>
        </w:rPr>
        <w:footnoteReference w:id="21"/>
      </w:r>
      <w:r>
        <w:rPr>
          <w:szCs w:val="22"/>
        </w:rPr>
        <w:t xml:space="preserve">  </w:t>
      </w:r>
      <w:r>
        <w:t xml:space="preserve">In this case, it is undisputed that </w:t>
      </w:r>
      <w:r w:rsidR="002F369A">
        <w:t xml:space="preserve">the </w:t>
      </w:r>
      <w:r w:rsidR="00D15AB8">
        <w:t xml:space="preserve">Assist Wireless report </w:t>
      </w:r>
      <w:r>
        <w:t>was filed after the deadline.  Accordingly, we find that the violation was willful and repeated.</w:t>
      </w:r>
    </w:p>
    <w:p w:rsidR="00162CE1" w:rsidRPr="00162CE1" w:rsidRDefault="00162CE1" w:rsidP="00162CE1">
      <w:pPr>
        <w:pStyle w:val="Heading2"/>
      </w:pPr>
      <w:r>
        <w:rPr>
          <w:snapToGrid/>
        </w:rPr>
        <w:t>Assist Wireless Has Provided No Basis to Reduce the Forfeiture</w:t>
      </w:r>
    </w:p>
    <w:p w:rsidR="00162CE1" w:rsidRPr="00207732" w:rsidRDefault="00162CE1" w:rsidP="008B6E2B">
      <w:pPr>
        <w:pStyle w:val="ParaNum"/>
        <w:widowControl/>
        <w:spacing w:after="220"/>
        <w:rPr>
          <w:snapToGrid/>
          <w:szCs w:val="22"/>
        </w:rPr>
      </w:pPr>
      <w:r>
        <w:t xml:space="preserve">We decline to reduce the forfeiture based on </w:t>
      </w:r>
      <w:r w:rsidR="00B90CA8">
        <w:t xml:space="preserve">the </w:t>
      </w:r>
      <w:r>
        <w:t>Assist Wireless assertion that the violation in this instance was self-disclosed and corrected prior to the Commission’s investigation.</w:t>
      </w:r>
      <w:r>
        <w:rPr>
          <w:rStyle w:val="FootnoteReference"/>
        </w:rPr>
        <w:footnoteReference w:id="22"/>
      </w:r>
      <w:r>
        <w:t xml:space="preserve">  </w:t>
      </w:r>
      <w:r>
        <w:rPr>
          <w:szCs w:val="22"/>
        </w:rPr>
        <w:t xml:space="preserve">Assist Wireless had to </w:t>
      </w:r>
      <w:r w:rsidR="00662E66">
        <w:rPr>
          <w:szCs w:val="22"/>
        </w:rPr>
        <w:t>disclose</w:t>
      </w:r>
      <w:r w:rsidR="00D15AB8">
        <w:rPr>
          <w:szCs w:val="22"/>
        </w:rPr>
        <w:t xml:space="preserve"> in order to</w:t>
      </w:r>
      <w:r w:rsidR="00662E66">
        <w:rPr>
          <w:szCs w:val="22"/>
        </w:rPr>
        <w:t xml:space="preserve"> </w:t>
      </w:r>
      <w:r>
        <w:rPr>
          <w:szCs w:val="22"/>
        </w:rPr>
        <w:t>request the Wireless Bureau to open a late-filing window.</w:t>
      </w:r>
      <w:r w:rsidR="003734F2">
        <w:rPr>
          <w:szCs w:val="22"/>
        </w:rPr>
        <w:t xml:space="preserve">  </w:t>
      </w:r>
      <w:r>
        <w:rPr>
          <w:szCs w:val="22"/>
        </w:rPr>
        <w:t xml:space="preserve">Moreover, </w:t>
      </w:r>
      <w:r w:rsidR="002F369A">
        <w:rPr>
          <w:szCs w:val="22"/>
        </w:rPr>
        <w:t xml:space="preserve">the </w:t>
      </w:r>
      <w:r>
        <w:rPr>
          <w:szCs w:val="22"/>
        </w:rPr>
        <w:t xml:space="preserve">Assist Wireless claim that it was granted an extension of the hearing aid compatibility status report filing deadline was fully considered and properly rejected in the </w:t>
      </w:r>
      <w:r w:rsidRPr="00371360">
        <w:rPr>
          <w:i/>
          <w:szCs w:val="22"/>
        </w:rPr>
        <w:t>NAL</w:t>
      </w:r>
      <w:r>
        <w:rPr>
          <w:szCs w:val="22"/>
        </w:rPr>
        <w:t>.</w:t>
      </w:r>
      <w:r>
        <w:rPr>
          <w:rStyle w:val="FootnoteReference"/>
          <w:szCs w:val="22"/>
        </w:rPr>
        <w:footnoteReference w:id="23"/>
      </w:r>
      <w:r>
        <w:rPr>
          <w:szCs w:val="22"/>
        </w:rPr>
        <w:t xml:space="preserve">  </w:t>
      </w:r>
    </w:p>
    <w:p w:rsidR="00B66552" w:rsidRPr="00B66552" w:rsidRDefault="00E06C6C" w:rsidP="008B6E2B">
      <w:pPr>
        <w:pStyle w:val="ParaNum"/>
        <w:widowControl/>
        <w:spacing w:after="220"/>
        <w:rPr>
          <w:snapToGrid/>
          <w:szCs w:val="22"/>
        </w:rPr>
      </w:pPr>
      <w:r>
        <w:t xml:space="preserve">We decline to reduce based on </w:t>
      </w:r>
      <w:r w:rsidR="00B90CA8">
        <w:t xml:space="preserve">the </w:t>
      </w:r>
      <w:r w:rsidR="00B66552">
        <w:t>Assist Wireless conten</w:t>
      </w:r>
      <w:r>
        <w:t>tion</w:t>
      </w:r>
      <w:r w:rsidR="00B66552">
        <w:t xml:space="preserve"> that </w:t>
      </w:r>
      <w:r w:rsidR="00B66552" w:rsidRPr="00191810">
        <w:rPr>
          <w:szCs w:val="22"/>
        </w:rPr>
        <w:t>it made a good faith attempt to file its 2012 Status Report during the February 2013 filing window</w:t>
      </w:r>
      <w:r w:rsidR="00662E66">
        <w:rPr>
          <w:szCs w:val="22"/>
        </w:rPr>
        <w:t xml:space="preserve"> and </w:t>
      </w:r>
      <w:r w:rsidR="00970FC1">
        <w:rPr>
          <w:szCs w:val="22"/>
        </w:rPr>
        <w:t xml:space="preserve">it </w:t>
      </w:r>
      <w:r w:rsidR="00662E66">
        <w:rPr>
          <w:szCs w:val="22"/>
        </w:rPr>
        <w:t>should not be penalized for the delay</w:t>
      </w:r>
      <w:r w:rsidR="00970FC1">
        <w:rPr>
          <w:szCs w:val="22"/>
        </w:rPr>
        <w:t>ed</w:t>
      </w:r>
      <w:r w:rsidR="00086B1C">
        <w:rPr>
          <w:szCs w:val="22"/>
        </w:rPr>
        <w:t xml:space="preserve"> filing in March </w:t>
      </w:r>
      <w:r w:rsidR="00970FC1">
        <w:rPr>
          <w:szCs w:val="22"/>
        </w:rPr>
        <w:t>that was out of its control</w:t>
      </w:r>
      <w:r w:rsidR="00970FC1">
        <w:rPr>
          <w:rStyle w:val="FootnoteReference"/>
          <w:szCs w:val="22"/>
        </w:rPr>
        <w:footnoteReference w:id="24"/>
      </w:r>
      <w:r w:rsidR="00970FC1" w:rsidRPr="00191810">
        <w:rPr>
          <w:szCs w:val="22"/>
        </w:rPr>
        <w:t xml:space="preserve"> </w:t>
      </w:r>
      <w:r w:rsidR="00970FC1">
        <w:rPr>
          <w:szCs w:val="22"/>
        </w:rPr>
        <w:t xml:space="preserve">due to </w:t>
      </w:r>
      <w:r w:rsidR="00086B1C">
        <w:rPr>
          <w:szCs w:val="22"/>
        </w:rPr>
        <w:t>the technical filing difficulties encountered</w:t>
      </w:r>
      <w:r w:rsidR="00970FC1">
        <w:rPr>
          <w:szCs w:val="22"/>
        </w:rPr>
        <w:t xml:space="preserve"> with the FCC’s website</w:t>
      </w:r>
      <w:r w:rsidR="00086B1C">
        <w:rPr>
          <w:szCs w:val="22"/>
        </w:rPr>
        <w:t xml:space="preserve"> in February</w:t>
      </w:r>
      <w:r w:rsidR="002F369A">
        <w:rPr>
          <w:szCs w:val="22"/>
        </w:rPr>
        <w:t>.</w:t>
      </w:r>
      <w:r w:rsidR="00B66552">
        <w:rPr>
          <w:rStyle w:val="FootnoteReference"/>
          <w:szCs w:val="22"/>
        </w:rPr>
        <w:footnoteReference w:id="25"/>
      </w:r>
      <w:r w:rsidR="00662E66">
        <w:rPr>
          <w:szCs w:val="22"/>
        </w:rPr>
        <w:t xml:space="preserve"> </w:t>
      </w:r>
      <w:r w:rsidR="00B66552" w:rsidRPr="00191810">
        <w:rPr>
          <w:szCs w:val="22"/>
        </w:rPr>
        <w:t xml:space="preserve"> According to Assist Wireless, absent this system issue, Assist Wireless’s 2012 Status Report would have been filed just over a month after the January 15, 2013 filing deadline.</w:t>
      </w:r>
      <w:r w:rsidR="00B66552">
        <w:rPr>
          <w:rStyle w:val="FootnoteReference"/>
          <w:szCs w:val="22"/>
        </w:rPr>
        <w:footnoteReference w:id="26"/>
      </w:r>
      <w:r w:rsidR="00B66552" w:rsidRPr="00191810">
        <w:rPr>
          <w:szCs w:val="22"/>
        </w:rPr>
        <w:t xml:space="preserve">  Contrary to Assist Wireless’s assertions, Assist Wireless was not penalized for the delay between the February 2013 filing window and the March 2013 filing window.  Here, the forfeiture amount is no more than the base amount for violation of the wireless hearing aid compatibility reporting requirements and does not include any upward adjustment of the base amount for the delay between the February 2013 filing window and the March 2013 filing window.  Assist Wireless also avers that it would be unjust for the Bureau to impose a forfeiture of the same amount here as it imposed in </w:t>
      </w:r>
      <w:r w:rsidR="00B66552" w:rsidRPr="00191810">
        <w:rPr>
          <w:i/>
          <w:szCs w:val="22"/>
        </w:rPr>
        <w:t>ASTCA</w:t>
      </w:r>
      <w:r w:rsidR="00B66552" w:rsidRPr="00191810">
        <w:rPr>
          <w:szCs w:val="22"/>
        </w:rPr>
        <w:t>.</w:t>
      </w:r>
      <w:r w:rsidR="00B66552">
        <w:rPr>
          <w:rStyle w:val="FootnoteReference"/>
          <w:szCs w:val="22"/>
        </w:rPr>
        <w:footnoteReference w:id="27"/>
      </w:r>
      <w:r w:rsidR="00B66552" w:rsidRPr="00191810">
        <w:rPr>
          <w:szCs w:val="22"/>
        </w:rPr>
        <w:t xml:space="preserve">  Although Assist Wireless contends that it should not have been assessed the same forfeiture amount as the Bureau assessed in </w:t>
      </w:r>
      <w:r w:rsidR="00B66552" w:rsidRPr="00191810">
        <w:rPr>
          <w:i/>
          <w:szCs w:val="22"/>
        </w:rPr>
        <w:t>ASTCA</w:t>
      </w:r>
      <w:r w:rsidR="00B66552" w:rsidRPr="00191810">
        <w:rPr>
          <w:szCs w:val="22"/>
        </w:rPr>
        <w:t>, we note that the Bureau has found the $6,000 base forfeiture amount to be appropriate for violations of the hearing aid compatibility reporting requirements.</w:t>
      </w:r>
      <w:r w:rsidR="00B66552">
        <w:rPr>
          <w:rStyle w:val="FootnoteReference"/>
          <w:szCs w:val="22"/>
        </w:rPr>
        <w:footnoteReference w:id="28"/>
      </w:r>
    </w:p>
    <w:p w:rsidR="00E81CB4" w:rsidRPr="00E81CB4" w:rsidRDefault="00162CE1" w:rsidP="008B6E2B">
      <w:pPr>
        <w:pStyle w:val="ParaNum"/>
        <w:widowControl/>
        <w:spacing w:after="220"/>
        <w:rPr>
          <w:snapToGrid/>
          <w:szCs w:val="22"/>
        </w:rPr>
      </w:pPr>
      <w:r>
        <w:rPr>
          <w:szCs w:val="22"/>
        </w:rPr>
        <w:t>We reject Assist Wireless’s contention that its history of compliance warrants reduction or cancellation of the proposed forfeiture amount.</w:t>
      </w:r>
      <w:r>
        <w:rPr>
          <w:rStyle w:val="FootnoteReference"/>
          <w:szCs w:val="22"/>
        </w:rPr>
        <w:footnoteReference w:id="29"/>
      </w:r>
      <w:r>
        <w:rPr>
          <w:szCs w:val="22"/>
        </w:rPr>
        <w:t xml:space="preserve">  Assist Wireless was issued a </w:t>
      </w:r>
      <w:r w:rsidRPr="00986FFD">
        <w:rPr>
          <w:i/>
          <w:szCs w:val="22"/>
        </w:rPr>
        <w:t>Notice of Apparent Liability for Forfeiture</w:t>
      </w:r>
      <w:r>
        <w:rPr>
          <w:szCs w:val="22"/>
        </w:rPr>
        <w:t xml:space="preserve"> for its apparent violations of Sections 54.407, 54.409, and 54.410 of the Rules </w:t>
      </w:r>
      <w:r w:rsidRPr="00736F54">
        <w:t xml:space="preserve">by requesting </w:t>
      </w:r>
      <w:r>
        <w:t>and</w:t>
      </w:r>
      <w:r w:rsidR="002F369A">
        <w:t xml:space="preserve"> </w:t>
      </w:r>
      <w:r>
        <w:t xml:space="preserve">receiving </w:t>
      </w:r>
      <w:r w:rsidRPr="006A7EA1">
        <w:t xml:space="preserve">support </w:t>
      </w:r>
      <w:r>
        <w:t xml:space="preserve">from the Lifeline program of the Universal Service Fund for </w:t>
      </w:r>
      <w:r w:rsidRPr="00B57871">
        <w:t>428</w:t>
      </w:r>
      <w:r w:rsidRPr="006A7EA1">
        <w:t xml:space="preserve"> </w:t>
      </w:r>
      <w:r>
        <w:t xml:space="preserve">ineligible consumers for </w:t>
      </w:r>
      <w:r w:rsidRPr="006A7EA1">
        <w:t xml:space="preserve">the month of </w:t>
      </w:r>
      <w:r>
        <w:t>September 2012.</w:t>
      </w:r>
      <w:r>
        <w:rPr>
          <w:rStyle w:val="FootnoteReference"/>
        </w:rPr>
        <w:footnoteReference w:id="30"/>
      </w:r>
      <w:r>
        <w:t xml:space="preserve">  </w:t>
      </w:r>
      <w:r w:rsidR="008F69A8">
        <w:t xml:space="preserve">We believe that </w:t>
      </w:r>
      <w:r w:rsidR="002F369A">
        <w:t xml:space="preserve">the </w:t>
      </w:r>
      <w:r w:rsidR="008F69A8">
        <w:t xml:space="preserve">prior violations of Sections </w:t>
      </w:r>
      <w:r w:rsidR="008F69A8">
        <w:rPr>
          <w:szCs w:val="22"/>
        </w:rPr>
        <w:t>54.407, 54.409, and 54.410</w:t>
      </w:r>
      <w:r w:rsidR="008F69A8">
        <w:t xml:space="preserve"> of the Rules </w:t>
      </w:r>
      <w:r w:rsidR="0066263E">
        <w:t>evidence</w:t>
      </w:r>
      <w:r w:rsidR="008F69A8">
        <w:t xml:space="preserve"> a pattern of noncompliance and disregard for the Rules.  </w:t>
      </w:r>
      <w:r>
        <w:t>We therefore find that Assist Wireless does not have a history of compliance and decline to reduce the forfeiture on this basis.</w:t>
      </w:r>
      <w:r w:rsidR="00E81CB4">
        <w:t xml:space="preserve">  </w:t>
      </w:r>
    </w:p>
    <w:p w:rsidR="00E13333" w:rsidRPr="00E13333" w:rsidRDefault="00E13333" w:rsidP="00E13333">
      <w:pPr>
        <w:pStyle w:val="ParaNum"/>
        <w:widowControl/>
        <w:spacing w:after="220"/>
        <w:rPr>
          <w:snapToGrid/>
          <w:szCs w:val="22"/>
        </w:rPr>
      </w:pPr>
      <w:r>
        <w:rPr>
          <w:szCs w:val="22"/>
        </w:rPr>
        <w:t xml:space="preserve">We also decline to </w:t>
      </w:r>
      <w:r>
        <w:t xml:space="preserve">reduce </w:t>
      </w:r>
      <w:r w:rsidRPr="00191810">
        <w:rPr>
          <w:color w:val="000000"/>
          <w:szCs w:val="22"/>
        </w:rPr>
        <w:t xml:space="preserve">the forfeiture based on </w:t>
      </w:r>
      <w:r w:rsidR="002F369A">
        <w:rPr>
          <w:color w:val="000000"/>
          <w:szCs w:val="22"/>
        </w:rPr>
        <w:t xml:space="preserve">the </w:t>
      </w:r>
      <w:r w:rsidRPr="00191810">
        <w:rPr>
          <w:color w:val="000000"/>
          <w:szCs w:val="22"/>
        </w:rPr>
        <w:t xml:space="preserve">assertion </w:t>
      </w:r>
      <w:r w:rsidR="002F369A">
        <w:rPr>
          <w:color w:val="000000"/>
          <w:szCs w:val="22"/>
        </w:rPr>
        <w:t xml:space="preserve">by Assist Wireless </w:t>
      </w:r>
      <w:r w:rsidRPr="00191810">
        <w:rPr>
          <w:color w:val="000000"/>
          <w:szCs w:val="22"/>
        </w:rPr>
        <w:t>that it took “a series of actions” to ensure future compliance with the Rules.</w:t>
      </w:r>
      <w:r w:rsidRPr="001F7EE0">
        <w:rPr>
          <w:rStyle w:val="FootnoteReference"/>
          <w:szCs w:val="22"/>
        </w:rPr>
        <w:footnoteReference w:id="31"/>
      </w:r>
      <w:r w:rsidRPr="00191810">
        <w:rPr>
          <w:color w:val="000000"/>
          <w:szCs w:val="22"/>
        </w:rPr>
        <w:t xml:space="preserve">  While </w:t>
      </w:r>
      <w:r w:rsidR="002F369A">
        <w:rPr>
          <w:color w:val="000000"/>
          <w:szCs w:val="22"/>
        </w:rPr>
        <w:t xml:space="preserve">the </w:t>
      </w:r>
      <w:r w:rsidRPr="00191810">
        <w:rPr>
          <w:color w:val="000000"/>
          <w:szCs w:val="22"/>
        </w:rPr>
        <w:t xml:space="preserve">compliance efforts </w:t>
      </w:r>
      <w:r w:rsidR="002F369A">
        <w:rPr>
          <w:color w:val="000000"/>
          <w:szCs w:val="22"/>
        </w:rPr>
        <w:t xml:space="preserve">by Assist Wireless </w:t>
      </w:r>
      <w:r w:rsidRPr="00191810">
        <w:rPr>
          <w:color w:val="000000"/>
          <w:szCs w:val="22"/>
        </w:rPr>
        <w:t xml:space="preserve">are laudable, the Commission has </w:t>
      </w:r>
      <w:r w:rsidRPr="00191810">
        <w:rPr>
          <w:szCs w:val="22"/>
        </w:rPr>
        <w:t>long held that corrective action taken to come into compliance with the Rules is expected, and such corrective action does not nullify or mitigate prior violations or associated forfeiture liability.</w:t>
      </w:r>
      <w:r>
        <w:rPr>
          <w:rStyle w:val="FootnoteReference"/>
          <w:szCs w:val="22"/>
        </w:rPr>
        <w:footnoteReference w:id="32"/>
      </w:r>
      <w:r w:rsidRPr="00191810">
        <w:rPr>
          <w:szCs w:val="22"/>
        </w:rPr>
        <w:t xml:space="preserve">  Accordingly,</w:t>
      </w:r>
      <w:r w:rsidR="005A6A58">
        <w:rPr>
          <w:szCs w:val="22"/>
        </w:rPr>
        <w:t xml:space="preserve"> w</w:t>
      </w:r>
      <w:r w:rsidRPr="00191810">
        <w:rPr>
          <w:szCs w:val="22"/>
        </w:rPr>
        <w:t>e decline to reduce the forfeiture on this basis.</w:t>
      </w:r>
    </w:p>
    <w:p w:rsidR="00E13333" w:rsidRPr="00E13333" w:rsidRDefault="00E13333" w:rsidP="00E13333">
      <w:pPr>
        <w:pStyle w:val="Heading1"/>
        <w:rPr>
          <w:snapToGrid/>
        </w:rPr>
      </w:pPr>
      <w:r>
        <w:t xml:space="preserve">conclusion  </w:t>
      </w:r>
    </w:p>
    <w:p w:rsidR="00162CE1" w:rsidRPr="00E13333" w:rsidRDefault="00E13333" w:rsidP="00E13333">
      <w:pPr>
        <w:pStyle w:val="ParaNum"/>
        <w:widowControl/>
        <w:spacing w:after="220"/>
        <w:rPr>
          <w:snapToGrid/>
          <w:szCs w:val="22"/>
        </w:rPr>
      </w:pPr>
      <w:r>
        <w:rPr>
          <w:szCs w:val="22"/>
        </w:rPr>
        <w:t xml:space="preserve">Based  on the record </w:t>
      </w:r>
      <w:r>
        <w:rPr>
          <w:snapToGrid/>
          <w:szCs w:val="22"/>
        </w:rPr>
        <w:t xml:space="preserve">before us and in light of the applicable statutory factors, we conclude that Assist Wireless willfully and repeatedly violated Section 20.19(i)(1) of the </w:t>
      </w:r>
      <w:r w:rsidR="00720143">
        <w:rPr>
          <w:snapToGrid/>
          <w:szCs w:val="22"/>
        </w:rPr>
        <w:t>Commission’s r</w:t>
      </w:r>
      <w:r>
        <w:rPr>
          <w:snapToGrid/>
          <w:szCs w:val="22"/>
        </w:rPr>
        <w:t>ules</w:t>
      </w:r>
      <w:r>
        <w:rPr>
          <w:rStyle w:val="FootnoteReference"/>
          <w:snapToGrid/>
          <w:szCs w:val="22"/>
        </w:rPr>
        <w:footnoteReference w:id="33"/>
      </w:r>
      <w:r>
        <w:rPr>
          <w:snapToGrid/>
          <w:szCs w:val="22"/>
        </w:rPr>
        <w:t xml:space="preserve"> by failing to file its hearing aid compatibility status report for </w:t>
      </w:r>
      <w:r w:rsidR="006101E3">
        <w:rPr>
          <w:snapToGrid/>
          <w:szCs w:val="22"/>
        </w:rPr>
        <w:t xml:space="preserve">the </w:t>
      </w:r>
      <w:r>
        <w:rPr>
          <w:snapToGrid/>
          <w:szCs w:val="22"/>
        </w:rPr>
        <w:t xml:space="preserve">period ending December 31, 2012 by the January 15, 2013 deadline.  We decline to cancel or reduce the $6,000 forfeiture proposed in the </w:t>
      </w:r>
      <w:r w:rsidRPr="00C05E67">
        <w:rPr>
          <w:i/>
          <w:snapToGrid/>
          <w:szCs w:val="22"/>
        </w:rPr>
        <w:t>NAL</w:t>
      </w:r>
      <w:r>
        <w:rPr>
          <w:snapToGrid/>
          <w:szCs w:val="22"/>
        </w:rPr>
        <w:t>.</w:t>
      </w:r>
      <w:r w:rsidR="00720143">
        <w:rPr>
          <w:snapToGrid/>
          <w:szCs w:val="22"/>
        </w:rPr>
        <w:t xml:space="preserve"> </w:t>
      </w:r>
    </w:p>
    <w:p w:rsidR="00B917C4" w:rsidRDefault="00B917C4" w:rsidP="00B917C4">
      <w:pPr>
        <w:pStyle w:val="Heading1"/>
      </w:pPr>
      <w:r>
        <w:t>ORDERING CLAUSES</w:t>
      </w:r>
    </w:p>
    <w:p w:rsidR="003343CA" w:rsidRPr="009A2403" w:rsidRDefault="00B917C4" w:rsidP="002E4C71">
      <w:pPr>
        <w:pStyle w:val="ParaNum"/>
        <w:widowControl/>
        <w:spacing w:after="220"/>
      </w:pPr>
      <w:r>
        <w:t xml:space="preserve">Accordingly, </w:t>
      </w:r>
      <w:r w:rsidRPr="00B917C4">
        <w:rPr>
          <w:b/>
        </w:rPr>
        <w:t>IT IS ORDERED</w:t>
      </w:r>
      <w:r>
        <w:t xml:space="preserve"> that, </w:t>
      </w:r>
      <w:r w:rsidR="003343CA" w:rsidRPr="00344C0B">
        <w:t>pursuant to Section 503(b) of the</w:t>
      </w:r>
      <w:r w:rsidR="00F23F1E">
        <w:t xml:space="preserve"> Act</w:t>
      </w:r>
      <w:r w:rsidR="003343CA" w:rsidRPr="00344C0B">
        <w:t>,</w:t>
      </w:r>
      <w:r w:rsidR="003343CA" w:rsidRPr="0007571D">
        <w:rPr>
          <w:rStyle w:val="FootnoteReference"/>
        </w:rPr>
        <w:footnoteReference w:id="34"/>
      </w:r>
      <w:r w:rsidR="003343CA" w:rsidRPr="0007571D">
        <w:t xml:space="preserve"> and Section 1.80 of the Rules,</w:t>
      </w:r>
      <w:r w:rsidR="003343CA" w:rsidRPr="0007571D">
        <w:rPr>
          <w:rStyle w:val="FootnoteReference"/>
        </w:rPr>
        <w:footnoteReference w:id="35"/>
      </w:r>
      <w:r w:rsidR="003343CA" w:rsidRPr="0007571D">
        <w:t xml:space="preserve"> </w:t>
      </w:r>
      <w:r>
        <w:t xml:space="preserve">Assist Wireless, LLC </w:t>
      </w:r>
      <w:r w:rsidR="003343CA" w:rsidRPr="00B917C4">
        <w:rPr>
          <w:b/>
        </w:rPr>
        <w:t>IS LIABLE FOR A MONETARY FORFEITURE</w:t>
      </w:r>
      <w:r w:rsidR="003343CA" w:rsidRPr="009A2403">
        <w:t xml:space="preserve"> in the amount of </w:t>
      </w:r>
      <w:r>
        <w:t xml:space="preserve">six thousand dollars </w:t>
      </w:r>
      <w:r w:rsidR="003343CA" w:rsidRPr="0007571D">
        <w:t>($</w:t>
      </w:r>
      <w:r>
        <w:t>6,000)</w:t>
      </w:r>
      <w:r w:rsidR="003343CA" w:rsidRPr="0007571D">
        <w:t xml:space="preserve"> for willfully </w:t>
      </w:r>
      <w:r w:rsidR="00F23F1E">
        <w:t xml:space="preserve">and repeatedly </w:t>
      </w:r>
      <w:r w:rsidR="003343CA" w:rsidRPr="0007571D">
        <w:t xml:space="preserve">violating </w:t>
      </w:r>
      <w:r w:rsidR="002E4C71">
        <w:t xml:space="preserve">Section 20.19(i)(1) </w:t>
      </w:r>
      <w:r w:rsidR="003343CA" w:rsidRPr="0007571D">
        <w:t xml:space="preserve">of the </w:t>
      </w:r>
      <w:r w:rsidR="002E4C71">
        <w:t>R</w:t>
      </w:r>
      <w:r w:rsidR="003343CA" w:rsidRPr="009A2403">
        <w:t>ules.</w:t>
      </w:r>
    </w:p>
    <w:p w:rsidR="003343CA" w:rsidRPr="00344C0B" w:rsidRDefault="003343CA" w:rsidP="002E4C71">
      <w:pPr>
        <w:pStyle w:val="ParaNum"/>
        <w:widowControl/>
        <w:spacing w:after="220"/>
      </w:pPr>
      <w:r w:rsidRPr="00344C0B">
        <w:t xml:space="preserve">Payment of the forfeiture shall be made in the manner provided for in Section 1.80 of the Rules within </w:t>
      </w:r>
      <w:r w:rsidR="00225854">
        <w:t>thirty (30</w:t>
      </w:r>
      <w:r w:rsidRPr="00344C0B">
        <w:t>) calendar days after the release of this Forfeiture Order.</w:t>
      </w:r>
      <w:r w:rsidRPr="0007571D">
        <w:rPr>
          <w:rStyle w:val="FootnoteReference"/>
        </w:rPr>
        <w:footnoteReference w:id="36"/>
      </w:r>
      <w:r w:rsidRPr="0007571D">
        <w:t xml:space="preserve">  If the forfeiture is not paid within the period specified, the case may be referred to the U.S. Department of Justice for enforcement of the forfeiture pursuant to Section 504(a) of the Act.</w:t>
      </w:r>
      <w:r w:rsidRPr="0007571D">
        <w:rPr>
          <w:rStyle w:val="FootnoteReference"/>
        </w:rPr>
        <w:footnoteReference w:id="37"/>
      </w:r>
      <w:r w:rsidRPr="0007571D">
        <w:t xml:space="preserve">  </w:t>
      </w:r>
    </w:p>
    <w:p w:rsidR="003343CA" w:rsidRPr="00344C0B" w:rsidRDefault="00F23F1E" w:rsidP="002E4C71">
      <w:pPr>
        <w:pStyle w:val="ParaNum"/>
        <w:widowControl/>
        <w:spacing w:after="220"/>
      </w:pPr>
      <w:r>
        <w:rPr>
          <w:szCs w:val="22"/>
        </w:rPr>
        <w:t xml:space="preserve">Payment of the forfeiture </w:t>
      </w:r>
      <w:r w:rsidRPr="006D73F2">
        <w:rPr>
          <w:szCs w:val="22"/>
        </w:rPr>
        <w:t xml:space="preserve">must be made by check or similar instrument, wire transfer, or credit card, and must include the NAL/Account Number and FRN referenced </w:t>
      </w:r>
      <w:r>
        <w:rPr>
          <w:szCs w:val="22"/>
        </w:rPr>
        <w:t>above</w:t>
      </w:r>
      <w:r w:rsidRPr="006D73F2">
        <w:rPr>
          <w:szCs w:val="22"/>
        </w:rPr>
        <w:t xml:space="preserve">.  </w:t>
      </w:r>
      <w:r w:rsidR="002E4C71">
        <w:rPr>
          <w:szCs w:val="22"/>
        </w:rPr>
        <w:t xml:space="preserve">Assist Wireless </w:t>
      </w:r>
      <w:r w:rsidRPr="006D73F2">
        <w:rPr>
          <w:szCs w:val="22"/>
        </w:rPr>
        <w:t xml:space="preserve"> shall send electronic notification </w:t>
      </w:r>
      <w:r>
        <w:rPr>
          <w:szCs w:val="22"/>
        </w:rPr>
        <w:t xml:space="preserve">of </w:t>
      </w:r>
      <w:r w:rsidRPr="006D73F2">
        <w:rPr>
          <w:szCs w:val="22"/>
        </w:rPr>
        <w:t xml:space="preserve">payment to </w:t>
      </w:r>
      <w:r w:rsidR="002E4C71">
        <w:rPr>
          <w:szCs w:val="22"/>
        </w:rPr>
        <w:t xml:space="preserve">Pamera Hairston at </w:t>
      </w:r>
      <w:r w:rsidR="002E4C71" w:rsidRPr="002E4C71">
        <w:rPr>
          <w:szCs w:val="22"/>
        </w:rPr>
        <w:t>Pamera.Hairston@fcc.gov</w:t>
      </w:r>
      <w:r w:rsidR="002E4C71">
        <w:rPr>
          <w:szCs w:val="22"/>
        </w:rPr>
        <w:t xml:space="preserve">, Kathy Harvey at </w:t>
      </w:r>
      <w:r w:rsidR="002E4C71" w:rsidRPr="002E4C71">
        <w:rPr>
          <w:szCs w:val="22"/>
        </w:rPr>
        <w:t>Kathy.Harvey@fcc.gov</w:t>
      </w:r>
      <w:r w:rsidR="002E4C71">
        <w:rPr>
          <w:szCs w:val="22"/>
        </w:rPr>
        <w:t xml:space="preserve">, and Samantha Peoples at </w:t>
      </w:r>
      <w:r w:rsidR="002E4C71" w:rsidRPr="002E4C71">
        <w:rPr>
          <w:szCs w:val="22"/>
        </w:rPr>
        <w:t>Sam.Peoples@fcc.gov</w:t>
      </w:r>
      <w:r w:rsidR="002E4C71">
        <w:rPr>
          <w:szCs w:val="22"/>
        </w:rPr>
        <w:t xml:space="preserve"> </w:t>
      </w:r>
      <w:r w:rsidRPr="006D73F2">
        <w:rPr>
          <w:szCs w:val="22"/>
        </w:rPr>
        <w:t>on the date said payment is made.</w:t>
      </w:r>
      <w:r>
        <w:rPr>
          <w:szCs w:val="22"/>
        </w:rPr>
        <w:t xml:space="preserve">  </w:t>
      </w:r>
      <w:r w:rsidR="003343CA" w:rsidRPr="00344C0B">
        <w:t>Regardless of the form of payment, a completed FCC Form 159 (Remittance Advice) must be submitted.</w:t>
      </w:r>
      <w:r w:rsidR="003343CA" w:rsidRPr="0007571D">
        <w:rPr>
          <w:rStyle w:val="FootnoteReference"/>
        </w:rPr>
        <w:footnoteReference w:id="38"/>
      </w:r>
      <w:r w:rsidR="003343CA" w:rsidRPr="0007571D">
        <w:t xml:space="preserve">  When completing the Form 159, enter the Account Number in block number 23A (call sign/other ID) and enter the letters “FORF” in block number 24A (payment type code).  </w:t>
      </w:r>
      <w:r w:rsidRPr="006D73F2">
        <w:rPr>
          <w:szCs w:val="22"/>
        </w:rPr>
        <w:t>Below are additional instructions</w:t>
      </w:r>
      <w:r>
        <w:rPr>
          <w:szCs w:val="22"/>
        </w:rPr>
        <w:t xml:space="preserve"> that should be followed </w:t>
      </w:r>
      <w:r w:rsidRPr="006D73F2">
        <w:rPr>
          <w:szCs w:val="22"/>
        </w:rPr>
        <w:t>based on the form of payment select</w:t>
      </w:r>
      <w:r>
        <w:rPr>
          <w:szCs w:val="22"/>
        </w:rPr>
        <w:t>ed</w:t>
      </w:r>
      <w:r w:rsidRPr="006D73F2">
        <w:rPr>
          <w:szCs w:val="22"/>
        </w:rPr>
        <w:t>:</w:t>
      </w:r>
    </w:p>
    <w:p w:rsidR="003343CA" w:rsidRPr="00344C0B" w:rsidRDefault="003343CA" w:rsidP="008B6E2B">
      <w:pPr>
        <w:pStyle w:val="par1"/>
        <w:numPr>
          <w:ilvl w:val="0"/>
          <w:numId w:val="4"/>
        </w:numPr>
        <w:tabs>
          <w:tab w:val="clear" w:pos="1440"/>
        </w:tabs>
        <w:spacing w:after="120"/>
        <w:rPr>
          <w:sz w:val="22"/>
        </w:rPr>
      </w:pPr>
      <w:r w:rsidRPr="00344C0B">
        <w:rPr>
          <w:sz w:val="22"/>
        </w:rPr>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w:t>
      </w:r>
      <w:r w:rsidRPr="00344C0B">
        <w:rPr>
          <w:sz w:val="22"/>
        </w:rPr>
        <w:noBreakHyphen/>
        <w:t>MO-C2-GL, 1005 Convention Plaza, St. Louis, MO 63101.</w:t>
      </w:r>
    </w:p>
    <w:p w:rsidR="003343CA" w:rsidRPr="00344C0B" w:rsidRDefault="003343CA" w:rsidP="008B6E2B">
      <w:pPr>
        <w:pStyle w:val="par1"/>
        <w:numPr>
          <w:ilvl w:val="0"/>
          <w:numId w:val="4"/>
        </w:numPr>
        <w:tabs>
          <w:tab w:val="clear" w:pos="1440"/>
        </w:tabs>
        <w:spacing w:after="120"/>
        <w:rPr>
          <w:sz w:val="22"/>
        </w:rPr>
      </w:pPr>
      <w:r w:rsidRPr="00344C0B">
        <w:rPr>
          <w:sz w:val="22"/>
        </w:rPr>
        <w:t xml:space="preserve">Payment by wire transfer must be made to ABA Number 021030004, receiving bank TREAS/NYC, and Account Number 27000001.  To complete the wire transfer and </w:t>
      </w:r>
      <w:r w:rsidR="002D74C4" w:rsidRPr="00344C0B">
        <w:rPr>
          <w:sz w:val="22"/>
        </w:rPr>
        <w:t>e</w:t>
      </w:r>
      <w:r w:rsidRPr="00344C0B">
        <w:rPr>
          <w:sz w:val="22"/>
        </w:rPr>
        <w:t>nsure appropriate crediting of the wired funds, a completed Form 159 must be faxed to U.S. Bank at (314) 418-4232 on the same business day the wire transfer is initiated.</w:t>
      </w:r>
    </w:p>
    <w:p w:rsidR="003343CA" w:rsidRPr="00344C0B" w:rsidRDefault="003343CA" w:rsidP="008B6E2B">
      <w:pPr>
        <w:pStyle w:val="par1"/>
        <w:widowControl/>
        <w:numPr>
          <w:ilvl w:val="0"/>
          <w:numId w:val="4"/>
        </w:numPr>
        <w:tabs>
          <w:tab w:val="clear" w:pos="1440"/>
        </w:tabs>
        <w:spacing w:after="120"/>
        <w:ind w:left="1267"/>
        <w:rPr>
          <w:sz w:val="22"/>
        </w:rPr>
      </w:pPr>
      <w:r w:rsidRPr="00344C0B">
        <w:rPr>
          <w:sz w:val="22"/>
        </w:rPr>
        <w:t>Payment by credit card must be made by providing the required credit card information on FCC From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F23F1E" w:rsidRPr="00816F70" w:rsidRDefault="00F23F1E" w:rsidP="008851E9">
      <w:pPr>
        <w:pStyle w:val="ParaNum"/>
        <w:widowControl/>
        <w:spacing w:after="220"/>
      </w:pPr>
      <w:r w:rsidRPr="006D73F2">
        <w:t xml:space="preserve">Any request for </w:t>
      </w:r>
      <w:r>
        <w:t xml:space="preserve">making </w:t>
      </w:r>
      <w:r w:rsidRPr="006D73F2">
        <w:t xml:space="preserve">full payment </w:t>
      </w:r>
      <w:r>
        <w:t xml:space="preserve">over time </w:t>
      </w:r>
      <w:r w:rsidRPr="006D73F2">
        <w:t>under an installment plan should be sent to</w:t>
      </w:r>
      <w:r>
        <w:t xml:space="preserve">: </w:t>
      </w:r>
      <w:r w:rsidRPr="006D73F2">
        <w:t xml:space="preserve"> Chief Financial Officer – Financial Operations, Federal Communications Commission, 445 12th Street, SW, Room 1</w:t>
      </w:r>
      <w:r w:rsidRPr="006D73F2">
        <w:noBreakHyphen/>
        <w:t>A625, Washington, DC 20554.</w:t>
      </w:r>
      <w:r w:rsidRPr="006D73F2">
        <w:rPr>
          <w:rStyle w:val="FootnoteReference"/>
          <w:sz w:val="22"/>
          <w:szCs w:val="22"/>
        </w:rPr>
        <w:footnoteReference w:id="39"/>
      </w:r>
      <w:r w:rsidRPr="006D73F2">
        <w:t xml:space="preserve">  </w:t>
      </w:r>
      <w:r>
        <w:t>Q</w:t>
      </w:r>
      <w:r w:rsidRPr="006D73F2">
        <w:t>uestions regarding payment procedures</w:t>
      </w:r>
      <w:r>
        <w:t xml:space="preserve"> </w:t>
      </w:r>
      <w:r w:rsidRPr="006D73F2">
        <w:t xml:space="preserve">should </w:t>
      </w:r>
      <w:r>
        <w:t xml:space="preserve">be directed to </w:t>
      </w:r>
      <w:r w:rsidRPr="006D73F2">
        <w:t xml:space="preserve">the Financial Operations Group Help Desk by telephone, 1-877-480-3201, or by e-mail, </w:t>
      </w:r>
      <w:r w:rsidRPr="004C4397">
        <w:t>ARINQUIRIES@</w:t>
      </w:r>
      <w:r w:rsidRPr="00B27008">
        <w:t>fcc.gov</w:t>
      </w:r>
      <w:r w:rsidRPr="00373669">
        <w:t>.</w:t>
      </w:r>
    </w:p>
    <w:p w:rsidR="003343CA" w:rsidRPr="0007571D" w:rsidRDefault="003343CA" w:rsidP="008851E9">
      <w:pPr>
        <w:pStyle w:val="ParaNum"/>
        <w:widowControl/>
        <w:spacing w:after="220"/>
      </w:pPr>
      <w:r w:rsidRPr="00344C0B">
        <w:rPr>
          <w:b/>
        </w:rPr>
        <w:t>IT IS FURTHER ORDERED</w:t>
      </w:r>
      <w:r w:rsidRPr="00344C0B">
        <w:t xml:space="preserve"> that a copy of this Forfeiture Order </w:t>
      </w:r>
      <w:r w:rsidR="00F23F1E" w:rsidRPr="004749BE">
        <w:t xml:space="preserve">shall be sent by first class mail and certified mail, return receipt requested, to </w:t>
      </w:r>
      <w:r w:rsidR="002E4C71" w:rsidRPr="00CE1338">
        <w:rPr>
          <w:szCs w:val="24"/>
        </w:rPr>
        <w:t>Byron Young</w:t>
      </w:r>
      <w:r w:rsidR="002E4C71">
        <w:rPr>
          <w:szCs w:val="24"/>
        </w:rPr>
        <w:t>, Chief Executive Officer, Assist Wireless, LLC, 2402 Gravel Drive, Fort Worth, TX 76118</w:t>
      </w:r>
      <w:r w:rsidR="00F23F1E">
        <w:t>,</w:t>
      </w:r>
      <w:r w:rsidR="00F23F1E" w:rsidRPr="004749BE">
        <w:t xml:space="preserve"> and to </w:t>
      </w:r>
      <w:r w:rsidR="002E4C71">
        <w:t xml:space="preserve">John J. Heitmann, Esq., Kelley Drye &amp; </w:t>
      </w:r>
      <w:r w:rsidR="008B6E2B">
        <w:t xml:space="preserve">Warren LLP, </w:t>
      </w:r>
      <w:r w:rsidR="00E848EC">
        <w:t>Washington Harbour, 3050 K Street, NW, Suite 400, Washington, DC 20007-5108</w:t>
      </w:r>
      <w:r w:rsidR="00F23F1E" w:rsidRPr="004749BE">
        <w:t>.</w:t>
      </w:r>
    </w:p>
    <w:p w:rsidR="003343CA" w:rsidRPr="00344C0B" w:rsidRDefault="003343CA" w:rsidP="003343CA"/>
    <w:p w:rsidR="003343CA" w:rsidRPr="00344C0B" w:rsidRDefault="003343CA" w:rsidP="003343CA"/>
    <w:p w:rsidR="003343CA" w:rsidRPr="00344C0B" w:rsidRDefault="003343CA" w:rsidP="0007571D">
      <w:pPr>
        <w:ind w:left="4410"/>
      </w:pPr>
      <w:r w:rsidRPr="00344C0B">
        <w:t>FEDERAL COMMUNICATIONS COMMISSION</w:t>
      </w:r>
    </w:p>
    <w:p w:rsidR="003343CA" w:rsidRPr="00344C0B" w:rsidRDefault="003343CA" w:rsidP="0007571D">
      <w:pPr>
        <w:ind w:left="4410"/>
      </w:pPr>
    </w:p>
    <w:p w:rsidR="003343CA" w:rsidRPr="00344C0B" w:rsidRDefault="003343CA" w:rsidP="0007571D">
      <w:pPr>
        <w:ind w:left="4410"/>
      </w:pPr>
    </w:p>
    <w:p w:rsidR="003343CA" w:rsidRPr="00344C0B" w:rsidRDefault="003343CA" w:rsidP="0007571D">
      <w:pPr>
        <w:ind w:left="4410"/>
      </w:pPr>
    </w:p>
    <w:p w:rsidR="003343CA" w:rsidRPr="00344C0B" w:rsidRDefault="003343CA" w:rsidP="0007571D">
      <w:pPr>
        <w:ind w:left="4410"/>
      </w:pPr>
    </w:p>
    <w:p w:rsidR="00E848EC" w:rsidRDefault="00E848EC" w:rsidP="009B0223">
      <w:pPr>
        <w:ind w:left="4410"/>
        <w:rPr>
          <w:szCs w:val="22"/>
        </w:rPr>
      </w:pPr>
      <w:r>
        <w:rPr>
          <w:szCs w:val="22"/>
        </w:rPr>
        <w:t>Bruce D. Jacobs</w:t>
      </w:r>
    </w:p>
    <w:p w:rsidR="00E848EC" w:rsidRDefault="00E848EC" w:rsidP="00E848EC">
      <w:pPr>
        <w:ind w:left="4410"/>
        <w:rPr>
          <w:szCs w:val="22"/>
        </w:rPr>
      </w:pPr>
      <w:r>
        <w:rPr>
          <w:szCs w:val="22"/>
        </w:rPr>
        <w:t>Chief</w:t>
      </w:r>
    </w:p>
    <w:p w:rsidR="00E848EC" w:rsidRDefault="00E848EC" w:rsidP="00E848EC">
      <w:pPr>
        <w:ind w:left="4410"/>
        <w:rPr>
          <w:szCs w:val="22"/>
        </w:rPr>
      </w:pPr>
      <w:r>
        <w:rPr>
          <w:szCs w:val="22"/>
        </w:rPr>
        <w:t>Spectrum Enforcement Division</w:t>
      </w:r>
    </w:p>
    <w:p w:rsidR="009B0223" w:rsidRPr="006D73F2" w:rsidRDefault="009B0223" w:rsidP="009B0223">
      <w:pPr>
        <w:ind w:left="4410"/>
        <w:rPr>
          <w:szCs w:val="22"/>
        </w:rPr>
      </w:pPr>
      <w:r w:rsidRPr="006D73F2">
        <w:rPr>
          <w:szCs w:val="22"/>
        </w:rPr>
        <w:t>Enforcement Bureau</w:t>
      </w:r>
    </w:p>
    <w:sectPr w:rsidR="009B0223" w:rsidRPr="006D73F2" w:rsidSect="00D417D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ABC" w:rsidRDefault="005B1ABC">
      <w:pPr>
        <w:spacing w:line="20" w:lineRule="exact"/>
      </w:pPr>
    </w:p>
  </w:endnote>
  <w:endnote w:type="continuationSeparator" w:id="0">
    <w:p w:rsidR="005B1ABC" w:rsidRDefault="005B1ABC">
      <w:r>
        <w:t xml:space="preserve"> </w:t>
      </w:r>
    </w:p>
  </w:endnote>
  <w:endnote w:type="continuationNotice" w:id="1">
    <w:p w:rsidR="005B1ABC" w:rsidRDefault="005B1A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Default="00E273E3">
    <w:pPr>
      <w:pStyle w:val="Footer"/>
      <w:framePr w:wrap="around" w:vAnchor="text" w:hAnchor="margin" w:xAlign="center" w:y="1"/>
    </w:pPr>
    <w:r>
      <w:fldChar w:fldCharType="begin"/>
    </w:r>
    <w:r>
      <w:instrText xml:space="preserve">PAGE  </w:instrText>
    </w:r>
    <w:r>
      <w:fldChar w:fldCharType="end"/>
    </w:r>
  </w:p>
  <w:p w:rsidR="00E273E3" w:rsidRDefault="00E27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Default="00EE194C">
    <w:pPr>
      <w:pStyle w:val="Footer"/>
      <w:framePr w:wrap="around" w:vAnchor="text" w:hAnchor="margin" w:xAlign="center" w:y="1"/>
    </w:pPr>
    <w:r>
      <w:fldChar w:fldCharType="begin"/>
    </w:r>
    <w:r>
      <w:instrText xml:space="preserve">PAGE  </w:instrText>
    </w:r>
    <w:r>
      <w:fldChar w:fldCharType="separate"/>
    </w:r>
    <w:r w:rsidR="003024F7">
      <w:rPr>
        <w:noProof/>
      </w:rPr>
      <w:t>3</w:t>
    </w:r>
    <w:r>
      <w:rPr>
        <w:noProof/>
      </w:rPr>
      <w:fldChar w:fldCharType="end"/>
    </w:r>
  </w:p>
  <w:p w:rsidR="00E273E3" w:rsidRDefault="00E273E3">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4F7" w:rsidRDefault="00302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ABC" w:rsidRDefault="005B1ABC">
      <w:r>
        <w:separator/>
      </w:r>
    </w:p>
  </w:footnote>
  <w:footnote w:type="continuationSeparator" w:id="0">
    <w:p w:rsidR="005B1ABC" w:rsidRDefault="005B1ABC">
      <w:pPr>
        <w:rPr>
          <w:sz w:val="20"/>
        </w:rPr>
      </w:pPr>
      <w:r>
        <w:rPr>
          <w:sz w:val="20"/>
        </w:rPr>
        <w:t xml:space="preserve">(Continued from previous page)  </w:t>
      </w:r>
      <w:r>
        <w:rPr>
          <w:sz w:val="20"/>
        </w:rPr>
        <w:separator/>
      </w:r>
    </w:p>
  </w:footnote>
  <w:footnote w:type="continuationNotice" w:id="1">
    <w:p w:rsidR="005B1ABC" w:rsidRDefault="005B1ABC">
      <w:pPr>
        <w:rPr>
          <w:sz w:val="20"/>
        </w:rPr>
      </w:pPr>
      <w:r>
        <w:rPr>
          <w:sz w:val="20"/>
        </w:rPr>
        <w:t>(continued….)</w:t>
      </w:r>
    </w:p>
  </w:footnote>
  <w:footnote w:id="2">
    <w:p w:rsidR="00535F1C" w:rsidRDefault="00535F1C" w:rsidP="00535F1C">
      <w:pPr>
        <w:pStyle w:val="FootnoteText"/>
      </w:pPr>
      <w:r>
        <w:rPr>
          <w:rStyle w:val="FootnoteReference"/>
        </w:rPr>
        <w:footnoteRef/>
      </w:r>
      <w:r>
        <w:t xml:space="preserve"> Service providers are required to file their hearing aid compatibility status reports on January 15</w:t>
      </w:r>
      <w:r w:rsidRPr="000820EC">
        <w:rPr>
          <w:vertAlign w:val="superscript"/>
        </w:rPr>
        <w:t>th</w:t>
      </w:r>
      <w:r>
        <w:t xml:space="preserve"> of each year.  </w:t>
      </w:r>
      <w:r w:rsidRPr="000820EC">
        <w:rPr>
          <w:i/>
        </w:rPr>
        <w:t>See</w:t>
      </w:r>
      <w:r>
        <w:t xml:space="preserve"> 47 C.F.R. § 20.19(i)(1).</w:t>
      </w:r>
    </w:p>
  </w:footnote>
  <w:footnote w:id="3">
    <w:p w:rsidR="00535F1C" w:rsidRDefault="00535F1C" w:rsidP="00535F1C">
      <w:pPr>
        <w:pStyle w:val="FootnoteText"/>
      </w:pPr>
      <w:r>
        <w:rPr>
          <w:rStyle w:val="FootnoteReference"/>
        </w:rPr>
        <w:footnoteRef/>
      </w:r>
      <w:r>
        <w:t xml:space="preserve"> </w:t>
      </w:r>
      <w:r w:rsidRPr="007E3D24">
        <w:rPr>
          <w:i/>
        </w:rPr>
        <w:t>See Assist Wireless, LLC</w:t>
      </w:r>
      <w:r>
        <w:t xml:space="preserve">, Hearing Aid Compatibility Report (Mar. 20, 2013), </w:t>
      </w:r>
      <w:r w:rsidRPr="007E3D24">
        <w:t>http://wireless.fcc.gov/hac_documents/130411/7444149_322.PDF</w:t>
      </w:r>
      <w:r>
        <w:t>.</w:t>
      </w:r>
    </w:p>
  </w:footnote>
  <w:footnote w:id="4">
    <w:p w:rsidR="00D15AB8" w:rsidRDefault="00D15AB8">
      <w:pPr>
        <w:pStyle w:val="FootnoteText"/>
      </w:pPr>
      <w:r>
        <w:rPr>
          <w:rStyle w:val="FootnoteReference"/>
        </w:rPr>
        <w:footnoteRef/>
      </w:r>
      <w:r>
        <w:t xml:space="preserve"> </w:t>
      </w:r>
      <w:r w:rsidRPr="00705ED5">
        <w:rPr>
          <w:i/>
        </w:rPr>
        <w:t>See</w:t>
      </w:r>
      <w:r>
        <w:t xml:space="preserve"> Letter from John D. Poutasse, Chief, Spectrum Enforcement Division, FCC Enforcement Bureau, to Byron Young, Chief Executive Officer, Assist Wireless, LLC (Dec. 11, 2013) (on file in EB-SED-14-00013385).  The </w:t>
      </w:r>
      <w:r w:rsidRPr="00531EE9">
        <w:rPr>
          <w:i/>
        </w:rPr>
        <w:t>NAL</w:t>
      </w:r>
      <w:r>
        <w:t xml:space="preserve"> includes a more complete discussion of the facts and history of this case and is incorporated herein by reference.  </w:t>
      </w:r>
      <w:r w:rsidRPr="000B57A8">
        <w:rPr>
          <w:i/>
        </w:rPr>
        <w:t>See Assist Wireless, LLC</w:t>
      </w:r>
      <w:r>
        <w:t>, Notice of Apparent Liability for Forfeiture, 29 FCC Rcd 1687 (Enf. Bur. 2014) (</w:t>
      </w:r>
      <w:r w:rsidRPr="00531EE9">
        <w:rPr>
          <w:i/>
        </w:rPr>
        <w:t>NAL</w:t>
      </w:r>
      <w:r>
        <w:t xml:space="preserve">).  Assist Wireless responded to the LOI on January 8, 2014.   </w:t>
      </w:r>
      <w:r w:rsidRPr="008C0666">
        <w:rPr>
          <w:i/>
        </w:rPr>
        <w:t>See</w:t>
      </w:r>
      <w:r>
        <w:t xml:space="preserve"> Letter from Byron Young, Chief Executive Officer, Assist Wireless, LLC, to Spectrum Enforcement Division, FCC Enforcement Bureau (Jan. 8, 2014) (on file in EB-SED-14-00013385).</w:t>
      </w:r>
    </w:p>
  </w:footnote>
  <w:footnote w:id="5">
    <w:p w:rsidR="00C70E32" w:rsidRPr="003060D6" w:rsidRDefault="00C70E32" w:rsidP="00C70E32">
      <w:pPr>
        <w:pStyle w:val="FootnoteText"/>
      </w:pPr>
      <w:r>
        <w:rPr>
          <w:rStyle w:val="FootnoteReference"/>
        </w:rPr>
        <w:footnoteRef/>
      </w:r>
      <w:r>
        <w:t xml:space="preserve"> </w:t>
      </w:r>
      <w:r>
        <w:rPr>
          <w:i/>
        </w:rPr>
        <w:t xml:space="preserve">See </w:t>
      </w:r>
      <w:r>
        <w:t>E-mail from Kathy Harvey, Attorney Advisor, Spectrum Enforcement Division, FCC Enforcement Bureau, to Byron Young, President and Chief Executive Officer, Assist Wireless, LLC (Feb. 28, 2014, 18:06 EDT)</w:t>
      </w:r>
      <w:r w:rsidRPr="003405F5">
        <w:t xml:space="preserve"> </w:t>
      </w:r>
      <w:r>
        <w:t>(on file in EB-SED-14-00013385).</w:t>
      </w:r>
    </w:p>
  </w:footnote>
  <w:footnote w:id="6">
    <w:p w:rsidR="00535F1C" w:rsidRDefault="00535F1C" w:rsidP="00535F1C">
      <w:pPr>
        <w:pStyle w:val="FootnoteText"/>
      </w:pPr>
      <w:r>
        <w:rPr>
          <w:rStyle w:val="FootnoteReference"/>
        </w:rPr>
        <w:footnoteRef/>
      </w:r>
      <w:r>
        <w:t xml:space="preserve"> </w:t>
      </w:r>
      <w:r w:rsidRPr="00AA12A4">
        <w:rPr>
          <w:i/>
        </w:rPr>
        <w:t>See</w:t>
      </w:r>
      <w:r>
        <w:t xml:space="preserve"> Letter from Byron Young, Chief Executive Officer, Assist Wireless, LLC, to Spectrum Enforcement Division, FCC Enforcement Bureau (Jan. 30, 2014) (on file in EB-SED-14-00013385).</w:t>
      </w:r>
    </w:p>
  </w:footnote>
  <w:footnote w:id="7">
    <w:p w:rsidR="00127CE9" w:rsidRDefault="00127CE9" w:rsidP="00127CE9">
      <w:pPr>
        <w:pStyle w:val="FootnoteText"/>
      </w:pPr>
      <w:r w:rsidRPr="00BA43E6">
        <w:rPr>
          <w:rStyle w:val="FootnoteReference"/>
        </w:rPr>
        <w:footnoteRef/>
      </w:r>
      <w:r w:rsidRPr="00BA43E6">
        <w:t xml:space="preserve"> Section 312(f)(1) of the Act defines “willful” as “the conscious and deliberate commission or omission of [any] act, irrespective of any intent to violate” the law.  </w:t>
      </w:r>
      <w:smartTag w:uri="urn:schemas-microsoft-com:office:smarttags" w:element="place">
        <w:smartTag w:uri="urn:schemas-microsoft-com:office:smarttags" w:element="State">
          <w:r w:rsidRPr="00BA43E6">
            <w:rPr>
              <w:i/>
            </w:rPr>
            <w:t>Id.</w:t>
          </w:r>
        </w:smartTag>
      </w:smartTag>
      <w:r w:rsidRPr="00BA43E6">
        <w:rPr>
          <w:i/>
        </w:rPr>
        <w:t xml:space="preserve"> </w:t>
      </w:r>
      <w:r w:rsidRPr="00BA43E6">
        <w:t>§ 312(f)(1).  The legislative history of Section 312 clarifies that this definition of willful applies to Sections 312 and 503 of the Act, H.R. Rep. No. 97-765 (1982) (Conf. Rep.), and the Commission has so interpreted the term in the Section 503(b) context,</w:t>
      </w:r>
      <w:r w:rsidRPr="00BA43E6">
        <w:rPr>
          <w:i/>
        </w:rPr>
        <w:t xml:space="preserve"> see </w:t>
      </w:r>
      <w:r w:rsidRPr="00BA43E6">
        <w:rPr>
          <w:i/>
          <w:iCs/>
        </w:rPr>
        <w:t>So. Cal. Broad. Co.</w:t>
      </w:r>
      <w:r w:rsidRPr="00BA43E6">
        <w:rPr>
          <w:iCs/>
        </w:rPr>
        <w:t>,</w:t>
      </w:r>
      <w:r w:rsidRPr="00BA43E6">
        <w:t xml:space="preserve"> Memorandum Opinion and Order, 6 FCC Rcd 4387, 4387–88, para. 5 (1991) (</w:t>
      </w:r>
      <w:r w:rsidRPr="00BA43E6">
        <w:rPr>
          <w:i/>
          <w:iCs/>
        </w:rPr>
        <w:t>So. Cal.</w:t>
      </w:r>
      <w:r w:rsidRPr="00BA43E6">
        <w:t xml:space="preserve">), </w:t>
      </w:r>
      <w:r w:rsidRPr="00BA43E6">
        <w:rPr>
          <w:i/>
          <w:iCs/>
        </w:rPr>
        <w:t xml:space="preserve">recons. denied, </w:t>
      </w:r>
      <w:r w:rsidRPr="00BA43E6">
        <w:t>7 FCC Rcd 3454 (1992).</w:t>
      </w:r>
    </w:p>
  </w:footnote>
  <w:footnote w:id="8">
    <w:p w:rsidR="00127CE9" w:rsidRDefault="00127CE9" w:rsidP="00127CE9">
      <w:pPr>
        <w:pStyle w:val="FootnoteText"/>
      </w:pPr>
      <w:r w:rsidRPr="00BA43E6">
        <w:rPr>
          <w:rStyle w:val="FootnoteReference"/>
        </w:rPr>
        <w:footnoteRef/>
      </w:r>
      <w:r w:rsidRPr="00BA43E6">
        <w:t xml:space="preserve"> Section 312(f)(2) of the Act, which also applies to forfeitures assessed pursuant to Section 503(b) of the Act, defines “repeated” as “the commission or omission of [any] act more than once or, if such commission or omission is continuous, for more than one day.”  47 U.S.C. § 312(f)(2); </w:t>
      </w:r>
      <w:r w:rsidRPr="00BA43E6">
        <w:rPr>
          <w:i/>
        </w:rPr>
        <w:t xml:space="preserve">see also </w:t>
      </w:r>
      <w:r w:rsidRPr="00BA43E6">
        <w:rPr>
          <w:i/>
          <w:iCs/>
        </w:rPr>
        <w:t xml:space="preserve">So. </w:t>
      </w:r>
      <w:smartTag w:uri="urn:schemas-microsoft-com:office:smarttags" w:element="place">
        <w:smartTag w:uri="urn:schemas-microsoft-com:office:smarttags" w:element="State">
          <w:r w:rsidRPr="00BA43E6">
            <w:rPr>
              <w:i/>
              <w:iCs/>
            </w:rPr>
            <w:t>Cal.</w:t>
          </w:r>
        </w:smartTag>
      </w:smartTag>
      <w:r w:rsidRPr="00BA43E6">
        <w:t>, 6 FCC Rcd at 4388, para. 5.</w:t>
      </w:r>
    </w:p>
  </w:footnote>
  <w:footnote w:id="9">
    <w:p w:rsidR="00535F1C" w:rsidRDefault="00535F1C" w:rsidP="00535F1C">
      <w:pPr>
        <w:pStyle w:val="FootnoteText"/>
      </w:pPr>
      <w:r>
        <w:rPr>
          <w:rStyle w:val="FootnoteReference"/>
        </w:rPr>
        <w:footnoteRef/>
      </w:r>
      <w:r>
        <w:t xml:space="preserve"> 47 C.F.R. § 20.19(i)(1).</w:t>
      </w:r>
    </w:p>
  </w:footnote>
  <w:footnote w:id="10">
    <w:p w:rsidR="00A75553" w:rsidRDefault="00A75553" w:rsidP="00A75553">
      <w:pPr>
        <w:pStyle w:val="FootnoteText"/>
      </w:pPr>
      <w:r>
        <w:rPr>
          <w:rStyle w:val="FootnoteReference"/>
        </w:rPr>
        <w:footnoteRef/>
      </w:r>
      <w:r>
        <w:t xml:space="preserve"> </w:t>
      </w:r>
      <w:r w:rsidRPr="001950D8">
        <w:rPr>
          <w:i/>
        </w:rPr>
        <w:t>See</w:t>
      </w:r>
      <w:r>
        <w:t xml:space="preserve"> Assist Wireless, LLC, Response to Notice of Apparent Liability for Forfeiture (Mar. 20, 2014) (on file in EB-SED-14-00013385) (NAL Response).</w:t>
      </w:r>
    </w:p>
  </w:footnote>
  <w:footnote w:id="11">
    <w:p w:rsidR="00A75553" w:rsidRDefault="00A75553" w:rsidP="00A75553">
      <w:pPr>
        <w:pStyle w:val="FootnoteText"/>
      </w:pPr>
      <w:r>
        <w:rPr>
          <w:rStyle w:val="FootnoteReference"/>
        </w:rPr>
        <w:footnoteRef/>
      </w:r>
      <w:r>
        <w:t xml:space="preserve"> </w:t>
      </w:r>
      <w:r>
        <w:rPr>
          <w:i/>
        </w:rPr>
        <w:t xml:space="preserve">See </w:t>
      </w:r>
      <w:r>
        <w:t>NAL Response at 2.</w:t>
      </w:r>
    </w:p>
  </w:footnote>
  <w:footnote w:id="12">
    <w:p w:rsidR="00A75553" w:rsidRDefault="00A75553" w:rsidP="00A75553">
      <w:pPr>
        <w:pStyle w:val="FootnoteText"/>
      </w:pPr>
      <w:r>
        <w:rPr>
          <w:rStyle w:val="FootnoteReference"/>
        </w:rPr>
        <w:footnoteRef/>
      </w:r>
      <w:r>
        <w:t xml:space="preserve"> </w:t>
      </w:r>
      <w:r>
        <w:rPr>
          <w:i/>
        </w:rPr>
        <w:t>See i</w:t>
      </w:r>
      <w:r w:rsidRPr="003B0407">
        <w:rPr>
          <w:i/>
        </w:rPr>
        <w:t>d</w:t>
      </w:r>
      <w:r>
        <w:t>.</w:t>
      </w:r>
    </w:p>
  </w:footnote>
  <w:footnote w:id="13">
    <w:p w:rsidR="00E273E3" w:rsidRPr="00344C0B" w:rsidRDefault="00E273E3" w:rsidP="006168A4">
      <w:pPr>
        <w:pStyle w:val="FootnoteText"/>
      </w:pPr>
      <w:r w:rsidRPr="00344C0B">
        <w:rPr>
          <w:rStyle w:val="FootnoteReference"/>
        </w:rPr>
        <w:footnoteRef/>
      </w:r>
      <w:r w:rsidRPr="00344C0B">
        <w:t xml:space="preserve"> </w:t>
      </w:r>
      <w:r w:rsidRPr="00344C0B">
        <w:rPr>
          <w:color w:val="000000"/>
        </w:rPr>
        <w:t>47 U.S.C. § 503(b).</w:t>
      </w:r>
    </w:p>
  </w:footnote>
  <w:footnote w:id="14">
    <w:p w:rsidR="00E273E3" w:rsidRPr="00344C0B" w:rsidRDefault="00E273E3" w:rsidP="006168A4">
      <w:pPr>
        <w:pStyle w:val="FootnoteText"/>
      </w:pPr>
      <w:r w:rsidRPr="00344C0B">
        <w:rPr>
          <w:rStyle w:val="FootnoteReference"/>
        </w:rPr>
        <w:footnoteRef/>
      </w:r>
      <w:r w:rsidRPr="00344C0B">
        <w:t xml:space="preserve"> 47 C.F.R. § 1.80.</w:t>
      </w:r>
    </w:p>
  </w:footnote>
  <w:footnote w:id="15">
    <w:p w:rsidR="00E273E3" w:rsidRPr="00344C0B" w:rsidRDefault="00E273E3" w:rsidP="006168A4">
      <w:pPr>
        <w:pStyle w:val="FootnoteText"/>
      </w:pPr>
      <w:r w:rsidRPr="00344C0B">
        <w:rPr>
          <w:rStyle w:val="FootnoteReference"/>
        </w:rPr>
        <w:footnoteRef/>
      </w:r>
      <w:r w:rsidRPr="00344C0B">
        <w:rPr>
          <w:i/>
        </w:rPr>
        <w:t xml:space="preserve"> The Commission’s Forfeiture Policy Statement and Amendment of Section 1.80 of the Rules to Incorporate the Forfeiture Guidelines</w:t>
      </w:r>
      <w:r w:rsidRPr="00344C0B">
        <w:t>, Report and Order, 12 FCC Rcd 17087 (1997) (</w:t>
      </w:r>
      <w:r w:rsidRPr="00344C0B">
        <w:rPr>
          <w:i/>
        </w:rPr>
        <w:t>Forfeiture Policy Statement</w:t>
      </w:r>
      <w:r w:rsidRPr="00344C0B">
        <w:t xml:space="preserve">), </w:t>
      </w:r>
      <w:r w:rsidRPr="00344C0B">
        <w:rPr>
          <w:i/>
        </w:rPr>
        <w:t>recons. denied</w:t>
      </w:r>
      <w:r w:rsidRPr="00344C0B">
        <w:t xml:space="preserve">, Memorandum Opinion and Order, 15 FCC Rcd 303 (1999). </w:t>
      </w:r>
    </w:p>
  </w:footnote>
  <w:footnote w:id="16">
    <w:p w:rsidR="00E273E3" w:rsidRPr="00344C0B" w:rsidRDefault="00E273E3" w:rsidP="006168A4">
      <w:pPr>
        <w:pStyle w:val="FootnoteText"/>
      </w:pPr>
      <w:r w:rsidRPr="00344C0B">
        <w:rPr>
          <w:rStyle w:val="FootnoteReference"/>
        </w:rPr>
        <w:footnoteRef/>
      </w:r>
      <w:r w:rsidRPr="00344C0B">
        <w:t xml:space="preserve"> 47 U.S.C. § 503(b)(2)(E).</w:t>
      </w:r>
    </w:p>
  </w:footnote>
  <w:footnote w:id="17">
    <w:p w:rsidR="00162CE1" w:rsidRDefault="00162CE1" w:rsidP="00162CE1">
      <w:pPr>
        <w:pStyle w:val="FootnoteText"/>
      </w:pPr>
      <w:r>
        <w:rPr>
          <w:rStyle w:val="FootnoteReference"/>
        </w:rPr>
        <w:footnoteRef/>
      </w:r>
      <w:r>
        <w:t xml:space="preserve"> </w:t>
      </w:r>
      <w:r w:rsidRPr="00F202E5">
        <w:rPr>
          <w:i/>
        </w:rPr>
        <w:t>See</w:t>
      </w:r>
      <w:r>
        <w:t xml:space="preserve"> NAL Response at 3</w:t>
      </w:r>
      <w:r w:rsidR="008851E9">
        <w:t>–</w:t>
      </w:r>
      <w:r>
        <w:t>4.</w:t>
      </w:r>
    </w:p>
  </w:footnote>
  <w:footnote w:id="18">
    <w:p w:rsidR="00162CE1" w:rsidRPr="00FF5CB4" w:rsidRDefault="00162CE1" w:rsidP="00162CE1">
      <w:pPr>
        <w:pStyle w:val="FootnoteText"/>
      </w:pPr>
      <w:r w:rsidRPr="00FF5CB4">
        <w:rPr>
          <w:rStyle w:val="FootnoteReference"/>
        </w:rPr>
        <w:footnoteRef/>
      </w:r>
      <w:r w:rsidRPr="00FF5CB4">
        <w:t xml:space="preserve"> </w:t>
      </w:r>
      <w:r w:rsidRPr="00FF5CB4">
        <w:rPr>
          <w:i/>
          <w:iCs/>
        </w:rPr>
        <w:t>See</w:t>
      </w:r>
      <w:r>
        <w:rPr>
          <w:i/>
          <w:iCs/>
        </w:rPr>
        <w:t>,</w:t>
      </w:r>
      <w:r w:rsidRPr="00FF5CB4">
        <w:rPr>
          <w:i/>
          <w:iCs/>
        </w:rPr>
        <w:t xml:space="preserve"> e.g., </w:t>
      </w:r>
      <w:r>
        <w:rPr>
          <w:i/>
          <w:iCs/>
          <w:snapToGrid w:val="0"/>
        </w:rPr>
        <w:t>American Samoa Telecommunications Auth.</w:t>
      </w:r>
      <w:r>
        <w:rPr>
          <w:snapToGrid w:val="0"/>
        </w:rPr>
        <w:t xml:space="preserve">, </w:t>
      </w:r>
      <w:r w:rsidRPr="00FF5CB4">
        <w:t xml:space="preserve">Forfeiture Order, 27 FCC Rcd 13174, 13180, para. 8 (Enf. Bur. 2012) (forfeiture paid) </w:t>
      </w:r>
      <w:r>
        <w:t>(</w:t>
      </w:r>
      <w:r w:rsidRPr="00616FC2">
        <w:rPr>
          <w:i/>
        </w:rPr>
        <w:t>ASTCA</w:t>
      </w:r>
      <w:r>
        <w:t xml:space="preserve">) </w:t>
      </w:r>
      <w:r w:rsidRPr="00FF5CB4">
        <w:t xml:space="preserve">(emphasizing that a violation is “willful” if the violator knew it was taking or failing to take the action in question, irrespective of any intent to violate the Rules); </w:t>
      </w:r>
      <w:r w:rsidRPr="00FF5CB4">
        <w:rPr>
          <w:i/>
          <w:iCs/>
        </w:rPr>
        <w:t>Saga Radio Networks, LLC</w:t>
      </w:r>
      <w:r w:rsidRPr="00FF5CB4">
        <w:t xml:space="preserve">, Forfeiture Order, 24 FCC Rcd 3852, 3855, para. 10 (Enf. Bur. 2009) (same), </w:t>
      </w:r>
      <w:r w:rsidRPr="00FF5CB4">
        <w:rPr>
          <w:i/>
          <w:iCs/>
        </w:rPr>
        <w:t>recon. denied</w:t>
      </w:r>
      <w:r w:rsidRPr="00FF5CB4">
        <w:t xml:space="preserve">, Memorandum Opinion and Order, 28 FCC Rcd 6875 (Enf. Bur. 2009); </w:t>
      </w:r>
      <w:r w:rsidRPr="00FF5CB4">
        <w:rPr>
          <w:i/>
          <w:iCs/>
        </w:rPr>
        <w:t>Alacca Bible Conf., Inc</w:t>
      </w:r>
      <w:r w:rsidRPr="00FF5CB4">
        <w:t xml:space="preserve">., Forfeiture Order, 25 FCC Rcd 2584, 2585, para. 5 (Med. Bur. 2009) (same); </w:t>
      </w:r>
      <w:r w:rsidRPr="00FF5CB4">
        <w:rPr>
          <w:i/>
          <w:iCs/>
        </w:rPr>
        <w:t xml:space="preserve">see also supra </w:t>
      </w:r>
      <w:r w:rsidRPr="00FF5CB4">
        <w:t xml:space="preserve">note </w:t>
      </w:r>
      <w:r w:rsidR="00127CE9">
        <w:t>8</w:t>
      </w:r>
      <w:r w:rsidRPr="00FF5CB4">
        <w:t xml:space="preserve"> (defining </w:t>
      </w:r>
      <w:r>
        <w:t>“</w:t>
      </w:r>
      <w:r w:rsidRPr="00FF5CB4">
        <w:t>willful</w:t>
      </w:r>
      <w:r>
        <w:t>”</w:t>
      </w:r>
      <w:r w:rsidRPr="00FF5CB4">
        <w:t xml:space="preserve"> for the purposes of Section 312 and 503(b) of the Act); H.R. Rep. No. 97-765, at 51 (1982) (Conf. Rep.) (“‘[W]illful’ means that the licensee knew that he was doing the act in question, regardless of whether there was an intent to violate the law.”).</w:t>
      </w:r>
    </w:p>
  </w:footnote>
  <w:footnote w:id="19">
    <w:p w:rsidR="00162CE1" w:rsidRPr="00FF5CB4" w:rsidRDefault="00162CE1" w:rsidP="00162CE1">
      <w:pPr>
        <w:pStyle w:val="FootnoteText"/>
      </w:pPr>
      <w:r w:rsidRPr="00FF5CB4">
        <w:rPr>
          <w:rStyle w:val="FootnoteReference"/>
        </w:rPr>
        <w:footnoteRef/>
      </w:r>
      <w:r w:rsidRPr="00FF5CB4">
        <w:t xml:space="preserve"> </w:t>
      </w:r>
      <w:r w:rsidRPr="00FF5CB4">
        <w:rPr>
          <w:i/>
        </w:rPr>
        <w:t>See, e.g., So. Cal.</w:t>
      </w:r>
      <w:r w:rsidRPr="00FF5CB4">
        <w:t>, 6 FCC Rcd at 4387–88, para. 5 (finding that, consistent with the congressional record accompanying the 1982 amendments to the Act, a “willful” violation need not be intentional).</w:t>
      </w:r>
    </w:p>
  </w:footnote>
  <w:footnote w:id="20">
    <w:p w:rsidR="00162CE1" w:rsidRDefault="00162CE1" w:rsidP="00162CE1">
      <w:pPr>
        <w:pStyle w:val="FootnoteText"/>
      </w:pPr>
      <w:r>
        <w:rPr>
          <w:rStyle w:val="FootnoteReference"/>
        </w:rPr>
        <w:footnoteRef/>
      </w:r>
      <w:r>
        <w:t xml:space="preserve"> </w:t>
      </w:r>
      <w:r>
        <w:rPr>
          <w:i/>
        </w:rPr>
        <w:t xml:space="preserve">See </w:t>
      </w:r>
      <w:r w:rsidR="008851E9">
        <w:t>NAL Response at 3–</w:t>
      </w:r>
      <w:r>
        <w:t xml:space="preserve">4. </w:t>
      </w:r>
    </w:p>
  </w:footnote>
  <w:footnote w:id="21">
    <w:p w:rsidR="00162CE1" w:rsidRDefault="00162CE1" w:rsidP="00162CE1">
      <w:pPr>
        <w:pStyle w:val="FootnoteText"/>
      </w:pPr>
      <w:r>
        <w:rPr>
          <w:rStyle w:val="FootnoteReference"/>
        </w:rPr>
        <w:footnoteRef/>
      </w:r>
      <w:r>
        <w:t xml:space="preserve"> </w:t>
      </w:r>
      <w:r>
        <w:rPr>
          <w:i/>
          <w:iCs/>
          <w:snapToGrid w:val="0"/>
        </w:rPr>
        <w:t>See</w:t>
      </w:r>
      <w:r>
        <w:rPr>
          <w:snapToGrid w:val="0"/>
        </w:rPr>
        <w:t xml:space="preserve"> </w:t>
      </w:r>
      <w:r w:rsidRPr="00616FC2">
        <w:rPr>
          <w:i/>
          <w:snapToGrid w:val="0"/>
        </w:rPr>
        <w:t>ASTCA</w:t>
      </w:r>
      <w:r>
        <w:rPr>
          <w:snapToGrid w:val="0"/>
        </w:rPr>
        <w:t xml:space="preserve">, 27 FCC Rcd at 13182, para. 13.  </w:t>
      </w:r>
      <w:bookmarkStart w:id="7" w:name="SearchTerm"/>
      <w:r>
        <w:rPr>
          <w:rStyle w:val="documentbody"/>
          <w:i/>
          <w:iCs/>
          <w:color w:val="000000"/>
        </w:rPr>
        <w:t>See also Compass Global, Inc.</w:t>
      </w:r>
      <w:r>
        <w:rPr>
          <w:rStyle w:val="documentbody"/>
          <w:color w:val="000000"/>
        </w:rPr>
        <w:t xml:space="preserve">, Notice of Apparent Liability for Forfeiture, </w:t>
      </w:r>
      <w:hyperlink r:id="rId1" w:tgtFrame="_top" w:history="1">
        <w:r w:rsidRPr="006101E3">
          <w:rPr>
            <w:rStyle w:val="Hyperlink"/>
            <w:color w:val="000000"/>
            <w:u w:val="none"/>
          </w:rPr>
          <w:t>23 FCC Rcd 6125, 6138, para. 29 (2008)</w:t>
        </w:r>
      </w:hyperlink>
      <w:r>
        <w:rPr>
          <w:rStyle w:val="documentbody"/>
          <w:color w:val="000000"/>
        </w:rPr>
        <w:t xml:space="preserve"> (finding that failures to file are continuing violations that toll the statute of limitations for forfeiture until the violations are cured); </w:t>
      </w:r>
      <w:r>
        <w:rPr>
          <w:rStyle w:val="documentbody"/>
          <w:i/>
          <w:iCs/>
          <w:color w:val="000000"/>
        </w:rPr>
        <w:t>Telrite</w:t>
      </w:r>
      <w:r>
        <w:rPr>
          <w:rStyle w:val="documentbody"/>
          <w:iCs/>
          <w:color w:val="000000"/>
        </w:rPr>
        <w:t>,</w:t>
      </w:r>
      <w:r>
        <w:rPr>
          <w:rStyle w:val="documentbody"/>
          <w:color w:val="000000"/>
        </w:rPr>
        <w:t xml:space="preserve"> </w:t>
      </w:r>
      <w:hyperlink r:id="rId2" w:tgtFrame="_top" w:history="1">
        <w:r w:rsidRPr="006101E3">
          <w:rPr>
            <w:rStyle w:val="Hyperlink"/>
            <w:color w:val="000000"/>
            <w:u w:val="none"/>
          </w:rPr>
          <w:t xml:space="preserve">23 FCC Rcd at 7244, para. 30 </w:t>
        </w:r>
      </w:hyperlink>
      <w:r>
        <w:rPr>
          <w:rStyle w:val="documentbody"/>
          <w:color w:val="000000"/>
        </w:rPr>
        <w:t xml:space="preserve">(same); </w:t>
      </w:r>
      <w:r>
        <w:rPr>
          <w:rStyle w:val="documentbody"/>
          <w:i/>
          <w:iCs/>
          <w:color w:val="000000"/>
        </w:rPr>
        <w:t>VCI Co.</w:t>
      </w:r>
      <w:r>
        <w:rPr>
          <w:rStyle w:val="documentbody"/>
          <w:iCs/>
          <w:color w:val="000000"/>
        </w:rPr>
        <w:t>,</w:t>
      </w:r>
      <w:r>
        <w:rPr>
          <w:rStyle w:val="documentbody"/>
          <w:color w:val="000000"/>
        </w:rPr>
        <w:t xml:space="preserve"> Notice of Apparent Liability for Forfeiture and Order, </w:t>
      </w:r>
      <w:hyperlink r:id="rId3" w:tgtFrame="_top" w:history="1">
        <w:r w:rsidRPr="006101E3">
          <w:rPr>
            <w:rStyle w:val="Hyperlink"/>
            <w:color w:val="000000"/>
            <w:u w:val="none"/>
          </w:rPr>
          <w:t>22 FCC Rcd 15933, 15940, para. 20 (2007)</w:t>
        </w:r>
      </w:hyperlink>
      <w:r>
        <w:rPr>
          <w:rStyle w:val="documentbody"/>
          <w:color w:val="000000"/>
        </w:rPr>
        <w:t xml:space="preserve"> (</w:t>
      </w:r>
      <w:bookmarkStart w:id="8" w:name="SR;9799"/>
      <w:bookmarkStart w:id="9" w:name="SR;9801"/>
      <w:bookmarkStart w:id="10" w:name="SR;9807"/>
      <w:bookmarkStart w:id="11" w:name="SR;9808"/>
      <w:bookmarkEnd w:id="7"/>
      <w:bookmarkEnd w:id="8"/>
      <w:bookmarkEnd w:id="9"/>
      <w:bookmarkEnd w:id="10"/>
      <w:bookmarkEnd w:id="11"/>
      <w:r>
        <w:rPr>
          <w:rStyle w:val="documentbody"/>
          <w:color w:val="000000"/>
        </w:rPr>
        <w:t>same).</w:t>
      </w:r>
    </w:p>
  </w:footnote>
  <w:footnote w:id="22">
    <w:p w:rsidR="00162CE1" w:rsidRDefault="00162CE1" w:rsidP="00162CE1">
      <w:pPr>
        <w:pStyle w:val="FootnoteText"/>
      </w:pPr>
      <w:r>
        <w:rPr>
          <w:rStyle w:val="FootnoteReference"/>
        </w:rPr>
        <w:footnoteRef/>
      </w:r>
      <w:r>
        <w:t xml:space="preserve"> </w:t>
      </w:r>
      <w:r w:rsidRPr="007A79BF">
        <w:rPr>
          <w:i/>
        </w:rPr>
        <w:t>See</w:t>
      </w:r>
      <w:r w:rsidR="008851E9">
        <w:t xml:space="preserve"> NAL Response at 4–</w:t>
      </w:r>
      <w:r>
        <w:t>5.</w:t>
      </w:r>
    </w:p>
  </w:footnote>
  <w:footnote w:id="23">
    <w:p w:rsidR="00162CE1" w:rsidRDefault="00162CE1" w:rsidP="00162CE1">
      <w:pPr>
        <w:pStyle w:val="FootnoteText"/>
      </w:pPr>
      <w:r>
        <w:rPr>
          <w:rStyle w:val="FootnoteReference"/>
        </w:rPr>
        <w:footnoteRef/>
      </w:r>
      <w:r>
        <w:t xml:space="preserve"> </w:t>
      </w:r>
      <w:r w:rsidRPr="0041502C">
        <w:rPr>
          <w:i/>
        </w:rPr>
        <w:t>See id</w:t>
      </w:r>
      <w:r>
        <w:t>. at 1690, para. 7.</w:t>
      </w:r>
    </w:p>
  </w:footnote>
  <w:footnote w:id="24">
    <w:p w:rsidR="00970FC1" w:rsidRDefault="00970FC1" w:rsidP="00970FC1">
      <w:pPr>
        <w:pStyle w:val="FootnoteText"/>
      </w:pPr>
      <w:r>
        <w:rPr>
          <w:rStyle w:val="FootnoteReference"/>
        </w:rPr>
        <w:footnoteRef/>
      </w:r>
      <w:r>
        <w:t xml:space="preserve"> </w:t>
      </w:r>
      <w:r w:rsidRPr="008425FC">
        <w:rPr>
          <w:i/>
        </w:rPr>
        <w:t xml:space="preserve">See </w:t>
      </w:r>
      <w:r>
        <w:rPr>
          <w:i/>
        </w:rPr>
        <w:t>NAL Response at 5</w:t>
      </w:r>
      <w:r>
        <w:t>.</w:t>
      </w:r>
    </w:p>
  </w:footnote>
  <w:footnote w:id="25">
    <w:p w:rsidR="00B66552" w:rsidRDefault="00B66552" w:rsidP="00B66552">
      <w:pPr>
        <w:pStyle w:val="FootnoteText"/>
      </w:pPr>
      <w:r>
        <w:rPr>
          <w:rStyle w:val="FootnoteReference"/>
        </w:rPr>
        <w:footnoteRef/>
      </w:r>
      <w:r>
        <w:t xml:space="preserve"> </w:t>
      </w:r>
      <w:r w:rsidRPr="0041502C">
        <w:rPr>
          <w:i/>
        </w:rPr>
        <w:t>NAL</w:t>
      </w:r>
      <w:r>
        <w:t xml:space="preserve">, 29 FCC Rcd at 1689, n.17.  </w:t>
      </w:r>
      <w:r w:rsidRPr="006410C3">
        <w:rPr>
          <w:i/>
        </w:rPr>
        <w:t>See also</w:t>
      </w:r>
      <w:r>
        <w:t xml:space="preserve"> NAL Response at 5.</w:t>
      </w:r>
    </w:p>
  </w:footnote>
  <w:footnote w:id="26">
    <w:p w:rsidR="00B66552" w:rsidRDefault="00B66552" w:rsidP="00B66552">
      <w:pPr>
        <w:pStyle w:val="FootnoteText"/>
      </w:pPr>
      <w:r>
        <w:rPr>
          <w:rStyle w:val="FootnoteReference"/>
        </w:rPr>
        <w:footnoteRef/>
      </w:r>
      <w:r>
        <w:t xml:space="preserve"> </w:t>
      </w:r>
      <w:r w:rsidRPr="00A077D7">
        <w:rPr>
          <w:i/>
        </w:rPr>
        <w:t>See id</w:t>
      </w:r>
      <w:r>
        <w:t>. at 5.</w:t>
      </w:r>
    </w:p>
  </w:footnote>
  <w:footnote w:id="27">
    <w:p w:rsidR="00B66552" w:rsidRDefault="00B66552" w:rsidP="00B66552">
      <w:pPr>
        <w:pStyle w:val="FootnoteText"/>
      </w:pPr>
      <w:r>
        <w:rPr>
          <w:rStyle w:val="FootnoteReference"/>
        </w:rPr>
        <w:footnoteRef/>
      </w:r>
      <w:r>
        <w:t xml:space="preserve"> </w:t>
      </w:r>
      <w:r w:rsidRPr="00941B44">
        <w:rPr>
          <w:i/>
        </w:rPr>
        <w:t>See id</w:t>
      </w:r>
      <w:r>
        <w:t xml:space="preserve">. at 4–5 (citing </w:t>
      </w:r>
      <w:r w:rsidRPr="00941B44">
        <w:rPr>
          <w:i/>
        </w:rPr>
        <w:t>ASTCA</w:t>
      </w:r>
      <w:r>
        <w:t xml:space="preserve"> 27 FCC Rcd at 13180-82, paras. 9–13 (imposing forfeiture where hearing aid compatibility status report was filed more than five months after the filing deadline and company had also failed to file six preceding hearing aid compatibility status reports). </w:t>
      </w:r>
    </w:p>
  </w:footnote>
  <w:footnote w:id="28">
    <w:p w:rsidR="00B66552" w:rsidRDefault="00B66552" w:rsidP="00B66552">
      <w:pPr>
        <w:pStyle w:val="FootnoteText"/>
      </w:pPr>
      <w:r>
        <w:rPr>
          <w:rStyle w:val="FootnoteReference"/>
        </w:rPr>
        <w:footnoteRef/>
      </w:r>
      <w:r>
        <w:t xml:space="preserve"> </w:t>
      </w:r>
      <w:r w:rsidRPr="004A5965">
        <w:rPr>
          <w:i/>
        </w:rPr>
        <w:t>See, e.g., Long Lines Wireless, LLC</w:t>
      </w:r>
      <w:r>
        <w:t xml:space="preserve">, Notice of Apparent Liability for Forfeiture, 29 FCC Rcd 2722, 12726–27, paras. 9–10 (Enf. Bur. 2014) (proposing the base forfeiture of $6,000 for failing to timely file the hearing aid compatibility status report) (forfeiture paid); </w:t>
      </w:r>
      <w:r w:rsidRPr="004A5965">
        <w:rPr>
          <w:i/>
        </w:rPr>
        <w:t>Air Voice Wireless, LLC</w:t>
      </w:r>
      <w:r>
        <w:t xml:space="preserve">, Notice of Apparent Liability for Forfeiture, 29 FCC Rcd 1251, 1255, paras. 9–10 (Enf. Bur. 2014) (same) (forfeiture paid); </w:t>
      </w:r>
      <w:r w:rsidRPr="004A5965">
        <w:rPr>
          <w:i/>
        </w:rPr>
        <w:t>Kyocera Communications, Inc., Kyocera Corporation</w:t>
      </w:r>
      <w:r>
        <w:t xml:space="preserve">, Notice of Apparent Liability for Forfeiture, 28 FCC Rcd 5987, 5990–91, paras. </w:t>
      </w:r>
      <w:r w:rsidR="00713771">
        <w:t>8</w:t>
      </w:r>
      <w:r>
        <w:t xml:space="preserve">–10 (Enf. Bur. 2013) (proposing the base forfeiture amount for failing to timely file the hearing aid compatibility status report and an upward adjustment for high revenues and ability to pay a forfeiture), </w:t>
      </w:r>
      <w:r w:rsidRPr="004A5965">
        <w:rPr>
          <w:i/>
        </w:rPr>
        <w:t>consent decree ordered</w:t>
      </w:r>
      <w:r>
        <w:t>, Order and Consent Decree, 29 FCC Rcd 3494 (Enf. Bur. 2014).</w:t>
      </w:r>
    </w:p>
  </w:footnote>
  <w:footnote w:id="29">
    <w:p w:rsidR="00162CE1" w:rsidRDefault="00162CE1" w:rsidP="00162CE1">
      <w:pPr>
        <w:pStyle w:val="FootnoteText"/>
      </w:pPr>
      <w:r>
        <w:rPr>
          <w:rStyle w:val="FootnoteReference"/>
        </w:rPr>
        <w:footnoteRef/>
      </w:r>
      <w:r>
        <w:t xml:space="preserve"> </w:t>
      </w:r>
      <w:r w:rsidRPr="002D6F73">
        <w:rPr>
          <w:i/>
        </w:rPr>
        <w:t>See</w:t>
      </w:r>
      <w:r>
        <w:t xml:space="preserve"> NAL Response at 5.</w:t>
      </w:r>
    </w:p>
  </w:footnote>
  <w:footnote w:id="30">
    <w:p w:rsidR="00162CE1" w:rsidRDefault="00162CE1" w:rsidP="00162CE1">
      <w:pPr>
        <w:pStyle w:val="FootnoteText"/>
      </w:pPr>
      <w:r>
        <w:rPr>
          <w:rStyle w:val="FootnoteReference"/>
        </w:rPr>
        <w:footnoteRef/>
      </w:r>
      <w:r>
        <w:t xml:space="preserve"> </w:t>
      </w:r>
      <w:r w:rsidRPr="00986FFD">
        <w:rPr>
          <w:i/>
        </w:rPr>
        <w:t>Assist Wireless, LLC</w:t>
      </w:r>
      <w:r>
        <w:t>, Notice of Apparent Liability for Forfeiture, 28 FCC Rcd 14456 (2013).</w:t>
      </w:r>
    </w:p>
  </w:footnote>
  <w:footnote w:id="31">
    <w:p w:rsidR="00E13333" w:rsidRPr="00FF5CB4" w:rsidRDefault="00E13333" w:rsidP="00E13333">
      <w:pPr>
        <w:pStyle w:val="FootnoteText"/>
      </w:pPr>
      <w:r w:rsidRPr="00FF5CB4">
        <w:rPr>
          <w:rStyle w:val="FootnoteReference"/>
        </w:rPr>
        <w:footnoteRef/>
      </w:r>
      <w:r w:rsidRPr="00FF5CB4">
        <w:t xml:space="preserve"> </w:t>
      </w:r>
      <w:r w:rsidRPr="00FF5CB4">
        <w:rPr>
          <w:i/>
        </w:rPr>
        <w:t xml:space="preserve">See </w:t>
      </w:r>
      <w:r>
        <w:t>NAL Response at 5</w:t>
      </w:r>
      <w:r w:rsidRPr="00FF5CB4">
        <w:t>.</w:t>
      </w:r>
    </w:p>
  </w:footnote>
  <w:footnote w:id="32">
    <w:p w:rsidR="00E13333" w:rsidRDefault="00E13333" w:rsidP="00E13333">
      <w:pPr>
        <w:pStyle w:val="FootnoteText"/>
      </w:pPr>
      <w:r>
        <w:rPr>
          <w:rStyle w:val="FootnoteReference"/>
        </w:rPr>
        <w:footnoteRef/>
      </w:r>
      <w:r>
        <w:t xml:space="preserve"> </w:t>
      </w:r>
      <w:r>
        <w:rPr>
          <w:i/>
        </w:rPr>
        <w:t>See</w:t>
      </w:r>
      <w:r>
        <w:t xml:space="preserve">, </w:t>
      </w:r>
      <w:r>
        <w:rPr>
          <w:i/>
        </w:rPr>
        <w:t>e.g</w:t>
      </w:r>
      <w:r>
        <w:t xml:space="preserve">., </w:t>
      </w:r>
      <w:r>
        <w:rPr>
          <w:i/>
          <w:iCs/>
        </w:rPr>
        <w:t>Behringer USA, Inc.</w:t>
      </w:r>
      <w:r>
        <w:rPr>
          <w:iCs/>
        </w:rPr>
        <w:t xml:space="preserve">, Forfeiture Order, </w:t>
      </w:r>
      <w:r>
        <w:rPr>
          <w:rStyle w:val="documentbody"/>
        </w:rPr>
        <w:t xml:space="preserve">22 FCC Rcd 10451, 10459, para. </w:t>
      </w:r>
      <w:r>
        <w:t>19</w:t>
      </w:r>
      <w:r>
        <w:rPr>
          <w:rStyle w:val="documentbody"/>
          <w:iCs/>
        </w:rPr>
        <w:t xml:space="preserve"> (2007) (forfeiture paid)</w:t>
      </w:r>
      <w:r>
        <w:rPr>
          <w:rStyle w:val="documentbody"/>
        </w:rPr>
        <w:t xml:space="preserve">.  </w:t>
      </w:r>
    </w:p>
  </w:footnote>
  <w:footnote w:id="33">
    <w:p w:rsidR="00E13333" w:rsidRDefault="00E13333" w:rsidP="00E13333">
      <w:pPr>
        <w:pStyle w:val="FootnoteText"/>
      </w:pPr>
      <w:r>
        <w:rPr>
          <w:rStyle w:val="FootnoteReference"/>
        </w:rPr>
        <w:footnoteRef/>
      </w:r>
      <w:r>
        <w:t xml:space="preserve"> 47 C.F.R. § 20.19(i)(1).</w:t>
      </w:r>
    </w:p>
  </w:footnote>
  <w:footnote w:id="34">
    <w:p w:rsidR="003343CA" w:rsidRPr="00344C0B" w:rsidRDefault="003343CA" w:rsidP="003343CA">
      <w:pPr>
        <w:pStyle w:val="FootnoteText"/>
      </w:pPr>
      <w:r w:rsidRPr="00344C0B">
        <w:rPr>
          <w:rStyle w:val="FootnoteReference"/>
        </w:rPr>
        <w:footnoteRef/>
      </w:r>
      <w:r w:rsidRPr="00344C0B">
        <w:t xml:space="preserve"> 47 U.S.C. § 503(b).</w:t>
      </w:r>
    </w:p>
  </w:footnote>
  <w:footnote w:id="35">
    <w:p w:rsidR="003343CA" w:rsidRPr="00344C0B" w:rsidRDefault="003343CA" w:rsidP="003343CA">
      <w:pPr>
        <w:pStyle w:val="FootnoteText"/>
      </w:pPr>
      <w:r w:rsidRPr="00344C0B">
        <w:rPr>
          <w:rStyle w:val="FootnoteReference"/>
        </w:rPr>
        <w:footnoteRef/>
      </w:r>
      <w:r w:rsidRPr="00344C0B">
        <w:t xml:space="preserve"> 47 C.F.R. § 1.80.</w:t>
      </w:r>
    </w:p>
  </w:footnote>
  <w:footnote w:id="36">
    <w:p w:rsidR="003343CA" w:rsidRPr="00344C0B" w:rsidRDefault="003343CA" w:rsidP="003343CA">
      <w:pPr>
        <w:pStyle w:val="FootnoteText"/>
      </w:pPr>
      <w:r w:rsidRPr="00344C0B">
        <w:rPr>
          <w:rStyle w:val="FootnoteReference"/>
        </w:rPr>
        <w:footnoteRef/>
      </w:r>
      <w:r w:rsidRPr="00344C0B">
        <w:t xml:space="preserve"> </w:t>
      </w:r>
      <w:r w:rsidRPr="00344C0B">
        <w:rPr>
          <w:i/>
        </w:rPr>
        <w:t>Id.</w:t>
      </w:r>
    </w:p>
  </w:footnote>
  <w:footnote w:id="37">
    <w:p w:rsidR="003343CA" w:rsidRPr="00344C0B" w:rsidRDefault="003343CA" w:rsidP="003343CA">
      <w:pPr>
        <w:pStyle w:val="FootnoteText"/>
      </w:pPr>
      <w:r w:rsidRPr="00344C0B">
        <w:rPr>
          <w:rStyle w:val="FootnoteReference"/>
        </w:rPr>
        <w:footnoteRef/>
      </w:r>
      <w:r w:rsidRPr="00344C0B">
        <w:t xml:space="preserve"> 47 U.S.C. § 504(a).</w:t>
      </w:r>
    </w:p>
  </w:footnote>
  <w:footnote w:id="38">
    <w:p w:rsidR="003343CA" w:rsidRPr="00344C0B" w:rsidRDefault="003343CA" w:rsidP="003343CA">
      <w:pPr>
        <w:pStyle w:val="FootnoteText"/>
      </w:pPr>
      <w:r w:rsidRPr="00344C0B">
        <w:rPr>
          <w:rStyle w:val="FootnoteReference"/>
        </w:rPr>
        <w:footnoteRef/>
      </w:r>
      <w:r w:rsidRPr="00344C0B">
        <w:t xml:space="preserve"> </w:t>
      </w:r>
      <w:r w:rsidRPr="00344C0B">
        <w:rPr>
          <w:rStyle w:val="FootnoteTextChar2"/>
        </w:rPr>
        <w:t xml:space="preserve">An FCC Form 159 and detailed instructions for completing the form may be obtained at </w:t>
      </w:r>
      <w:r w:rsidRPr="00344C0B">
        <w:t>http://www.fcc.gov/Forms/Form159/159.pdf</w:t>
      </w:r>
      <w:r w:rsidRPr="00344C0B">
        <w:rPr>
          <w:rStyle w:val="FootnoteTextChar2"/>
        </w:rPr>
        <w:t>.</w:t>
      </w:r>
    </w:p>
  </w:footnote>
  <w:footnote w:id="39">
    <w:p w:rsidR="00F23F1E" w:rsidRPr="0030738C" w:rsidRDefault="00F23F1E" w:rsidP="00F23F1E">
      <w:pPr>
        <w:pStyle w:val="FootnoteText"/>
      </w:pPr>
      <w:r w:rsidRPr="00344C0B">
        <w:rPr>
          <w:rStyle w:val="FootnoteReference"/>
        </w:rPr>
        <w:footnoteRef/>
      </w:r>
      <w:r w:rsidRPr="00344C0B">
        <w:t xml:space="preserve"> </w:t>
      </w:r>
      <w:r w:rsidRPr="00344C0B">
        <w:rPr>
          <w:i/>
        </w:rPr>
        <w:t>See</w:t>
      </w:r>
      <w:r w:rsidRPr="00344C0B">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4F7" w:rsidRDefault="003024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Default="006D2212" w:rsidP="001B048F">
    <w:pPr>
      <w:pStyle w:val="Header"/>
      <w:rPr>
        <w:spacing w:val="-2"/>
      </w:rPr>
    </w:pPr>
    <w:r>
      <w:rPr>
        <w:noProof/>
      </w:rPr>
      <mc:AlternateContent>
        <mc:Choice Requires="wps">
          <w:drawing>
            <wp:anchor distT="0" distB="0" distL="114300" distR="114300" simplePos="0" relativeHeight="251658240" behindDoc="1" locked="0" layoutInCell="0" allowOverlap="1" wp14:anchorId="4A1203FB" wp14:editId="302F9A03">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2D74C4" w:rsidRPr="00344C0B">
      <w:rPr>
        <w:spacing w:val="-2"/>
      </w:rPr>
      <w:t xml:space="preserve">DA </w:t>
    </w:r>
    <w:r w:rsidR="006B44D3">
      <w:rPr>
        <w:spacing w:val="-2"/>
      </w:rPr>
      <w:t>15-</w:t>
    </w:r>
    <w:r w:rsidR="00AD6CE2">
      <w:rPr>
        <w:spacing w:val="-2"/>
      </w:rPr>
      <w:t>650</w:t>
    </w:r>
  </w:p>
  <w:p w:rsidR="00943DEF" w:rsidRPr="001B048F" w:rsidRDefault="00943DEF" w:rsidP="001B048F">
    <w:pPr>
      <w:pStyle w:val="Header"/>
      <w:rPr>
        <w:b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Default="006D2212" w:rsidP="001B048F">
    <w:pPr>
      <w:pStyle w:val="Header"/>
      <w:rPr>
        <w:spacing w:val="-2"/>
      </w:rPr>
    </w:pPr>
    <w:r>
      <w:rPr>
        <w:noProof/>
      </w:rPr>
      <mc:AlternateContent>
        <mc:Choice Requires="wps">
          <w:drawing>
            <wp:anchor distT="0" distB="0" distL="114300" distR="114300" simplePos="0" relativeHeight="251657216" behindDoc="1" locked="0" layoutInCell="0" allowOverlap="1" wp14:anchorId="0AAA8B89" wp14:editId="4BB7B9F2">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E273E3" w:rsidRPr="00CE57A9">
      <w:rPr>
        <w:spacing w:val="-2"/>
      </w:rPr>
      <w:t xml:space="preserve">DA </w:t>
    </w:r>
    <w:r w:rsidR="006B44D3">
      <w:rPr>
        <w:spacing w:val="-2"/>
      </w:rPr>
      <w:t>15-</w:t>
    </w:r>
    <w:r w:rsidR="00AD6CE2">
      <w:rPr>
        <w:spacing w:val="-2"/>
      </w:rPr>
      <w:t>650</w:t>
    </w:r>
  </w:p>
  <w:p w:rsidR="00943DEF" w:rsidRPr="001B048F" w:rsidRDefault="00943DEF" w:rsidP="001B048F">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4"/>
  </w:num>
  <w:num w:numId="3">
    <w:abstractNumId w:val="0"/>
    <w:lvlOverride w:ilvl="0">
      <w:lvl w:ilvl="0">
        <w:numFmt w:val="bullet"/>
        <w:pStyle w:val="par1"/>
        <w:lvlText w:val=""/>
        <w:legacy w:legacy="1" w:legacySpace="0" w:legacyIndent="360"/>
        <w:lvlJc w:val="left"/>
        <w:rPr>
          <w:rFonts w:ascii="Symbol" w:hAnsi="Symbol" w:hint="default"/>
        </w:rPr>
      </w:lvl>
    </w:lvlOverride>
  </w:num>
  <w:num w:numId="4">
    <w:abstractNumId w:val="6"/>
  </w:num>
  <w:num w:numId="5">
    <w:abstractNumId w:val="7"/>
  </w:num>
  <w:num w:numId="6">
    <w:abstractNumId w:val="7"/>
  </w:num>
  <w:num w:numId="7">
    <w:abstractNumId w:val="2"/>
  </w:num>
  <w:num w:numId="8">
    <w:abstractNumId w:val="5"/>
  </w:num>
  <w:num w:numId="9">
    <w:abstractNumId w:val="3"/>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DB"/>
    <w:rsid w:val="000024CA"/>
    <w:rsid w:val="00005148"/>
    <w:rsid w:val="0000624E"/>
    <w:rsid w:val="00014462"/>
    <w:rsid w:val="000145C6"/>
    <w:rsid w:val="000174F9"/>
    <w:rsid w:val="000264B4"/>
    <w:rsid w:val="00031AE8"/>
    <w:rsid w:val="00036D58"/>
    <w:rsid w:val="00043C9B"/>
    <w:rsid w:val="00046801"/>
    <w:rsid w:val="0004713B"/>
    <w:rsid w:val="000604EB"/>
    <w:rsid w:val="0006198F"/>
    <w:rsid w:val="00062C44"/>
    <w:rsid w:val="000649FE"/>
    <w:rsid w:val="00071E3F"/>
    <w:rsid w:val="00072D7D"/>
    <w:rsid w:val="00074717"/>
    <w:rsid w:val="0007571D"/>
    <w:rsid w:val="00080535"/>
    <w:rsid w:val="000853AD"/>
    <w:rsid w:val="00086824"/>
    <w:rsid w:val="00086B1C"/>
    <w:rsid w:val="00091AE4"/>
    <w:rsid w:val="00091F50"/>
    <w:rsid w:val="00092506"/>
    <w:rsid w:val="000962DF"/>
    <w:rsid w:val="00097F82"/>
    <w:rsid w:val="000A3E68"/>
    <w:rsid w:val="000A4776"/>
    <w:rsid w:val="000B14C3"/>
    <w:rsid w:val="000B1C2B"/>
    <w:rsid w:val="000B29ED"/>
    <w:rsid w:val="000B57A8"/>
    <w:rsid w:val="000B7657"/>
    <w:rsid w:val="000C092B"/>
    <w:rsid w:val="000C6050"/>
    <w:rsid w:val="000C7EBA"/>
    <w:rsid w:val="000D03AE"/>
    <w:rsid w:val="000D1391"/>
    <w:rsid w:val="000E0320"/>
    <w:rsid w:val="000E1951"/>
    <w:rsid w:val="000E2707"/>
    <w:rsid w:val="000F1155"/>
    <w:rsid w:val="000F240E"/>
    <w:rsid w:val="00100646"/>
    <w:rsid w:val="00103CEA"/>
    <w:rsid w:val="00105A35"/>
    <w:rsid w:val="001067B6"/>
    <w:rsid w:val="0011337B"/>
    <w:rsid w:val="0011687C"/>
    <w:rsid w:val="001205FE"/>
    <w:rsid w:val="0012188A"/>
    <w:rsid w:val="00122EB3"/>
    <w:rsid w:val="0012427E"/>
    <w:rsid w:val="00126C88"/>
    <w:rsid w:val="00127CE9"/>
    <w:rsid w:val="00135F7F"/>
    <w:rsid w:val="00136476"/>
    <w:rsid w:val="00140ABB"/>
    <w:rsid w:val="001426F0"/>
    <w:rsid w:val="00145E08"/>
    <w:rsid w:val="001532B1"/>
    <w:rsid w:val="00153904"/>
    <w:rsid w:val="00153CE0"/>
    <w:rsid w:val="00154A5C"/>
    <w:rsid w:val="00162161"/>
    <w:rsid w:val="00162CE1"/>
    <w:rsid w:val="00164D9B"/>
    <w:rsid w:val="001715BD"/>
    <w:rsid w:val="00172581"/>
    <w:rsid w:val="001740BB"/>
    <w:rsid w:val="00180026"/>
    <w:rsid w:val="001819AF"/>
    <w:rsid w:val="00191810"/>
    <w:rsid w:val="0019264B"/>
    <w:rsid w:val="00196E93"/>
    <w:rsid w:val="001A29EF"/>
    <w:rsid w:val="001A2F40"/>
    <w:rsid w:val="001A69BA"/>
    <w:rsid w:val="001A79FB"/>
    <w:rsid w:val="001B048F"/>
    <w:rsid w:val="001C3156"/>
    <w:rsid w:val="001C3B35"/>
    <w:rsid w:val="001C42B3"/>
    <w:rsid w:val="001D1CEF"/>
    <w:rsid w:val="001E135C"/>
    <w:rsid w:val="001E1906"/>
    <w:rsid w:val="001E401B"/>
    <w:rsid w:val="001F2B76"/>
    <w:rsid w:val="001F5AA4"/>
    <w:rsid w:val="001F7EE0"/>
    <w:rsid w:val="002037C2"/>
    <w:rsid w:val="0021315C"/>
    <w:rsid w:val="002146E2"/>
    <w:rsid w:val="00223173"/>
    <w:rsid w:val="002257FB"/>
    <w:rsid w:val="00225854"/>
    <w:rsid w:val="00226191"/>
    <w:rsid w:val="0022665A"/>
    <w:rsid w:val="00236820"/>
    <w:rsid w:val="00246222"/>
    <w:rsid w:val="00250EDF"/>
    <w:rsid w:val="002523B2"/>
    <w:rsid w:val="00252799"/>
    <w:rsid w:val="00256904"/>
    <w:rsid w:val="00256B42"/>
    <w:rsid w:val="002659F3"/>
    <w:rsid w:val="00265FC9"/>
    <w:rsid w:val="00270CD1"/>
    <w:rsid w:val="002710C5"/>
    <w:rsid w:val="002718D7"/>
    <w:rsid w:val="00283E59"/>
    <w:rsid w:val="00287564"/>
    <w:rsid w:val="00293ACC"/>
    <w:rsid w:val="002966A1"/>
    <w:rsid w:val="00297424"/>
    <w:rsid w:val="002A1963"/>
    <w:rsid w:val="002B0771"/>
    <w:rsid w:val="002B17E2"/>
    <w:rsid w:val="002B7493"/>
    <w:rsid w:val="002C079C"/>
    <w:rsid w:val="002C12AD"/>
    <w:rsid w:val="002C66A2"/>
    <w:rsid w:val="002D3A88"/>
    <w:rsid w:val="002D4CD9"/>
    <w:rsid w:val="002D6A81"/>
    <w:rsid w:val="002D74C4"/>
    <w:rsid w:val="002E046E"/>
    <w:rsid w:val="002E1671"/>
    <w:rsid w:val="002E43B6"/>
    <w:rsid w:val="002E4C71"/>
    <w:rsid w:val="002E6027"/>
    <w:rsid w:val="002F2ACB"/>
    <w:rsid w:val="002F369A"/>
    <w:rsid w:val="002F5D45"/>
    <w:rsid w:val="003024F7"/>
    <w:rsid w:val="00306C34"/>
    <w:rsid w:val="00306C50"/>
    <w:rsid w:val="003107A0"/>
    <w:rsid w:val="0032053D"/>
    <w:rsid w:val="0032189E"/>
    <w:rsid w:val="0032244D"/>
    <w:rsid w:val="00325463"/>
    <w:rsid w:val="00331B47"/>
    <w:rsid w:val="00331D4E"/>
    <w:rsid w:val="003343CA"/>
    <w:rsid w:val="00335814"/>
    <w:rsid w:val="003368A3"/>
    <w:rsid w:val="003368E2"/>
    <w:rsid w:val="003400E9"/>
    <w:rsid w:val="00340246"/>
    <w:rsid w:val="00344871"/>
    <w:rsid w:val="00344C0B"/>
    <w:rsid w:val="00345F40"/>
    <w:rsid w:val="00346DCB"/>
    <w:rsid w:val="003472A7"/>
    <w:rsid w:val="00347397"/>
    <w:rsid w:val="00353E9D"/>
    <w:rsid w:val="003563C1"/>
    <w:rsid w:val="00361B43"/>
    <w:rsid w:val="003623B1"/>
    <w:rsid w:val="0036466B"/>
    <w:rsid w:val="003734F2"/>
    <w:rsid w:val="0038136A"/>
    <w:rsid w:val="00390FA0"/>
    <w:rsid w:val="00391B7B"/>
    <w:rsid w:val="0039768C"/>
    <w:rsid w:val="003A07BF"/>
    <w:rsid w:val="003A4346"/>
    <w:rsid w:val="003A4767"/>
    <w:rsid w:val="003A5530"/>
    <w:rsid w:val="003A6F0A"/>
    <w:rsid w:val="003B4052"/>
    <w:rsid w:val="003B4544"/>
    <w:rsid w:val="003B5341"/>
    <w:rsid w:val="003B5EF6"/>
    <w:rsid w:val="003B6421"/>
    <w:rsid w:val="003B6F75"/>
    <w:rsid w:val="003C0BCF"/>
    <w:rsid w:val="003C5EF1"/>
    <w:rsid w:val="003C6559"/>
    <w:rsid w:val="003D5B63"/>
    <w:rsid w:val="003D5BD6"/>
    <w:rsid w:val="003D73A1"/>
    <w:rsid w:val="003E36EC"/>
    <w:rsid w:val="003E4BA1"/>
    <w:rsid w:val="003E5CB1"/>
    <w:rsid w:val="003E7003"/>
    <w:rsid w:val="003F2441"/>
    <w:rsid w:val="003F2F66"/>
    <w:rsid w:val="003F332C"/>
    <w:rsid w:val="004016AD"/>
    <w:rsid w:val="00403291"/>
    <w:rsid w:val="00403B86"/>
    <w:rsid w:val="00416F51"/>
    <w:rsid w:val="004200CE"/>
    <w:rsid w:val="0042056B"/>
    <w:rsid w:val="00431572"/>
    <w:rsid w:val="00436A9E"/>
    <w:rsid w:val="00441CED"/>
    <w:rsid w:val="00452C14"/>
    <w:rsid w:val="00454EFD"/>
    <w:rsid w:val="00457AE7"/>
    <w:rsid w:val="00463C57"/>
    <w:rsid w:val="00466CC6"/>
    <w:rsid w:val="004736A1"/>
    <w:rsid w:val="00493B9B"/>
    <w:rsid w:val="00493EB0"/>
    <w:rsid w:val="004B7297"/>
    <w:rsid w:val="004C0831"/>
    <w:rsid w:val="004C1903"/>
    <w:rsid w:val="004C3EDB"/>
    <w:rsid w:val="004C4957"/>
    <w:rsid w:val="004E218D"/>
    <w:rsid w:val="004E4FD9"/>
    <w:rsid w:val="004E5D01"/>
    <w:rsid w:val="004F0990"/>
    <w:rsid w:val="00505616"/>
    <w:rsid w:val="00512A5C"/>
    <w:rsid w:val="00514466"/>
    <w:rsid w:val="00514B5F"/>
    <w:rsid w:val="005214C9"/>
    <w:rsid w:val="00522727"/>
    <w:rsid w:val="00526086"/>
    <w:rsid w:val="00526174"/>
    <w:rsid w:val="00535D18"/>
    <w:rsid w:val="00535F1C"/>
    <w:rsid w:val="00537EE6"/>
    <w:rsid w:val="005415C8"/>
    <w:rsid w:val="0054220C"/>
    <w:rsid w:val="005440C1"/>
    <w:rsid w:val="00545EF8"/>
    <w:rsid w:val="00547654"/>
    <w:rsid w:val="00552923"/>
    <w:rsid w:val="00557BF1"/>
    <w:rsid w:val="00560703"/>
    <w:rsid w:val="0056704D"/>
    <w:rsid w:val="00567C95"/>
    <w:rsid w:val="00567D8D"/>
    <w:rsid w:val="0059732E"/>
    <w:rsid w:val="005A0409"/>
    <w:rsid w:val="005A6A58"/>
    <w:rsid w:val="005A72DD"/>
    <w:rsid w:val="005B1ABC"/>
    <w:rsid w:val="005B3158"/>
    <w:rsid w:val="005B4CEA"/>
    <w:rsid w:val="005B67ED"/>
    <w:rsid w:val="005C2A5A"/>
    <w:rsid w:val="005C30D4"/>
    <w:rsid w:val="005D250F"/>
    <w:rsid w:val="005D364B"/>
    <w:rsid w:val="005D4F7D"/>
    <w:rsid w:val="005E3D9F"/>
    <w:rsid w:val="00602041"/>
    <w:rsid w:val="006020E8"/>
    <w:rsid w:val="00603106"/>
    <w:rsid w:val="006101E3"/>
    <w:rsid w:val="006168A4"/>
    <w:rsid w:val="00622396"/>
    <w:rsid w:val="00623FA5"/>
    <w:rsid w:val="00624EEA"/>
    <w:rsid w:val="0063038A"/>
    <w:rsid w:val="00634F84"/>
    <w:rsid w:val="00637D3F"/>
    <w:rsid w:val="00640EAA"/>
    <w:rsid w:val="00644983"/>
    <w:rsid w:val="0064498D"/>
    <w:rsid w:val="006472F4"/>
    <w:rsid w:val="00650C92"/>
    <w:rsid w:val="00653DFB"/>
    <w:rsid w:val="006557D7"/>
    <w:rsid w:val="00655B5D"/>
    <w:rsid w:val="0065677C"/>
    <w:rsid w:val="006606A3"/>
    <w:rsid w:val="00661DE5"/>
    <w:rsid w:val="0066263E"/>
    <w:rsid w:val="00662E66"/>
    <w:rsid w:val="0066537F"/>
    <w:rsid w:val="00671666"/>
    <w:rsid w:val="00672014"/>
    <w:rsid w:val="006733A8"/>
    <w:rsid w:val="00673674"/>
    <w:rsid w:val="00674B18"/>
    <w:rsid w:val="00683E53"/>
    <w:rsid w:val="00686968"/>
    <w:rsid w:val="006877E7"/>
    <w:rsid w:val="006A6FD0"/>
    <w:rsid w:val="006B080E"/>
    <w:rsid w:val="006B44D3"/>
    <w:rsid w:val="006B685D"/>
    <w:rsid w:val="006D2212"/>
    <w:rsid w:val="006D550A"/>
    <w:rsid w:val="006D7FF3"/>
    <w:rsid w:val="006E3B0D"/>
    <w:rsid w:val="006E6868"/>
    <w:rsid w:val="006E728E"/>
    <w:rsid w:val="006E7630"/>
    <w:rsid w:val="00704843"/>
    <w:rsid w:val="007112FE"/>
    <w:rsid w:val="007115F7"/>
    <w:rsid w:val="00713771"/>
    <w:rsid w:val="00714FD7"/>
    <w:rsid w:val="00715666"/>
    <w:rsid w:val="00720143"/>
    <w:rsid w:val="0072776E"/>
    <w:rsid w:val="00731211"/>
    <w:rsid w:val="007325C3"/>
    <w:rsid w:val="0073326F"/>
    <w:rsid w:val="00743885"/>
    <w:rsid w:val="00743CDB"/>
    <w:rsid w:val="00745AB4"/>
    <w:rsid w:val="007470E1"/>
    <w:rsid w:val="007479D6"/>
    <w:rsid w:val="00752D0E"/>
    <w:rsid w:val="00755564"/>
    <w:rsid w:val="00757E63"/>
    <w:rsid w:val="00762FED"/>
    <w:rsid w:val="00765619"/>
    <w:rsid w:val="0077103F"/>
    <w:rsid w:val="00781BFC"/>
    <w:rsid w:val="00782257"/>
    <w:rsid w:val="00785772"/>
    <w:rsid w:val="0078649E"/>
    <w:rsid w:val="00787DBC"/>
    <w:rsid w:val="00790B4B"/>
    <w:rsid w:val="00791577"/>
    <w:rsid w:val="00792AD9"/>
    <w:rsid w:val="007A2AF2"/>
    <w:rsid w:val="007A400F"/>
    <w:rsid w:val="007B1B20"/>
    <w:rsid w:val="007B25BE"/>
    <w:rsid w:val="007C197B"/>
    <w:rsid w:val="007C3802"/>
    <w:rsid w:val="007C3FB4"/>
    <w:rsid w:val="007C416C"/>
    <w:rsid w:val="007C6A35"/>
    <w:rsid w:val="007D5BA0"/>
    <w:rsid w:val="007E10B6"/>
    <w:rsid w:val="007E39BB"/>
    <w:rsid w:val="007E4A87"/>
    <w:rsid w:val="007F29BF"/>
    <w:rsid w:val="007F3C22"/>
    <w:rsid w:val="0080144D"/>
    <w:rsid w:val="00804AA7"/>
    <w:rsid w:val="00806AEF"/>
    <w:rsid w:val="00813F43"/>
    <w:rsid w:val="00817123"/>
    <w:rsid w:val="008218CC"/>
    <w:rsid w:val="00823395"/>
    <w:rsid w:val="00836DF6"/>
    <w:rsid w:val="00854197"/>
    <w:rsid w:val="00862B6D"/>
    <w:rsid w:val="008635E6"/>
    <w:rsid w:val="008666BC"/>
    <w:rsid w:val="00867A33"/>
    <w:rsid w:val="008742A5"/>
    <w:rsid w:val="00874CFC"/>
    <w:rsid w:val="008851E9"/>
    <w:rsid w:val="00886F95"/>
    <w:rsid w:val="00890DC3"/>
    <w:rsid w:val="008A0B16"/>
    <w:rsid w:val="008A1A2C"/>
    <w:rsid w:val="008A4E77"/>
    <w:rsid w:val="008B1964"/>
    <w:rsid w:val="008B6E2B"/>
    <w:rsid w:val="008D1BE7"/>
    <w:rsid w:val="008D6AFE"/>
    <w:rsid w:val="008E0D87"/>
    <w:rsid w:val="008F0F79"/>
    <w:rsid w:val="008F3702"/>
    <w:rsid w:val="008F69A8"/>
    <w:rsid w:val="009012DC"/>
    <w:rsid w:val="00901EA9"/>
    <w:rsid w:val="00905B81"/>
    <w:rsid w:val="00910008"/>
    <w:rsid w:val="00913674"/>
    <w:rsid w:val="009150E9"/>
    <w:rsid w:val="00920FB9"/>
    <w:rsid w:val="00922BC7"/>
    <w:rsid w:val="00924198"/>
    <w:rsid w:val="009244F0"/>
    <w:rsid w:val="0093086D"/>
    <w:rsid w:val="00932FF9"/>
    <w:rsid w:val="0093638C"/>
    <w:rsid w:val="00937A4E"/>
    <w:rsid w:val="00943DEF"/>
    <w:rsid w:val="00955661"/>
    <w:rsid w:val="00957948"/>
    <w:rsid w:val="00966093"/>
    <w:rsid w:val="009708B5"/>
    <w:rsid w:val="00970FC1"/>
    <w:rsid w:val="009714F0"/>
    <w:rsid w:val="00974A8A"/>
    <w:rsid w:val="0097633D"/>
    <w:rsid w:val="00976F2A"/>
    <w:rsid w:val="00980AA0"/>
    <w:rsid w:val="00981A39"/>
    <w:rsid w:val="009847FB"/>
    <w:rsid w:val="00985084"/>
    <w:rsid w:val="00990196"/>
    <w:rsid w:val="00992A29"/>
    <w:rsid w:val="009A09C6"/>
    <w:rsid w:val="009A2403"/>
    <w:rsid w:val="009A323D"/>
    <w:rsid w:val="009A3AE5"/>
    <w:rsid w:val="009A4C09"/>
    <w:rsid w:val="009B0223"/>
    <w:rsid w:val="009B1061"/>
    <w:rsid w:val="009B2C59"/>
    <w:rsid w:val="009B3E58"/>
    <w:rsid w:val="009B6F55"/>
    <w:rsid w:val="009C2411"/>
    <w:rsid w:val="009C3321"/>
    <w:rsid w:val="009C46AB"/>
    <w:rsid w:val="009C6AD9"/>
    <w:rsid w:val="009D0C63"/>
    <w:rsid w:val="009D5355"/>
    <w:rsid w:val="009E44EE"/>
    <w:rsid w:val="009E708F"/>
    <w:rsid w:val="009F5A27"/>
    <w:rsid w:val="00A002F4"/>
    <w:rsid w:val="00A00AE0"/>
    <w:rsid w:val="00A01D1A"/>
    <w:rsid w:val="00A020A9"/>
    <w:rsid w:val="00A02148"/>
    <w:rsid w:val="00A047AF"/>
    <w:rsid w:val="00A0567A"/>
    <w:rsid w:val="00A10460"/>
    <w:rsid w:val="00A14E35"/>
    <w:rsid w:val="00A174D4"/>
    <w:rsid w:val="00A204BA"/>
    <w:rsid w:val="00A20570"/>
    <w:rsid w:val="00A223C9"/>
    <w:rsid w:val="00A230E1"/>
    <w:rsid w:val="00A24336"/>
    <w:rsid w:val="00A24CD1"/>
    <w:rsid w:val="00A26C54"/>
    <w:rsid w:val="00A3796D"/>
    <w:rsid w:val="00A41565"/>
    <w:rsid w:val="00A42341"/>
    <w:rsid w:val="00A45420"/>
    <w:rsid w:val="00A52CEE"/>
    <w:rsid w:val="00A678FC"/>
    <w:rsid w:val="00A75553"/>
    <w:rsid w:val="00A95983"/>
    <w:rsid w:val="00AA19E7"/>
    <w:rsid w:val="00AA1C42"/>
    <w:rsid w:val="00AA614F"/>
    <w:rsid w:val="00AB2A81"/>
    <w:rsid w:val="00AB3FF0"/>
    <w:rsid w:val="00AC08EF"/>
    <w:rsid w:val="00AC0A30"/>
    <w:rsid w:val="00AC7682"/>
    <w:rsid w:val="00AC7905"/>
    <w:rsid w:val="00AD35D3"/>
    <w:rsid w:val="00AD525D"/>
    <w:rsid w:val="00AD6CE2"/>
    <w:rsid w:val="00AE4E71"/>
    <w:rsid w:val="00AE6CDF"/>
    <w:rsid w:val="00AF056E"/>
    <w:rsid w:val="00AF2483"/>
    <w:rsid w:val="00AF6122"/>
    <w:rsid w:val="00B046DF"/>
    <w:rsid w:val="00B0601B"/>
    <w:rsid w:val="00B102D9"/>
    <w:rsid w:val="00B106C6"/>
    <w:rsid w:val="00B20811"/>
    <w:rsid w:val="00B21753"/>
    <w:rsid w:val="00B246DD"/>
    <w:rsid w:val="00B26603"/>
    <w:rsid w:val="00B307A4"/>
    <w:rsid w:val="00B5182F"/>
    <w:rsid w:val="00B52F5E"/>
    <w:rsid w:val="00B661C1"/>
    <w:rsid w:val="00B66552"/>
    <w:rsid w:val="00B70A0B"/>
    <w:rsid w:val="00B7385F"/>
    <w:rsid w:val="00B73F93"/>
    <w:rsid w:val="00B84DAA"/>
    <w:rsid w:val="00B86B94"/>
    <w:rsid w:val="00B90CA8"/>
    <w:rsid w:val="00B917C4"/>
    <w:rsid w:val="00BA0DEA"/>
    <w:rsid w:val="00BB18C9"/>
    <w:rsid w:val="00BB2B10"/>
    <w:rsid w:val="00BB4888"/>
    <w:rsid w:val="00BB6D6F"/>
    <w:rsid w:val="00BC3C88"/>
    <w:rsid w:val="00BC3FB6"/>
    <w:rsid w:val="00BD5C10"/>
    <w:rsid w:val="00BD747D"/>
    <w:rsid w:val="00BF0CB5"/>
    <w:rsid w:val="00BF689C"/>
    <w:rsid w:val="00C02572"/>
    <w:rsid w:val="00C063BE"/>
    <w:rsid w:val="00C11CF4"/>
    <w:rsid w:val="00C135FF"/>
    <w:rsid w:val="00C138D9"/>
    <w:rsid w:val="00C14EBB"/>
    <w:rsid w:val="00C15447"/>
    <w:rsid w:val="00C16C03"/>
    <w:rsid w:val="00C211BD"/>
    <w:rsid w:val="00C23262"/>
    <w:rsid w:val="00C23391"/>
    <w:rsid w:val="00C2400C"/>
    <w:rsid w:val="00C2483C"/>
    <w:rsid w:val="00C25EAE"/>
    <w:rsid w:val="00C26770"/>
    <w:rsid w:val="00C26850"/>
    <w:rsid w:val="00C30B5C"/>
    <w:rsid w:val="00C32B5E"/>
    <w:rsid w:val="00C339C4"/>
    <w:rsid w:val="00C37DEA"/>
    <w:rsid w:val="00C5575E"/>
    <w:rsid w:val="00C664C4"/>
    <w:rsid w:val="00C70E32"/>
    <w:rsid w:val="00C710A4"/>
    <w:rsid w:val="00C7583B"/>
    <w:rsid w:val="00C7593B"/>
    <w:rsid w:val="00C771F0"/>
    <w:rsid w:val="00C80AB7"/>
    <w:rsid w:val="00C81248"/>
    <w:rsid w:val="00C81DFC"/>
    <w:rsid w:val="00C82A24"/>
    <w:rsid w:val="00C835A2"/>
    <w:rsid w:val="00C855E5"/>
    <w:rsid w:val="00C90207"/>
    <w:rsid w:val="00C9559E"/>
    <w:rsid w:val="00C9673A"/>
    <w:rsid w:val="00C97F25"/>
    <w:rsid w:val="00CA60E2"/>
    <w:rsid w:val="00CA74A0"/>
    <w:rsid w:val="00CB6E37"/>
    <w:rsid w:val="00CC48B6"/>
    <w:rsid w:val="00CC660D"/>
    <w:rsid w:val="00CC6B2D"/>
    <w:rsid w:val="00CD01AA"/>
    <w:rsid w:val="00CD7A1B"/>
    <w:rsid w:val="00CD7F37"/>
    <w:rsid w:val="00CE57A9"/>
    <w:rsid w:val="00CF0BCD"/>
    <w:rsid w:val="00CF2340"/>
    <w:rsid w:val="00CF537E"/>
    <w:rsid w:val="00CF6B67"/>
    <w:rsid w:val="00D137D5"/>
    <w:rsid w:val="00D15AB8"/>
    <w:rsid w:val="00D15C2F"/>
    <w:rsid w:val="00D23943"/>
    <w:rsid w:val="00D249F3"/>
    <w:rsid w:val="00D417DA"/>
    <w:rsid w:val="00D55192"/>
    <w:rsid w:val="00D70FC6"/>
    <w:rsid w:val="00D75D1C"/>
    <w:rsid w:val="00D77881"/>
    <w:rsid w:val="00D9146A"/>
    <w:rsid w:val="00DA4A80"/>
    <w:rsid w:val="00DA67BE"/>
    <w:rsid w:val="00DB04B0"/>
    <w:rsid w:val="00DB110F"/>
    <w:rsid w:val="00DB209B"/>
    <w:rsid w:val="00DC68F5"/>
    <w:rsid w:val="00DD066D"/>
    <w:rsid w:val="00DD17B4"/>
    <w:rsid w:val="00DD355E"/>
    <w:rsid w:val="00DD7B34"/>
    <w:rsid w:val="00DE4E18"/>
    <w:rsid w:val="00DF2FC3"/>
    <w:rsid w:val="00DF3333"/>
    <w:rsid w:val="00DF49C5"/>
    <w:rsid w:val="00E03C5E"/>
    <w:rsid w:val="00E03D76"/>
    <w:rsid w:val="00E0401A"/>
    <w:rsid w:val="00E06C6C"/>
    <w:rsid w:val="00E13333"/>
    <w:rsid w:val="00E136B4"/>
    <w:rsid w:val="00E20614"/>
    <w:rsid w:val="00E216B3"/>
    <w:rsid w:val="00E2685A"/>
    <w:rsid w:val="00E273E3"/>
    <w:rsid w:val="00E32B89"/>
    <w:rsid w:val="00E40344"/>
    <w:rsid w:val="00E41348"/>
    <w:rsid w:val="00E44BA5"/>
    <w:rsid w:val="00E51553"/>
    <w:rsid w:val="00E51F9F"/>
    <w:rsid w:val="00E57ED1"/>
    <w:rsid w:val="00E6009E"/>
    <w:rsid w:val="00E61780"/>
    <w:rsid w:val="00E650AE"/>
    <w:rsid w:val="00E6792A"/>
    <w:rsid w:val="00E74600"/>
    <w:rsid w:val="00E81CB4"/>
    <w:rsid w:val="00E848EC"/>
    <w:rsid w:val="00E85E97"/>
    <w:rsid w:val="00E9402D"/>
    <w:rsid w:val="00E95342"/>
    <w:rsid w:val="00EA7BC5"/>
    <w:rsid w:val="00EB5C8E"/>
    <w:rsid w:val="00EC01C8"/>
    <w:rsid w:val="00EC389E"/>
    <w:rsid w:val="00EC59F7"/>
    <w:rsid w:val="00EC6192"/>
    <w:rsid w:val="00ED001A"/>
    <w:rsid w:val="00ED50F4"/>
    <w:rsid w:val="00ED7F11"/>
    <w:rsid w:val="00EE05DB"/>
    <w:rsid w:val="00EE194C"/>
    <w:rsid w:val="00EE7218"/>
    <w:rsid w:val="00EF23E9"/>
    <w:rsid w:val="00EF2D22"/>
    <w:rsid w:val="00EF3412"/>
    <w:rsid w:val="00EF49F0"/>
    <w:rsid w:val="00EF5B91"/>
    <w:rsid w:val="00F0262C"/>
    <w:rsid w:val="00F03DF9"/>
    <w:rsid w:val="00F07C8E"/>
    <w:rsid w:val="00F122FD"/>
    <w:rsid w:val="00F156C3"/>
    <w:rsid w:val="00F15E74"/>
    <w:rsid w:val="00F16485"/>
    <w:rsid w:val="00F210F9"/>
    <w:rsid w:val="00F21DEF"/>
    <w:rsid w:val="00F23F1E"/>
    <w:rsid w:val="00F35991"/>
    <w:rsid w:val="00F368C8"/>
    <w:rsid w:val="00F51AF3"/>
    <w:rsid w:val="00F80BCB"/>
    <w:rsid w:val="00F83951"/>
    <w:rsid w:val="00F84343"/>
    <w:rsid w:val="00F8613C"/>
    <w:rsid w:val="00F8680F"/>
    <w:rsid w:val="00F87223"/>
    <w:rsid w:val="00F90362"/>
    <w:rsid w:val="00F93126"/>
    <w:rsid w:val="00F9326A"/>
    <w:rsid w:val="00F968BB"/>
    <w:rsid w:val="00FA2BC9"/>
    <w:rsid w:val="00FA3463"/>
    <w:rsid w:val="00FA581C"/>
    <w:rsid w:val="00FB450C"/>
    <w:rsid w:val="00FC1C58"/>
    <w:rsid w:val="00FC6E85"/>
    <w:rsid w:val="00FD2585"/>
    <w:rsid w:val="00FD46E6"/>
    <w:rsid w:val="00FE74AF"/>
    <w:rsid w:val="00FF0865"/>
    <w:rsid w:val="00FF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2685A"/>
    <w:pPr>
      <w:widowControl w:val="0"/>
    </w:pPr>
    <w:rPr>
      <w:snapToGrid w:val="0"/>
      <w:kern w:val="28"/>
      <w:szCs w:val="20"/>
    </w:rPr>
  </w:style>
  <w:style w:type="paragraph" w:styleId="Heading1">
    <w:name w:val="heading 1"/>
    <w:basedOn w:val="Normal"/>
    <w:next w:val="ParaNum"/>
    <w:link w:val="Heading1Char"/>
    <w:qFormat/>
    <w:rsid w:val="00E2685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2685A"/>
    <w:pPr>
      <w:keepNext/>
      <w:numPr>
        <w:ilvl w:val="1"/>
        <w:numId w:val="2"/>
      </w:numPr>
      <w:spacing w:after="120"/>
      <w:outlineLvl w:val="1"/>
    </w:pPr>
    <w:rPr>
      <w:b/>
    </w:rPr>
  </w:style>
  <w:style w:type="paragraph" w:styleId="Heading3">
    <w:name w:val="heading 3"/>
    <w:basedOn w:val="Normal"/>
    <w:next w:val="ParaNum"/>
    <w:link w:val="Heading3Char"/>
    <w:qFormat/>
    <w:rsid w:val="00E2685A"/>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E2685A"/>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2685A"/>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E2685A"/>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2685A"/>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2685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2685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268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685A"/>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E2685A"/>
    <w:pPr>
      <w:numPr>
        <w:numId w:val="1"/>
      </w:numPr>
      <w:tabs>
        <w:tab w:val="clear" w:pos="1080"/>
        <w:tab w:val="num" w:pos="1440"/>
      </w:tabs>
      <w:spacing w:after="120"/>
    </w:pPr>
  </w:style>
  <w:style w:type="paragraph" w:styleId="EndnoteText">
    <w:name w:val="endnote text"/>
    <w:basedOn w:val="Normal"/>
    <w:link w:val="EndnoteTextChar"/>
    <w:semiHidden/>
    <w:rsid w:val="00E2685A"/>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E2685A"/>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E2685A"/>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E2685A"/>
    <w:rPr>
      <w:rFonts w:ascii="Times New Roman" w:hAnsi="Times New Roman"/>
      <w:dstrike w:val="0"/>
      <w:color w:val="auto"/>
      <w:sz w:val="20"/>
      <w:vertAlign w:val="superscript"/>
    </w:rPr>
  </w:style>
  <w:style w:type="paragraph" w:styleId="TOC1">
    <w:name w:val="toc 1"/>
    <w:basedOn w:val="Normal"/>
    <w:next w:val="Normal"/>
    <w:rsid w:val="00E2685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2685A"/>
    <w:pPr>
      <w:tabs>
        <w:tab w:val="left" w:pos="720"/>
        <w:tab w:val="right" w:leader="dot" w:pos="9360"/>
      </w:tabs>
      <w:suppressAutoHyphens/>
      <w:ind w:left="720" w:right="720" w:hanging="360"/>
    </w:pPr>
    <w:rPr>
      <w:noProof/>
    </w:rPr>
  </w:style>
  <w:style w:type="paragraph" w:styleId="TOC3">
    <w:name w:val="toc 3"/>
    <w:basedOn w:val="Normal"/>
    <w:next w:val="Normal"/>
    <w:semiHidden/>
    <w:rsid w:val="00E2685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2685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2685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2685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2685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2685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2685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2685A"/>
    <w:pPr>
      <w:tabs>
        <w:tab w:val="right" w:pos="9360"/>
      </w:tabs>
      <w:suppressAutoHyphens/>
    </w:pPr>
  </w:style>
  <w:style w:type="character" w:customStyle="1" w:styleId="EquationCaption">
    <w:name w:val="_Equation Caption"/>
    <w:rsid w:val="00E2685A"/>
  </w:style>
  <w:style w:type="paragraph" w:styleId="Header">
    <w:name w:val="header"/>
    <w:basedOn w:val="Normal"/>
    <w:link w:val="HeaderChar"/>
    <w:autoRedefine/>
    <w:rsid w:val="00E2685A"/>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E2685A"/>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E2685A"/>
  </w:style>
  <w:style w:type="paragraph" w:styleId="BlockText">
    <w:name w:val="Block Text"/>
    <w:basedOn w:val="Normal"/>
    <w:rsid w:val="00E2685A"/>
    <w:pPr>
      <w:spacing w:after="240"/>
      <w:ind w:left="1440" w:right="1440"/>
    </w:pPr>
  </w:style>
  <w:style w:type="paragraph" w:customStyle="1" w:styleId="Paratitle">
    <w:name w:val="Para title"/>
    <w:basedOn w:val="Normal"/>
    <w:rsid w:val="00E2685A"/>
    <w:pPr>
      <w:tabs>
        <w:tab w:val="center" w:pos="9270"/>
      </w:tabs>
      <w:spacing w:after="240"/>
    </w:pPr>
    <w:rPr>
      <w:spacing w:val="-2"/>
    </w:rPr>
  </w:style>
  <w:style w:type="paragraph" w:customStyle="1" w:styleId="Bullet">
    <w:name w:val="Bullet"/>
    <w:basedOn w:val="Normal"/>
    <w:rsid w:val="00E2685A"/>
    <w:pPr>
      <w:tabs>
        <w:tab w:val="left" w:pos="2160"/>
      </w:tabs>
      <w:spacing w:after="220"/>
      <w:ind w:left="2160" w:hanging="720"/>
    </w:pPr>
  </w:style>
  <w:style w:type="paragraph" w:customStyle="1" w:styleId="TableFormat">
    <w:name w:val="TableFormat"/>
    <w:basedOn w:val="Bullet"/>
    <w:rsid w:val="00E2685A"/>
    <w:pPr>
      <w:tabs>
        <w:tab w:val="clear" w:pos="2160"/>
        <w:tab w:val="left" w:pos="5040"/>
      </w:tabs>
      <w:ind w:left="5040" w:hanging="3600"/>
    </w:pPr>
  </w:style>
  <w:style w:type="paragraph" w:customStyle="1" w:styleId="TOCTitle">
    <w:name w:val="TOC Title"/>
    <w:basedOn w:val="Normal"/>
    <w:rsid w:val="00E2685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2685A"/>
    <w:pPr>
      <w:jc w:val="center"/>
    </w:pPr>
    <w:rPr>
      <w:rFonts w:ascii="Times New Roman Bold" w:hAnsi="Times New Roman Bold"/>
      <w:b/>
      <w:bCs/>
      <w:caps/>
      <w:szCs w:val="22"/>
    </w:rPr>
  </w:style>
  <w:style w:type="character" w:styleId="Hyperlink">
    <w:name w:val="Hyperlink"/>
    <w:rsid w:val="00E2685A"/>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3"/>
      </w:numPr>
      <w:tabs>
        <w:tab w:val="num" w:pos="900"/>
        <w:tab w:val="left" w:pos="1440"/>
      </w:tabs>
      <w:ind w:left="-180" w:firstLine="720"/>
    </w:pPr>
    <w:rPr>
      <w:snapToGrid/>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2685A"/>
    <w:pPr>
      <w:widowControl w:val="0"/>
    </w:pPr>
    <w:rPr>
      <w:snapToGrid w:val="0"/>
      <w:kern w:val="28"/>
      <w:szCs w:val="20"/>
    </w:rPr>
  </w:style>
  <w:style w:type="paragraph" w:styleId="Heading1">
    <w:name w:val="heading 1"/>
    <w:basedOn w:val="Normal"/>
    <w:next w:val="ParaNum"/>
    <w:link w:val="Heading1Char"/>
    <w:qFormat/>
    <w:rsid w:val="00E2685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2685A"/>
    <w:pPr>
      <w:keepNext/>
      <w:numPr>
        <w:ilvl w:val="1"/>
        <w:numId w:val="2"/>
      </w:numPr>
      <w:spacing w:after="120"/>
      <w:outlineLvl w:val="1"/>
    </w:pPr>
    <w:rPr>
      <w:b/>
    </w:rPr>
  </w:style>
  <w:style w:type="paragraph" w:styleId="Heading3">
    <w:name w:val="heading 3"/>
    <w:basedOn w:val="Normal"/>
    <w:next w:val="ParaNum"/>
    <w:link w:val="Heading3Char"/>
    <w:qFormat/>
    <w:rsid w:val="00E2685A"/>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E2685A"/>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2685A"/>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E2685A"/>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2685A"/>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2685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2685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268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685A"/>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E2685A"/>
    <w:pPr>
      <w:numPr>
        <w:numId w:val="1"/>
      </w:numPr>
      <w:tabs>
        <w:tab w:val="clear" w:pos="1080"/>
        <w:tab w:val="num" w:pos="1440"/>
      </w:tabs>
      <w:spacing w:after="120"/>
    </w:pPr>
  </w:style>
  <w:style w:type="paragraph" w:styleId="EndnoteText">
    <w:name w:val="endnote text"/>
    <w:basedOn w:val="Normal"/>
    <w:link w:val="EndnoteTextChar"/>
    <w:semiHidden/>
    <w:rsid w:val="00E2685A"/>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E2685A"/>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E2685A"/>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E2685A"/>
    <w:rPr>
      <w:rFonts w:ascii="Times New Roman" w:hAnsi="Times New Roman"/>
      <w:dstrike w:val="0"/>
      <w:color w:val="auto"/>
      <w:sz w:val="20"/>
      <w:vertAlign w:val="superscript"/>
    </w:rPr>
  </w:style>
  <w:style w:type="paragraph" w:styleId="TOC1">
    <w:name w:val="toc 1"/>
    <w:basedOn w:val="Normal"/>
    <w:next w:val="Normal"/>
    <w:rsid w:val="00E2685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2685A"/>
    <w:pPr>
      <w:tabs>
        <w:tab w:val="left" w:pos="720"/>
        <w:tab w:val="right" w:leader="dot" w:pos="9360"/>
      </w:tabs>
      <w:suppressAutoHyphens/>
      <w:ind w:left="720" w:right="720" w:hanging="360"/>
    </w:pPr>
    <w:rPr>
      <w:noProof/>
    </w:rPr>
  </w:style>
  <w:style w:type="paragraph" w:styleId="TOC3">
    <w:name w:val="toc 3"/>
    <w:basedOn w:val="Normal"/>
    <w:next w:val="Normal"/>
    <w:semiHidden/>
    <w:rsid w:val="00E2685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2685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2685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2685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2685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2685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2685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2685A"/>
    <w:pPr>
      <w:tabs>
        <w:tab w:val="right" w:pos="9360"/>
      </w:tabs>
      <w:suppressAutoHyphens/>
    </w:pPr>
  </w:style>
  <w:style w:type="character" w:customStyle="1" w:styleId="EquationCaption">
    <w:name w:val="_Equation Caption"/>
    <w:rsid w:val="00E2685A"/>
  </w:style>
  <w:style w:type="paragraph" w:styleId="Header">
    <w:name w:val="header"/>
    <w:basedOn w:val="Normal"/>
    <w:link w:val="HeaderChar"/>
    <w:autoRedefine/>
    <w:rsid w:val="00E2685A"/>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E2685A"/>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E2685A"/>
  </w:style>
  <w:style w:type="paragraph" w:styleId="BlockText">
    <w:name w:val="Block Text"/>
    <w:basedOn w:val="Normal"/>
    <w:rsid w:val="00E2685A"/>
    <w:pPr>
      <w:spacing w:after="240"/>
      <w:ind w:left="1440" w:right="1440"/>
    </w:pPr>
  </w:style>
  <w:style w:type="paragraph" w:customStyle="1" w:styleId="Paratitle">
    <w:name w:val="Para title"/>
    <w:basedOn w:val="Normal"/>
    <w:rsid w:val="00E2685A"/>
    <w:pPr>
      <w:tabs>
        <w:tab w:val="center" w:pos="9270"/>
      </w:tabs>
      <w:spacing w:after="240"/>
    </w:pPr>
    <w:rPr>
      <w:spacing w:val="-2"/>
    </w:rPr>
  </w:style>
  <w:style w:type="paragraph" w:customStyle="1" w:styleId="Bullet">
    <w:name w:val="Bullet"/>
    <w:basedOn w:val="Normal"/>
    <w:rsid w:val="00E2685A"/>
    <w:pPr>
      <w:tabs>
        <w:tab w:val="left" w:pos="2160"/>
      </w:tabs>
      <w:spacing w:after="220"/>
      <w:ind w:left="2160" w:hanging="720"/>
    </w:pPr>
  </w:style>
  <w:style w:type="paragraph" w:customStyle="1" w:styleId="TableFormat">
    <w:name w:val="TableFormat"/>
    <w:basedOn w:val="Bullet"/>
    <w:rsid w:val="00E2685A"/>
    <w:pPr>
      <w:tabs>
        <w:tab w:val="clear" w:pos="2160"/>
        <w:tab w:val="left" w:pos="5040"/>
      </w:tabs>
      <w:ind w:left="5040" w:hanging="3600"/>
    </w:pPr>
  </w:style>
  <w:style w:type="paragraph" w:customStyle="1" w:styleId="TOCTitle">
    <w:name w:val="TOC Title"/>
    <w:basedOn w:val="Normal"/>
    <w:rsid w:val="00E2685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2685A"/>
    <w:pPr>
      <w:jc w:val="center"/>
    </w:pPr>
    <w:rPr>
      <w:rFonts w:ascii="Times New Roman Bold" w:hAnsi="Times New Roman Bold"/>
      <w:b/>
      <w:bCs/>
      <w:caps/>
      <w:szCs w:val="22"/>
    </w:rPr>
  </w:style>
  <w:style w:type="character" w:styleId="Hyperlink">
    <w:name w:val="Hyperlink"/>
    <w:rsid w:val="00E2685A"/>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3"/>
      </w:numPr>
      <w:tabs>
        <w:tab w:val="num" w:pos="900"/>
        <w:tab w:val="left" w:pos="1440"/>
      </w:tabs>
      <w:ind w:left="-180" w:firstLine="720"/>
    </w:pPr>
    <w:rPr>
      <w:snapToGrid/>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6321">
      <w:marLeft w:val="0"/>
      <w:marRight w:val="0"/>
      <w:marTop w:val="0"/>
      <w:marBottom w:val="0"/>
      <w:divBdr>
        <w:top w:val="none" w:sz="0" w:space="0" w:color="auto"/>
        <w:left w:val="none" w:sz="0" w:space="0" w:color="auto"/>
        <w:bottom w:val="none" w:sz="0" w:space="0" w:color="auto"/>
        <w:right w:val="none" w:sz="0" w:space="0" w:color="auto"/>
      </w:divBdr>
      <w:divsChild>
        <w:div w:id="437216320">
          <w:marLeft w:val="0"/>
          <w:marRight w:val="0"/>
          <w:marTop w:val="0"/>
          <w:marBottom w:val="0"/>
          <w:divBdr>
            <w:top w:val="none" w:sz="0" w:space="0" w:color="auto"/>
            <w:left w:val="none" w:sz="0" w:space="0" w:color="auto"/>
            <w:bottom w:val="none" w:sz="0" w:space="0" w:color="auto"/>
            <w:right w:val="none" w:sz="0" w:space="0" w:color="auto"/>
          </w:divBdr>
          <w:divsChild>
            <w:div w:id="437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1990">
      <w:bodyDiv w:val="1"/>
      <w:marLeft w:val="0"/>
      <w:marRight w:val="0"/>
      <w:marTop w:val="0"/>
      <w:marBottom w:val="0"/>
      <w:divBdr>
        <w:top w:val="none" w:sz="0" w:space="0" w:color="auto"/>
        <w:left w:val="none" w:sz="0" w:space="0" w:color="auto"/>
        <w:bottom w:val="none" w:sz="0" w:space="0" w:color="auto"/>
        <w:right w:val="none" w:sz="0" w:space="0" w:color="auto"/>
      </w:divBdr>
    </w:div>
    <w:div w:id="18069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eb2.westlaw.com/find/default.wl?tf=-1&amp;rs=WLW10.08&amp;referencepositiontype=S&amp;serialnum=2012930532&amp;fn=_top&amp;sv=Split&amp;referenceposition=15940&amp;findtype=Y&amp;tc=-1&amp;ordoc=2017894663&amp;mt=Communications&amp;db=4493&amp;utid=2&amp;vr=2.0&amp;rp=%2ffind%2fdefault.wl&amp;pbc=30B80A77" TargetMode="External"/><Relationship Id="rId2" Type="http://schemas.openxmlformats.org/officeDocument/2006/relationships/hyperlink" Target="http://web2.westlaw.com/find/default.wl?tf=-1&amp;rs=WLW10.08&amp;serialnum=2015836861&amp;fn=_top&amp;sv=Split&amp;tc=-1&amp;findtype=Y&amp;ordoc=2017894663&amp;mt=Communications&amp;db=4493&amp;utid=2&amp;vr=2.0&amp;rp=%2ffind%2fdefault.wl&amp;pbc=30B80A77" TargetMode="External"/><Relationship Id="rId1" Type="http://schemas.openxmlformats.org/officeDocument/2006/relationships/hyperlink" Target="http://web2.westlaw.com/find/default.wl?tf=-1&amp;rs=WLW10.08&amp;serialnum=2015773293&amp;fn=_top&amp;sv=Split&amp;tc=-1&amp;findtype=Y&amp;ordoc=2017894663&amp;mt=Communications&amp;db=4493&amp;utid=2&amp;vr=2.0&amp;rp=%2ffind%2fdefault.wl&amp;pbc=30B80A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1931</Words>
  <Characters>10328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12286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2015-06-02T13:27:00Z</dcterms:created>
  <dcterms:modified xsi:type="dcterms:W3CDTF">2015-06-02T13:27:00Z</dcterms:modified>
  <cp:category> </cp:category>
  <cp:contentStatus> </cp:contentStatus>
</cp:coreProperties>
</file>