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34676" w:rsidRDefault="00EB025B">
      <w:pPr>
        <w:jc w:val="right"/>
        <w:rPr>
          <w:b/>
          <w:szCs w:val="22"/>
        </w:rPr>
      </w:pPr>
      <w:r w:rsidRPr="00B34676">
        <w:rPr>
          <w:b/>
          <w:szCs w:val="22"/>
        </w:rPr>
        <w:lastRenderedPageBreak/>
        <w:t>DA 1</w:t>
      </w:r>
      <w:r w:rsidR="00851512">
        <w:rPr>
          <w:b/>
          <w:szCs w:val="22"/>
        </w:rPr>
        <w:t>5</w:t>
      </w:r>
      <w:r w:rsidRPr="00B34676">
        <w:rPr>
          <w:b/>
          <w:szCs w:val="22"/>
        </w:rPr>
        <w:t>-</w:t>
      </w:r>
      <w:r w:rsidR="0026490B">
        <w:rPr>
          <w:b/>
          <w:szCs w:val="22"/>
        </w:rPr>
        <w:t>66</w:t>
      </w:r>
    </w:p>
    <w:p w:rsidR="00602577" w:rsidRPr="00B34676" w:rsidRDefault="00AF0DA1">
      <w:pPr>
        <w:spacing w:before="60"/>
        <w:jc w:val="right"/>
        <w:rPr>
          <w:b/>
          <w:szCs w:val="22"/>
        </w:rPr>
      </w:pPr>
      <w:r w:rsidRPr="00B34676">
        <w:rPr>
          <w:b/>
          <w:szCs w:val="22"/>
        </w:rPr>
        <w:t>Released</w:t>
      </w:r>
      <w:r w:rsidR="00B34676" w:rsidRPr="00B34676">
        <w:rPr>
          <w:b/>
          <w:szCs w:val="22"/>
        </w:rPr>
        <w:t xml:space="preserve">: </w:t>
      </w:r>
      <w:r w:rsidRPr="00B34676">
        <w:rPr>
          <w:b/>
          <w:szCs w:val="22"/>
        </w:rPr>
        <w:t xml:space="preserve"> </w:t>
      </w:r>
      <w:r w:rsidR="00851512" w:rsidRPr="005D164F">
        <w:rPr>
          <w:b/>
          <w:szCs w:val="22"/>
        </w:rPr>
        <w:t>January</w:t>
      </w:r>
      <w:r w:rsidR="00C36258" w:rsidRPr="006650C6">
        <w:rPr>
          <w:b/>
          <w:szCs w:val="22"/>
        </w:rPr>
        <w:t xml:space="preserve"> </w:t>
      </w:r>
      <w:r w:rsidR="009E16E3" w:rsidRPr="006650C6">
        <w:rPr>
          <w:b/>
          <w:szCs w:val="22"/>
        </w:rPr>
        <w:t>16</w:t>
      </w:r>
      <w:r w:rsidR="00EB025B" w:rsidRPr="003570A0">
        <w:rPr>
          <w:b/>
          <w:szCs w:val="22"/>
        </w:rPr>
        <w:t>, 201</w:t>
      </w:r>
      <w:r w:rsidR="00851512" w:rsidRPr="0000042E">
        <w:rPr>
          <w:b/>
          <w:szCs w:val="22"/>
        </w:rPr>
        <w:t>5</w:t>
      </w:r>
    </w:p>
    <w:p w:rsidR="00602577" w:rsidRPr="00B34676" w:rsidRDefault="00602577">
      <w:pPr>
        <w:jc w:val="right"/>
        <w:rPr>
          <w:szCs w:val="22"/>
        </w:rPr>
      </w:pPr>
    </w:p>
    <w:p w:rsidR="007C1C75" w:rsidRDefault="00BE5DFD" w:rsidP="00A65D30">
      <w:pPr>
        <w:jc w:val="center"/>
        <w:rPr>
          <w:b/>
          <w:szCs w:val="22"/>
        </w:rPr>
      </w:pPr>
      <w:r>
        <w:rPr>
          <w:b/>
          <w:szCs w:val="22"/>
        </w:rPr>
        <w:t>WIRELINE COMPETITION BUREAU</w:t>
      </w:r>
      <w:r w:rsidRPr="00B34676">
        <w:rPr>
          <w:b/>
          <w:szCs w:val="22"/>
        </w:rPr>
        <w:t xml:space="preserve"> </w:t>
      </w:r>
      <w:r w:rsidR="006913A9">
        <w:rPr>
          <w:b/>
          <w:szCs w:val="22"/>
        </w:rPr>
        <w:t xml:space="preserve">ISSUES SUBPOENA </w:t>
      </w:r>
      <w:r w:rsidR="007C1C75">
        <w:rPr>
          <w:b/>
          <w:szCs w:val="22"/>
        </w:rPr>
        <w:t xml:space="preserve"> </w:t>
      </w:r>
    </w:p>
    <w:p w:rsidR="00602577" w:rsidRDefault="007C1C75" w:rsidP="00A65D30">
      <w:pPr>
        <w:jc w:val="center"/>
        <w:rPr>
          <w:b/>
          <w:szCs w:val="22"/>
        </w:rPr>
      </w:pPr>
      <w:r>
        <w:rPr>
          <w:b/>
          <w:szCs w:val="22"/>
        </w:rPr>
        <w:t>FOR</w:t>
      </w:r>
      <w:r w:rsidR="009379A6">
        <w:rPr>
          <w:b/>
          <w:szCs w:val="22"/>
        </w:rPr>
        <w:t xml:space="preserve"> </w:t>
      </w:r>
      <w:r w:rsidR="00127A4E" w:rsidRPr="006E5E8E">
        <w:rPr>
          <w:b/>
          <w:szCs w:val="22"/>
        </w:rPr>
        <w:t>PROVIDERS</w:t>
      </w:r>
      <w:r w:rsidR="00127A4E">
        <w:rPr>
          <w:b/>
          <w:szCs w:val="22"/>
        </w:rPr>
        <w:t xml:space="preserve"> </w:t>
      </w:r>
      <w:r w:rsidR="00D718AA">
        <w:rPr>
          <w:b/>
          <w:szCs w:val="22"/>
        </w:rPr>
        <w:t xml:space="preserve">IN </w:t>
      </w:r>
      <w:r w:rsidR="00415626">
        <w:rPr>
          <w:b/>
          <w:szCs w:val="22"/>
        </w:rPr>
        <w:t xml:space="preserve">SPECIAL </w:t>
      </w:r>
      <w:r w:rsidR="00EB025B" w:rsidRPr="00B34676">
        <w:rPr>
          <w:b/>
          <w:szCs w:val="22"/>
        </w:rPr>
        <w:t>ACCES</w:t>
      </w:r>
      <w:r w:rsidR="00113B13" w:rsidRPr="00B34676">
        <w:rPr>
          <w:b/>
          <w:szCs w:val="22"/>
        </w:rPr>
        <w:t>S</w:t>
      </w:r>
      <w:r w:rsidR="0017603C">
        <w:rPr>
          <w:b/>
          <w:szCs w:val="22"/>
        </w:rPr>
        <w:t xml:space="preserve"> DATA</w:t>
      </w:r>
      <w:r>
        <w:rPr>
          <w:b/>
          <w:szCs w:val="22"/>
        </w:rPr>
        <w:t xml:space="preserve"> COLLECTION</w:t>
      </w:r>
    </w:p>
    <w:p w:rsidR="007C1C75" w:rsidRPr="00B34676" w:rsidRDefault="007C1C75" w:rsidP="00A65D30">
      <w:pPr>
        <w:jc w:val="center"/>
        <w:rPr>
          <w:b/>
          <w:szCs w:val="22"/>
        </w:rPr>
      </w:pPr>
    </w:p>
    <w:p w:rsidR="00F46777" w:rsidRDefault="00EB025B" w:rsidP="00780935">
      <w:pPr>
        <w:jc w:val="center"/>
        <w:rPr>
          <w:b/>
          <w:szCs w:val="22"/>
        </w:rPr>
      </w:pPr>
      <w:r w:rsidRPr="00B34676">
        <w:rPr>
          <w:b/>
          <w:szCs w:val="22"/>
        </w:rPr>
        <w:t>WC Docket No. 05-25</w:t>
      </w:r>
      <w:r w:rsidR="00780935">
        <w:rPr>
          <w:b/>
          <w:szCs w:val="22"/>
        </w:rPr>
        <w:t xml:space="preserve"> </w:t>
      </w:r>
    </w:p>
    <w:p w:rsidR="00EB025B" w:rsidRDefault="00EB025B" w:rsidP="00780935">
      <w:pPr>
        <w:jc w:val="center"/>
        <w:rPr>
          <w:b/>
          <w:szCs w:val="22"/>
        </w:rPr>
      </w:pPr>
      <w:r w:rsidRPr="00B34676">
        <w:rPr>
          <w:b/>
          <w:szCs w:val="22"/>
        </w:rPr>
        <w:t>RM-10593</w:t>
      </w:r>
    </w:p>
    <w:p w:rsidR="00F46777" w:rsidRPr="00B34676" w:rsidRDefault="00F46777" w:rsidP="00780935">
      <w:pPr>
        <w:jc w:val="center"/>
        <w:rPr>
          <w:szCs w:val="22"/>
        </w:rPr>
      </w:pPr>
    </w:p>
    <w:p w:rsidR="00755917" w:rsidRDefault="006913A9" w:rsidP="00DA0443">
      <w:pPr>
        <w:tabs>
          <w:tab w:val="left" w:pos="720"/>
          <w:tab w:val="left" w:pos="1440"/>
          <w:tab w:val="left" w:pos="2160"/>
          <w:tab w:val="left" w:pos="2880"/>
          <w:tab w:val="left" w:pos="4098"/>
        </w:tabs>
        <w:spacing w:before="120" w:after="240"/>
      </w:pPr>
      <w:r>
        <w:tab/>
      </w:r>
      <w:r w:rsidR="004A48E4">
        <w:t xml:space="preserve">By </w:t>
      </w:r>
      <w:r w:rsidR="004A48E4" w:rsidRPr="004A48E4">
        <w:t xml:space="preserve">this Public Notice, the </w:t>
      </w:r>
      <w:r w:rsidR="004A48E4">
        <w:t xml:space="preserve">Wireline Competition </w:t>
      </w:r>
      <w:r w:rsidR="004A48E4" w:rsidRPr="004A48E4">
        <w:t xml:space="preserve">Bureau </w:t>
      </w:r>
      <w:r w:rsidR="004A48E4">
        <w:t>(Bureau) iss</w:t>
      </w:r>
      <w:r w:rsidR="008C7C13">
        <w:t>ues the attached administrative</w:t>
      </w:r>
      <w:r w:rsidR="004A48E4" w:rsidRPr="004A48E4">
        <w:t xml:space="preserve"> subpoena </w:t>
      </w:r>
      <w:r w:rsidR="00B82402">
        <w:t>ordering p</w:t>
      </w:r>
      <w:r w:rsidR="004A48E4" w:rsidRPr="000615AE">
        <w:t>roviders</w:t>
      </w:r>
      <w:r w:rsidR="004A48E4">
        <w:rPr>
          <w:i/>
        </w:rPr>
        <w:t xml:space="preserve"> </w:t>
      </w:r>
      <w:r w:rsidR="004A48E4">
        <w:t xml:space="preserve">of special access service </w:t>
      </w:r>
      <w:r w:rsidR="008C7C13">
        <w:t xml:space="preserve">to </w:t>
      </w:r>
      <w:r w:rsidR="00BD47DC">
        <w:t xml:space="preserve">submit </w:t>
      </w:r>
      <w:r w:rsidR="00B82402">
        <w:t xml:space="preserve">the </w:t>
      </w:r>
      <w:r w:rsidR="00D033ED">
        <w:t xml:space="preserve">customer-related </w:t>
      </w:r>
      <w:r w:rsidR="008C7C13">
        <w:t xml:space="preserve">information </w:t>
      </w:r>
      <w:r w:rsidR="00D033ED">
        <w:t>sought</w:t>
      </w:r>
      <w:r w:rsidR="00BD47DC">
        <w:t xml:space="preserve"> in the special access </w:t>
      </w:r>
      <w:r w:rsidR="00267119">
        <w:t>data collection.</w:t>
      </w:r>
      <w:r w:rsidR="00267119">
        <w:rPr>
          <w:rStyle w:val="FootnoteReference"/>
        </w:rPr>
        <w:footnoteReference w:id="2"/>
      </w:r>
      <w:r w:rsidR="00BD47DC">
        <w:t xml:space="preserve">  </w:t>
      </w:r>
      <w:r w:rsidR="00D033ED">
        <w:t xml:space="preserve">This subpoena addresses the concerns raised by the </w:t>
      </w:r>
      <w:r w:rsidR="00BD47DC">
        <w:t xml:space="preserve">National Cable </w:t>
      </w:r>
      <w:r w:rsidR="000D441E">
        <w:t xml:space="preserve">and </w:t>
      </w:r>
      <w:r w:rsidR="00BD47DC">
        <w:t xml:space="preserve">Telecommunications Association (NCTA) and </w:t>
      </w:r>
      <w:r w:rsidR="0063064A">
        <w:t>United States Telecom Association (</w:t>
      </w:r>
      <w:r w:rsidR="00BD47DC">
        <w:t>USTelecom</w:t>
      </w:r>
      <w:r w:rsidR="0063064A">
        <w:t>)</w:t>
      </w:r>
      <w:r w:rsidR="00BD47DC">
        <w:t xml:space="preserve"> </w:t>
      </w:r>
      <w:r w:rsidR="008027A4">
        <w:t xml:space="preserve">about the applicability of </w:t>
      </w:r>
      <w:r w:rsidR="009332C3">
        <w:t xml:space="preserve">federal </w:t>
      </w:r>
      <w:r w:rsidR="00D033ED">
        <w:t xml:space="preserve">privacy </w:t>
      </w:r>
      <w:r w:rsidR="009332C3">
        <w:t>statutes</w:t>
      </w:r>
      <w:r w:rsidR="0063064A">
        <w:t xml:space="preserve"> </w:t>
      </w:r>
      <w:r w:rsidR="008027A4">
        <w:t xml:space="preserve">when responding to </w:t>
      </w:r>
      <w:r w:rsidR="001C12EA">
        <w:t>the</w:t>
      </w:r>
      <w:r w:rsidR="00755917">
        <w:t xml:space="preserve"> collection</w:t>
      </w:r>
      <w:r w:rsidR="00D033ED">
        <w:t xml:space="preserve"> with customer information</w:t>
      </w:r>
      <w:r w:rsidR="0063064A">
        <w:t>.</w:t>
      </w:r>
      <w:r w:rsidR="00755917">
        <w:rPr>
          <w:rStyle w:val="FootnoteReference"/>
        </w:rPr>
        <w:footnoteReference w:id="3"/>
      </w:r>
      <w:r w:rsidR="0063064A">
        <w:t xml:space="preserve">  </w:t>
      </w:r>
      <w:r w:rsidR="006A1C8D">
        <w:t>T</w:t>
      </w:r>
      <w:r w:rsidR="00BA4FFC">
        <w:t xml:space="preserve">he </w:t>
      </w:r>
      <w:r w:rsidR="00D033ED">
        <w:t xml:space="preserve">data </w:t>
      </w:r>
      <w:r w:rsidR="00BA1668">
        <w:t xml:space="preserve">sought </w:t>
      </w:r>
      <w:r w:rsidR="00B82402">
        <w:t>are</w:t>
      </w:r>
      <w:r w:rsidR="00D033ED">
        <w:t xml:space="preserve"> necessary for </w:t>
      </w:r>
      <w:r w:rsidR="00B82402">
        <w:t xml:space="preserve">an </w:t>
      </w:r>
      <w:r w:rsidR="00D033ED">
        <w:t xml:space="preserve">analysis of the special access market </w:t>
      </w:r>
      <w:r w:rsidR="00B82402">
        <w:t>to better target regulatory relief where warranted</w:t>
      </w:r>
      <w:r w:rsidR="00BA1668">
        <w:t xml:space="preserve">, </w:t>
      </w:r>
      <w:r w:rsidR="00B82402">
        <w:t>promote competition</w:t>
      </w:r>
      <w:r w:rsidR="00BA1668">
        <w:t>,</w:t>
      </w:r>
      <w:r w:rsidR="00B82402">
        <w:t xml:space="preserve"> and increase consumer welfare</w:t>
      </w:r>
      <w:r w:rsidR="00BA1668">
        <w:t xml:space="preserve"> through competitive rates and increased service offerings</w:t>
      </w:r>
      <w:r w:rsidR="00B82402">
        <w:t>.  T</w:t>
      </w:r>
      <w:r w:rsidR="00D033ED">
        <w:t xml:space="preserve">he </w:t>
      </w:r>
      <w:r w:rsidR="00BA4FFC">
        <w:t xml:space="preserve">Bureau </w:t>
      </w:r>
      <w:r w:rsidR="00BA1668">
        <w:t>appreciates</w:t>
      </w:r>
      <w:r w:rsidR="00B82402">
        <w:t xml:space="preserve"> </w:t>
      </w:r>
      <w:r w:rsidR="00AF3D30">
        <w:t>the</w:t>
      </w:r>
      <w:r w:rsidR="00B23BA8">
        <w:t xml:space="preserve"> </w:t>
      </w:r>
      <w:r w:rsidR="00D033ED">
        <w:t xml:space="preserve">privacy interests of consumers </w:t>
      </w:r>
      <w:r w:rsidR="00B82402">
        <w:t>in their information and will protect reported information from unauthorized disclosure in accordance with the protective order previously issued for this collection</w:t>
      </w:r>
      <w:r w:rsidR="00BA4FFC">
        <w:t>.</w:t>
      </w:r>
      <w:r w:rsidR="00D91F58">
        <w:rPr>
          <w:rStyle w:val="FootnoteReference"/>
        </w:rPr>
        <w:footnoteReference w:id="4"/>
      </w:r>
      <w:r w:rsidR="00BA4FFC">
        <w:t xml:space="preserve">  </w:t>
      </w:r>
      <w:r w:rsidR="00B82402">
        <w:t>T</w:t>
      </w:r>
      <w:r w:rsidR="00755917">
        <w:t xml:space="preserve">he Bureau issues this </w:t>
      </w:r>
      <w:r w:rsidR="00755917">
        <w:lastRenderedPageBreak/>
        <w:t xml:space="preserve">subpoena </w:t>
      </w:r>
      <w:r w:rsidR="00755917" w:rsidRPr="00755917">
        <w:t>without prejudice to the Commission</w:t>
      </w:r>
      <w:r w:rsidR="00755917">
        <w:t>’s</w:t>
      </w:r>
      <w:r w:rsidR="00755917" w:rsidRPr="00755917">
        <w:t xml:space="preserve"> position </w:t>
      </w:r>
      <w:r w:rsidR="00755917" w:rsidRPr="00BA1668">
        <w:t>that</w:t>
      </w:r>
      <w:r w:rsidR="00210C1B">
        <w:t xml:space="preserve"> </w:t>
      </w:r>
      <w:r w:rsidR="00BA1668">
        <w:t>p</w:t>
      </w:r>
      <w:r w:rsidR="00755917" w:rsidRPr="000615AE">
        <w:t>roviders</w:t>
      </w:r>
      <w:r w:rsidR="00755917" w:rsidRPr="00755917">
        <w:rPr>
          <w:i/>
        </w:rPr>
        <w:t xml:space="preserve"> </w:t>
      </w:r>
      <w:r w:rsidR="00120D3A">
        <w:t xml:space="preserve">are </w:t>
      </w:r>
      <w:r w:rsidR="00755917" w:rsidRPr="00755917">
        <w:t>obligat</w:t>
      </w:r>
      <w:r w:rsidR="00120D3A">
        <w:t>ed</w:t>
      </w:r>
      <w:r w:rsidR="00755917" w:rsidRPr="00755917">
        <w:t xml:space="preserve"> to comply with the Commission’s mandatory data collection, and data can be requested, and must be produced, pursuant to the</w:t>
      </w:r>
      <w:r w:rsidR="00D27B5E">
        <w:t xml:space="preserve"> </w:t>
      </w:r>
      <w:r w:rsidR="00755917" w:rsidRPr="00755917">
        <w:t>Commission’s prior orders and its investigative authority under the Communications Act of 1934, as amended</w:t>
      </w:r>
      <w:r w:rsidR="00D718AA">
        <w:t xml:space="preserve"> (the Act)</w:t>
      </w:r>
      <w:r w:rsidR="00755917" w:rsidRPr="00755917">
        <w:t>.</w:t>
      </w:r>
      <w:r w:rsidR="00755917" w:rsidRPr="00755917">
        <w:rPr>
          <w:vertAlign w:val="superscript"/>
        </w:rPr>
        <w:footnoteReference w:id="5"/>
      </w:r>
    </w:p>
    <w:p w:rsidR="007C6575" w:rsidRPr="007C6575" w:rsidRDefault="004A48E4" w:rsidP="007C6575">
      <w:pPr>
        <w:tabs>
          <w:tab w:val="left" w:pos="720"/>
          <w:tab w:val="left" w:pos="1440"/>
          <w:tab w:val="left" w:pos="2160"/>
          <w:tab w:val="left" w:pos="2880"/>
          <w:tab w:val="left" w:pos="4098"/>
        </w:tabs>
        <w:spacing w:before="120" w:after="240"/>
      </w:pPr>
      <w:r>
        <w:tab/>
      </w:r>
      <w:r w:rsidR="006913A9">
        <w:t xml:space="preserve">The Commission is investigating </w:t>
      </w:r>
      <w:r w:rsidR="00E40B69">
        <w:t xml:space="preserve">whether </w:t>
      </w:r>
      <w:r w:rsidR="00F11AC4">
        <w:t xml:space="preserve">the </w:t>
      </w:r>
      <w:r w:rsidR="00E40B69">
        <w:t xml:space="preserve">rates </w:t>
      </w:r>
      <w:r w:rsidR="00F11AC4">
        <w:t xml:space="preserve">for special access service by </w:t>
      </w:r>
      <w:r w:rsidR="00CC1588">
        <w:t xml:space="preserve">incumbent </w:t>
      </w:r>
      <w:r w:rsidR="00F11AC4">
        <w:t xml:space="preserve">local exchange carriers in price cap areas </w:t>
      </w:r>
      <w:r w:rsidR="00E40B69">
        <w:t xml:space="preserve">are just and reasonable under the </w:t>
      </w:r>
      <w:r w:rsidR="006913A9">
        <w:t>Act</w:t>
      </w:r>
      <w:r w:rsidR="00CB50AB">
        <w:t xml:space="preserve"> </w:t>
      </w:r>
      <w:r w:rsidR="006913A9">
        <w:t>and the Commission’s orders and rules</w:t>
      </w:r>
      <w:r w:rsidR="00F11AC4">
        <w:t xml:space="preserve">, </w:t>
      </w:r>
      <w:r w:rsidR="0002088E">
        <w:t xml:space="preserve">and </w:t>
      </w:r>
      <w:r w:rsidR="00F11AC4">
        <w:t>what regulatory framework to apply to these carriers.</w:t>
      </w:r>
      <w:r w:rsidR="00E40B69">
        <w:rPr>
          <w:rStyle w:val="FootnoteReference"/>
        </w:rPr>
        <w:footnoteReference w:id="6"/>
      </w:r>
      <w:r w:rsidR="00765D4E">
        <w:t xml:space="preserve"> </w:t>
      </w:r>
      <w:r w:rsidR="00DA0443">
        <w:t xml:space="preserve"> </w:t>
      </w:r>
      <w:r w:rsidR="005C34CF">
        <w:t>In</w:t>
      </w:r>
      <w:r w:rsidR="00127A4E">
        <w:t xml:space="preserve"> December 2012, </w:t>
      </w:r>
      <w:r w:rsidR="005C34CF">
        <w:t xml:space="preserve">in the </w:t>
      </w:r>
      <w:r w:rsidR="005C34CF">
        <w:rPr>
          <w:i/>
        </w:rPr>
        <w:t>Data Collection Order</w:t>
      </w:r>
      <w:r w:rsidR="005C34CF">
        <w:t>,</w:t>
      </w:r>
      <w:r w:rsidR="005C34CF">
        <w:rPr>
          <w:i/>
        </w:rPr>
        <w:t xml:space="preserve"> </w:t>
      </w:r>
      <w:r w:rsidR="00127A4E">
        <w:t xml:space="preserve">the Commission </w:t>
      </w:r>
      <w:r w:rsidR="00D718AA">
        <w:t xml:space="preserve">adopted </w:t>
      </w:r>
      <w:r w:rsidR="009301F6" w:rsidRPr="009301F6">
        <w:t xml:space="preserve">a one-time, mandatory data collection </w:t>
      </w:r>
      <w:r w:rsidR="009301F6">
        <w:t xml:space="preserve">requiring </w:t>
      </w:r>
      <w:r w:rsidR="009301F6" w:rsidRPr="009301F6">
        <w:t xml:space="preserve">parties, including </w:t>
      </w:r>
      <w:r w:rsidR="00B82402">
        <w:t>providers</w:t>
      </w:r>
      <w:r w:rsidR="00B82402" w:rsidRPr="009301F6">
        <w:rPr>
          <w:i/>
        </w:rPr>
        <w:t xml:space="preserve"> </w:t>
      </w:r>
      <w:r w:rsidR="009301F6" w:rsidRPr="009301F6">
        <w:t xml:space="preserve">of special access service, to submit certain data necessary to enable the Commission to conduct a comprehensive analysis of the special access market </w:t>
      </w:r>
      <w:r w:rsidR="009301F6">
        <w:t xml:space="preserve">and </w:t>
      </w:r>
      <w:r w:rsidR="009301F6" w:rsidRPr="009301F6">
        <w:t xml:space="preserve">determine how its </w:t>
      </w:r>
      <w:r w:rsidR="009301F6">
        <w:t xml:space="preserve">rules </w:t>
      </w:r>
      <w:r w:rsidR="009301F6" w:rsidRPr="009301F6">
        <w:t>may be revised.</w:t>
      </w:r>
      <w:r w:rsidR="009301F6" w:rsidRPr="009301F6">
        <w:rPr>
          <w:vertAlign w:val="superscript"/>
        </w:rPr>
        <w:footnoteReference w:id="7"/>
      </w:r>
      <w:r w:rsidR="009301F6" w:rsidRPr="009301F6">
        <w:t xml:space="preserve">  </w:t>
      </w:r>
      <w:r w:rsidR="00AF4597">
        <w:t xml:space="preserve">The Commission </w:t>
      </w:r>
      <w:r w:rsidR="00DD46A1">
        <w:t>delegated authority to the Bureau to implement the data collection</w:t>
      </w:r>
      <w:r w:rsidR="007C6575">
        <w:t xml:space="preserve"> consistent with the terms of the</w:t>
      </w:r>
      <w:r w:rsidR="007C6575" w:rsidRPr="007C6575">
        <w:rPr>
          <w:i/>
        </w:rPr>
        <w:t xml:space="preserve"> Data Collection Order</w:t>
      </w:r>
      <w:r w:rsidR="007C6575">
        <w:rPr>
          <w:i/>
        </w:rPr>
        <w:t>.</w:t>
      </w:r>
      <w:r w:rsidR="00F57B5F">
        <w:rPr>
          <w:rStyle w:val="FootnoteReference"/>
        </w:rPr>
        <w:footnoteReference w:id="8"/>
      </w:r>
      <w:r w:rsidR="007C6575">
        <w:t xml:space="preserve">  </w:t>
      </w:r>
      <w:r w:rsidR="005C34CF">
        <w:t>O</w:t>
      </w:r>
      <w:r w:rsidR="005C34CF" w:rsidRPr="007C6575">
        <w:t>n September 18, 2013</w:t>
      </w:r>
      <w:r w:rsidR="005C34CF">
        <w:t>,</w:t>
      </w:r>
      <w:r w:rsidR="005C34CF" w:rsidRPr="007C6575">
        <w:t xml:space="preserve"> </w:t>
      </w:r>
      <w:r w:rsidR="005C34CF">
        <w:t>t</w:t>
      </w:r>
      <w:r w:rsidR="007C6575" w:rsidRPr="007C6575">
        <w:t xml:space="preserve">he Bureau released the </w:t>
      </w:r>
      <w:r w:rsidR="007C6575" w:rsidRPr="007C6575">
        <w:rPr>
          <w:i/>
        </w:rPr>
        <w:t>Data Collection Implementation Order</w:t>
      </w:r>
      <w:r w:rsidR="007C6575" w:rsidRPr="007C6575">
        <w:t xml:space="preserve"> clarifying the scope of the collection, providing instructions and record format specifications for submitting data and information, and amending the collection questions and definitions.</w:t>
      </w:r>
      <w:r w:rsidR="007C6575" w:rsidRPr="007C6575">
        <w:rPr>
          <w:vertAlign w:val="superscript"/>
        </w:rPr>
        <w:footnoteReference w:id="9"/>
      </w:r>
      <w:r w:rsidR="007C6575" w:rsidRPr="007C6575">
        <w:t xml:space="preserve">  </w:t>
      </w:r>
      <w:r w:rsidR="00733C6B">
        <w:t>T</w:t>
      </w:r>
      <w:r w:rsidR="007C6575" w:rsidRPr="007C6575">
        <w:t>he Bureau</w:t>
      </w:r>
      <w:r w:rsidR="007C6575">
        <w:t xml:space="preserve"> </w:t>
      </w:r>
      <w:r w:rsidR="00BA1668">
        <w:t xml:space="preserve">further </w:t>
      </w:r>
      <w:r w:rsidR="007C6575">
        <w:t xml:space="preserve">amended the collection </w:t>
      </w:r>
      <w:r w:rsidR="00733C6B">
        <w:t>on September 15, 2014</w:t>
      </w:r>
      <w:r w:rsidR="00733C6B" w:rsidRPr="007C6575">
        <w:t xml:space="preserve"> </w:t>
      </w:r>
      <w:r w:rsidR="007C6575">
        <w:t>to reflect approval by the Office of Management and Budget pursuant to the Paperwork Reduction Act</w:t>
      </w:r>
      <w:r w:rsidR="005C34CF">
        <w:t>,</w:t>
      </w:r>
      <w:r w:rsidR="007C6575">
        <w:t xml:space="preserve"> and set a </w:t>
      </w:r>
      <w:r w:rsidR="00891E86">
        <w:t xml:space="preserve">December 15, 2014 </w:t>
      </w:r>
      <w:r w:rsidR="007C6575">
        <w:t>deadline for the collection.</w:t>
      </w:r>
      <w:r w:rsidR="007C6575">
        <w:rPr>
          <w:rStyle w:val="FootnoteReference"/>
        </w:rPr>
        <w:footnoteReference w:id="10"/>
      </w:r>
      <w:r w:rsidR="007C6575">
        <w:t xml:space="preserve">  On November 26, </w:t>
      </w:r>
      <w:r w:rsidR="008F5757">
        <w:t xml:space="preserve">2014, </w:t>
      </w:r>
      <w:r w:rsidR="007C6575">
        <w:t>the Bureau extended</w:t>
      </w:r>
      <w:r w:rsidR="00B259FA">
        <w:t xml:space="preserve"> </w:t>
      </w:r>
      <w:r w:rsidR="007C6575">
        <w:t xml:space="preserve">the deadline </w:t>
      </w:r>
      <w:r w:rsidR="007C6575" w:rsidRPr="007C6575">
        <w:t xml:space="preserve">for large </w:t>
      </w:r>
      <w:r w:rsidR="007C6575" w:rsidRPr="007C6575">
        <w:lastRenderedPageBreak/>
        <w:t>businesses with more than 1,500 employees to January 29, 2015 and for small businesses with 1,500 or fewer employees to February 27, 2015</w:t>
      </w:r>
      <w:r w:rsidR="00456067">
        <w:t>,</w:t>
      </w:r>
      <w:r w:rsidR="007C6575" w:rsidRPr="007C6575">
        <w:t xml:space="preserve"> </w:t>
      </w:r>
      <w:r w:rsidR="008D729C">
        <w:t xml:space="preserve">and </w:t>
      </w:r>
      <w:r w:rsidR="007C6575" w:rsidRPr="007C6575">
        <w:t xml:space="preserve">maintained the December 15, 2014 deadline for entities </w:t>
      </w:r>
      <w:r w:rsidR="00ED47D6">
        <w:t xml:space="preserve">required to </w:t>
      </w:r>
      <w:r w:rsidR="007C6575" w:rsidRPr="007C6575">
        <w:t xml:space="preserve">certify they are not a </w:t>
      </w:r>
      <w:r w:rsidR="007C6575" w:rsidRPr="007C6575">
        <w:rPr>
          <w:i/>
        </w:rPr>
        <w:t>Provider</w:t>
      </w:r>
      <w:r w:rsidR="007C6575" w:rsidRPr="007C6575">
        <w:t xml:space="preserve">, </w:t>
      </w:r>
      <w:r w:rsidR="007C6575" w:rsidRPr="007C6575">
        <w:rPr>
          <w:i/>
        </w:rPr>
        <w:t>Purchaser</w:t>
      </w:r>
      <w:r w:rsidR="007C6575" w:rsidRPr="007C6575">
        <w:t xml:space="preserve">, or entity providing </w:t>
      </w:r>
      <w:r w:rsidR="007C6575" w:rsidRPr="007C6575">
        <w:rPr>
          <w:i/>
        </w:rPr>
        <w:t>Best Efforts Business Broadband Internet Access Service</w:t>
      </w:r>
      <w:r w:rsidR="001278B8">
        <w:t xml:space="preserve"> and thereby</w:t>
      </w:r>
      <w:r w:rsidR="002F697F" w:rsidRPr="002F697F">
        <w:t xml:space="preserve"> not providing data and information in response to the collection</w:t>
      </w:r>
      <w:r w:rsidR="001278B8">
        <w:t>.</w:t>
      </w:r>
      <w:r w:rsidR="007C6575" w:rsidRPr="007C6575">
        <w:rPr>
          <w:vertAlign w:val="superscript"/>
        </w:rPr>
        <w:footnoteReference w:id="11"/>
      </w:r>
    </w:p>
    <w:p w:rsidR="00C86197" w:rsidRDefault="008F5757" w:rsidP="00C86197">
      <w:pPr>
        <w:tabs>
          <w:tab w:val="left" w:pos="720"/>
          <w:tab w:val="left" w:pos="1440"/>
          <w:tab w:val="left" w:pos="2160"/>
          <w:tab w:val="left" w:pos="2880"/>
          <w:tab w:val="left" w:pos="4098"/>
        </w:tabs>
        <w:spacing w:before="120" w:after="240"/>
      </w:pPr>
      <w:r>
        <w:tab/>
      </w:r>
      <w:r w:rsidR="00EF5A7E">
        <w:t xml:space="preserve">In November 2014 </w:t>
      </w:r>
      <w:r w:rsidR="00EF5A7E">
        <w:rPr>
          <w:i/>
        </w:rPr>
        <w:t xml:space="preserve">ex parte </w:t>
      </w:r>
      <w:r w:rsidR="00EF5A7E">
        <w:t>filings, NCTA</w:t>
      </w:r>
      <w:r w:rsidR="00EF5A7E" w:rsidRPr="00EF5A7E">
        <w:t xml:space="preserve"> and </w:t>
      </w:r>
      <w:r w:rsidR="00EF5A7E">
        <w:t xml:space="preserve">USTelecom </w:t>
      </w:r>
      <w:r w:rsidR="00EF5A7E" w:rsidRPr="00EF5A7E">
        <w:t>raised concerns about the</w:t>
      </w:r>
      <w:r w:rsidR="00BA1668">
        <w:t>ir member</w:t>
      </w:r>
      <w:r w:rsidR="00210C1B">
        <w:t>s</w:t>
      </w:r>
      <w:r w:rsidR="00BA1668">
        <w:t>’</w:t>
      </w:r>
      <w:r w:rsidR="00EF5A7E" w:rsidRPr="00EF5A7E">
        <w:t xml:space="preserve"> ability to provide customer information as part of the data collection while still complying with </w:t>
      </w:r>
      <w:r w:rsidR="00BA1668">
        <w:t xml:space="preserve">the </w:t>
      </w:r>
      <w:r w:rsidR="00EF5A7E" w:rsidRPr="00EF5A7E">
        <w:t xml:space="preserve">statutory mandates </w:t>
      </w:r>
      <w:r w:rsidR="00BA1668">
        <w:t xml:space="preserve">for service operators </w:t>
      </w:r>
      <w:r w:rsidR="00EF5A7E" w:rsidRPr="00EF5A7E">
        <w:t>to protect customer information from unauthorized disclosure</w:t>
      </w:r>
      <w:r w:rsidR="00C86197">
        <w:t>.</w:t>
      </w:r>
      <w:r w:rsidR="00C86197" w:rsidRPr="00C86197">
        <w:rPr>
          <w:vertAlign w:val="superscript"/>
        </w:rPr>
        <w:footnoteReference w:id="12"/>
      </w:r>
      <w:r w:rsidR="00C86197">
        <w:t xml:space="preserve">  </w:t>
      </w:r>
      <w:r w:rsidR="007E5A91">
        <w:t>Specifically, NCTA and USTelecom</w:t>
      </w:r>
      <w:r w:rsidR="008D729C">
        <w:t xml:space="preserve"> referenced </w:t>
      </w:r>
      <w:r w:rsidR="00EF5A7E" w:rsidRPr="00EF5A7E">
        <w:t xml:space="preserve">section 222 of the Act pertaining to the </w:t>
      </w:r>
      <w:r w:rsidR="00C86197">
        <w:t xml:space="preserve">customer confidentiality </w:t>
      </w:r>
      <w:r w:rsidR="00EF5A7E" w:rsidRPr="00EF5A7E">
        <w:t>obligations of telecommunications carriers, section 631 of the Act relating to the privacy of cable subscriber</w:t>
      </w:r>
      <w:r w:rsidR="00ED47D6">
        <w:t xml:space="preserve"> information</w:t>
      </w:r>
      <w:r w:rsidR="00EF5A7E" w:rsidRPr="00EF5A7E">
        <w:t>, and the Electronic Communications Privacy Act (ECPA).</w:t>
      </w:r>
      <w:r w:rsidR="00EF5A7E" w:rsidRPr="00EF5A7E">
        <w:rPr>
          <w:vertAlign w:val="superscript"/>
        </w:rPr>
        <w:footnoteReference w:id="13"/>
      </w:r>
      <w:r w:rsidR="00EF5A7E" w:rsidRPr="00EF5A7E">
        <w:t xml:space="preserve">  NCTA and USTelecom asked the Bureau to issue an administrative subpoena requiring </w:t>
      </w:r>
      <w:r w:rsidR="00EF5A7E" w:rsidRPr="00EF5A7E">
        <w:rPr>
          <w:i/>
        </w:rPr>
        <w:t>Providers</w:t>
      </w:r>
      <w:r w:rsidR="00EF5A7E" w:rsidRPr="00EF5A7E">
        <w:t xml:space="preserve"> to produce documents in response to the collection</w:t>
      </w:r>
      <w:r w:rsidR="00C86197">
        <w:t xml:space="preserve">, asserting such a subpoena would remove any uncertainty </w:t>
      </w:r>
      <w:r w:rsidR="00C86197" w:rsidRPr="00C86197">
        <w:t xml:space="preserve">regarding </w:t>
      </w:r>
      <w:r w:rsidR="00C86197" w:rsidRPr="00C86197">
        <w:rPr>
          <w:i/>
        </w:rPr>
        <w:t>Providers</w:t>
      </w:r>
      <w:r w:rsidR="00C86197" w:rsidRPr="00C86197">
        <w:t>’ obligations</w:t>
      </w:r>
      <w:r w:rsidR="007E5A91">
        <w:t xml:space="preserve"> </w:t>
      </w:r>
      <w:r w:rsidR="00120D3A">
        <w:t xml:space="preserve">under those other provisions </w:t>
      </w:r>
      <w:r w:rsidR="00C86197" w:rsidRPr="00C86197">
        <w:t xml:space="preserve">while providing the Commission with </w:t>
      </w:r>
      <w:r w:rsidR="00ED47D6">
        <w:t xml:space="preserve">the </w:t>
      </w:r>
      <w:r w:rsidR="00C86197" w:rsidRPr="00C86197">
        <w:t>information requested in the collection.</w:t>
      </w:r>
      <w:r w:rsidR="00C86197" w:rsidRPr="00C86197">
        <w:rPr>
          <w:vertAlign w:val="superscript"/>
        </w:rPr>
        <w:footnoteReference w:id="14"/>
      </w:r>
    </w:p>
    <w:p w:rsidR="001D3D75" w:rsidRDefault="00BD1FCF" w:rsidP="00EF212D">
      <w:pPr>
        <w:tabs>
          <w:tab w:val="left" w:pos="720"/>
          <w:tab w:val="left" w:pos="1440"/>
          <w:tab w:val="left" w:pos="2160"/>
          <w:tab w:val="left" w:pos="2880"/>
          <w:tab w:val="left" w:pos="4098"/>
        </w:tabs>
        <w:spacing w:before="120" w:after="240"/>
      </w:pPr>
      <w:r>
        <w:tab/>
      </w:r>
      <w:r w:rsidR="00D85148">
        <w:t>T</w:t>
      </w:r>
      <w:r w:rsidR="00EF212D">
        <w:t xml:space="preserve">he Bureau recognizes the importance the Commission has placed </w:t>
      </w:r>
      <w:r w:rsidR="00036EA1">
        <w:t xml:space="preserve">on </w:t>
      </w:r>
      <w:r w:rsidR="00210C1B">
        <w:t>both</w:t>
      </w:r>
      <w:r w:rsidR="00036EA1">
        <w:t xml:space="preserve"> </w:t>
      </w:r>
      <w:r w:rsidR="004B5A03">
        <w:t>obtain</w:t>
      </w:r>
      <w:r w:rsidR="00210C1B">
        <w:t>ing</w:t>
      </w:r>
      <w:r w:rsidR="004B5A03">
        <w:t xml:space="preserve"> </w:t>
      </w:r>
      <w:r w:rsidR="00EF212D">
        <w:t xml:space="preserve">the data </w:t>
      </w:r>
      <w:r w:rsidR="001B7731">
        <w:t xml:space="preserve">requested in the </w:t>
      </w:r>
      <w:r w:rsidR="00EF212D">
        <w:t>collection in a comprehensive and timely manner</w:t>
      </w:r>
      <w:r w:rsidR="00456067">
        <w:t>,</w:t>
      </w:r>
      <w:r w:rsidR="00036EA1">
        <w:t xml:space="preserve"> </w:t>
      </w:r>
      <w:r w:rsidR="00210C1B">
        <w:t>and</w:t>
      </w:r>
      <w:r w:rsidR="00CE742F">
        <w:t xml:space="preserve"> protect</w:t>
      </w:r>
      <w:r w:rsidR="00210C1B">
        <w:t>ing</w:t>
      </w:r>
      <w:r w:rsidR="00CE742F">
        <w:t xml:space="preserve"> </w:t>
      </w:r>
      <w:r w:rsidR="00036EA1">
        <w:t>priva</w:t>
      </w:r>
      <w:r w:rsidR="00210C1B">
        <w:t>te</w:t>
      </w:r>
      <w:r w:rsidR="00036EA1">
        <w:t xml:space="preserve"> and proprietary </w:t>
      </w:r>
      <w:r w:rsidR="00210C1B">
        <w:t xml:space="preserve">information </w:t>
      </w:r>
      <w:r w:rsidR="005B55F2">
        <w:t xml:space="preserve">of </w:t>
      </w:r>
      <w:r w:rsidR="00036EA1">
        <w:t>respondents</w:t>
      </w:r>
      <w:r w:rsidR="002A6892">
        <w:t xml:space="preserve"> and their customers</w:t>
      </w:r>
      <w:r w:rsidR="00EF212D">
        <w:t>.</w:t>
      </w:r>
      <w:r w:rsidR="004B5A03">
        <w:t xml:space="preserve">  </w:t>
      </w:r>
      <w:r w:rsidR="001D3D75">
        <w:t>To th</w:t>
      </w:r>
      <w:r w:rsidR="00CE742F">
        <w:t>at</w:t>
      </w:r>
      <w:r w:rsidR="001D3D75">
        <w:t xml:space="preserve"> end, the</w:t>
      </w:r>
      <w:r w:rsidR="002A6892">
        <w:t xml:space="preserve"> Bureau</w:t>
      </w:r>
      <w:r w:rsidR="001D3D75">
        <w:t xml:space="preserve"> </w:t>
      </w:r>
      <w:r w:rsidR="002A6892">
        <w:t xml:space="preserve">adopted a protective order </w:t>
      </w:r>
      <w:r w:rsidR="00CE742F">
        <w:t>with heightened security and privacy measures</w:t>
      </w:r>
      <w:r w:rsidR="00456067">
        <w:t>,</w:t>
      </w:r>
      <w:r w:rsidR="00CE742F">
        <w:t xml:space="preserve"> intended to protect </w:t>
      </w:r>
      <w:r w:rsidR="002A6892" w:rsidRPr="00215D21">
        <w:t>confidential and sensitive data</w:t>
      </w:r>
      <w:r w:rsidR="002A6892">
        <w:t xml:space="preserve"> </w:t>
      </w:r>
      <w:r w:rsidR="00716F9C">
        <w:t>submitted</w:t>
      </w:r>
      <w:r w:rsidR="00CE742F">
        <w:t xml:space="preserve"> in response to the collection</w:t>
      </w:r>
      <w:r w:rsidR="00BA1668">
        <w:t xml:space="preserve"> from unauthorized disclosure</w:t>
      </w:r>
      <w:r w:rsidR="001D3D75" w:rsidRPr="00215D21">
        <w:t>.</w:t>
      </w:r>
      <w:r w:rsidR="001D3D75" w:rsidRPr="00215D21">
        <w:rPr>
          <w:vertAlign w:val="superscript"/>
        </w:rPr>
        <w:footnoteReference w:id="15"/>
      </w:r>
      <w:r w:rsidR="001D3D75" w:rsidRPr="00215D21">
        <w:t xml:space="preserve">  </w:t>
      </w:r>
      <w:r w:rsidR="006A32BC">
        <w:t xml:space="preserve">For example, </w:t>
      </w:r>
      <w:r w:rsidR="001D3D75">
        <w:t>the Bureau will</w:t>
      </w:r>
      <w:r w:rsidR="001D3D75" w:rsidRPr="00215D21">
        <w:t xml:space="preserve"> mask the names of customers reported </w:t>
      </w:r>
      <w:r w:rsidR="00BA1668">
        <w:t>in</w:t>
      </w:r>
      <w:r w:rsidR="001D3D75" w:rsidRPr="00215D21">
        <w:t xml:space="preserve"> billing data with a unique, non-descript identification code in the information made available to </w:t>
      </w:r>
      <w:r w:rsidR="001D3D75">
        <w:t>authorized individuals</w:t>
      </w:r>
      <w:r w:rsidR="00456067">
        <w:t>,</w:t>
      </w:r>
      <w:r w:rsidR="001D3D75">
        <w:t xml:space="preserve"> to provide maximum assurance of confidentiality</w:t>
      </w:r>
      <w:r w:rsidR="00CE742F">
        <w:t xml:space="preserve"> and privacy</w:t>
      </w:r>
      <w:r w:rsidR="001D3D75" w:rsidRPr="00215D21">
        <w:t>.</w:t>
      </w:r>
      <w:r w:rsidR="001D3D75" w:rsidRPr="00215D21">
        <w:rPr>
          <w:vertAlign w:val="superscript"/>
        </w:rPr>
        <w:footnoteReference w:id="16"/>
      </w:r>
      <w:r w:rsidR="001D3D75" w:rsidRPr="00215D21">
        <w:t xml:space="preserve">  </w:t>
      </w:r>
      <w:r w:rsidR="00F25065">
        <w:t>The Bureau will also host this information in a secure data enclave (SDE) subject to restrictions on the removal of raw data from the SDE.</w:t>
      </w:r>
      <w:r w:rsidR="00F25065">
        <w:rPr>
          <w:rStyle w:val="FootnoteReference"/>
        </w:rPr>
        <w:footnoteReference w:id="17"/>
      </w:r>
      <w:r w:rsidR="00F25065">
        <w:t xml:space="preserve">  And persons authorized by the Bureau to access data must also agree not to </w:t>
      </w:r>
      <w:r w:rsidR="00BA1668">
        <w:t xml:space="preserve">disclose </w:t>
      </w:r>
      <w:r w:rsidR="00F25065">
        <w:t>reviewed information</w:t>
      </w:r>
      <w:r w:rsidR="00456067">
        <w:t>,</w:t>
      </w:r>
      <w:r w:rsidR="00F25065">
        <w:t xml:space="preserve"> subject </w:t>
      </w:r>
      <w:r w:rsidR="00BA1668">
        <w:t xml:space="preserve">to </w:t>
      </w:r>
      <w:r w:rsidR="00F25065">
        <w:t>forfeitures and other enforcement actions.</w:t>
      </w:r>
      <w:r w:rsidR="00F25065">
        <w:rPr>
          <w:rStyle w:val="FootnoteReference"/>
        </w:rPr>
        <w:footnoteReference w:id="18"/>
      </w:r>
      <w:r w:rsidR="00BA1668">
        <w:t xml:space="preserve"> </w:t>
      </w:r>
    </w:p>
    <w:p w:rsidR="00F25065" w:rsidRDefault="001D3D75" w:rsidP="005C6049">
      <w:pPr>
        <w:tabs>
          <w:tab w:val="left" w:pos="720"/>
          <w:tab w:val="left" w:pos="1440"/>
          <w:tab w:val="left" w:pos="2160"/>
          <w:tab w:val="left" w:pos="2880"/>
          <w:tab w:val="left" w:pos="4098"/>
        </w:tabs>
        <w:spacing w:before="120" w:after="240"/>
      </w:pPr>
      <w:r>
        <w:tab/>
      </w:r>
      <w:r w:rsidR="004B7EFE" w:rsidRPr="004B7EFE">
        <w:t xml:space="preserve"> </w:t>
      </w:r>
      <w:r w:rsidR="004B7EFE">
        <w:t xml:space="preserve">In light of the Commission’s authority to require information to assess whether the rates, terms, and conditions for special access service are just and reasonable, and the </w:t>
      </w:r>
      <w:r w:rsidR="00F25065">
        <w:t xml:space="preserve">Commission’s </w:t>
      </w:r>
      <w:r w:rsidR="004B7EFE">
        <w:t xml:space="preserve">adopted rule requiring </w:t>
      </w:r>
      <w:r w:rsidR="00F25065">
        <w:t xml:space="preserve">the mandatory reporting of </w:t>
      </w:r>
      <w:r w:rsidR="004B7EFE">
        <w:t>such information</w:t>
      </w:r>
      <w:r w:rsidR="00274F6F">
        <w:t>, the</w:t>
      </w:r>
      <w:r w:rsidR="004B7EFE">
        <w:t xml:space="preserve"> </w:t>
      </w:r>
      <w:r w:rsidR="00471908">
        <w:t xml:space="preserve">Bureau takes the position that </w:t>
      </w:r>
      <w:r w:rsidR="00210C1B">
        <w:t>it</w:t>
      </w:r>
      <w:r w:rsidR="004B7EFE">
        <w:t xml:space="preserve"> can compel</w:t>
      </w:r>
      <w:r w:rsidR="004B7EFE" w:rsidRPr="009C6820">
        <w:t xml:space="preserve"> the disclosure of </w:t>
      </w:r>
      <w:r w:rsidR="00274F6F">
        <w:t xml:space="preserve">customer </w:t>
      </w:r>
      <w:r w:rsidR="004B7EFE" w:rsidRPr="009C6820">
        <w:t>information in the data collection</w:t>
      </w:r>
      <w:r w:rsidR="004B7EFE">
        <w:t>.</w:t>
      </w:r>
      <w:r w:rsidR="009C74D7">
        <w:rPr>
          <w:rStyle w:val="FootnoteReference"/>
        </w:rPr>
        <w:footnoteReference w:id="19"/>
      </w:r>
      <w:r w:rsidR="004B7EFE">
        <w:t xml:space="preserve"> </w:t>
      </w:r>
      <w:r w:rsidR="00274F6F">
        <w:t xml:space="preserve"> </w:t>
      </w:r>
      <w:r w:rsidR="00456067">
        <w:t>Nevertheless, t</w:t>
      </w:r>
      <w:r w:rsidR="007F1EC6">
        <w:t xml:space="preserve">he Bureau </w:t>
      </w:r>
      <w:r w:rsidR="00274F6F">
        <w:t xml:space="preserve">issues this subpoena to </w:t>
      </w:r>
      <w:r w:rsidR="00B673A6">
        <w:t>remove any uncertainty</w:t>
      </w:r>
      <w:r w:rsidR="00274F6F">
        <w:t xml:space="preserve"> as to obligations </w:t>
      </w:r>
      <w:r w:rsidR="00F25065">
        <w:t xml:space="preserve">of respondents </w:t>
      </w:r>
      <w:r w:rsidR="00A26517">
        <w:t xml:space="preserve">to produce </w:t>
      </w:r>
      <w:r w:rsidR="00F25065">
        <w:t xml:space="preserve">the </w:t>
      </w:r>
      <w:r w:rsidR="00A26517">
        <w:t xml:space="preserve">customer information sought </w:t>
      </w:r>
      <w:r w:rsidR="00627D13">
        <w:t>consistent</w:t>
      </w:r>
      <w:r w:rsidR="00F25065">
        <w:t xml:space="preserve"> </w:t>
      </w:r>
      <w:r w:rsidR="00A26517">
        <w:t>with</w:t>
      </w:r>
      <w:r w:rsidR="00B673A6">
        <w:t xml:space="preserve"> ECPA</w:t>
      </w:r>
      <w:r w:rsidR="00210C1B">
        <w:t xml:space="preserve"> and with</w:t>
      </w:r>
      <w:r w:rsidR="00B673A6">
        <w:t xml:space="preserve"> sections 222 and 631 of the Act</w:t>
      </w:r>
      <w:r w:rsidR="00274F6F">
        <w:t xml:space="preserve">.  </w:t>
      </w:r>
    </w:p>
    <w:p w:rsidR="00EF212D" w:rsidRPr="00EF212D" w:rsidRDefault="00F25065" w:rsidP="005C6049">
      <w:pPr>
        <w:tabs>
          <w:tab w:val="left" w:pos="720"/>
          <w:tab w:val="left" w:pos="1440"/>
          <w:tab w:val="left" w:pos="2160"/>
          <w:tab w:val="left" w:pos="2880"/>
          <w:tab w:val="left" w:pos="4098"/>
        </w:tabs>
        <w:spacing w:before="120" w:after="240"/>
      </w:pPr>
      <w:r>
        <w:tab/>
      </w:r>
      <w:r w:rsidR="001D3D75">
        <w:t>Consistent with the Commission’s policy goals and directives</w:t>
      </w:r>
      <w:r w:rsidR="00281B89">
        <w:t xml:space="preserve"> and the attached subpoena</w:t>
      </w:r>
      <w:r w:rsidR="00132EEE">
        <w:t xml:space="preserve">, </w:t>
      </w:r>
      <w:r w:rsidR="00281B89">
        <w:t>providers must</w:t>
      </w:r>
      <w:r w:rsidR="00FA2A9A">
        <w:t xml:space="preserve"> produce </w:t>
      </w:r>
      <w:r w:rsidR="00CA790A">
        <w:rPr>
          <w:szCs w:val="22"/>
        </w:rPr>
        <w:t xml:space="preserve">any and all </w:t>
      </w:r>
      <w:r w:rsidR="00CA790A" w:rsidRPr="00A54DF7">
        <w:rPr>
          <w:szCs w:val="22"/>
        </w:rPr>
        <w:t xml:space="preserve">documents </w:t>
      </w:r>
      <w:r w:rsidR="00CA790A">
        <w:rPr>
          <w:szCs w:val="22"/>
        </w:rPr>
        <w:t xml:space="preserve">providing </w:t>
      </w:r>
      <w:r w:rsidR="00281B89">
        <w:rPr>
          <w:szCs w:val="22"/>
        </w:rPr>
        <w:t xml:space="preserve">the </w:t>
      </w:r>
      <w:r w:rsidR="00CA790A">
        <w:rPr>
          <w:szCs w:val="22"/>
        </w:rPr>
        <w:t xml:space="preserve">customer-related information </w:t>
      </w:r>
      <w:r w:rsidR="00281B89">
        <w:t xml:space="preserve">sought by </w:t>
      </w:r>
      <w:r w:rsidR="00EF212D">
        <w:t xml:space="preserve">the Commission </w:t>
      </w:r>
      <w:r w:rsidR="00CA790A">
        <w:t xml:space="preserve">in the </w:t>
      </w:r>
      <w:r w:rsidR="00281B89">
        <w:t xml:space="preserve">data </w:t>
      </w:r>
      <w:r w:rsidR="00CA790A">
        <w:t>collection</w:t>
      </w:r>
      <w:r w:rsidR="00EF212D">
        <w:t xml:space="preserve">.  </w:t>
      </w:r>
      <w:r w:rsidR="00281B89">
        <w:t>W</w:t>
      </w:r>
      <w:r w:rsidR="004B5A03">
        <w:t>e are issuing</w:t>
      </w:r>
      <w:r w:rsidR="004B5A03" w:rsidRPr="004B5A03">
        <w:t xml:space="preserve"> the </w:t>
      </w:r>
      <w:r w:rsidR="004B5A03">
        <w:t>attached</w:t>
      </w:r>
      <w:r w:rsidR="004B5A03" w:rsidRPr="004B5A03">
        <w:t xml:space="preserve"> subpoena</w:t>
      </w:r>
      <w:r w:rsidR="007B0D65">
        <w:t xml:space="preserve"> with the approval of the Commission’s Office of General Counsel</w:t>
      </w:r>
      <w:r w:rsidR="004B5A03" w:rsidRPr="004B5A03">
        <w:t xml:space="preserve"> pursuant to the authority of the</w:t>
      </w:r>
      <w:r w:rsidR="003C0006">
        <w:t xml:space="preserve"> </w:t>
      </w:r>
      <w:r w:rsidR="004B5A03" w:rsidRPr="004B5A03">
        <w:t>Communications Act, 47 U.S.C. §§ 151,</w:t>
      </w:r>
      <w:r w:rsidR="000A5D45">
        <w:t xml:space="preserve"> 155,</w:t>
      </w:r>
      <w:r w:rsidR="004B5A03" w:rsidRPr="004B5A03">
        <w:t xml:space="preserve"> 403, </w:t>
      </w:r>
      <w:r w:rsidR="00737193">
        <w:t xml:space="preserve">and </w:t>
      </w:r>
      <w:r w:rsidR="004B5A03" w:rsidRPr="004B5A03">
        <w:t xml:space="preserve">409, </w:t>
      </w:r>
      <w:r w:rsidR="00C40A71">
        <w:t>s</w:t>
      </w:r>
      <w:r w:rsidR="002E2A5F">
        <w:t xml:space="preserve">ection 0.291(f) of </w:t>
      </w:r>
      <w:r w:rsidR="004B5A03" w:rsidRPr="004B5A03">
        <w:t xml:space="preserve">the Commission rules, 47 C.F.R. § </w:t>
      </w:r>
      <w:r w:rsidR="00737193">
        <w:t>0.291</w:t>
      </w:r>
      <w:r w:rsidR="007B0D65">
        <w:t xml:space="preserve">(f), and the authority delegated to the Bureau in the </w:t>
      </w:r>
      <w:r w:rsidR="007B0D65" w:rsidRPr="00CC658F">
        <w:rPr>
          <w:i/>
        </w:rPr>
        <w:t>Data Collection Order</w:t>
      </w:r>
      <w:r w:rsidR="004B5A03" w:rsidRPr="004B5A03">
        <w:t>.</w:t>
      </w:r>
      <w:r w:rsidR="00803C06">
        <w:rPr>
          <w:rStyle w:val="FootnoteReference"/>
        </w:rPr>
        <w:footnoteReference w:id="20"/>
      </w:r>
      <w:r w:rsidR="004B5A03">
        <w:t xml:space="preserve">  </w:t>
      </w:r>
      <w:r w:rsidR="007B0D65">
        <w:t>We will publish this notice in the Federal Register.</w:t>
      </w:r>
    </w:p>
    <w:p w:rsidR="00D718AA" w:rsidRDefault="00C86197" w:rsidP="00EF5A7E">
      <w:pPr>
        <w:tabs>
          <w:tab w:val="left" w:pos="720"/>
          <w:tab w:val="left" w:pos="1440"/>
          <w:tab w:val="left" w:pos="2160"/>
          <w:tab w:val="left" w:pos="2880"/>
          <w:tab w:val="left" w:pos="4098"/>
        </w:tabs>
        <w:spacing w:before="120" w:after="240"/>
      </w:pPr>
      <w:r>
        <w:tab/>
      </w:r>
      <w:r w:rsidR="00D718AA" w:rsidRPr="00D718AA">
        <w:t>For further information, please contact Marvin Sacks, Pricing Policy Division, Wireline Com</w:t>
      </w:r>
      <w:r w:rsidR="003A3977">
        <w:t>petition Bureau at (202) 418-152</w:t>
      </w:r>
      <w:r w:rsidR="00D718AA" w:rsidRPr="00D718AA">
        <w:t xml:space="preserve">0 or </w:t>
      </w:r>
      <w:hyperlink r:id="rId15" w:history="1">
        <w:r w:rsidR="00D718AA" w:rsidRPr="00BD0B99">
          <w:rPr>
            <w:rStyle w:val="Hyperlink"/>
            <w:color w:val="auto"/>
            <w:u w:val="none"/>
          </w:rPr>
          <w:t>Marvin.Sacks@fcc.gov</w:t>
        </w:r>
      </w:hyperlink>
      <w:r w:rsidR="00D718AA" w:rsidRPr="00BD0B99">
        <w:t>.</w:t>
      </w:r>
    </w:p>
    <w:p w:rsidR="00AA2E0D" w:rsidRDefault="00AA2E0D">
      <w:pPr>
        <w:sectPr w:rsidR="00AA2E0D" w:rsidSect="00C67940">
          <w:footerReference w:type="default" r:id="rId16"/>
          <w:type w:val="continuous"/>
          <w:pgSz w:w="12240" w:h="15840" w:code="1"/>
          <w:pgMar w:top="1440" w:right="1440" w:bottom="1440" w:left="1440" w:header="720" w:footer="1440" w:gutter="0"/>
          <w:cols w:space="720"/>
          <w:titlePg/>
        </w:sectPr>
      </w:pPr>
    </w:p>
    <w:p w:rsidR="00AA2E0D" w:rsidRPr="00A54DF7" w:rsidRDefault="00AA2E0D" w:rsidP="00715F81">
      <w:pPr>
        <w:pStyle w:val="DWTNorm"/>
        <w:ind w:firstLine="0"/>
        <w:jc w:val="center"/>
        <w:rPr>
          <w:b/>
          <w:sz w:val="22"/>
          <w:szCs w:val="22"/>
        </w:rPr>
      </w:pPr>
      <w:r w:rsidRPr="00A54DF7">
        <w:rPr>
          <w:b/>
          <w:sz w:val="22"/>
          <w:szCs w:val="22"/>
        </w:rPr>
        <w:t>ATTACHMENT</w:t>
      </w:r>
    </w:p>
    <w:p w:rsidR="00AA2E0D" w:rsidRPr="00A54DF7" w:rsidRDefault="00AA2E0D" w:rsidP="00715F81">
      <w:pPr>
        <w:pStyle w:val="DWTNorm"/>
        <w:ind w:firstLine="0"/>
        <w:jc w:val="center"/>
        <w:rPr>
          <w:b/>
          <w:sz w:val="22"/>
          <w:szCs w:val="22"/>
        </w:rPr>
      </w:pPr>
      <w:r w:rsidRPr="00A54DF7">
        <w:rPr>
          <w:b/>
          <w:sz w:val="22"/>
          <w:szCs w:val="22"/>
        </w:rPr>
        <w:t>SUBPOENA</w:t>
      </w:r>
    </w:p>
    <w:p w:rsidR="00AA2E0D" w:rsidRPr="00A54DF7" w:rsidRDefault="00AA2E0D" w:rsidP="005848C0">
      <w:pPr>
        <w:pBdr>
          <w:bottom w:val="double" w:sz="4" w:space="1" w:color="auto"/>
        </w:pBdr>
        <w:tabs>
          <w:tab w:val="left" w:pos="4320"/>
          <w:tab w:val="center" w:pos="6840"/>
          <w:tab w:val="right" w:pos="9360"/>
        </w:tabs>
        <w:spacing w:after="60"/>
        <w:rPr>
          <w:b/>
          <w:szCs w:val="22"/>
        </w:rPr>
      </w:pPr>
    </w:p>
    <w:p w:rsidR="00AA2E0D" w:rsidRPr="00A54DF7" w:rsidRDefault="00AA2E0D" w:rsidP="00715F81">
      <w:pPr>
        <w:tabs>
          <w:tab w:val="left" w:pos="4320"/>
          <w:tab w:val="center" w:pos="6840"/>
          <w:tab w:val="right" w:pos="9360"/>
        </w:tabs>
        <w:spacing w:after="60"/>
        <w:jc w:val="center"/>
        <w:rPr>
          <w:b/>
          <w:szCs w:val="22"/>
        </w:rPr>
      </w:pPr>
      <w:r w:rsidRPr="00A54DF7">
        <w:rPr>
          <w:b/>
          <w:szCs w:val="22"/>
        </w:rPr>
        <w:t>UNITED STATES OF AMERICA</w:t>
      </w:r>
      <w:r w:rsidRPr="00A54DF7">
        <w:rPr>
          <w:b/>
          <w:szCs w:val="22"/>
        </w:rPr>
        <w:br/>
        <w:t>FEDERAL COMMUNICATIONS COMMISSION</w:t>
      </w:r>
    </w:p>
    <w:tbl>
      <w:tblPr>
        <w:tblStyle w:val="TableGrid"/>
        <w:tblW w:w="0" w:type="auto"/>
        <w:tblLayout w:type="fixed"/>
        <w:tblCellMar>
          <w:left w:w="115" w:type="dxa"/>
          <w:right w:w="115" w:type="dxa"/>
        </w:tblCellMar>
        <w:tblLook w:val="04A0" w:firstRow="1" w:lastRow="0" w:firstColumn="1" w:lastColumn="0" w:noHBand="0" w:noVBand="1"/>
      </w:tblPr>
      <w:tblGrid>
        <w:gridCol w:w="5760"/>
        <w:gridCol w:w="3600"/>
      </w:tblGrid>
      <w:tr w:rsidR="00AA2E0D" w:rsidRPr="00A54DF7" w:rsidTr="008B1588">
        <w:tc>
          <w:tcPr>
            <w:tcW w:w="5760" w:type="dxa"/>
            <w:tcBorders>
              <w:top w:val="nil"/>
              <w:left w:val="nil"/>
              <w:bottom w:val="nil"/>
              <w:right w:val="nil"/>
            </w:tcBorders>
          </w:tcPr>
          <w:p w:rsidR="00AA2E0D" w:rsidRPr="00A54DF7" w:rsidRDefault="00AA2E0D" w:rsidP="008B1588">
            <w:pPr>
              <w:tabs>
                <w:tab w:val="left" w:pos="4320"/>
                <w:tab w:val="center" w:pos="6840"/>
                <w:tab w:val="right" w:pos="9360"/>
              </w:tabs>
              <w:rPr>
                <w:szCs w:val="22"/>
              </w:rPr>
            </w:pPr>
            <w:r w:rsidRPr="00A54DF7">
              <w:rPr>
                <w:szCs w:val="22"/>
              </w:rPr>
              <w:t xml:space="preserve">In the Matter of </w:t>
            </w:r>
          </w:p>
          <w:p w:rsidR="00AA2E0D" w:rsidRPr="00A54DF7" w:rsidRDefault="00AA2E0D" w:rsidP="008B1588">
            <w:pPr>
              <w:tabs>
                <w:tab w:val="left" w:pos="4320"/>
                <w:tab w:val="center" w:pos="6840"/>
                <w:tab w:val="right" w:pos="9360"/>
              </w:tabs>
              <w:rPr>
                <w:szCs w:val="22"/>
              </w:rPr>
            </w:pPr>
            <w:r w:rsidRPr="00A54DF7">
              <w:rPr>
                <w:szCs w:val="22"/>
              </w:rPr>
              <w:t>Special Access for Price Cap Local Exchange Carriers;</w:t>
            </w:r>
          </w:p>
          <w:p w:rsidR="00AA2E0D" w:rsidRPr="00A54DF7" w:rsidRDefault="00AA2E0D" w:rsidP="008B1588">
            <w:pPr>
              <w:tabs>
                <w:tab w:val="left" w:pos="4320"/>
                <w:tab w:val="center" w:pos="6840"/>
                <w:tab w:val="right" w:pos="9360"/>
              </w:tabs>
              <w:rPr>
                <w:szCs w:val="22"/>
              </w:rPr>
            </w:pPr>
          </w:p>
          <w:p w:rsidR="00AA2E0D" w:rsidRPr="00A54DF7" w:rsidRDefault="00AA2E0D" w:rsidP="008B1588">
            <w:pPr>
              <w:tabs>
                <w:tab w:val="left" w:pos="4320"/>
                <w:tab w:val="center" w:pos="6840"/>
                <w:tab w:val="right" w:pos="9360"/>
              </w:tabs>
              <w:rPr>
                <w:szCs w:val="22"/>
              </w:rPr>
            </w:pPr>
            <w:r w:rsidRPr="00A54DF7">
              <w:rPr>
                <w:szCs w:val="22"/>
              </w:rPr>
              <w:t>AT&amp;T Corporation Petition for Rulemaking to Reform Regulation of Incumbent Local Exchange Carrier Rates for Interstate Special Access Services</w:t>
            </w:r>
          </w:p>
        </w:tc>
        <w:tc>
          <w:tcPr>
            <w:tcW w:w="3600" w:type="dxa"/>
            <w:tcBorders>
              <w:top w:val="nil"/>
              <w:left w:val="nil"/>
              <w:bottom w:val="nil"/>
              <w:right w:val="nil"/>
            </w:tcBorders>
          </w:tcPr>
          <w:p w:rsidR="00AA2E0D" w:rsidRPr="00A54DF7" w:rsidRDefault="00AA2E0D" w:rsidP="008B1588">
            <w:pPr>
              <w:tabs>
                <w:tab w:val="left" w:pos="540"/>
                <w:tab w:val="center" w:pos="6840"/>
                <w:tab w:val="right" w:pos="9360"/>
              </w:tabs>
              <w:rPr>
                <w:szCs w:val="22"/>
              </w:rPr>
            </w:pPr>
            <w:r w:rsidRPr="00A54DF7">
              <w:rPr>
                <w:szCs w:val="22"/>
              </w:rPr>
              <w:t>)</w:t>
            </w:r>
            <w:r w:rsidRPr="00A54DF7">
              <w:rPr>
                <w:szCs w:val="22"/>
              </w:rPr>
              <w:br/>
              <w:t>)</w:t>
            </w:r>
            <w:r w:rsidRPr="00A54DF7">
              <w:rPr>
                <w:szCs w:val="22"/>
              </w:rPr>
              <w:tab/>
              <w:t>WC Docket No. 05-25</w:t>
            </w:r>
            <w:r w:rsidRPr="00A54DF7">
              <w:rPr>
                <w:szCs w:val="22"/>
              </w:rPr>
              <w:br/>
              <w:t>)</w:t>
            </w:r>
            <w:r w:rsidRPr="00A54DF7">
              <w:rPr>
                <w:szCs w:val="22"/>
              </w:rPr>
              <w:br/>
              <w:t>)</w:t>
            </w:r>
            <w:r w:rsidRPr="00A54DF7">
              <w:rPr>
                <w:szCs w:val="22"/>
              </w:rPr>
              <w:tab/>
              <w:t>RM-10593</w:t>
            </w:r>
          </w:p>
          <w:p w:rsidR="00AA2E0D" w:rsidRPr="00A54DF7" w:rsidRDefault="00AA2E0D" w:rsidP="008B1588">
            <w:pPr>
              <w:tabs>
                <w:tab w:val="left" w:pos="540"/>
                <w:tab w:val="center" w:pos="6840"/>
                <w:tab w:val="right" w:pos="9360"/>
              </w:tabs>
              <w:rPr>
                <w:szCs w:val="22"/>
              </w:rPr>
            </w:pPr>
            <w:r w:rsidRPr="00A54DF7">
              <w:rPr>
                <w:szCs w:val="22"/>
              </w:rPr>
              <w:t>)</w:t>
            </w:r>
          </w:p>
          <w:p w:rsidR="00AA2E0D" w:rsidRPr="00A54DF7" w:rsidRDefault="00AA2E0D" w:rsidP="008B1588">
            <w:pPr>
              <w:tabs>
                <w:tab w:val="left" w:pos="540"/>
                <w:tab w:val="center" w:pos="6840"/>
                <w:tab w:val="right" w:pos="9360"/>
              </w:tabs>
              <w:rPr>
                <w:szCs w:val="22"/>
              </w:rPr>
            </w:pPr>
            <w:r w:rsidRPr="00A54DF7">
              <w:rPr>
                <w:szCs w:val="22"/>
              </w:rPr>
              <w:t>)</w:t>
            </w:r>
          </w:p>
        </w:tc>
      </w:tr>
    </w:tbl>
    <w:p w:rsidR="00AA2E0D" w:rsidRPr="00A54DF7" w:rsidRDefault="00AA2E0D" w:rsidP="005848C0">
      <w:pPr>
        <w:rPr>
          <w:szCs w:val="22"/>
        </w:rPr>
      </w:pPr>
    </w:p>
    <w:p w:rsidR="00AA2E0D" w:rsidRPr="00A54DF7" w:rsidRDefault="00AA2E0D" w:rsidP="005848C0">
      <w:pPr>
        <w:tabs>
          <w:tab w:val="left" w:pos="720"/>
          <w:tab w:val="left" w:pos="4320"/>
          <w:tab w:val="center" w:pos="6840"/>
          <w:tab w:val="right" w:pos="9360"/>
        </w:tabs>
        <w:ind w:left="720" w:hanging="720"/>
        <w:rPr>
          <w:szCs w:val="22"/>
        </w:rPr>
      </w:pPr>
      <w:r w:rsidRPr="00A54DF7">
        <w:rPr>
          <w:szCs w:val="22"/>
        </w:rPr>
        <w:t>TO:</w:t>
      </w:r>
      <w:r w:rsidRPr="00A54DF7">
        <w:rPr>
          <w:szCs w:val="22"/>
        </w:rPr>
        <w:tab/>
        <w:t xml:space="preserve">All </w:t>
      </w:r>
      <w:r w:rsidRPr="00A54DF7">
        <w:rPr>
          <w:i/>
          <w:szCs w:val="22"/>
        </w:rPr>
        <w:t>Providers</w:t>
      </w:r>
      <w:r w:rsidRPr="00A54DF7">
        <w:rPr>
          <w:szCs w:val="22"/>
        </w:rPr>
        <w:t xml:space="preserve"> as defined in Appendix A of the </w:t>
      </w:r>
      <w:r w:rsidRPr="00A54DF7">
        <w:rPr>
          <w:i/>
          <w:szCs w:val="22"/>
        </w:rPr>
        <w:t>Special Access for Price Cap Local Exchange Carriers; AT&amp;T Corporation Petition for Rulemaking to Reform Regulation of Incumbent Local Exchange Carrier Rates for Interstate Special Access Services</w:t>
      </w:r>
      <w:r w:rsidRPr="00A54DF7">
        <w:rPr>
          <w:szCs w:val="22"/>
        </w:rPr>
        <w:t xml:space="preserve">, WC Docket No. 05-25, RM-10593, Order on Reconsideration, 29 FCC Rcd 10899, 10911, </w:t>
      </w:r>
      <w:r w:rsidR="00B005EC">
        <w:rPr>
          <w:szCs w:val="22"/>
        </w:rPr>
        <w:t>Appx.</w:t>
      </w:r>
      <w:r w:rsidRPr="00A54DF7">
        <w:rPr>
          <w:szCs w:val="22"/>
        </w:rPr>
        <w:t xml:space="preserve"> A (Wireline Comp. Bur. 2014) (</w:t>
      </w:r>
      <w:r w:rsidRPr="00A54DF7">
        <w:rPr>
          <w:i/>
          <w:szCs w:val="22"/>
        </w:rPr>
        <w:t>Reconsideration Order</w:t>
      </w:r>
      <w:r w:rsidRPr="00A54DF7">
        <w:rPr>
          <w:szCs w:val="22"/>
        </w:rPr>
        <w:t>)</w:t>
      </w:r>
      <w:r w:rsidR="00450365">
        <w:rPr>
          <w:szCs w:val="22"/>
        </w:rPr>
        <w:t>; 79 Fed. Reg. 57811 (Sept. 26, 2014)</w:t>
      </w:r>
      <w:r w:rsidRPr="00A54DF7">
        <w:rPr>
          <w:szCs w:val="22"/>
        </w:rPr>
        <w:t>:</w:t>
      </w:r>
    </w:p>
    <w:p w:rsidR="00AA2E0D" w:rsidRPr="00A54DF7" w:rsidRDefault="00AA2E0D" w:rsidP="005848C0">
      <w:pPr>
        <w:tabs>
          <w:tab w:val="left" w:pos="720"/>
          <w:tab w:val="left" w:pos="4320"/>
          <w:tab w:val="center" w:pos="6840"/>
          <w:tab w:val="right" w:pos="9360"/>
        </w:tabs>
        <w:rPr>
          <w:szCs w:val="22"/>
        </w:rPr>
      </w:pPr>
    </w:p>
    <w:p w:rsidR="00AA2E0D" w:rsidRPr="00A54DF7" w:rsidRDefault="00AA2E0D" w:rsidP="005848C0">
      <w:pPr>
        <w:tabs>
          <w:tab w:val="left" w:pos="720"/>
          <w:tab w:val="left" w:pos="4320"/>
          <w:tab w:val="center" w:pos="6840"/>
          <w:tab w:val="right" w:pos="9360"/>
        </w:tabs>
        <w:rPr>
          <w:b/>
          <w:szCs w:val="22"/>
        </w:rPr>
      </w:pPr>
      <w:r w:rsidRPr="00A54DF7">
        <w:rPr>
          <w:b/>
          <w:szCs w:val="22"/>
        </w:rPr>
        <w:t xml:space="preserve">Pursuant to Sections 1, </w:t>
      </w:r>
      <w:r w:rsidR="005F458B">
        <w:rPr>
          <w:b/>
          <w:szCs w:val="22"/>
        </w:rPr>
        <w:t xml:space="preserve">5, </w:t>
      </w:r>
      <w:r w:rsidRPr="00A54DF7">
        <w:rPr>
          <w:b/>
          <w:szCs w:val="22"/>
        </w:rPr>
        <w:t>403, and 409 of the Communications Act of 1934, as amended, 47 U.S.C. §§ 151, 155, 403, 409, and section 0.291(f) of the Commission’s rules, 47 C.F.R. § 0.291(f):</w:t>
      </w:r>
    </w:p>
    <w:p w:rsidR="00AA2E0D" w:rsidRPr="00A54DF7" w:rsidRDefault="00AA2E0D">
      <w:pPr>
        <w:rPr>
          <w:szCs w:val="22"/>
        </w:rPr>
      </w:pPr>
    </w:p>
    <w:p w:rsidR="00676888" w:rsidRPr="0027541F" w:rsidRDefault="00AA2E0D">
      <w:pPr>
        <w:rPr>
          <w:szCs w:val="22"/>
        </w:rPr>
        <w:sectPr w:rsidR="00676888" w:rsidRPr="0027541F" w:rsidSect="0027541F">
          <w:footerReference w:type="default" r:id="rId17"/>
          <w:headerReference w:type="first" r:id="rId18"/>
          <w:pgSz w:w="12240" w:h="15840" w:code="1"/>
          <w:pgMar w:top="720" w:right="1440" w:bottom="720" w:left="1440" w:header="720" w:footer="1440" w:gutter="0"/>
          <w:pgNumType w:start="5"/>
          <w:cols w:space="720"/>
          <w:docGrid w:linePitch="299"/>
        </w:sectPr>
      </w:pPr>
      <w:r w:rsidRPr="00A54DF7">
        <w:rPr>
          <w:b/>
          <w:szCs w:val="22"/>
        </w:rPr>
        <w:t>YOU ARE HEREBY ORDERED</w:t>
      </w:r>
      <w:r w:rsidRPr="00A54DF7">
        <w:rPr>
          <w:szCs w:val="22"/>
        </w:rPr>
        <w:t xml:space="preserve"> under penalty of law to</w:t>
      </w:r>
      <w:r w:rsidRPr="00A54DF7">
        <w:rPr>
          <w:b/>
          <w:szCs w:val="22"/>
        </w:rPr>
        <w:t xml:space="preserve"> PRODUCE</w:t>
      </w:r>
      <w:r w:rsidRPr="00A54DF7">
        <w:rPr>
          <w:szCs w:val="22"/>
        </w:rPr>
        <w:t xml:space="preserve"> </w:t>
      </w:r>
      <w:r w:rsidR="00152260">
        <w:rPr>
          <w:szCs w:val="22"/>
        </w:rPr>
        <w:t xml:space="preserve">any and all </w:t>
      </w:r>
      <w:r w:rsidRPr="00A54DF7">
        <w:rPr>
          <w:szCs w:val="22"/>
        </w:rPr>
        <w:t xml:space="preserve">documents </w:t>
      </w:r>
      <w:r w:rsidR="000612C2">
        <w:rPr>
          <w:szCs w:val="22"/>
        </w:rPr>
        <w:t xml:space="preserve"> providing </w:t>
      </w:r>
      <w:r w:rsidR="006A0E9C">
        <w:rPr>
          <w:szCs w:val="22"/>
        </w:rPr>
        <w:t>customer-related</w:t>
      </w:r>
      <w:r w:rsidR="000612C2">
        <w:rPr>
          <w:szCs w:val="22"/>
        </w:rPr>
        <w:t xml:space="preserve"> information </w:t>
      </w:r>
      <w:r w:rsidRPr="00A54DF7">
        <w:rPr>
          <w:szCs w:val="22"/>
        </w:rPr>
        <w:t xml:space="preserve">identified in Appendix A of the </w:t>
      </w:r>
      <w:r w:rsidRPr="00A54DF7">
        <w:rPr>
          <w:i/>
          <w:szCs w:val="22"/>
        </w:rPr>
        <w:t>Reconsideration Order</w:t>
      </w:r>
      <w:r w:rsidRPr="00A54DF7">
        <w:rPr>
          <w:szCs w:val="22"/>
        </w:rPr>
        <w:t xml:space="preserve">, 29 FCC </w:t>
      </w:r>
      <w:r w:rsidRPr="002F108F">
        <w:rPr>
          <w:szCs w:val="22"/>
        </w:rPr>
        <w:t xml:space="preserve">Rcd at </w:t>
      </w:r>
      <w:r w:rsidR="000B707C" w:rsidRPr="002F108F">
        <w:rPr>
          <w:szCs w:val="22"/>
        </w:rPr>
        <w:t>109</w:t>
      </w:r>
      <w:r w:rsidR="000B707C">
        <w:rPr>
          <w:szCs w:val="22"/>
        </w:rPr>
        <w:t>08</w:t>
      </w:r>
      <w:r w:rsidRPr="002F108F">
        <w:rPr>
          <w:szCs w:val="22"/>
        </w:rPr>
        <w:t xml:space="preserve">-36, </w:t>
      </w:r>
      <w:r w:rsidR="00E30E12" w:rsidRPr="002F108F">
        <w:rPr>
          <w:szCs w:val="22"/>
        </w:rPr>
        <w:t xml:space="preserve">available at </w:t>
      </w:r>
      <w:hyperlink r:id="rId19" w:history="1">
        <w:r w:rsidR="00E30E12" w:rsidRPr="00A85B95">
          <w:rPr>
            <w:rStyle w:val="Hyperlink"/>
            <w:color w:val="auto"/>
            <w:szCs w:val="22"/>
            <w:u w:val="none"/>
          </w:rPr>
          <w:t>http://transition.fcc.gov/wcb/Data_Questions091514.pdf</w:t>
        </w:r>
      </w:hyperlink>
      <w:r w:rsidR="00E30E12" w:rsidRPr="00E30E12">
        <w:rPr>
          <w:szCs w:val="22"/>
        </w:rPr>
        <w:t xml:space="preserve">, </w:t>
      </w:r>
      <w:r w:rsidRPr="00E30E12">
        <w:rPr>
          <w:szCs w:val="22"/>
        </w:rPr>
        <w:t xml:space="preserve">and the </w:t>
      </w:r>
      <w:r w:rsidRPr="00A54DF7">
        <w:rPr>
          <w:szCs w:val="22"/>
        </w:rPr>
        <w:t xml:space="preserve">Instructions for the Data Collection in the Special Access Proceeding, WC Docket No. 05-25, RM-10593, </w:t>
      </w:r>
      <w:r w:rsidR="00FF2182" w:rsidRPr="00FF2182">
        <w:rPr>
          <w:szCs w:val="22"/>
        </w:rPr>
        <w:t xml:space="preserve">OMB Control No. 3060-1197, </w:t>
      </w:r>
      <w:r w:rsidR="00E30E12" w:rsidRPr="00AA37C8">
        <w:rPr>
          <w:szCs w:val="22"/>
        </w:rPr>
        <w:t>available at</w:t>
      </w:r>
      <w:r w:rsidR="00E30E12" w:rsidRPr="00AA37C8">
        <w:rPr>
          <w:i/>
        </w:rPr>
        <w:t xml:space="preserve"> </w:t>
      </w:r>
      <w:hyperlink r:id="rId20" w:history="1">
        <w:r w:rsidR="00806AAD" w:rsidRPr="0027541F">
          <w:rPr>
            <w:rStyle w:val="Hyperlink"/>
            <w:color w:val="auto"/>
            <w:u w:val="none"/>
          </w:rPr>
          <w:t>http://transition.fcc.gov/Daily_Releases/Daily_Business/2014/ db1205/</w:t>
        </w:r>
      </w:hyperlink>
      <w:r w:rsidR="00B12646" w:rsidRPr="0027541F">
        <w:t>DOC-330865A2.pd</w:t>
      </w:r>
      <w:r w:rsidR="00FF2182" w:rsidRPr="0027541F">
        <w:rPr>
          <w:szCs w:val="22"/>
        </w:rPr>
        <w:t>f, at the place, date, and time specified below:</w:t>
      </w:r>
    </w:p>
    <w:p w:rsidR="00AA2E0D" w:rsidRPr="0027541F" w:rsidRDefault="00AA2E0D">
      <w:pPr>
        <w:rPr>
          <w:szCs w:val="22"/>
        </w:rPr>
      </w:pPr>
    </w:p>
    <w:p w:rsidR="00AA2E0D" w:rsidRPr="00A54DF7" w:rsidRDefault="00AA2E0D" w:rsidP="00AA2E0D">
      <w:pPr>
        <w:pStyle w:val="ListParagraph"/>
        <w:numPr>
          <w:ilvl w:val="0"/>
          <w:numId w:val="13"/>
        </w:numPr>
        <w:rPr>
          <w:b/>
          <w:szCs w:val="22"/>
        </w:rPr>
      </w:pPr>
      <w:r w:rsidRPr="00A54DF7">
        <w:rPr>
          <w:b/>
          <w:szCs w:val="22"/>
        </w:rPr>
        <w:t>Place of Production:</w:t>
      </w:r>
    </w:p>
    <w:p w:rsidR="00AA2E0D" w:rsidRPr="00A54DF7" w:rsidRDefault="00AA2E0D" w:rsidP="001D1F0E">
      <w:pPr>
        <w:ind w:left="720"/>
        <w:rPr>
          <w:szCs w:val="22"/>
        </w:rPr>
      </w:pPr>
      <w:r w:rsidRPr="00A54DF7">
        <w:rPr>
          <w:szCs w:val="22"/>
        </w:rPr>
        <w:t>Through the Special Access Web Portal</w:t>
      </w:r>
      <w:r w:rsidRPr="00A54DF7">
        <w:rPr>
          <w:rStyle w:val="FootnoteReference"/>
          <w:szCs w:val="22"/>
        </w:rPr>
        <w:footnoteReference w:id="21"/>
      </w:r>
      <w:r w:rsidRPr="00A54DF7">
        <w:rPr>
          <w:szCs w:val="22"/>
        </w:rPr>
        <w:t xml:space="preserve"> created for the electronic filing of information and certifications in response to the special access data collection</w:t>
      </w:r>
      <w:r w:rsidR="005D42FF">
        <w:rPr>
          <w:szCs w:val="22"/>
        </w:rPr>
        <w:t>,</w:t>
      </w:r>
      <w:r w:rsidRPr="00A54DF7">
        <w:rPr>
          <w:szCs w:val="22"/>
        </w:rPr>
        <w:t xml:space="preserve"> available at </w:t>
      </w:r>
      <w:hyperlink r:id="rId21" w:history="1">
        <w:r w:rsidR="004D085E" w:rsidRPr="004D085E">
          <w:rPr>
            <w:rStyle w:val="Hyperlink"/>
            <w:color w:val="auto"/>
            <w:szCs w:val="22"/>
            <w:u w:val="none"/>
          </w:rPr>
          <w:t>https://specialaccess</w:t>
        </w:r>
      </w:hyperlink>
      <w:r w:rsidRPr="00A54DF7">
        <w:rPr>
          <w:szCs w:val="22"/>
        </w:rPr>
        <w:t>fil</w:t>
      </w:r>
      <w:r w:rsidR="004D085E">
        <w:rPr>
          <w:szCs w:val="22"/>
        </w:rPr>
        <w:t xml:space="preserve"> </w:t>
      </w:r>
      <w:r w:rsidRPr="00A54DF7">
        <w:rPr>
          <w:szCs w:val="22"/>
        </w:rPr>
        <w:t xml:space="preserve">ing.fcc.gov/spadc/login or, in the event the files are too large to deliver via the Special Access Web Portal, by hand delivery to the Federal Communications Commission, </w:t>
      </w:r>
      <w:r w:rsidR="00C55EB4">
        <w:rPr>
          <w:szCs w:val="22"/>
        </w:rPr>
        <w:t xml:space="preserve">ATTN: Craig Glenn, </w:t>
      </w:r>
      <w:r w:rsidRPr="00A54DF7">
        <w:rPr>
          <w:szCs w:val="22"/>
        </w:rPr>
        <w:t>445 12th Street, SW, Washington, DC 20554.</w:t>
      </w:r>
      <w:r w:rsidR="00C55EB4">
        <w:rPr>
          <w:szCs w:val="22"/>
        </w:rPr>
        <w:t xml:space="preserve"> </w:t>
      </w:r>
    </w:p>
    <w:p w:rsidR="00AA2E0D" w:rsidRPr="00A54DF7" w:rsidRDefault="00AA2E0D" w:rsidP="001D1F0E">
      <w:pPr>
        <w:pStyle w:val="ListParagraph"/>
        <w:rPr>
          <w:szCs w:val="22"/>
        </w:rPr>
      </w:pPr>
    </w:p>
    <w:p w:rsidR="00AA2E0D" w:rsidRPr="00A54DF7" w:rsidRDefault="00B3341A" w:rsidP="00AA2E0D">
      <w:pPr>
        <w:pStyle w:val="ListParagraph"/>
        <w:numPr>
          <w:ilvl w:val="0"/>
          <w:numId w:val="13"/>
        </w:numPr>
        <w:rPr>
          <w:b/>
          <w:szCs w:val="22"/>
        </w:rPr>
      </w:pPr>
      <w:r>
        <w:rPr>
          <w:b/>
          <w:szCs w:val="22"/>
        </w:rPr>
        <w:t xml:space="preserve">Date </w:t>
      </w:r>
      <w:r w:rsidR="00AA2E0D" w:rsidRPr="00A54DF7">
        <w:rPr>
          <w:b/>
          <w:szCs w:val="22"/>
        </w:rPr>
        <w:t>and Time:</w:t>
      </w:r>
    </w:p>
    <w:p w:rsidR="00AA2E0D" w:rsidRDefault="00AA2E0D" w:rsidP="00A54DF7">
      <w:pPr>
        <w:pStyle w:val="ListParagraph"/>
        <w:rPr>
          <w:szCs w:val="22"/>
        </w:rPr>
      </w:pPr>
      <w:r w:rsidRPr="00A54DF7">
        <w:rPr>
          <w:szCs w:val="22"/>
        </w:rPr>
        <w:t xml:space="preserve">The production deadline for businesses required to respond to </w:t>
      </w:r>
      <w:r w:rsidR="00382C28">
        <w:rPr>
          <w:szCs w:val="22"/>
        </w:rPr>
        <w:t xml:space="preserve">this </w:t>
      </w:r>
      <w:r w:rsidR="002F108F">
        <w:rPr>
          <w:szCs w:val="22"/>
        </w:rPr>
        <w:t>S</w:t>
      </w:r>
      <w:r w:rsidR="00382C28">
        <w:rPr>
          <w:szCs w:val="22"/>
        </w:rPr>
        <w:t xml:space="preserve">ubpoena </w:t>
      </w:r>
      <w:r w:rsidR="00627D13" w:rsidRPr="00A54DF7">
        <w:rPr>
          <w:szCs w:val="22"/>
        </w:rPr>
        <w:t xml:space="preserve">with more than 1,500 employees </w:t>
      </w:r>
      <w:r w:rsidRPr="00A54DF7">
        <w:rPr>
          <w:szCs w:val="22"/>
        </w:rPr>
        <w:t xml:space="preserve">is </w:t>
      </w:r>
      <w:r w:rsidRPr="00A54DF7">
        <w:rPr>
          <w:b/>
          <w:szCs w:val="22"/>
        </w:rPr>
        <w:t>January 29, 2015.</w:t>
      </w:r>
      <w:r w:rsidRPr="00A54DF7">
        <w:rPr>
          <w:szCs w:val="22"/>
        </w:rPr>
        <w:t xml:space="preserve">  The production deadline for businesses required to respond to </w:t>
      </w:r>
      <w:r w:rsidR="00382C28">
        <w:rPr>
          <w:szCs w:val="22"/>
        </w:rPr>
        <w:t xml:space="preserve">this </w:t>
      </w:r>
      <w:r w:rsidR="002F108F">
        <w:rPr>
          <w:szCs w:val="22"/>
        </w:rPr>
        <w:t>S</w:t>
      </w:r>
      <w:r w:rsidR="00382C28">
        <w:rPr>
          <w:szCs w:val="22"/>
        </w:rPr>
        <w:t xml:space="preserve">ubpoena </w:t>
      </w:r>
      <w:r w:rsidR="00627D13" w:rsidRPr="00A54DF7">
        <w:rPr>
          <w:szCs w:val="22"/>
        </w:rPr>
        <w:t xml:space="preserve">with 1,500 or fewer employees </w:t>
      </w:r>
      <w:r w:rsidRPr="00A54DF7">
        <w:rPr>
          <w:szCs w:val="22"/>
        </w:rPr>
        <w:t xml:space="preserve">is </w:t>
      </w:r>
      <w:r w:rsidRPr="00A54DF7">
        <w:rPr>
          <w:b/>
          <w:szCs w:val="22"/>
        </w:rPr>
        <w:t>February 27, 2015</w:t>
      </w:r>
      <w:r w:rsidRPr="00BB39D9">
        <w:rPr>
          <w:szCs w:val="22"/>
        </w:rPr>
        <w:t>.</w:t>
      </w:r>
      <w:r>
        <w:rPr>
          <w:rStyle w:val="FootnoteReference"/>
          <w:szCs w:val="22"/>
        </w:rPr>
        <w:footnoteReference w:id="22"/>
      </w:r>
      <w:r w:rsidRPr="00BB39D9">
        <w:rPr>
          <w:szCs w:val="22"/>
        </w:rPr>
        <w:t xml:space="preserve">  </w:t>
      </w:r>
      <w:r w:rsidRPr="00A54DF7">
        <w:rPr>
          <w:szCs w:val="22"/>
        </w:rPr>
        <w:t xml:space="preserve"> </w:t>
      </w:r>
    </w:p>
    <w:p w:rsidR="00AA2E0D" w:rsidRDefault="00AA2E0D" w:rsidP="00B8522E">
      <w:pPr>
        <w:rPr>
          <w:szCs w:val="22"/>
        </w:rPr>
      </w:pPr>
    </w:p>
    <w:p w:rsidR="006745BF" w:rsidRDefault="006745BF" w:rsidP="00B8522E">
      <w:pPr>
        <w:rPr>
          <w:szCs w:val="22"/>
        </w:rPr>
      </w:pPr>
      <w:r w:rsidRPr="00D30124">
        <w:rPr>
          <w:szCs w:val="22"/>
        </w:rPr>
        <w:t>As an alternative to producing the documents described above</w:t>
      </w:r>
      <w:r w:rsidRPr="006745BF">
        <w:rPr>
          <w:szCs w:val="22"/>
        </w:rPr>
        <w:t>,</w:t>
      </w:r>
      <w:r w:rsidRPr="00460574">
        <w:rPr>
          <w:szCs w:val="22"/>
        </w:rPr>
        <w:t xml:space="preserve"> you may </w:t>
      </w:r>
      <w:r>
        <w:rPr>
          <w:szCs w:val="22"/>
        </w:rPr>
        <w:t xml:space="preserve">produce responses </w:t>
      </w:r>
      <w:r w:rsidR="00996CFB">
        <w:rPr>
          <w:szCs w:val="22"/>
        </w:rPr>
        <w:t>containing the customer-related information</w:t>
      </w:r>
      <w:r>
        <w:rPr>
          <w:szCs w:val="22"/>
        </w:rPr>
        <w:t xml:space="preserve"> listed </w:t>
      </w:r>
      <w:r w:rsidRPr="00A54DF7">
        <w:rPr>
          <w:szCs w:val="22"/>
        </w:rPr>
        <w:t xml:space="preserve">in Appendix A of the </w:t>
      </w:r>
      <w:r w:rsidRPr="00A54DF7">
        <w:rPr>
          <w:i/>
          <w:szCs w:val="22"/>
        </w:rPr>
        <w:t>Reconsideration Order</w:t>
      </w:r>
      <w:r w:rsidR="0058361F" w:rsidRPr="00D30124">
        <w:rPr>
          <w:rStyle w:val="FootnoteReference"/>
          <w:szCs w:val="22"/>
        </w:rPr>
        <w:footnoteReference w:id="23"/>
      </w:r>
      <w:r w:rsidRPr="00E30E12">
        <w:rPr>
          <w:szCs w:val="22"/>
        </w:rPr>
        <w:t xml:space="preserve"> </w:t>
      </w:r>
      <w:r>
        <w:rPr>
          <w:szCs w:val="22"/>
        </w:rPr>
        <w:t xml:space="preserve">in </w:t>
      </w:r>
      <w:r w:rsidR="00996CFB">
        <w:rPr>
          <w:szCs w:val="22"/>
        </w:rPr>
        <w:t>the</w:t>
      </w:r>
      <w:r>
        <w:rPr>
          <w:szCs w:val="22"/>
        </w:rPr>
        <w:t xml:space="preserve"> manner </w:t>
      </w:r>
      <w:r w:rsidR="00996CFB">
        <w:rPr>
          <w:szCs w:val="22"/>
        </w:rPr>
        <w:t>and in the format prescribed in</w:t>
      </w:r>
      <w:r>
        <w:rPr>
          <w:szCs w:val="22"/>
        </w:rPr>
        <w:t xml:space="preserve"> </w:t>
      </w:r>
      <w:r w:rsidRPr="00E30E12">
        <w:rPr>
          <w:szCs w:val="22"/>
        </w:rPr>
        <w:t xml:space="preserve">the </w:t>
      </w:r>
      <w:r w:rsidRPr="00A54DF7">
        <w:rPr>
          <w:szCs w:val="22"/>
        </w:rPr>
        <w:t>Instructions for the Data Collection in the Special Access Proceeding</w:t>
      </w:r>
      <w:r w:rsidR="0061033C" w:rsidRPr="006538C0">
        <w:rPr>
          <w:szCs w:val="22"/>
        </w:rPr>
        <w:t>,</w:t>
      </w:r>
      <w:r w:rsidR="00450365">
        <w:rPr>
          <w:rStyle w:val="FootnoteReference"/>
          <w:szCs w:val="22"/>
        </w:rPr>
        <w:footnoteReference w:id="24"/>
      </w:r>
      <w:r w:rsidR="0061033C" w:rsidRPr="006538C0">
        <w:rPr>
          <w:szCs w:val="22"/>
        </w:rPr>
        <w:t xml:space="preserve"> </w:t>
      </w:r>
      <w:r w:rsidR="00996CFB">
        <w:rPr>
          <w:szCs w:val="22"/>
        </w:rPr>
        <w:t>e.g.,</w:t>
      </w:r>
      <w:r w:rsidR="0061033C">
        <w:rPr>
          <w:szCs w:val="22"/>
        </w:rPr>
        <w:t xml:space="preserve"> </w:t>
      </w:r>
      <w:r w:rsidR="00996CFB">
        <w:rPr>
          <w:szCs w:val="22"/>
        </w:rPr>
        <w:t xml:space="preserve">using the </w:t>
      </w:r>
      <w:r w:rsidR="0061033C" w:rsidRPr="0061033C">
        <w:rPr>
          <w:szCs w:val="22"/>
        </w:rPr>
        <w:t>data</w:t>
      </w:r>
      <w:r w:rsidR="0061033C">
        <w:rPr>
          <w:szCs w:val="22"/>
        </w:rPr>
        <w:t>base</w:t>
      </w:r>
      <w:r w:rsidR="0061033C" w:rsidRPr="0061033C">
        <w:rPr>
          <w:szCs w:val="22"/>
        </w:rPr>
        <w:t xml:space="preserve"> container </w:t>
      </w:r>
      <w:r w:rsidR="00996CFB">
        <w:rPr>
          <w:szCs w:val="22"/>
        </w:rPr>
        <w:t xml:space="preserve">released by the </w:t>
      </w:r>
      <w:r w:rsidR="00F156D9">
        <w:rPr>
          <w:szCs w:val="22"/>
        </w:rPr>
        <w:t xml:space="preserve">Wireline Competition </w:t>
      </w:r>
      <w:r w:rsidR="00996CFB">
        <w:rPr>
          <w:szCs w:val="22"/>
        </w:rPr>
        <w:t>Bureau to organize, load, and submit the information sought</w:t>
      </w:r>
      <w:r w:rsidR="0061033C">
        <w:rPr>
          <w:szCs w:val="22"/>
        </w:rPr>
        <w:t>.</w:t>
      </w:r>
      <w:r w:rsidR="00F156D9">
        <w:rPr>
          <w:rStyle w:val="FootnoteReference"/>
          <w:szCs w:val="22"/>
        </w:rPr>
        <w:footnoteReference w:id="25"/>
      </w:r>
      <w:r w:rsidR="00450365">
        <w:rPr>
          <w:szCs w:val="22"/>
        </w:rPr>
        <w:t xml:space="preserve"> </w:t>
      </w:r>
    </w:p>
    <w:p w:rsidR="00450365" w:rsidRDefault="00450365" w:rsidP="00B8522E">
      <w:pPr>
        <w:rPr>
          <w:szCs w:val="22"/>
        </w:rPr>
      </w:pPr>
    </w:p>
    <w:p w:rsidR="00AA2E0D" w:rsidRDefault="00AA2E0D" w:rsidP="00B8522E">
      <w:pPr>
        <w:rPr>
          <w:szCs w:val="22"/>
        </w:rPr>
      </w:pPr>
      <w:r w:rsidRPr="00B8522E">
        <w:rPr>
          <w:szCs w:val="22"/>
        </w:rPr>
        <w:t xml:space="preserve">In addition to delivering the materials required by </w:t>
      </w:r>
      <w:r w:rsidR="004554D7">
        <w:rPr>
          <w:szCs w:val="22"/>
        </w:rPr>
        <w:t>this</w:t>
      </w:r>
      <w:r w:rsidRPr="00B8522E">
        <w:rPr>
          <w:szCs w:val="22"/>
        </w:rPr>
        <w:t xml:space="preserve"> Subpoena, </w:t>
      </w:r>
      <w:r w:rsidR="004554D7">
        <w:rPr>
          <w:szCs w:val="22"/>
        </w:rPr>
        <w:t>each</w:t>
      </w:r>
      <w:r w:rsidRPr="00B8522E">
        <w:rPr>
          <w:szCs w:val="22"/>
        </w:rPr>
        <w:t xml:space="preserve"> person or business to which </w:t>
      </w:r>
      <w:r w:rsidR="004554D7">
        <w:rPr>
          <w:szCs w:val="22"/>
        </w:rPr>
        <w:t>this</w:t>
      </w:r>
      <w:r w:rsidRPr="00B8522E">
        <w:rPr>
          <w:szCs w:val="22"/>
        </w:rPr>
        <w:t xml:space="preserve"> </w:t>
      </w:r>
      <w:r w:rsidR="00374794">
        <w:rPr>
          <w:szCs w:val="22"/>
        </w:rPr>
        <w:t>S</w:t>
      </w:r>
      <w:r w:rsidRPr="00B8522E">
        <w:rPr>
          <w:szCs w:val="22"/>
        </w:rPr>
        <w:t xml:space="preserve">ubpoena is directed is required to deliver a signed and completed Subpoena Certificate of Compliance certifying that all materials covered by the </w:t>
      </w:r>
      <w:r w:rsidR="00374794">
        <w:rPr>
          <w:szCs w:val="22"/>
        </w:rPr>
        <w:t>S</w:t>
      </w:r>
      <w:r w:rsidRPr="00B8522E">
        <w:rPr>
          <w:szCs w:val="22"/>
        </w:rPr>
        <w:t xml:space="preserve">ubpoena in possession, custody, and control of that person or business have been produced.  By electronically executing and submitting through the Special Access Web Portal the Certification described in the </w:t>
      </w:r>
      <w:r w:rsidRPr="00B8522E">
        <w:rPr>
          <w:i/>
          <w:szCs w:val="22"/>
        </w:rPr>
        <w:t>Reconsideration Order</w:t>
      </w:r>
      <w:r w:rsidRPr="00B8522E">
        <w:rPr>
          <w:szCs w:val="22"/>
        </w:rPr>
        <w:t xml:space="preserve">, 29 FCC Rcd at 10936, 10947, </w:t>
      </w:r>
      <w:r w:rsidR="00B005EC">
        <w:rPr>
          <w:szCs w:val="22"/>
        </w:rPr>
        <w:t>Appx.</w:t>
      </w:r>
      <w:r w:rsidRPr="00B8522E">
        <w:rPr>
          <w:szCs w:val="22"/>
        </w:rPr>
        <w:t xml:space="preserve"> B, you shall be deemed to have submitted a Certificate of Compliance for this Subpoena.  </w:t>
      </w:r>
    </w:p>
    <w:p w:rsidR="00AA2E0D" w:rsidRDefault="00AA2E0D" w:rsidP="00B8522E">
      <w:pPr>
        <w:rPr>
          <w:szCs w:val="22"/>
        </w:rPr>
      </w:pPr>
    </w:p>
    <w:p w:rsidR="00AA2E0D" w:rsidRDefault="00AA2E0D" w:rsidP="00F62016">
      <w:pPr>
        <w:tabs>
          <w:tab w:val="left" w:pos="4320"/>
          <w:tab w:val="center" w:pos="6840"/>
          <w:tab w:val="right" w:pos="9360"/>
        </w:tabs>
        <w:spacing w:after="240"/>
        <w:rPr>
          <w:szCs w:val="22"/>
        </w:rPr>
      </w:pPr>
      <w:r w:rsidRPr="0012040F">
        <w:rPr>
          <w:szCs w:val="22"/>
        </w:rPr>
        <w:t xml:space="preserve">By designating documents, data </w:t>
      </w:r>
      <w:r>
        <w:rPr>
          <w:szCs w:val="22"/>
        </w:rPr>
        <w:t xml:space="preserve">and information submitted in response to the Subpoena as confidential </w:t>
      </w:r>
      <w:r w:rsidRPr="0012040F">
        <w:rPr>
          <w:szCs w:val="22"/>
        </w:rPr>
        <w:t xml:space="preserve">or </w:t>
      </w:r>
      <w:r>
        <w:rPr>
          <w:szCs w:val="22"/>
        </w:rPr>
        <w:t>h</w:t>
      </w:r>
      <w:r w:rsidRPr="0012040F">
        <w:rPr>
          <w:szCs w:val="22"/>
        </w:rPr>
        <w:t xml:space="preserve">ighly </w:t>
      </w:r>
      <w:r>
        <w:rPr>
          <w:szCs w:val="22"/>
        </w:rPr>
        <w:t>c</w:t>
      </w:r>
      <w:r w:rsidRPr="0012040F">
        <w:rPr>
          <w:szCs w:val="22"/>
        </w:rPr>
        <w:t>onfidential under th</w:t>
      </w:r>
      <w:r>
        <w:rPr>
          <w:szCs w:val="22"/>
        </w:rPr>
        <w:t>e Protective Order for the special access data collection</w:t>
      </w:r>
      <w:r w:rsidRPr="0012040F">
        <w:rPr>
          <w:szCs w:val="22"/>
        </w:rPr>
        <w:t>,</w:t>
      </w:r>
      <w:r>
        <w:rPr>
          <w:szCs w:val="22"/>
        </w:rPr>
        <w:t xml:space="preserve"> </w:t>
      </w:r>
      <w:r w:rsidRPr="0012040F">
        <w:rPr>
          <w:szCs w:val="22"/>
        </w:rPr>
        <w:t xml:space="preserve">a </w:t>
      </w:r>
      <w:r>
        <w:rPr>
          <w:szCs w:val="22"/>
        </w:rPr>
        <w:t xml:space="preserve">party will be deemed to </w:t>
      </w:r>
      <w:r w:rsidRPr="0012040F">
        <w:rPr>
          <w:szCs w:val="22"/>
        </w:rPr>
        <w:t xml:space="preserve">have submitted a request </w:t>
      </w:r>
      <w:r w:rsidR="0057165B">
        <w:rPr>
          <w:szCs w:val="22"/>
        </w:rPr>
        <w:t xml:space="preserve">for </w:t>
      </w:r>
      <w:r w:rsidRPr="0012040F">
        <w:rPr>
          <w:szCs w:val="22"/>
        </w:rPr>
        <w:t xml:space="preserve">the material </w:t>
      </w:r>
      <w:r w:rsidR="0057165B">
        <w:rPr>
          <w:szCs w:val="22"/>
        </w:rPr>
        <w:t xml:space="preserve">to </w:t>
      </w:r>
      <w:r w:rsidRPr="0012040F">
        <w:rPr>
          <w:szCs w:val="22"/>
        </w:rPr>
        <w:t>not be made routinely available for public inspection under the</w:t>
      </w:r>
      <w:r>
        <w:rPr>
          <w:szCs w:val="22"/>
        </w:rPr>
        <w:t xml:space="preserve"> </w:t>
      </w:r>
      <w:r w:rsidRPr="0012040F">
        <w:rPr>
          <w:szCs w:val="22"/>
        </w:rPr>
        <w:t>Commission’s rules</w:t>
      </w:r>
      <w:r>
        <w:rPr>
          <w:szCs w:val="22"/>
        </w:rPr>
        <w:t>.  P</w:t>
      </w:r>
      <w:r w:rsidRPr="00886AE3">
        <w:rPr>
          <w:szCs w:val="22"/>
        </w:rPr>
        <w:t>arties can obtain copies of the documents</w:t>
      </w:r>
      <w:r>
        <w:rPr>
          <w:szCs w:val="22"/>
        </w:rPr>
        <w:t xml:space="preserve"> submitted in response to this Subpoena pursuant to the </w:t>
      </w:r>
      <w:r w:rsidR="00480171">
        <w:rPr>
          <w:szCs w:val="22"/>
        </w:rPr>
        <w:t>P</w:t>
      </w:r>
      <w:r>
        <w:rPr>
          <w:szCs w:val="22"/>
        </w:rPr>
        <w:t xml:space="preserve">rotective </w:t>
      </w:r>
      <w:r w:rsidR="00480171">
        <w:rPr>
          <w:szCs w:val="22"/>
        </w:rPr>
        <w:t>O</w:t>
      </w:r>
      <w:r>
        <w:rPr>
          <w:szCs w:val="22"/>
        </w:rPr>
        <w:t>rder for the special access data collection.</w:t>
      </w:r>
      <w:r w:rsidR="00B00DA1">
        <w:rPr>
          <w:rStyle w:val="FootnoteReference"/>
          <w:szCs w:val="22"/>
        </w:rPr>
        <w:footnoteReference w:id="26"/>
      </w:r>
      <w:r>
        <w:rPr>
          <w:szCs w:val="22"/>
        </w:rPr>
        <w:t xml:space="preserve"> </w:t>
      </w:r>
    </w:p>
    <w:p w:rsidR="00AA2E0D" w:rsidRPr="00E703A7" w:rsidRDefault="00AA2E0D" w:rsidP="00F62016">
      <w:pPr>
        <w:tabs>
          <w:tab w:val="left" w:pos="720"/>
          <w:tab w:val="left" w:pos="4320"/>
          <w:tab w:val="center" w:pos="6840"/>
          <w:tab w:val="right" w:pos="9360"/>
        </w:tabs>
        <w:rPr>
          <w:szCs w:val="22"/>
        </w:rPr>
      </w:pPr>
      <w:r>
        <w:rPr>
          <w:szCs w:val="22"/>
        </w:rPr>
        <w:t xml:space="preserve">You are responsible for the review of materials to identify those covered by this Subpoena.  </w:t>
      </w:r>
      <w:r w:rsidRPr="00E703A7">
        <w:rPr>
          <w:szCs w:val="22"/>
        </w:rPr>
        <w:t xml:space="preserve">Your failure to comply with this Subpoena may lead, </w:t>
      </w:r>
      <w:r w:rsidRPr="00AF5F39">
        <w:rPr>
          <w:i/>
          <w:szCs w:val="22"/>
        </w:rPr>
        <w:t>inter alia</w:t>
      </w:r>
      <w:r w:rsidRPr="00E703A7">
        <w:rPr>
          <w:szCs w:val="22"/>
        </w:rPr>
        <w:t>, to a contempt citation by a U.S. District Court judge and may subject you to a misdemeanor charge, which, on conviction, may subject you to a fine</w:t>
      </w:r>
      <w:r>
        <w:rPr>
          <w:szCs w:val="22"/>
        </w:rPr>
        <w:t>,</w:t>
      </w:r>
      <w:r w:rsidRPr="00E703A7">
        <w:rPr>
          <w:szCs w:val="22"/>
        </w:rPr>
        <w:t xml:space="preserve"> imprisonment or both.  </w:t>
      </w:r>
    </w:p>
    <w:p w:rsidR="00AA2E0D" w:rsidRDefault="00AA2E0D" w:rsidP="00F62016">
      <w:pPr>
        <w:tabs>
          <w:tab w:val="left" w:pos="4320"/>
          <w:tab w:val="center" w:pos="6840"/>
          <w:tab w:val="right" w:pos="9360"/>
        </w:tabs>
        <w:rPr>
          <w:szCs w:val="22"/>
        </w:rPr>
      </w:pPr>
    </w:p>
    <w:p w:rsidR="00AA2E0D" w:rsidRDefault="00AA2E0D" w:rsidP="00F62016">
      <w:pPr>
        <w:tabs>
          <w:tab w:val="left" w:pos="4320"/>
          <w:tab w:val="center" w:pos="6840"/>
          <w:tab w:val="right" w:pos="9360"/>
        </w:tabs>
        <w:spacing w:after="240"/>
        <w:rPr>
          <w:szCs w:val="22"/>
        </w:rPr>
      </w:pPr>
      <w:r w:rsidRPr="00E703A7">
        <w:rPr>
          <w:b/>
          <w:szCs w:val="22"/>
        </w:rPr>
        <w:t>BY ORDER OF THE WIRELINE COMPETITION BUREAU, FEDERAL COMMUNICATIONS COMMISSION</w:t>
      </w:r>
      <w:r w:rsidRPr="00BB72FF">
        <w:rPr>
          <w:szCs w:val="22"/>
        </w:rPr>
        <w:t xml:space="preserve">, </w:t>
      </w:r>
      <w:r w:rsidRPr="005D164F">
        <w:rPr>
          <w:szCs w:val="22"/>
        </w:rPr>
        <w:t xml:space="preserve">this </w:t>
      </w:r>
      <w:r w:rsidR="009E16E3" w:rsidRPr="0027541F">
        <w:rPr>
          <w:szCs w:val="22"/>
        </w:rPr>
        <w:t xml:space="preserve">16th </w:t>
      </w:r>
      <w:r w:rsidRPr="005D164F">
        <w:rPr>
          <w:szCs w:val="22"/>
        </w:rPr>
        <w:t xml:space="preserve">day of </w:t>
      </w:r>
      <w:r w:rsidR="00851512" w:rsidRPr="006650C6">
        <w:rPr>
          <w:szCs w:val="22"/>
        </w:rPr>
        <w:t>January</w:t>
      </w:r>
      <w:r w:rsidRPr="006650C6">
        <w:rPr>
          <w:szCs w:val="22"/>
        </w:rPr>
        <w:t>, 201</w:t>
      </w:r>
      <w:r w:rsidR="00851512" w:rsidRPr="006650C6">
        <w:rPr>
          <w:szCs w:val="22"/>
        </w:rPr>
        <w:t>5</w:t>
      </w:r>
      <w:r w:rsidRPr="006650C6">
        <w:rPr>
          <w:szCs w:val="22"/>
        </w:rPr>
        <w:t>.</w:t>
      </w:r>
      <w:r w:rsidRPr="00E703A7">
        <w:rPr>
          <w:szCs w:val="22"/>
        </w:rPr>
        <w:t xml:space="preserve"> </w:t>
      </w:r>
    </w:p>
    <w:p w:rsidR="00AA2E0D" w:rsidRDefault="00AA2E0D" w:rsidP="00F62016">
      <w:pPr>
        <w:tabs>
          <w:tab w:val="left" w:pos="4320"/>
          <w:tab w:val="center" w:pos="6840"/>
          <w:tab w:val="right" w:pos="9360"/>
        </w:tabs>
        <w:rPr>
          <w:szCs w:val="22"/>
        </w:rPr>
      </w:pPr>
    </w:p>
    <w:p w:rsidR="00AA2E0D" w:rsidRDefault="00AA2E0D" w:rsidP="00F62016">
      <w:pPr>
        <w:tabs>
          <w:tab w:val="left" w:pos="4320"/>
          <w:tab w:val="center" w:pos="6840"/>
          <w:tab w:val="right" w:pos="9360"/>
        </w:tabs>
        <w:rPr>
          <w:szCs w:val="22"/>
        </w:rPr>
      </w:pPr>
    </w:p>
    <w:p w:rsidR="005D42FF" w:rsidRPr="00BB72FF" w:rsidRDefault="005D42FF" w:rsidP="00F62016">
      <w:pPr>
        <w:tabs>
          <w:tab w:val="left" w:pos="4320"/>
          <w:tab w:val="center" w:pos="6840"/>
          <w:tab w:val="right" w:pos="9360"/>
        </w:tabs>
        <w:rPr>
          <w:szCs w:val="22"/>
        </w:rPr>
      </w:pPr>
    </w:p>
    <w:p w:rsidR="00AA2E0D" w:rsidRPr="00E703A7" w:rsidRDefault="00AA2E0D" w:rsidP="00F62016">
      <w:pPr>
        <w:ind w:left="5040"/>
        <w:rPr>
          <w:szCs w:val="22"/>
        </w:rPr>
      </w:pPr>
      <w:r w:rsidRPr="00E703A7">
        <w:rPr>
          <w:szCs w:val="22"/>
        </w:rPr>
        <w:t xml:space="preserve">Julie </w:t>
      </w:r>
      <w:r>
        <w:rPr>
          <w:szCs w:val="22"/>
        </w:rPr>
        <w:t xml:space="preserve">A. </w:t>
      </w:r>
      <w:r w:rsidRPr="00E703A7">
        <w:rPr>
          <w:szCs w:val="22"/>
        </w:rPr>
        <w:t>Veach</w:t>
      </w:r>
    </w:p>
    <w:p w:rsidR="00AA2E0D" w:rsidRPr="00E703A7" w:rsidRDefault="00AA2E0D" w:rsidP="00F62016">
      <w:pPr>
        <w:ind w:left="5040"/>
        <w:rPr>
          <w:szCs w:val="22"/>
        </w:rPr>
      </w:pPr>
      <w:r w:rsidRPr="00E703A7">
        <w:rPr>
          <w:szCs w:val="22"/>
        </w:rPr>
        <w:t>Chief</w:t>
      </w:r>
    </w:p>
    <w:p w:rsidR="00AA2E0D" w:rsidRPr="00E703A7" w:rsidRDefault="00AA2E0D" w:rsidP="00F62016">
      <w:pPr>
        <w:ind w:left="4320" w:firstLine="720"/>
        <w:rPr>
          <w:szCs w:val="22"/>
        </w:rPr>
      </w:pPr>
      <w:r w:rsidRPr="00E703A7">
        <w:rPr>
          <w:szCs w:val="22"/>
        </w:rPr>
        <w:t>Wireline Competition Bureau</w:t>
      </w:r>
    </w:p>
    <w:p w:rsidR="00A83B52" w:rsidRPr="0083639E" w:rsidRDefault="00AA2E0D" w:rsidP="0083639E">
      <w:pPr>
        <w:tabs>
          <w:tab w:val="left" w:pos="2700"/>
          <w:tab w:val="left" w:pos="4320"/>
          <w:tab w:val="left" w:pos="5040"/>
          <w:tab w:val="right" w:pos="9360"/>
        </w:tabs>
        <w:spacing w:after="120"/>
        <w:rPr>
          <w:szCs w:val="22"/>
        </w:rPr>
      </w:pPr>
      <w:r>
        <w:rPr>
          <w:szCs w:val="22"/>
        </w:rPr>
        <w:tab/>
      </w:r>
      <w:r>
        <w:rPr>
          <w:szCs w:val="22"/>
        </w:rPr>
        <w:tab/>
      </w:r>
      <w:r>
        <w:rPr>
          <w:szCs w:val="22"/>
        </w:rPr>
        <w:tab/>
      </w:r>
      <w:r w:rsidRPr="00E703A7">
        <w:rPr>
          <w:szCs w:val="22"/>
        </w:rPr>
        <w:t>Federal Communications Commissio</w:t>
      </w:r>
      <w:r w:rsidRPr="00BB72FF">
        <w:rPr>
          <w:szCs w:val="22"/>
        </w:rPr>
        <w:t>n</w:t>
      </w:r>
    </w:p>
    <w:sectPr w:rsidR="00A83B52" w:rsidRPr="0083639E" w:rsidSect="0027541F">
      <w:footerReference w:type="default" r:id="rId22"/>
      <w:headerReference w:type="first" r:id="rId23"/>
      <w:footnotePr>
        <w:numRestart w:val="eachSect"/>
      </w:footnotePr>
      <w:type w:val="continuous"/>
      <w:pgSz w:w="12240" w:h="15840" w:code="1"/>
      <w:pgMar w:top="720" w:right="1440" w:bottom="72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4A" w:rsidRDefault="004A384A">
      <w:r>
        <w:separator/>
      </w:r>
    </w:p>
  </w:endnote>
  <w:endnote w:type="continuationSeparator" w:id="0">
    <w:p w:rsidR="004A384A" w:rsidRDefault="004A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D" w:rsidRDefault="00731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D" w:rsidRDefault="00731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D" w:rsidRDefault="007312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8" w:rsidRDefault="00C36258">
    <w:pPr>
      <w:pStyle w:val="Footer"/>
    </w:pPr>
    <w:r>
      <w:tab/>
    </w:r>
    <w:r>
      <w:fldChar w:fldCharType="begin"/>
    </w:r>
    <w:r>
      <w:instrText xml:space="preserve"> PAGE   \* MERGEFORMAT </w:instrText>
    </w:r>
    <w:r>
      <w:fldChar w:fldCharType="separate"/>
    </w:r>
    <w:r w:rsidR="007E557D">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48928"/>
      <w:docPartObj>
        <w:docPartGallery w:val="Page Numbers (Bottom of Page)"/>
        <w:docPartUnique/>
      </w:docPartObj>
    </w:sdtPr>
    <w:sdtEndPr>
      <w:rPr>
        <w:noProof/>
      </w:rPr>
    </w:sdtEndPr>
    <w:sdtContent>
      <w:p w:rsidR="00B8522E" w:rsidRDefault="00AA2E0D">
        <w:pPr>
          <w:pStyle w:val="Footer"/>
          <w:jc w:val="center"/>
        </w:pPr>
        <w:r>
          <w:fldChar w:fldCharType="begin"/>
        </w:r>
        <w:r>
          <w:instrText xml:space="preserve"> PAGE   \* MERGEFORMAT </w:instrText>
        </w:r>
        <w:r>
          <w:fldChar w:fldCharType="separate"/>
        </w:r>
        <w:r w:rsidR="00AD55EE">
          <w:rPr>
            <w:noProof/>
          </w:rPr>
          <w:t>5</w:t>
        </w:r>
        <w:r>
          <w:rPr>
            <w:noProof/>
          </w:rPr>
          <w:fldChar w:fldCharType="end"/>
        </w:r>
      </w:p>
    </w:sdtContent>
  </w:sdt>
  <w:p w:rsidR="00B8522E" w:rsidRDefault="007E55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64406"/>
      <w:docPartObj>
        <w:docPartGallery w:val="Page Numbers (Bottom of Page)"/>
        <w:docPartUnique/>
      </w:docPartObj>
    </w:sdtPr>
    <w:sdtEndPr>
      <w:rPr>
        <w:noProof/>
      </w:rPr>
    </w:sdtEndPr>
    <w:sdtContent>
      <w:p w:rsidR="006650C6" w:rsidRDefault="006650C6">
        <w:pPr>
          <w:pStyle w:val="Footer"/>
          <w:jc w:val="center"/>
        </w:pPr>
        <w:r>
          <w:fldChar w:fldCharType="begin"/>
        </w:r>
        <w:r>
          <w:instrText xml:space="preserve"> PAGE   \* MERGEFORMAT </w:instrText>
        </w:r>
        <w:r>
          <w:fldChar w:fldCharType="separate"/>
        </w:r>
        <w:r w:rsidR="0083639E">
          <w:rPr>
            <w:noProof/>
          </w:rPr>
          <w:t>6</w:t>
        </w:r>
        <w:r>
          <w:rPr>
            <w:noProof/>
          </w:rPr>
          <w:fldChar w:fldCharType="end"/>
        </w:r>
      </w:p>
    </w:sdtContent>
  </w:sdt>
  <w:p w:rsidR="006745BF" w:rsidRDefault="00674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4A" w:rsidRDefault="004A384A">
      <w:r>
        <w:separator/>
      </w:r>
    </w:p>
  </w:footnote>
  <w:footnote w:type="continuationSeparator" w:id="0">
    <w:p w:rsidR="004A384A" w:rsidRPr="0089616F" w:rsidRDefault="004A384A" w:rsidP="0089616F">
      <w:pPr>
        <w:pStyle w:val="Footer"/>
        <w:rPr>
          <w:sz w:val="20"/>
        </w:rPr>
      </w:pPr>
      <w:r>
        <w:rPr>
          <w:sz w:val="20"/>
        </w:rPr>
        <w:t xml:space="preserve">(Continued from previous page) </w:t>
      </w:r>
      <w:r w:rsidRPr="0089616F">
        <w:rPr>
          <w:sz w:val="20"/>
        </w:rPr>
        <w:separator/>
      </w:r>
    </w:p>
  </w:footnote>
  <w:footnote w:type="continuationNotice" w:id="1">
    <w:p w:rsidR="004A384A" w:rsidRPr="0089616F" w:rsidRDefault="004A384A" w:rsidP="0089616F">
      <w:pPr>
        <w:jc w:val="right"/>
        <w:rPr>
          <w:sz w:val="20"/>
        </w:rPr>
      </w:pPr>
      <w:r>
        <w:rPr>
          <w:sz w:val="20"/>
        </w:rPr>
        <w:t>(continued…)</w:t>
      </w:r>
    </w:p>
  </w:footnote>
  <w:footnote w:id="2">
    <w:p w:rsidR="00267119" w:rsidRPr="000615AE" w:rsidRDefault="00267119" w:rsidP="00BD0B99">
      <w:pPr>
        <w:pStyle w:val="FootnoteText"/>
        <w:spacing w:after="120"/>
        <w:rPr>
          <w:sz w:val="20"/>
        </w:rPr>
      </w:pPr>
      <w:r w:rsidRPr="008D6B1E">
        <w:rPr>
          <w:rStyle w:val="FootnoteReference"/>
          <w:sz w:val="20"/>
        </w:rPr>
        <w:footnoteRef/>
      </w:r>
      <w:r w:rsidRPr="000615AE">
        <w:rPr>
          <w:sz w:val="20"/>
        </w:rPr>
        <w:t xml:space="preserve"> </w:t>
      </w:r>
      <w:r w:rsidRPr="000615AE">
        <w:rPr>
          <w:i/>
          <w:sz w:val="20"/>
        </w:rPr>
        <w:t xml:space="preserve">See </w:t>
      </w:r>
      <w:r w:rsidR="000D441E" w:rsidRPr="000615AE">
        <w:rPr>
          <w:i/>
          <w:sz w:val="20"/>
        </w:rPr>
        <w:t>Special Access for Price Cap Local Exchange Carriers; AT&amp;T Corporation Petition for Rulemaking to Reform Regulation of Incumbent Local Exchange Carrier Rates for Interstate Special Access Services</w:t>
      </w:r>
      <w:r w:rsidR="000D441E" w:rsidRPr="000615AE">
        <w:rPr>
          <w:sz w:val="20"/>
        </w:rPr>
        <w:t xml:space="preserve">, WC Docket No. 05- 25, RM-10593, Order on Reconsideration, </w:t>
      </w:r>
      <w:r w:rsidR="007F30C5" w:rsidRPr="000615AE">
        <w:rPr>
          <w:sz w:val="20"/>
        </w:rPr>
        <w:t>29 FCC Rcd 10899</w:t>
      </w:r>
      <w:r w:rsidR="00693732">
        <w:rPr>
          <w:sz w:val="20"/>
        </w:rPr>
        <w:t>, 10911, Appx. A</w:t>
      </w:r>
      <w:r w:rsidR="000D441E" w:rsidRPr="000615AE">
        <w:rPr>
          <w:sz w:val="20"/>
        </w:rPr>
        <w:t xml:space="preserve"> (Wireline Comp. Bur. 2014) (</w:t>
      </w:r>
      <w:r w:rsidR="000D441E" w:rsidRPr="000615AE">
        <w:rPr>
          <w:i/>
          <w:sz w:val="20"/>
        </w:rPr>
        <w:t>Reconsideration Order</w:t>
      </w:r>
      <w:r w:rsidR="000D441E" w:rsidRPr="000615AE">
        <w:rPr>
          <w:sz w:val="20"/>
        </w:rPr>
        <w:t>);</w:t>
      </w:r>
      <w:r w:rsidR="000D441E" w:rsidRPr="000615AE">
        <w:rPr>
          <w:i/>
          <w:sz w:val="20"/>
        </w:rPr>
        <w:t xml:space="preserve"> </w:t>
      </w:r>
      <w:r w:rsidR="009465CE" w:rsidRPr="000615AE">
        <w:rPr>
          <w:sz w:val="20"/>
        </w:rPr>
        <w:t>79 Fed</w:t>
      </w:r>
      <w:r w:rsidR="001A187C">
        <w:rPr>
          <w:sz w:val="20"/>
        </w:rPr>
        <w:t xml:space="preserve">. Reg. 57811 (Sept. 26, 2014); </w:t>
      </w:r>
      <w:r w:rsidR="009465CE" w:rsidRPr="000615AE">
        <w:rPr>
          <w:i/>
          <w:sz w:val="20"/>
        </w:rPr>
        <w:t>see also</w:t>
      </w:r>
      <w:r w:rsidR="009465CE" w:rsidRPr="000615AE">
        <w:rPr>
          <w:sz w:val="20"/>
        </w:rPr>
        <w:t xml:space="preserve"> </w:t>
      </w:r>
      <w:r w:rsidRPr="000615AE">
        <w:rPr>
          <w:i/>
          <w:sz w:val="20"/>
        </w:rPr>
        <w:t xml:space="preserve">Special Access for Price Cap Local Exchange Carriers; AT&amp;T Corporation Petition for Rulemaking to Reform Regulation of Incumbent Local Exchange Carrier Rates for Interstate Special Access Services, </w:t>
      </w:r>
      <w:r w:rsidRPr="000615AE">
        <w:rPr>
          <w:sz w:val="20"/>
        </w:rPr>
        <w:t>WC Docket No. 05-25, RM-10593, Report and Order, 28 FCC Rcd 13189, 13197-98, paras. 16-18 (Wireline Comp. Bur. 2013) (</w:t>
      </w:r>
      <w:r w:rsidRPr="000615AE">
        <w:rPr>
          <w:i/>
          <w:sz w:val="20"/>
        </w:rPr>
        <w:t>Data Collection Implementation Order</w:t>
      </w:r>
      <w:r w:rsidRPr="000615AE">
        <w:rPr>
          <w:sz w:val="20"/>
        </w:rPr>
        <w:t>)</w:t>
      </w:r>
      <w:r w:rsidR="000D441E" w:rsidRPr="000615AE">
        <w:rPr>
          <w:sz w:val="20"/>
        </w:rPr>
        <w:t xml:space="preserve">; </w:t>
      </w:r>
      <w:r w:rsidR="007F30C5" w:rsidRPr="000615AE">
        <w:rPr>
          <w:i/>
          <w:sz w:val="20"/>
        </w:rPr>
        <w:t>Special Access for Price Cap Local Exchange Carriers; AT&amp;T Corporation Petition for Rulemaking to Reform Regulation of Incumbent Local Exchange Carrier Rates for Interstate Special Access Services</w:t>
      </w:r>
      <w:r w:rsidR="007F30C5" w:rsidRPr="000615AE">
        <w:rPr>
          <w:sz w:val="20"/>
        </w:rPr>
        <w:t>, WC Docket No. 05-25, RM-10593, Report and Order and Further Notice of Proposed Rulemaking, 27 FCC Rcd 16318 (2012) (</w:t>
      </w:r>
      <w:r w:rsidR="007F30C5" w:rsidRPr="000615AE">
        <w:rPr>
          <w:i/>
          <w:sz w:val="20"/>
        </w:rPr>
        <w:t>Data Collection Order</w:t>
      </w:r>
      <w:r w:rsidR="007F30C5" w:rsidRPr="000615AE">
        <w:rPr>
          <w:sz w:val="20"/>
        </w:rPr>
        <w:t>)</w:t>
      </w:r>
      <w:r w:rsidRPr="000615AE">
        <w:rPr>
          <w:sz w:val="20"/>
        </w:rPr>
        <w:t xml:space="preserve">.  </w:t>
      </w:r>
    </w:p>
  </w:footnote>
  <w:footnote w:id="3">
    <w:p w:rsidR="00755917" w:rsidRPr="000615AE" w:rsidRDefault="00755917" w:rsidP="00BD0B99">
      <w:pPr>
        <w:pStyle w:val="FootnoteText"/>
        <w:spacing w:after="120"/>
        <w:rPr>
          <w:sz w:val="20"/>
        </w:rPr>
      </w:pPr>
      <w:r w:rsidRPr="008D6B1E">
        <w:rPr>
          <w:rStyle w:val="FootnoteReference"/>
          <w:sz w:val="20"/>
        </w:rPr>
        <w:footnoteRef/>
      </w:r>
      <w:r w:rsidRPr="000615AE">
        <w:rPr>
          <w:sz w:val="20"/>
        </w:rPr>
        <w:t xml:space="preserve"> Letter from Jennifer K. McKee, Vice President and Associate General Counsel, NCTA, to Marlene H. Dortch, </w:t>
      </w:r>
      <w:r w:rsidR="00693732">
        <w:rPr>
          <w:sz w:val="20"/>
        </w:rPr>
        <w:t xml:space="preserve">Secretary, FCC, </w:t>
      </w:r>
      <w:r w:rsidRPr="000615AE">
        <w:rPr>
          <w:sz w:val="20"/>
        </w:rPr>
        <w:t xml:space="preserve">WC Docket No. 05-25 (filed Nov. 26, 2014) (NCTA Nov. 26 </w:t>
      </w:r>
      <w:r w:rsidRPr="000615AE">
        <w:rPr>
          <w:i/>
          <w:sz w:val="20"/>
        </w:rPr>
        <w:t>Ex Parte</w:t>
      </w:r>
      <w:r w:rsidR="00D67F8A" w:rsidRPr="000615AE">
        <w:rPr>
          <w:i/>
          <w:sz w:val="20"/>
        </w:rPr>
        <w:t xml:space="preserve"> </w:t>
      </w:r>
      <w:r w:rsidR="00D67F8A" w:rsidRPr="000615AE">
        <w:rPr>
          <w:sz w:val="20"/>
        </w:rPr>
        <w:t>Letter</w:t>
      </w:r>
      <w:r w:rsidRPr="000615AE">
        <w:rPr>
          <w:sz w:val="20"/>
        </w:rPr>
        <w:t xml:space="preserve">); Letter from Robert H. Mayer, Vice President, Industry and State Affairs, USTelecom, to Marlene H. Dortch, Secretary, FCC, WC Docket No. 05-25 (filed Nov. 25, 2014) (USTelecom </w:t>
      </w:r>
      <w:r w:rsidR="00693732">
        <w:rPr>
          <w:sz w:val="20"/>
        </w:rPr>
        <w:t xml:space="preserve">Nov. 25 </w:t>
      </w:r>
      <w:r w:rsidRPr="000615AE">
        <w:rPr>
          <w:i/>
          <w:sz w:val="20"/>
        </w:rPr>
        <w:t>Ex Parte</w:t>
      </w:r>
      <w:r w:rsidR="00D67F8A" w:rsidRPr="000615AE">
        <w:rPr>
          <w:i/>
          <w:sz w:val="20"/>
        </w:rPr>
        <w:t xml:space="preserve"> </w:t>
      </w:r>
      <w:r w:rsidR="00D67F8A" w:rsidRPr="000615AE">
        <w:rPr>
          <w:sz w:val="20"/>
        </w:rPr>
        <w:t>Letter</w:t>
      </w:r>
      <w:r w:rsidRPr="000615AE">
        <w:rPr>
          <w:sz w:val="20"/>
        </w:rPr>
        <w:t>);</w:t>
      </w:r>
      <w:r w:rsidRPr="000615AE">
        <w:rPr>
          <w:i/>
          <w:sz w:val="20"/>
        </w:rPr>
        <w:t xml:space="preserve"> </w:t>
      </w:r>
      <w:r w:rsidRPr="000615AE">
        <w:rPr>
          <w:sz w:val="20"/>
        </w:rPr>
        <w:t xml:space="preserve">Letter from Steven F. Morris, Vice President and Associate General Counsel, NCTA, to Marlene H. Dortch, Secretary, FCC, WC Docket No. 05-25, at 1 (filed Nov. 3, 2014) (NCTA Nov. 3 </w:t>
      </w:r>
      <w:r w:rsidRPr="000615AE">
        <w:rPr>
          <w:i/>
          <w:sz w:val="20"/>
        </w:rPr>
        <w:t>Ex Parte</w:t>
      </w:r>
      <w:r w:rsidR="00D67F8A" w:rsidRPr="000615AE">
        <w:rPr>
          <w:i/>
          <w:sz w:val="20"/>
        </w:rPr>
        <w:t xml:space="preserve"> </w:t>
      </w:r>
      <w:r w:rsidR="00D67F8A" w:rsidRPr="000615AE">
        <w:rPr>
          <w:sz w:val="20"/>
        </w:rPr>
        <w:t>Letter</w:t>
      </w:r>
      <w:r w:rsidRPr="000615AE">
        <w:rPr>
          <w:sz w:val="20"/>
        </w:rPr>
        <w:t>).</w:t>
      </w:r>
      <w:r w:rsidR="00D67F8A" w:rsidRPr="000615AE">
        <w:rPr>
          <w:sz w:val="20"/>
        </w:rPr>
        <w:t xml:space="preserve"> </w:t>
      </w:r>
    </w:p>
  </w:footnote>
  <w:footnote w:id="4">
    <w:p w:rsidR="00D91F58" w:rsidRPr="000615AE" w:rsidRDefault="00D91F58" w:rsidP="00BD0536">
      <w:pPr>
        <w:pStyle w:val="FootnoteText"/>
        <w:rPr>
          <w:sz w:val="20"/>
        </w:rPr>
      </w:pPr>
      <w:r w:rsidRPr="008D6B1E">
        <w:rPr>
          <w:rStyle w:val="FootnoteReference"/>
          <w:sz w:val="20"/>
        </w:rPr>
        <w:footnoteRef/>
      </w:r>
      <w:r w:rsidRPr="000615AE">
        <w:rPr>
          <w:sz w:val="20"/>
        </w:rPr>
        <w:t xml:space="preserve"> </w:t>
      </w:r>
      <w:r w:rsidR="00BD0536" w:rsidRPr="000615AE">
        <w:rPr>
          <w:i/>
          <w:sz w:val="20"/>
        </w:rPr>
        <w:t>See Special Access for Price Cap Local Exchange Carriers; AT&amp;T Corporation Petition for Rulemaking to Reform Regulation of Incumbent Local Exchange Carrier Rates for Interstate Special Access Services</w:t>
      </w:r>
      <w:r w:rsidR="00BD0536" w:rsidRPr="000615AE">
        <w:rPr>
          <w:sz w:val="20"/>
        </w:rPr>
        <w:t>, WC Docket No. 05- 25, RM-10593, Order and Data Collection Protective Order, 29 FCC Rcd 11657 (Wireline Comp. Bur. 2014) (</w:t>
      </w:r>
      <w:r w:rsidR="00BD0536" w:rsidRPr="000615AE">
        <w:rPr>
          <w:i/>
          <w:sz w:val="20"/>
        </w:rPr>
        <w:t>Protective Order</w:t>
      </w:r>
      <w:r w:rsidR="00BD0536" w:rsidRPr="000615AE">
        <w:rPr>
          <w:sz w:val="20"/>
        </w:rPr>
        <w:t xml:space="preserve">); </w:t>
      </w:r>
      <w:r w:rsidR="00693732">
        <w:rPr>
          <w:i/>
          <w:sz w:val="20"/>
        </w:rPr>
        <w:t xml:space="preserve">see also </w:t>
      </w:r>
      <w:r w:rsidR="00BD0536" w:rsidRPr="000615AE">
        <w:rPr>
          <w:i/>
          <w:sz w:val="20"/>
        </w:rPr>
        <w:t>Wireline Competition Bureau Seeks Comment on Protective Order for Special Access Data</w:t>
      </w:r>
      <w:r w:rsidR="00BD0536" w:rsidRPr="000615AE">
        <w:rPr>
          <w:sz w:val="20"/>
        </w:rPr>
        <w:t xml:space="preserve"> </w:t>
      </w:r>
      <w:r w:rsidR="00BD0536" w:rsidRPr="000615AE">
        <w:rPr>
          <w:i/>
          <w:sz w:val="20"/>
        </w:rPr>
        <w:t>Collection</w:t>
      </w:r>
      <w:r w:rsidR="00BD0536" w:rsidRPr="000615AE">
        <w:rPr>
          <w:sz w:val="20"/>
        </w:rPr>
        <w:t>, WC Docket No. 05-25, RM-10593, Public Notice, 28 FCC Rcd 9170 (Wireline Comp. Bur. 2013).</w:t>
      </w:r>
    </w:p>
  </w:footnote>
  <w:footnote w:id="5">
    <w:p w:rsidR="00755917" w:rsidRPr="000615AE" w:rsidRDefault="00755917" w:rsidP="00BD0B99">
      <w:pPr>
        <w:pStyle w:val="FootnoteText"/>
        <w:spacing w:after="120"/>
        <w:rPr>
          <w:sz w:val="20"/>
        </w:rPr>
      </w:pPr>
      <w:r w:rsidRPr="008D6B1E">
        <w:rPr>
          <w:rStyle w:val="FootnoteReference"/>
          <w:sz w:val="20"/>
        </w:rPr>
        <w:footnoteRef/>
      </w:r>
      <w:r w:rsidRPr="000615AE">
        <w:rPr>
          <w:sz w:val="20"/>
        </w:rPr>
        <w:t xml:space="preserve"> </w:t>
      </w:r>
      <w:r w:rsidR="00D718AA" w:rsidRPr="000615AE">
        <w:rPr>
          <w:i/>
          <w:sz w:val="20"/>
        </w:rPr>
        <w:t xml:space="preserve">See </w:t>
      </w:r>
      <w:r w:rsidRPr="000615AE">
        <w:rPr>
          <w:sz w:val="20"/>
        </w:rPr>
        <w:t xml:space="preserve">47 U.S.C. §§ </w:t>
      </w:r>
      <w:r w:rsidR="00B70457" w:rsidRPr="000615AE">
        <w:rPr>
          <w:sz w:val="20"/>
        </w:rPr>
        <w:t xml:space="preserve">151, </w:t>
      </w:r>
      <w:r w:rsidRPr="000615AE">
        <w:rPr>
          <w:sz w:val="20"/>
        </w:rPr>
        <w:t xml:space="preserve">154(i), 154(j), </w:t>
      </w:r>
      <w:r w:rsidR="00B70457" w:rsidRPr="000615AE">
        <w:rPr>
          <w:sz w:val="20"/>
        </w:rPr>
        <w:t xml:space="preserve">155, </w:t>
      </w:r>
      <w:r w:rsidR="00120D3A" w:rsidRPr="000615AE">
        <w:rPr>
          <w:sz w:val="20"/>
        </w:rPr>
        <w:t xml:space="preserve">215, 218, </w:t>
      </w:r>
      <w:r w:rsidRPr="000615AE">
        <w:rPr>
          <w:sz w:val="20"/>
        </w:rPr>
        <w:t>220, 403</w:t>
      </w:r>
      <w:r w:rsidR="00B70457" w:rsidRPr="000615AE">
        <w:rPr>
          <w:sz w:val="20"/>
        </w:rPr>
        <w:t>, 409</w:t>
      </w:r>
      <w:r w:rsidR="006F5DFF" w:rsidRPr="000615AE">
        <w:rPr>
          <w:sz w:val="20"/>
        </w:rPr>
        <w:t>; 47 C.F.R. § 0.291(f) (Bureau’s authority concerning the issuance of subpoenas)</w:t>
      </w:r>
      <w:r w:rsidR="00BC3084" w:rsidRPr="000615AE">
        <w:rPr>
          <w:sz w:val="20"/>
        </w:rPr>
        <w:t xml:space="preserve">; </w:t>
      </w:r>
      <w:r w:rsidR="00BC3084" w:rsidRPr="000615AE">
        <w:rPr>
          <w:i/>
          <w:sz w:val="20"/>
        </w:rPr>
        <w:t>Data Collection Order</w:t>
      </w:r>
      <w:r w:rsidR="00BC3084" w:rsidRPr="000615AE">
        <w:rPr>
          <w:sz w:val="20"/>
        </w:rPr>
        <w:t>, 27 FCC Rcd at 16340, para. 52 (delegating authority to the Bureau to implement the collection)</w:t>
      </w:r>
      <w:r w:rsidR="006F5DFF" w:rsidRPr="000615AE">
        <w:rPr>
          <w:sz w:val="20"/>
        </w:rPr>
        <w:t>.</w:t>
      </w:r>
    </w:p>
  </w:footnote>
  <w:footnote w:id="6">
    <w:p w:rsidR="00E40B69" w:rsidRPr="000615AE" w:rsidRDefault="00E40B69" w:rsidP="00BD0B99">
      <w:pPr>
        <w:pStyle w:val="FootnoteText"/>
        <w:spacing w:after="120"/>
        <w:rPr>
          <w:sz w:val="20"/>
        </w:rPr>
      </w:pPr>
      <w:r w:rsidRPr="008D6B1E">
        <w:rPr>
          <w:rStyle w:val="FootnoteReference"/>
          <w:sz w:val="20"/>
        </w:rPr>
        <w:footnoteRef/>
      </w:r>
      <w:r w:rsidRPr="000615AE">
        <w:rPr>
          <w:sz w:val="20"/>
        </w:rPr>
        <w:t xml:space="preserve"> </w:t>
      </w:r>
      <w:r w:rsidR="0002088E" w:rsidRPr="000615AE">
        <w:rPr>
          <w:i/>
          <w:sz w:val="20"/>
        </w:rPr>
        <w:t xml:space="preserve">See </w:t>
      </w:r>
      <w:r w:rsidR="0002088E" w:rsidRPr="000615AE">
        <w:rPr>
          <w:sz w:val="20"/>
        </w:rPr>
        <w:t>47 U.S.C. § 201</w:t>
      </w:r>
      <w:r w:rsidR="003032B4" w:rsidRPr="000615AE">
        <w:rPr>
          <w:sz w:val="20"/>
        </w:rPr>
        <w:t>;</w:t>
      </w:r>
      <w:r w:rsidR="00E5303A" w:rsidRPr="000615AE">
        <w:rPr>
          <w:sz w:val="20"/>
        </w:rPr>
        <w:t xml:space="preserve"> </w:t>
      </w:r>
      <w:r w:rsidR="00DD3187" w:rsidRPr="000615AE">
        <w:rPr>
          <w:i/>
          <w:iCs/>
          <w:sz w:val="20"/>
        </w:rPr>
        <w:t>Special Access Rates for Price Cap Local Exchange Carriers</w:t>
      </w:r>
      <w:r w:rsidR="00DD3187" w:rsidRPr="000615AE">
        <w:rPr>
          <w:sz w:val="20"/>
        </w:rPr>
        <w:t xml:space="preserve">; </w:t>
      </w:r>
      <w:r w:rsidR="00DD3187" w:rsidRPr="000615AE">
        <w:rPr>
          <w:i/>
          <w:iCs/>
          <w:sz w:val="20"/>
        </w:rPr>
        <w:t>AT&amp;T Corp. Petition for Rulemaking to Reform Regulation of Incumbent Local Exchange Carrier Rates for Interstate Special Access Services</w:t>
      </w:r>
      <w:r w:rsidR="00DD3187" w:rsidRPr="000615AE">
        <w:rPr>
          <w:sz w:val="20"/>
        </w:rPr>
        <w:t xml:space="preserve">, </w:t>
      </w:r>
      <w:r w:rsidR="00476C2E" w:rsidRPr="000615AE">
        <w:rPr>
          <w:sz w:val="20"/>
        </w:rPr>
        <w:t>WC Docket No. 05-25</w:t>
      </w:r>
      <w:r w:rsidR="00476C2E">
        <w:rPr>
          <w:sz w:val="20"/>
        </w:rPr>
        <w:t xml:space="preserve">, </w:t>
      </w:r>
      <w:r w:rsidR="00DD3187" w:rsidRPr="000615AE">
        <w:rPr>
          <w:sz w:val="20"/>
        </w:rPr>
        <w:t>RM-10593, Order and Notice of Proposed Rulemaking, 20 FCC Rcd 1994, 1995, paras. 1-2 (2005).</w:t>
      </w:r>
    </w:p>
  </w:footnote>
  <w:footnote w:id="7">
    <w:p w:rsidR="009301F6" w:rsidRPr="000615AE" w:rsidRDefault="009301F6" w:rsidP="00BD0B99">
      <w:pPr>
        <w:pStyle w:val="FootnoteText"/>
        <w:spacing w:after="120"/>
        <w:rPr>
          <w:sz w:val="20"/>
        </w:rPr>
      </w:pPr>
      <w:r w:rsidRPr="008D6B1E">
        <w:rPr>
          <w:rStyle w:val="FootnoteReference"/>
          <w:sz w:val="20"/>
        </w:rPr>
        <w:footnoteRef/>
      </w:r>
      <w:r w:rsidRPr="000615AE">
        <w:rPr>
          <w:sz w:val="20"/>
        </w:rPr>
        <w:t xml:space="preserve"> </w:t>
      </w:r>
      <w:r w:rsidR="00476C2E">
        <w:rPr>
          <w:i/>
          <w:sz w:val="20"/>
        </w:rPr>
        <w:t xml:space="preserve">See generally </w:t>
      </w:r>
      <w:r w:rsidRPr="000615AE">
        <w:rPr>
          <w:i/>
          <w:sz w:val="20"/>
        </w:rPr>
        <w:t>Data Collection Order</w:t>
      </w:r>
      <w:r w:rsidRPr="000615AE">
        <w:rPr>
          <w:sz w:val="20"/>
        </w:rPr>
        <w:t xml:space="preserve">.  </w:t>
      </w:r>
      <w:r w:rsidR="00476C2E">
        <w:rPr>
          <w:sz w:val="20"/>
        </w:rPr>
        <w:t xml:space="preserve">Earlier in 2012, </w:t>
      </w:r>
      <w:r w:rsidR="0037723C">
        <w:rPr>
          <w:sz w:val="20"/>
        </w:rPr>
        <w:t>t</w:t>
      </w:r>
      <w:r w:rsidR="008D729C" w:rsidRPr="000615AE">
        <w:rPr>
          <w:sz w:val="20"/>
        </w:rPr>
        <w:t xml:space="preserve">he Commission found </w:t>
      </w:r>
      <w:r w:rsidR="00476C2E">
        <w:rPr>
          <w:sz w:val="20"/>
        </w:rPr>
        <w:t>that</w:t>
      </w:r>
      <w:r w:rsidR="008D729C" w:rsidRPr="000615AE">
        <w:rPr>
          <w:i/>
          <w:sz w:val="20"/>
        </w:rPr>
        <w:t xml:space="preserve"> </w:t>
      </w:r>
      <w:r w:rsidR="008D729C" w:rsidRPr="000615AE">
        <w:rPr>
          <w:sz w:val="20"/>
        </w:rPr>
        <w:t>the pricing flexibility rules adopted in 1999 for special access service were not working as intended</w:t>
      </w:r>
      <w:r w:rsidR="00476C2E">
        <w:rPr>
          <w:sz w:val="20"/>
        </w:rPr>
        <w:t>,</w:t>
      </w:r>
      <w:r w:rsidR="008D729C" w:rsidRPr="000615AE">
        <w:rPr>
          <w:sz w:val="20"/>
        </w:rPr>
        <w:t xml:space="preserve"> and suspended these rules pending this data collection and subsequent action on its rules.</w:t>
      </w:r>
      <w:r w:rsidR="008D729C" w:rsidRPr="000615AE">
        <w:rPr>
          <w:sz w:val="20"/>
          <w:vertAlign w:val="superscript"/>
        </w:rPr>
        <w:t xml:space="preserve"> </w:t>
      </w:r>
      <w:r w:rsidR="008D729C" w:rsidRPr="000615AE">
        <w:rPr>
          <w:sz w:val="20"/>
        </w:rPr>
        <w:t xml:space="preserve"> </w:t>
      </w:r>
      <w:r w:rsidR="008D729C" w:rsidRPr="000615AE">
        <w:rPr>
          <w:i/>
          <w:sz w:val="20"/>
        </w:rPr>
        <w:t>Special Access for Price Cap Local Exchange Carriers; AT&amp;T Corporation Petition for Rulemaking to Reform Regulation of Incumbent Local Exchange Carrier Rates for Interstate Special Access Services</w:t>
      </w:r>
      <w:r w:rsidR="008D729C" w:rsidRPr="000615AE">
        <w:rPr>
          <w:sz w:val="20"/>
        </w:rPr>
        <w:t xml:space="preserve">, WC Docket No. 05- 25, RM-10593, Report and Order, 27 FCC Rcd 10557 (2012). </w:t>
      </w:r>
    </w:p>
  </w:footnote>
  <w:footnote w:id="8">
    <w:p w:rsidR="00F57B5F" w:rsidRPr="000615AE" w:rsidRDefault="00F57B5F" w:rsidP="00BD0B99">
      <w:pPr>
        <w:pStyle w:val="FootnoteText"/>
        <w:spacing w:after="120"/>
        <w:rPr>
          <w:sz w:val="20"/>
        </w:rPr>
      </w:pPr>
      <w:r w:rsidRPr="008D6B1E">
        <w:rPr>
          <w:rStyle w:val="FootnoteReference"/>
          <w:sz w:val="20"/>
        </w:rPr>
        <w:footnoteRef/>
      </w:r>
      <w:r w:rsidRPr="000615AE">
        <w:rPr>
          <w:sz w:val="20"/>
        </w:rPr>
        <w:t xml:space="preserve"> </w:t>
      </w:r>
      <w:r w:rsidR="00914828" w:rsidRPr="000615AE">
        <w:rPr>
          <w:i/>
          <w:sz w:val="20"/>
        </w:rPr>
        <w:t>Data Collection Order</w:t>
      </w:r>
      <w:r w:rsidR="00914828" w:rsidRPr="000615AE">
        <w:rPr>
          <w:sz w:val="20"/>
        </w:rPr>
        <w:t xml:space="preserve">, 27 FCC Rcd at 16340, para. 52.  </w:t>
      </w:r>
      <w:r w:rsidRPr="000615AE">
        <w:rPr>
          <w:sz w:val="20"/>
        </w:rPr>
        <w:t xml:space="preserve">The Commission’s delegation gave the Bureau authority to: “(a) draft instructions to the data collection and modify the data collection based on public feedback; (b) amend the data collection based on feedback received through the [Paperwork Reduction Act] process; (c) make corrections to the data collection to ensure it reflects the Commission’s needs as expressed in [the </w:t>
      </w:r>
      <w:r w:rsidRPr="000615AE">
        <w:rPr>
          <w:i/>
          <w:sz w:val="20"/>
        </w:rPr>
        <w:t>Data Collection Order</w:t>
      </w:r>
      <w:r w:rsidRPr="000615AE">
        <w:rPr>
          <w:sz w:val="20"/>
        </w:rPr>
        <w:t>]; . . . (d) issue Bureau-level orders and Public Notices specifying the production of specific types of data, specifying a collection mechanism (including necessary forms or formats), and set</w:t>
      </w:r>
      <w:r w:rsidR="00476C2E">
        <w:rPr>
          <w:sz w:val="20"/>
        </w:rPr>
        <w:t>ting</w:t>
      </w:r>
      <w:r w:rsidRPr="000615AE">
        <w:rPr>
          <w:sz w:val="20"/>
        </w:rPr>
        <w:t xml:space="preserve"> deadlines for response to ensure that data collections are complied with in a timely manner; and (e) take other such actions as are necessary to implement [the </w:t>
      </w:r>
      <w:r w:rsidRPr="000615AE">
        <w:rPr>
          <w:i/>
          <w:sz w:val="20"/>
        </w:rPr>
        <w:t>Data Collection Order</w:t>
      </w:r>
      <w:r w:rsidRPr="000615AE">
        <w:rPr>
          <w:sz w:val="20"/>
        </w:rPr>
        <w:t>]. . . consistent with [its] terms.”</w:t>
      </w:r>
      <w:r w:rsidRPr="000615AE">
        <w:rPr>
          <w:i/>
          <w:snapToGrid w:val="0"/>
          <w:kern w:val="28"/>
          <w:sz w:val="20"/>
        </w:rPr>
        <w:t xml:space="preserve"> </w:t>
      </w:r>
      <w:r w:rsidR="00914828" w:rsidRPr="000615AE">
        <w:rPr>
          <w:i/>
          <w:sz w:val="20"/>
        </w:rPr>
        <w:t>Id.</w:t>
      </w:r>
      <w:r w:rsidRPr="000615AE">
        <w:rPr>
          <w:sz w:val="20"/>
        </w:rPr>
        <w:t xml:space="preserve">; </w:t>
      </w:r>
      <w:r w:rsidR="003032B4" w:rsidRPr="000615AE">
        <w:rPr>
          <w:i/>
          <w:sz w:val="20"/>
        </w:rPr>
        <w:t>see</w:t>
      </w:r>
      <w:r w:rsidR="003032B4" w:rsidRPr="000615AE">
        <w:rPr>
          <w:sz w:val="20"/>
        </w:rPr>
        <w:t xml:space="preserve"> </w:t>
      </w:r>
      <w:r w:rsidRPr="000615AE">
        <w:rPr>
          <w:i/>
          <w:sz w:val="20"/>
        </w:rPr>
        <w:t>id</w:t>
      </w:r>
      <w:r w:rsidRPr="000615AE">
        <w:rPr>
          <w:sz w:val="20"/>
        </w:rPr>
        <w:t xml:space="preserve">. at 16364-82, </w:t>
      </w:r>
      <w:r w:rsidR="00B005EC" w:rsidRPr="000615AE">
        <w:rPr>
          <w:sz w:val="20"/>
        </w:rPr>
        <w:t>Appx.</w:t>
      </w:r>
      <w:r w:rsidRPr="000615AE">
        <w:rPr>
          <w:sz w:val="20"/>
        </w:rPr>
        <w:t xml:space="preserve"> A (listing initial data collection questions).</w:t>
      </w:r>
    </w:p>
  </w:footnote>
  <w:footnote w:id="9">
    <w:p w:rsidR="007C6575" w:rsidRPr="000615AE" w:rsidRDefault="007C6575" w:rsidP="00BD0B99">
      <w:pPr>
        <w:pStyle w:val="FootnoteText"/>
        <w:spacing w:after="120"/>
        <w:rPr>
          <w:sz w:val="20"/>
        </w:rPr>
      </w:pPr>
      <w:r w:rsidRPr="008D6B1E">
        <w:rPr>
          <w:rStyle w:val="FootnoteReference"/>
          <w:sz w:val="20"/>
        </w:rPr>
        <w:footnoteRef/>
      </w:r>
      <w:r w:rsidRPr="000615AE">
        <w:rPr>
          <w:sz w:val="20"/>
        </w:rPr>
        <w:t xml:space="preserve"> </w:t>
      </w:r>
      <w:r w:rsidRPr="000615AE">
        <w:rPr>
          <w:i/>
          <w:sz w:val="20"/>
        </w:rPr>
        <w:t>See</w:t>
      </w:r>
      <w:r w:rsidRPr="000615AE">
        <w:rPr>
          <w:sz w:val="20"/>
        </w:rPr>
        <w:t xml:space="preserve"> </w:t>
      </w:r>
      <w:r w:rsidR="00456067">
        <w:rPr>
          <w:i/>
          <w:sz w:val="20"/>
        </w:rPr>
        <w:t xml:space="preserve">generally </w:t>
      </w:r>
      <w:r w:rsidRPr="000615AE">
        <w:rPr>
          <w:i/>
          <w:sz w:val="20"/>
        </w:rPr>
        <w:t>Data Collection Implementation Order</w:t>
      </w:r>
      <w:r w:rsidRPr="000615AE">
        <w:rPr>
          <w:sz w:val="20"/>
        </w:rPr>
        <w:t xml:space="preserve">; </w:t>
      </w:r>
      <w:r w:rsidRPr="000615AE">
        <w:rPr>
          <w:i/>
          <w:sz w:val="20"/>
        </w:rPr>
        <w:t xml:space="preserve">see </w:t>
      </w:r>
      <w:r w:rsidR="00456067">
        <w:rPr>
          <w:i/>
          <w:sz w:val="20"/>
        </w:rPr>
        <w:t xml:space="preserve">also </w:t>
      </w:r>
      <w:r w:rsidRPr="000615AE">
        <w:rPr>
          <w:i/>
          <w:sz w:val="20"/>
        </w:rPr>
        <w:t>Data Collection Order</w:t>
      </w:r>
      <w:r w:rsidRPr="000615AE">
        <w:rPr>
          <w:sz w:val="20"/>
        </w:rPr>
        <w:t xml:space="preserve">, 27 FCC Rcd at 16340, para. 52.    </w:t>
      </w:r>
    </w:p>
  </w:footnote>
  <w:footnote w:id="10">
    <w:p w:rsidR="007C6575" w:rsidRPr="000615AE" w:rsidRDefault="007C6575" w:rsidP="00BD0B99">
      <w:pPr>
        <w:pStyle w:val="FootnoteText"/>
        <w:spacing w:after="120"/>
        <w:rPr>
          <w:sz w:val="20"/>
        </w:rPr>
      </w:pPr>
      <w:r w:rsidRPr="008D6B1E">
        <w:rPr>
          <w:rStyle w:val="FootnoteReference"/>
          <w:sz w:val="20"/>
        </w:rPr>
        <w:footnoteRef/>
      </w:r>
      <w:r w:rsidRPr="000615AE">
        <w:rPr>
          <w:sz w:val="20"/>
        </w:rPr>
        <w:t xml:space="preserve"> </w:t>
      </w:r>
      <w:r w:rsidR="00456067">
        <w:rPr>
          <w:i/>
          <w:sz w:val="20"/>
        </w:rPr>
        <w:t>See gen</w:t>
      </w:r>
      <w:r w:rsidR="00F066AF">
        <w:rPr>
          <w:i/>
          <w:sz w:val="20"/>
        </w:rPr>
        <w:t>er</w:t>
      </w:r>
      <w:r w:rsidR="00456067">
        <w:rPr>
          <w:i/>
          <w:sz w:val="20"/>
        </w:rPr>
        <w:t xml:space="preserve">ally </w:t>
      </w:r>
      <w:r w:rsidR="003D03E2" w:rsidRPr="000615AE">
        <w:rPr>
          <w:i/>
          <w:sz w:val="20"/>
        </w:rPr>
        <w:t>Reconsideration Order</w:t>
      </w:r>
      <w:r w:rsidR="00CB50AB" w:rsidRPr="000615AE">
        <w:rPr>
          <w:sz w:val="20"/>
        </w:rPr>
        <w:t>;</w:t>
      </w:r>
      <w:r w:rsidR="00CB50AB" w:rsidRPr="000615AE">
        <w:rPr>
          <w:i/>
          <w:sz w:val="20"/>
        </w:rPr>
        <w:t xml:space="preserve"> see </w:t>
      </w:r>
      <w:r w:rsidR="00456067">
        <w:rPr>
          <w:i/>
          <w:sz w:val="20"/>
        </w:rPr>
        <w:t xml:space="preserve">also </w:t>
      </w:r>
      <w:r w:rsidR="00CB50AB" w:rsidRPr="000615AE">
        <w:rPr>
          <w:i/>
          <w:sz w:val="20"/>
        </w:rPr>
        <w:t>Special Access Proceeding; Data Collection Amended to Reflect OMB Approval; Filing Deadline Announced; Petitions for Reconsideration Addressed</w:t>
      </w:r>
      <w:r w:rsidR="00CB50AB" w:rsidRPr="000615AE">
        <w:rPr>
          <w:sz w:val="20"/>
        </w:rPr>
        <w:t xml:space="preserve">, 79 Fed. Reg. 57811 (Sept. 26, 2014); </w:t>
      </w:r>
      <w:r w:rsidR="00CB50AB" w:rsidRPr="000615AE">
        <w:rPr>
          <w:i/>
          <w:sz w:val="20"/>
        </w:rPr>
        <w:t>Special Access Proceeding; Effective Date for Data Collection</w:t>
      </w:r>
      <w:r w:rsidR="00CB50AB" w:rsidRPr="000615AE">
        <w:rPr>
          <w:sz w:val="20"/>
        </w:rPr>
        <w:t>, 79 Fed. Reg. 57810 (Sept. 26, 2014)</w:t>
      </w:r>
      <w:r w:rsidRPr="000615AE">
        <w:rPr>
          <w:sz w:val="20"/>
        </w:rPr>
        <w:t>.</w:t>
      </w:r>
      <w:r w:rsidR="00A029CB" w:rsidRPr="000615AE">
        <w:rPr>
          <w:sz w:val="20"/>
        </w:rPr>
        <w:t xml:space="preserve"> </w:t>
      </w:r>
      <w:r w:rsidR="00A029CB" w:rsidRPr="005D164F">
        <w:rPr>
          <w:sz w:val="20"/>
        </w:rPr>
        <w:t xml:space="preserve">Applications for review and petitions for reconsideration of the </w:t>
      </w:r>
      <w:r w:rsidR="00A029CB" w:rsidRPr="006650C6">
        <w:rPr>
          <w:i/>
          <w:sz w:val="20"/>
        </w:rPr>
        <w:t>Reconsideration Order</w:t>
      </w:r>
      <w:r w:rsidR="00A029CB" w:rsidRPr="006650C6">
        <w:rPr>
          <w:sz w:val="20"/>
        </w:rPr>
        <w:t xml:space="preserve"> were due on October 27, 2014.  </w:t>
      </w:r>
      <w:r w:rsidR="00A029CB" w:rsidRPr="0000042E">
        <w:rPr>
          <w:i/>
          <w:sz w:val="20"/>
        </w:rPr>
        <w:t xml:space="preserve">See </w:t>
      </w:r>
      <w:r w:rsidR="00A029CB" w:rsidRPr="0027541F">
        <w:rPr>
          <w:sz w:val="20"/>
        </w:rPr>
        <w:t xml:space="preserve">47 C.F.R. § 1.115(d); 47 C.F.R. § 1.429(d); 47 C.F.R. § 1.4(b).  </w:t>
      </w:r>
    </w:p>
  </w:footnote>
  <w:footnote w:id="11">
    <w:p w:rsidR="007C6575" w:rsidRPr="000615AE" w:rsidRDefault="007C6575" w:rsidP="00BD0B99">
      <w:pPr>
        <w:pStyle w:val="FootnoteText"/>
        <w:spacing w:after="120"/>
        <w:rPr>
          <w:sz w:val="20"/>
        </w:rPr>
      </w:pPr>
      <w:r w:rsidRPr="008D6B1E">
        <w:rPr>
          <w:rStyle w:val="FootnoteReference"/>
          <w:sz w:val="20"/>
        </w:rPr>
        <w:footnoteRef/>
      </w:r>
      <w:r w:rsidRPr="000615AE">
        <w:rPr>
          <w:sz w:val="20"/>
        </w:rPr>
        <w:t xml:space="preserve"> </w:t>
      </w:r>
      <w:r w:rsidRPr="000615AE">
        <w:rPr>
          <w:i/>
          <w:sz w:val="20"/>
        </w:rPr>
        <w:t>See Special Access for Price Cap Local Exchange Carriers; AT&amp;T Corporation Petition for Rulemaking to Reform Regulation of Incumbent Local Exchange Carrier Rates for Interstate Special Access Services</w:t>
      </w:r>
      <w:r w:rsidRPr="000615AE">
        <w:rPr>
          <w:sz w:val="20"/>
        </w:rPr>
        <w:t xml:space="preserve">, WC Docket No. 05- 25, RM-10593, DA 14-1706 (Wireline Comp. Bur. rel. Nov. 26, 2014).  </w:t>
      </w:r>
      <w:r w:rsidR="00B82402" w:rsidRPr="008D6B1E">
        <w:rPr>
          <w:sz w:val="20"/>
        </w:rPr>
        <w:t xml:space="preserve">Unless referring to </w:t>
      </w:r>
      <w:r w:rsidR="00456067">
        <w:rPr>
          <w:sz w:val="20"/>
        </w:rPr>
        <w:t>the term “</w:t>
      </w:r>
      <w:r w:rsidR="00456067">
        <w:rPr>
          <w:i/>
          <w:sz w:val="20"/>
        </w:rPr>
        <w:t xml:space="preserve">ex </w:t>
      </w:r>
      <w:r w:rsidR="00456067" w:rsidRPr="00456067">
        <w:rPr>
          <w:i/>
          <w:sz w:val="20"/>
        </w:rPr>
        <w:t>parte</w:t>
      </w:r>
      <w:r w:rsidR="00456067">
        <w:rPr>
          <w:sz w:val="20"/>
        </w:rPr>
        <w:t>” or to document</w:t>
      </w:r>
      <w:r w:rsidR="00B82402" w:rsidRPr="00456067">
        <w:rPr>
          <w:sz w:val="20"/>
        </w:rPr>
        <w:t>s</w:t>
      </w:r>
      <w:r w:rsidR="00B82402" w:rsidRPr="008D6B1E">
        <w:rPr>
          <w:sz w:val="20"/>
        </w:rPr>
        <w:t xml:space="preserve"> previously released by the Commission or Bureau, capitalized and italicized terms used in this Public Notice refer to the defined terms in the data collection.  </w:t>
      </w:r>
      <w:r w:rsidR="00B82402" w:rsidRPr="00D220DC">
        <w:rPr>
          <w:i/>
          <w:sz w:val="20"/>
        </w:rPr>
        <w:t>See Reconsideration Order</w:t>
      </w:r>
      <w:r w:rsidR="00B82402" w:rsidRPr="00D220DC">
        <w:rPr>
          <w:sz w:val="20"/>
        </w:rPr>
        <w:t>, 29 FCC Rcd at 10908-11, Appx. A.</w:t>
      </w:r>
    </w:p>
  </w:footnote>
  <w:footnote w:id="12">
    <w:p w:rsidR="00C86197" w:rsidRPr="000615AE" w:rsidRDefault="00C86197" w:rsidP="00BD0B99">
      <w:pPr>
        <w:pStyle w:val="FootnoteText"/>
        <w:spacing w:after="120"/>
        <w:rPr>
          <w:sz w:val="20"/>
        </w:rPr>
      </w:pPr>
      <w:r w:rsidRPr="008D6B1E">
        <w:rPr>
          <w:rStyle w:val="FootnoteReference"/>
          <w:sz w:val="20"/>
        </w:rPr>
        <w:footnoteRef/>
      </w:r>
      <w:r w:rsidRPr="000615AE">
        <w:rPr>
          <w:sz w:val="20"/>
        </w:rPr>
        <w:t xml:space="preserve"> </w:t>
      </w:r>
      <w:r w:rsidR="00456067">
        <w:rPr>
          <w:i/>
          <w:sz w:val="20"/>
        </w:rPr>
        <w:t xml:space="preserve">See </w:t>
      </w:r>
      <w:r w:rsidRPr="000615AE">
        <w:rPr>
          <w:sz w:val="20"/>
        </w:rPr>
        <w:t xml:space="preserve">NCTA Nov. 26 </w:t>
      </w:r>
      <w:r w:rsidRPr="000615AE">
        <w:rPr>
          <w:i/>
          <w:sz w:val="20"/>
        </w:rPr>
        <w:t>Ex Parte</w:t>
      </w:r>
      <w:r w:rsidR="005E2DD1" w:rsidRPr="000615AE">
        <w:rPr>
          <w:sz w:val="20"/>
        </w:rPr>
        <w:t xml:space="preserve"> Letter</w:t>
      </w:r>
      <w:r w:rsidR="002C617D" w:rsidRPr="000615AE">
        <w:rPr>
          <w:sz w:val="20"/>
        </w:rPr>
        <w:t xml:space="preserve">; </w:t>
      </w:r>
      <w:r w:rsidRPr="000615AE">
        <w:rPr>
          <w:sz w:val="20"/>
        </w:rPr>
        <w:t xml:space="preserve">USTelecom </w:t>
      </w:r>
      <w:r w:rsidR="005E2DD1" w:rsidRPr="000615AE">
        <w:rPr>
          <w:sz w:val="20"/>
        </w:rPr>
        <w:t xml:space="preserve">Nov. 25 </w:t>
      </w:r>
      <w:r w:rsidRPr="000615AE">
        <w:rPr>
          <w:i/>
          <w:sz w:val="20"/>
        </w:rPr>
        <w:t>Ex Parte</w:t>
      </w:r>
      <w:r w:rsidR="005E2DD1" w:rsidRPr="000615AE">
        <w:rPr>
          <w:i/>
          <w:sz w:val="20"/>
        </w:rPr>
        <w:t xml:space="preserve"> </w:t>
      </w:r>
      <w:r w:rsidR="005E2DD1" w:rsidRPr="000615AE">
        <w:rPr>
          <w:sz w:val="20"/>
        </w:rPr>
        <w:t>Letter</w:t>
      </w:r>
      <w:r w:rsidR="002C617D" w:rsidRPr="000615AE">
        <w:rPr>
          <w:sz w:val="20"/>
        </w:rPr>
        <w:t xml:space="preserve">; </w:t>
      </w:r>
      <w:r w:rsidRPr="000615AE">
        <w:rPr>
          <w:sz w:val="20"/>
        </w:rPr>
        <w:t xml:space="preserve">NCTA Nov. 3 </w:t>
      </w:r>
      <w:r w:rsidRPr="000615AE">
        <w:rPr>
          <w:i/>
          <w:sz w:val="20"/>
        </w:rPr>
        <w:t>Ex Parte</w:t>
      </w:r>
      <w:r w:rsidR="005E2DD1" w:rsidRPr="000615AE">
        <w:rPr>
          <w:i/>
          <w:sz w:val="20"/>
        </w:rPr>
        <w:t xml:space="preserve"> </w:t>
      </w:r>
      <w:r w:rsidR="005E2DD1" w:rsidRPr="000615AE">
        <w:rPr>
          <w:sz w:val="20"/>
        </w:rPr>
        <w:t>Letter</w:t>
      </w:r>
      <w:r w:rsidRPr="000615AE">
        <w:rPr>
          <w:sz w:val="20"/>
        </w:rPr>
        <w:t>.</w:t>
      </w:r>
    </w:p>
  </w:footnote>
  <w:footnote w:id="13">
    <w:p w:rsidR="00EF5A7E" w:rsidRPr="000615AE" w:rsidRDefault="00EF5A7E" w:rsidP="00BD0B99">
      <w:pPr>
        <w:pStyle w:val="FootnoteText"/>
        <w:spacing w:after="120"/>
        <w:rPr>
          <w:b/>
          <w:sz w:val="20"/>
        </w:rPr>
      </w:pPr>
      <w:r w:rsidRPr="008D6B1E">
        <w:rPr>
          <w:rStyle w:val="FootnoteReference"/>
          <w:sz w:val="20"/>
        </w:rPr>
        <w:footnoteRef/>
      </w:r>
      <w:r w:rsidRPr="000615AE">
        <w:rPr>
          <w:sz w:val="20"/>
        </w:rPr>
        <w:t xml:space="preserve"> </w:t>
      </w:r>
      <w:r w:rsidR="00F442A3" w:rsidRPr="000615AE">
        <w:rPr>
          <w:i/>
          <w:sz w:val="20"/>
        </w:rPr>
        <w:t xml:space="preserve">See </w:t>
      </w:r>
      <w:r w:rsidR="00591272" w:rsidRPr="000615AE">
        <w:rPr>
          <w:sz w:val="20"/>
        </w:rPr>
        <w:t>47 U.S.C. § 222 (</w:t>
      </w:r>
      <w:r w:rsidR="002F6863" w:rsidRPr="000615AE">
        <w:rPr>
          <w:sz w:val="20"/>
        </w:rPr>
        <w:t>governing the p</w:t>
      </w:r>
      <w:r w:rsidR="00591272" w:rsidRPr="000615AE">
        <w:rPr>
          <w:sz w:val="20"/>
        </w:rPr>
        <w:t xml:space="preserve">rivacy of </w:t>
      </w:r>
      <w:r w:rsidR="002F6863" w:rsidRPr="000615AE">
        <w:rPr>
          <w:sz w:val="20"/>
        </w:rPr>
        <w:t>c</w:t>
      </w:r>
      <w:r w:rsidR="00591272" w:rsidRPr="000615AE">
        <w:rPr>
          <w:sz w:val="20"/>
        </w:rPr>
        <w:t xml:space="preserve">ustomer </w:t>
      </w:r>
      <w:r w:rsidR="002F6863" w:rsidRPr="000615AE">
        <w:rPr>
          <w:sz w:val="20"/>
        </w:rPr>
        <w:t>i</w:t>
      </w:r>
      <w:r w:rsidR="00591272" w:rsidRPr="000615AE">
        <w:rPr>
          <w:sz w:val="20"/>
        </w:rPr>
        <w:t xml:space="preserve">nformation); 47 C.F.R. § 64.2001 </w:t>
      </w:r>
      <w:r w:rsidR="00591272" w:rsidRPr="000615AE">
        <w:rPr>
          <w:i/>
          <w:sz w:val="20"/>
        </w:rPr>
        <w:t>et seq.</w:t>
      </w:r>
      <w:r w:rsidR="002F6863" w:rsidRPr="000615AE">
        <w:rPr>
          <w:sz w:val="20"/>
        </w:rPr>
        <w:t xml:space="preserve"> (implementing section 222 of the Act); </w:t>
      </w:r>
      <w:r w:rsidR="0099106C" w:rsidRPr="000615AE">
        <w:rPr>
          <w:sz w:val="20"/>
        </w:rPr>
        <w:t>47 U.S.C. § 551 (protecting cable operator subscriber privacy)</w:t>
      </w:r>
      <w:r w:rsidR="00C42219" w:rsidRPr="000615AE">
        <w:rPr>
          <w:sz w:val="20"/>
        </w:rPr>
        <w:t xml:space="preserve">; </w:t>
      </w:r>
      <w:r w:rsidR="002F6863" w:rsidRPr="000615AE">
        <w:rPr>
          <w:sz w:val="20"/>
        </w:rPr>
        <w:t>18 U.S.C. §</w:t>
      </w:r>
      <w:r w:rsidR="004C61A1" w:rsidRPr="000615AE">
        <w:rPr>
          <w:sz w:val="20"/>
        </w:rPr>
        <w:t>§</w:t>
      </w:r>
      <w:r w:rsidR="002F6863" w:rsidRPr="000615AE">
        <w:rPr>
          <w:sz w:val="20"/>
        </w:rPr>
        <w:t> </w:t>
      </w:r>
      <w:r w:rsidR="004C61A1" w:rsidRPr="000615AE">
        <w:rPr>
          <w:sz w:val="20"/>
        </w:rPr>
        <w:t>2701-2712</w:t>
      </w:r>
      <w:r w:rsidR="0099106C" w:rsidRPr="000615AE">
        <w:rPr>
          <w:sz w:val="20"/>
        </w:rPr>
        <w:t xml:space="preserve"> </w:t>
      </w:r>
      <w:r w:rsidR="002F6863" w:rsidRPr="000615AE">
        <w:rPr>
          <w:sz w:val="20"/>
        </w:rPr>
        <w:t>(</w:t>
      </w:r>
      <w:r w:rsidR="00456067">
        <w:rPr>
          <w:sz w:val="20"/>
        </w:rPr>
        <w:t xml:space="preserve">ECPA, </w:t>
      </w:r>
      <w:r w:rsidR="002F6863" w:rsidRPr="000615AE">
        <w:rPr>
          <w:sz w:val="20"/>
        </w:rPr>
        <w:t xml:space="preserve">governing </w:t>
      </w:r>
      <w:r w:rsidR="004C61A1" w:rsidRPr="000615AE">
        <w:rPr>
          <w:sz w:val="20"/>
        </w:rPr>
        <w:t xml:space="preserve">access to stored </w:t>
      </w:r>
      <w:r w:rsidR="002F6863" w:rsidRPr="000615AE">
        <w:rPr>
          <w:sz w:val="20"/>
        </w:rPr>
        <w:t>wire and electronic communications)</w:t>
      </w:r>
      <w:r w:rsidR="00F442A3" w:rsidRPr="000615AE">
        <w:rPr>
          <w:sz w:val="20"/>
        </w:rPr>
        <w:t>;</w:t>
      </w:r>
      <w:r w:rsidR="002F6863" w:rsidRPr="000615AE">
        <w:rPr>
          <w:sz w:val="20"/>
        </w:rPr>
        <w:t xml:space="preserve"> </w:t>
      </w:r>
      <w:r w:rsidR="00F442A3" w:rsidRPr="000615AE">
        <w:rPr>
          <w:i/>
          <w:sz w:val="20"/>
        </w:rPr>
        <w:t xml:space="preserve">see </w:t>
      </w:r>
      <w:r w:rsidR="00456067">
        <w:rPr>
          <w:i/>
          <w:sz w:val="20"/>
        </w:rPr>
        <w:t xml:space="preserve">also </w:t>
      </w:r>
      <w:r w:rsidR="00F442A3" w:rsidRPr="000615AE">
        <w:rPr>
          <w:sz w:val="20"/>
        </w:rPr>
        <w:t>NCTA Nov. 26</w:t>
      </w:r>
      <w:r w:rsidR="00F442A3" w:rsidRPr="000615AE">
        <w:rPr>
          <w:i/>
          <w:sz w:val="20"/>
        </w:rPr>
        <w:t xml:space="preserve"> Ex Parte </w:t>
      </w:r>
      <w:r w:rsidR="00F442A3" w:rsidRPr="000615AE">
        <w:rPr>
          <w:sz w:val="20"/>
        </w:rPr>
        <w:t>Letter; USTelecom Nov. 25</w:t>
      </w:r>
      <w:r w:rsidR="00F442A3" w:rsidRPr="000615AE">
        <w:rPr>
          <w:i/>
          <w:sz w:val="20"/>
        </w:rPr>
        <w:t xml:space="preserve"> Ex Parte </w:t>
      </w:r>
      <w:r w:rsidR="00F442A3" w:rsidRPr="000615AE">
        <w:rPr>
          <w:sz w:val="20"/>
        </w:rPr>
        <w:t>Letter; NCTA Nov. 3</w:t>
      </w:r>
      <w:r w:rsidR="00F442A3" w:rsidRPr="000615AE">
        <w:rPr>
          <w:i/>
          <w:sz w:val="20"/>
        </w:rPr>
        <w:t xml:space="preserve"> Ex Parte</w:t>
      </w:r>
      <w:r w:rsidR="00F442A3" w:rsidRPr="000615AE">
        <w:rPr>
          <w:sz w:val="20"/>
        </w:rPr>
        <w:t xml:space="preserve"> Letter.</w:t>
      </w:r>
    </w:p>
  </w:footnote>
  <w:footnote w:id="14">
    <w:p w:rsidR="00C86197" w:rsidRPr="000615AE" w:rsidRDefault="00C86197" w:rsidP="00BD0B99">
      <w:pPr>
        <w:pStyle w:val="FootnoteText"/>
        <w:spacing w:after="120"/>
        <w:rPr>
          <w:sz w:val="20"/>
        </w:rPr>
      </w:pPr>
      <w:r w:rsidRPr="008D6B1E">
        <w:rPr>
          <w:rStyle w:val="FootnoteReference"/>
          <w:sz w:val="20"/>
        </w:rPr>
        <w:footnoteRef/>
      </w:r>
      <w:r w:rsidRPr="000615AE">
        <w:rPr>
          <w:sz w:val="20"/>
        </w:rPr>
        <w:t xml:space="preserve"> NCTA Nov. 26 </w:t>
      </w:r>
      <w:r w:rsidRPr="000615AE">
        <w:rPr>
          <w:i/>
          <w:sz w:val="20"/>
        </w:rPr>
        <w:t>Ex Parte</w:t>
      </w:r>
      <w:r w:rsidRPr="000615AE">
        <w:rPr>
          <w:sz w:val="20"/>
        </w:rPr>
        <w:t xml:space="preserve"> </w:t>
      </w:r>
      <w:r w:rsidR="005E2DD1" w:rsidRPr="000615AE">
        <w:rPr>
          <w:sz w:val="20"/>
        </w:rPr>
        <w:t xml:space="preserve">Letter </w:t>
      </w:r>
      <w:r w:rsidRPr="000615AE">
        <w:rPr>
          <w:sz w:val="20"/>
        </w:rPr>
        <w:t xml:space="preserve">at 1-2; USTelecom </w:t>
      </w:r>
      <w:r w:rsidR="005E2DD1" w:rsidRPr="000615AE">
        <w:rPr>
          <w:sz w:val="20"/>
        </w:rPr>
        <w:t xml:space="preserve">Nov. 25 </w:t>
      </w:r>
      <w:r w:rsidRPr="000615AE">
        <w:rPr>
          <w:i/>
          <w:sz w:val="20"/>
        </w:rPr>
        <w:t>Ex Parte</w:t>
      </w:r>
      <w:r w:rsidR="005E2DD1" w:rsidRPr="000615AE">
        <w:rPr>
          <w:sz w:val="20"/>
        </w:rPr>
        <w:t xml:space="preserve"> Letter</w:t>
      </w:r>
      <w:r w:rsidRPr="000615AE">
        <w:rPr>
          <w:sz w:val="20"/>
        </w:rPr>
        <w:t xml:space="preserve"> at 1-2</w:t>
      </w:r>
      <w:r w:rsidR="005E2DD1" w:rsidRPr="000615AE">
        <w:rPr>
          <w:sz w:val="20"/>
        </w:rPr>
        <w:t xml:space="preserve">. </w:t>
      </w:r>
      <w:r w:rsidRPr="000615AE">
        <w:rPr>
          <w:sz w:val="20"/>
        </w:rPr>
        <w:t xml:space="preserve"> </w:t>
      </w:r>
    </w:p>
  </w:footnote>
  <w:footnote w:id="15">
    <w:p w:rsidR="001D3D75" w:rsidRPr="000615AE" w:rsidRDefault="001D3D75" w:rsidP="001D3D75">
      <w:pPr>
        <w:pStyle w:val="FootnoteText"/>
        <w:spacing w:after="120"/>
        <w:rPr>
          <w:sz w:val="20"/>
        </w:rPr>
      </w:pPr>
      <w:r w:rsidRPr="008D6B1E">
        <w:rPr>
          <w:rStyle w:val="FootnoteReference"/>
          <w:sz w:val="20"/>
        </w:rPr>
        <w:footnoteRef/>
      </w:r>
      <w:r w:rsidRPr="000615AE">
        <w:rPr>
          <w:sz w:val="20"/>
        </w:rPr>
        <w:t xml:space="preserve"> </w:t>
      </w:r>
      <w:r w:rsidRPr="000615AE">
        <w:rPr>
          <w:i/>
          <w:sz w:val="20"/>
        </w:rPr>
        <w:t>Protective Order</w:t>
      </w:r>
      <w:r w:rsidRPr="000615AE">
        <w:rPr>
          <w:sz w:val="20"/>
        </w:rPr>
        <w:t>, 29 FCC Rcd 11657.</w:t>
      </w:r>
    </w:p>
  </w:footnote>
  <w:footnote w:id="16">
    <w:p w:rsidR="001D3D75" w:rsidRPr="000615AE" w:rsidRDefault="001D3D75" w:rsidP="001D3D75">
      <w:pPr>
        <w:pStyle w:val="FootnoteText"/>
        <w:spacing w:after="120"/>
        <w:rPr>
          <w:sz w:val="20"/>
        </w:rPr>
      </w:pPr>
      <w:r w:rsidRPr="008D6B1E">
        <w:rPr>
          <w:rStyle w:val="FootnoteReference"/>
          <w:sz w:val="20"/>
        </w:rPr>
        <w:footnoteRef/>
      </w:r>
      <w:r w:rsidRPr="000615AE">
        <w:rPr>
          <w:sz w:val="20"/>
        </w:rPr>
        <w:t xml:space="preserve"> </w:t>
      </w:r>
      <w:r w:rsidRPr="000615AE">
        <w:rPr>
          <w:i/>
          <w:sz w:val="20"/>
        </w:rPr>
        <w:t>Id.</w:t>
      </w:r>
      <w:r w:rsidRPr="000615AE">
        <w:rPr>
          <w:sz w:val="20"/>
        </w:rPr>
        <w:t xml:space="preserve"> at 11663, para. 19.</w:t>
      </w:r>
    </w:p>
  </w:footnote>
  <w:footnote w:id="17">
    <w:p w:rsidR="00F25065" w:rsidRPr="000615AE" w:rsidRDefault="00F25065" w:rsidP="000615AE">
      <w:pPr>
        <w:pStyle w:val="FootnoteText"/>
        <w:spacing w:after="120"/>
        <w:rPr>
          <w:sz w:val="20"/>
        </w:rPr>
      </w:pPr>
      <w:r w:rsidRPr="000615AE">
        <w:rPr>
          <w:rStyle w:val="FootnoteReference"/>
          <w:sz w:val="20"/>
        </w:rPr>
        <w:footnoteRef/>
      </w:r>
      <w:r w:rsidRPr="000615AE">
        <w:rPr>
          <w:sz w:val="20"/>
        </w:rPr>
        <w:t xml:space="preserve"> </w:t>
      </w:r>
      <w:r w:rsidR="008D6B1E" w:rsidRPr="000615AE">
        <w:rPr>
          <w:i/>
          <w:sz w:val="20"/>
        </w:rPr>
        <w:t>Id</w:t>
      </w:r>
      <w:r w:rsidR="008D6B1E" w:rsidRPr="000615AE">
        <w:rPr>
          <w:sz w:val="20"/>
        </w:rPr>
        <w:t xml:space="preserve">. at </w:t>
      </w:r>
      <w:r w:rsidR="008D6B1E">
        <w:rPr>
          <w:sz w:val="20"/>
        </w:rPr>
        <w:t>11673, Appx. A</w:t>
      </w:r>
      <w:r w:rsidR="00456067">
        <w:rPr>
          <w:sz w:val="20"/>
        </w:rPr>
        <w:t xml:space="preserve"> at para. 6</w:t>
      </w:r>
      <w:r w:rsidR="008D6B1E">
        <w:rPr>
          <w:sz w:val="20"/>
        </w:rPr>
        <w:t>.</w:t>
      </w:r>
    </w:p>
  </w:footnote>
  <w:footnote w:id="18">
    <w:p w:rsidR="00F25065" w:rsidRPr="000615AE" w:rsidRDefault="00F25065">
      <w:pPr>
        <w:pStyle w:val="FootnoteText"/>
        <w:rPr>
          <w:sz w:val="20"/>
        </w:rPr>
      </w:pPr>
      <w:r w:rsidRPr="000615AE">
        <w:rPr>
          <w:rStyle w:val="FootnoteReference"/>
          <w:sz w:val="20"/>
        </w:rPr>
        <w:footnoteRef/>
      </w:r>
      <w:r w:rsidRPr="000615AE">
        <w:rPr>
          <w:sz w:val="20"/>
        </w:rPr>
        <w:t xml:space="preserve"> </w:t>
      </w:r>
      <w:r w:rsidR="008D6B1E" w:rsidRPr="00DF6C52">
        <w:rPr>
          <w:i/>
          <w:sz w:val="20"/>
        </w:rPr>
        <w:t>Id</w:t>
      </w:r>
      <w:r w:rsidR="008D6B1E" w:rsidRPr="00DF6C52">
        <w:rPr>
          <w:sz w:val="20"/>
        </w:rPr>
        <w:t xml:space="preserve">. at </w:t>
      </w:r>
      <w:r w:rsidR="008D6B1E">
        <w:rPr>
          <w:sz w:val="20"/>
        </w:rPr>
        <w:t>11676, Appx. A</w:t>
      </w:r>
      <w:r w:rsidR="00456067">
        <w:rPr>
          <w:sz w:val="20"/>
        </w:rPr>
        <w:t xml:space="preserve"> at para. 17</w:t>
      </w:r>
      <w:r w:rsidR="008D6B1E">
        <w:rPr>
          <w:sz w:val="20"/>
        </w:rPr>
        <w:t>.</w:t>
      </w:r>
    </w:p>
  </w:footnote>
  <w:footnote w:id="19">
    <w:p w:rsidR="009C74D7" w:rsidRPr="008D6B1E" w:rsidRDefault="009C74D7" w:rsidP="001725C5">
      <w:pPr>
        <w:pStyle w:val="FootnoteText"/>
        <w:spacing w:after="120"/>
        <w:rPr>
          <w:sz w:val="20"/>
        </w:rPr>
      </w:pPr>
      <w:r w:rsidRPr="008D6B1E">
        <w:rPr>
          <w:rStyle w:val="FootnoteReference"/>
          <w:sz w:val="20"/>
        </w:rPr>
        <w:footnoteRef/>
      </w:r>
      <w:r w:rsidRPr="008D6B1E">
        <w:rPr>
          <w:sz w:val="20"/>
        </w:rPr>
        <w:t xml:space="preserve"> </w:t>
      </w:r>
      <w:r w:rsidRPr="00D220DC">
        <w:rPr>
          <w:i/>
          <w:sz w:val="20"/>
        </w:rPr>
        <w:t>See</w:t>
      </w:r>
      <w:r w:rsidRPr="00D220DC">
        <w:rPr>
          <w:sz w:val="20"/>
        </w:rPr>
        <w:t xml:space="preserve"> </w:t>
      </w:r>
      <w:r w:rsidRPr="00D220DC">
        <w:rPr>
          <w:i/>
          <w:sz w:val="20"/>
        </w:rPr>
        <w:t>Data Collection Order</w:t>
      </w:r>
      <w:r w:rsidRPr="00D220DC">
        <w:rPr>
          <w:sz w:val="20"/>
        </w:rPr>
        <w:t>, 27 FCC Rcd at 16338-39, paras.  49-</w:t>
      </w:r>
      <w:r w:rsidRPr="008D6B1E">
        <w:rPr>
          <w:sz w:val="20"/>
        </w:rPr>
        <w:t xml:space="preserve">50.  </w:t>
      </w:r>
    </w:p>
  </w:footnote>
  <w:footnote w:id="20">
    <w:p w:rsidR="00803C06" w:rsidRPr="00D220DC" w:rsidRDefault="00803C06">
      <w:pPr>
        <w:pStyle w:val="FootnoteText"/>
        <w:rPr>
          <w:sz w:val="20"/>
        </w:rPr>
      </w:pPr>
      <w:r w:rsidRPr="00D220DC">
        <w:rPr>
          <w:rStyle w:val="FootnoteReference"/>
          <w:sz w:val="20"/>
        </w:rPr>
        <w:footnoteRef/>
      </w:r>
      <w:r w:rsidRPr="00D220DC">
        <w:rPr>
          <w:sz w:val="20"/>
        </w:rPr>
        <w:t xml:space="preserve"> </w:t>
      </w:r>
      <w:r w:rsidRPr="00D220DC">
        <w:rPr>
          <w:i/>
          <w:sz w:val="20"/>
        </w:rPr>
        <w:t>Id</w:t>
      </w:r>
      <w:r w:rsidRPr="00D220DC">
        <w:rPr>
          <w:sz w:val="20"/>
        </w:rPr>
        <w:t xml:space="preserve">. at 16340, para. 52. </w:t>
      </w:r>
    </w:p>
  </w:footnote>
  <w:footnote w:id="21">
    <w:p w:rsidR="00AA2E0D" w:rsidRPr="008D6B1E" w:rsidRDefault="00AA2E0D" w:rsidP="00AA204F">
      <w:pPr>
        <w:pStyle w:val="FootnoteText"/>
        <w:spacing w:after="120"/>
        <w:rPr>
          <w:sz w:val="20"/>
        </w:rPr>
      </w:pPr>
      <w:r w:rsidRPr="00D220DC">
        <w:rPr>
          <w:rStyle w:val="FootnoteReference"/>
          <w:sz w:val="20"/>
        </w:rPr>
        <w:footnoteRef/>
      </w:r>
      <w:r w:rsidRPr="00D220DC">
        <w:rPr>
          <w:sz w:val="20"/>
        </w:rPr>
        <w:t xml:space="preserve"> </w:t>
      </w:r>
      <w:r w:rsidRPr="00D220DC">
        <w:rPr>
          <w:i/>
          <w:sz w:val="20"/>
        </w:rPr>
        <w:t>See Wireline Competition Bureau Launches Secure Web Portal for Special Access Data Collection</w:t>
      </w:r>
      <w:r w:rsidRPr="008D6B1E">
        <w:rPr>
          <w:sz w:val="20"/>
        </w:rPr>
        <w:t>, WC Docket No. 05-25, RM-10593, Public Notice, 29 FCC Rcd 11691 (Wireline Comp. Bur. 2014)</w:t>
      </w:r>
      <w:r w:rsidR="00BC2D68" w:rsidRPr="008D6B1E">
        <w:rPr>
          <w:sz w:val="20"/>
        </w:rPr>
        <w:t>; 79 Fed. Reg. 61870 (Oct. 15, 2014)</w:t>
      </w:r>
      <w:r w:rsidRPr="008D6B1E">
        <w:rPr>
          <w:sz w:val="20"/>
        </w:rPr>
        <w:t>.</w:t>
      </w:r>
    </w:p>
  </w:footnote>
  <w:footnote w:id="22">
    <w:p w:rsidR="00AA2E0D" w:rsidRPr="008D6B1E" w:rsidRDefault="00AA2E0D" w:rsidP="00D30124">
      <w:pPr>
        <w:pStyle w:val="FootnoteText"/>
        <w:spacing w:after="120"/>
        <w:rPr>
          <w:sz w:val="20"/>
        </w:rPr>
      </w:pPr>
      <w:r w:rsidRPr="00D220DC">
        <w:rPr>
          <w:rStyle w:val="FootnoteReference"/>
          <w:sz w:val="20"/>
        </w:rPr>
        <w:footnoteRef/>
      </w:r>
      <w:r w:rsidRPr="00D220DC">
        <w:rPr>
          <w:sz w:val="20"/>
        </w:rPr>
        <w:t xml:space="preserve"> </w:t>
      </w:r>
      <w:r w:rsidRPr="00D220DC">
        <w:rPr>
          <w:i/>
          <w:sz w:val="20"/>
        </w:rPr>
        <w:t>See Special Access for Price Cap Local Exchange Carriers; AT&amp;T Corporation Petition for Rulemaking to Reform Regulation of Incumbent Local Exchange Carrier Rates for Interstate Special Access Services</w:t>
      </w:r>
      <w:r w:rsidRPr="008D6B1E">
        <w:rPr>
          <w:sz w:val="20"/>
        </w:rPr>
        <w:t>, WC Docket No. 05-25, RM-10593, Order, DA 14-1706 (Wireline Comp. Bur. rel. Nov. 26, 2014)</w:t>
      </w:r>
      <w:r w:rsidR="00BC2D68" w:rsidRPr="008D6B1E">
        <w:rPr>
          <w:sz w:val="20"/>
        </w:rPr>
        <w:t>; 79 Fed. Reg. 74087 (Dec. 15, 2014)</w:t>
      </w:r>
      <w:r w:rsidRPr="008D6B1E">
        <w:rPr>
          <w:sz w:val="20"/>
        </w:rPr>
        <w:t>.</w:t>
      </w:r>
    </w:p>
  </w:footnote>
  <w:footnote w:id="23">
    <w:p w:rsidR="0058361F" w:rsidRPr="00D220DC" w:rsidRDefault="0058361F" w:rsidP="00D30124">
      <w:pPr>
        <w:pStyle w:val="FootnoteText"/>
        <w:spacing w:after="120"/>
        <w:rPr>
          <w:sz w:val="20"/>
        </w:rPr>
      </w:pPr>
      <w:r w:rsidRPr="00D220DC">
        <w:rPr>
          <w:rStyle w:val="FootnoteReference"/>
          <w:sz w:val="20"/>
        </w:rPr>
        <w:footnoteRef/>
      </w:r>
      <w:r w:rsidRPr="00D220DC">
        <w:rPr>
          <w:sz w:val="20"/>
        </w:rPr>
        <w:t xml:space="preserve"> </w:t>
      </w:r>
      <w:r w:rsidR="005D42FF" w:rsidRPr="000615AE">
        <w:rPr>
          <w:i/>
          <w:sz w:val="20"/>
        </w:rPr>
        <w:t>Special Access for Price Cap Local Exchange Carriers; AT&amp;T Corporation Petition for Rulemaking to Reform Regulation of Incumbent Local Exchange Carrier Rates for Interstate Special Access Services</w:t>
      </w:r>
      <w:r w:rsidR="005D42FF" w:rsidRPr="000615AE">
        <w:rPr>
          <w:sz w:val="20"/>
        </w:rPr>
        <w:t>, WC Docket No. 05- 25, RM-10593, Order on Reconsideration, 29 FCC Rcd 10899</w:t>
      </w:r>
      <w:r w:rsidR="005D42FF">
        <w:rPr>
          <w:sz w:val="20"/>
        </w:rPr>
        <w:t xml:space="preserve">, </w:t>
      </w:r>
      <w:r w:rsidR="005D42FF" w:rsidRPr="008D6B1E">
        <w:rPr>
          <w:sz w:val="20"/>
        </w:rPr>
        <w:t>10908-36, Appx. A</w:t>
      </w:r>
      <w:r w:rsidR="005D42FF" w:rsidRPr="000615AE">
        <w:rPr>
          <w:sz w:val="20"/>
        </w:rPr>
        <w:t xml:space="preserve"> (Wireline Comp. Bur. 2014) </w:t>
      </w:r>
      <w:hyperlink r:id="rId1" w:history="1">
        <w:r w:rsidR="000B707C" w:rsidRPr="008D6B1E">
          <w:rPr>
            <w:rStyle w:val="Hyperlink"/>
            <w:color w:val="auto"/>
            <w:sz w:val="20"/>
            <w:u w:val="none"/>
          </w:rPr>
          <w:t>http://transition.fcc.gov/wcb/ Data_ Questions091514.pdf</w:t>
        </w:r>
      </w:hyperlink>
      <w:r w:rsidRPr="00D220DC">
        <w:rPr>
          <w:sz w:val="20"/>
        </w:rPr>
        <w:t>.</w:t>
      </w:r>
    </w:p>
  </w:footnote>
  <w:footnote w:id="24">
    <w:p w:rsidR="00450365" w:rsidRPr="008D6B1E" w:rsidRDefault="00450365" w:rsidP="00D30124">
      <w:pPr>
        <w:pStyle w:val="FootnoteText"/>
        <w:spacing w:after="120"/>
        <w:rPr>
          <w:sz w:val="20"/>
        </w:rPr>
      </w:pPr>
      <w:r w:rsidRPr="00D220DC">
        <w:rPr>
          <w:rStyle w:val="FootnoteReference"/>
          <w:sz w:val="20"/>
        </w:rPr>
        <w:footnoteRef/>
      </w:r>
      <w:r w:rsidRPr="00D220DC">
        <w:rPr>
          <w:sz w:val="20"/>
        </w:rPr>
        <w:t xml:space="preserve"> Instructions for </w:t>
      </w:r>
      <w:r w:rsidR="005D42FF">
        <w:rPr>
          <w:sz w:val="20"/>
        </w:rPr>
        <w:t xml:space="preserve">the </w:t>
      </w:r>
      <w:r w:rsidRPr="00D220DC">
        <w:rPr>
          <w:sz w:val="20"/>
        </w:rPr>
        <w:t xml:space="preserve">Data Collection </w:t>
      </w:r>
      <w:r w:rsidR="005D42FF">
        <w:rPr>
          <w:sz w:val="20"/>
        </w:rPr>
        <w:t>in the</w:t>
      </w:r>
      <w:r w:rsidRPr="00D220DC">
        <w:rPr>
          <w:sz w:val="20"/>
        </w:rPr>
        <w:t xml:space="preserve"> Special Access Proceeding, WC Docket No. 05-25, RM-10593, </w:t>
      </w:r>
      <w:r w:rsidR="00FF2182" w:rsidRPr="00D220DC">
        <w:rPr>
          <w:sz w:val="20"/>
        </w:rPr>
        <w:t xml:space="preserve">OMB Control No. 3060-1197, </w:t>
      </w:r>
      <w:r w:rsidRPr="008D6B1E">
        <w:rPr>
          <w:i/>
          <w:sz w:val="20"/>
        </w:rPr>
        <w:t xml:space="preserve">available at </w:t>
      </w:r>
      <w:hyperlink r:id="rId2" w:history="1">
        <w:r w:rsidR="00FF2182" w:rsidRPr="008D6B1E">
          <w:rPr>
            <w:rStyle w:val="Hyperlink"/>
            <w:color w:val="auto"/>
            <w:sz w:val="20"/>
            <w:u w:val="none"/>
          </w:rPr>
          <w:t>http://transition.fcc.gov/Daily_Releases/Daily_Business/ 2014/db1205/DOC-330865A2.pdf</w:t>
        </w:r>
      </w:hyperlink>
      <w:r w:rsidR="00053F3C" w:rsidRPr="00D220DC">
        <w:rPr>
          <w:sz w:val="20"/>
        </w:rPr>
        <w:t>.</w:t>
      </w:r>
      <w:r w:rsidRPr="00D220DC">
        <w:rPr>
          <w:sz w:val="20"/>
        </w:rPr>
        <w:t xml:space="preserve"> </w:t>
      </w:r>
    </w:p>
  </w:footnote>
  <w:footnote w:id="25">
    <w:p w:rsidR="00F156D9" w:rsidRPr="008D6B1E" w:rsidRDefault="00F156D9" w:rsidP="0027541F">
      <w:pPr>
        <w:pStyle w:val="FootnoteText"/>
        <w:spacing w:after="120"/>
        <w:rPr>
          <w:sz w:val="20"/>
        </w:rPr>
      </w:pPr>
      <w:r w:rsidRPr="00D220DC">
        <w:rPr>
          <w:rStyle w:val="FootnoteReference"/>
          <w:sz w:val="20"/>
        </w:rPr>
        <w:footnoteRef/>
      </w:r>
      <w:r w:rsidRPr="00D220DC">
        <w:rPr>
          <w:sz w:val="20"/>
        </w:rPr>
        <w:t xml:space="preserve"> </w:t>
      </w:r>
      <w:r w:rsidRPr="00D220DC">
        <w:rPr>
          <w:i/>
          <w:sz w:val="20"/>
        </w:rPr>
        <w:t>See</w:t>
      </w:r>
      <w:r w:rsidRPr="008D6B1E">
        <w:rPr>
          <w:sz w:val="20"/>
        </w:rPr>
        <w:t xml:space="preserve"> </w:t>
      </w:r>
      <w:r w:rsidRPr="008D6B1E">
        <w:rPr>
          <w:i/>
          <w:sz w:val="20"/>
        </w:rPr>
        <w:t>Wireline Competition Bureau Releases Database Container for Special Access Data Collection</w:t>
      </w:r>
      <w:r w:rsidRPr="008D6B1E">
        <w:rPr>
          <w:sz w:val="20"/>
        </w:rPr>
        <w:t>, WC Docket No. 05-25, RM-10593, Public Notice, DA 14-1787 (Wireline Co</w:t>
      </w:r>
      <w:r w:rsidR="00F554AB" w:rsidRPr="008D6B1E">
        <w:rPr>
          <w:sz w:val="20"/>
        </w:rPr>
        <w:t>mp. Bur. rel. Dec. 9, 2014).</w:t>
      </w:r>
      <w:r w:rsidRPr="008D6B1E">
        <w:rPr>
          <w:sz w:val="20"/>
        </w:rPr>
        <w:t xml:space="preserve"> </w:t>
      </w:r>
    </w:p>
  </w:footnote>
  <w:footnote w:id="26">
    <w:p w:rsidR="00B00DA1" w:rsidRPr="008D6B1E" w:rsidRDefault="00B00DA1" w:rsidP="0027541F">
      <w:pPr>
        <w:tabs>
          <w:tab w:val="left" w:pos="4320"/>
          <w:tab w:val="center" w:pos="6840"/>
          <w:tab w:val="right" w:pos="9360"/>
        </w:tabs>
        <w:spacing w:after="120"/>
      </w:pPr>
      <w:r w:rsidRPr="008D6B1E">
        <w:rPr>
          <w:rStyle w:val="FootnoteReference"/>
          <w:sz w:val="20"/>
        </w:rPr>
        <w:footnoteRef/>
      </w:r>
      <w:r w:rsidRPr="008D6B1E">
        <w:rPr>
          <w:sz w:val="20"/>
        </w:rPr>
        <w:t xml:space="preserve"> </w:t>
      </w:r>
      <w:r w:rsidRPr="008D6B1E">
        <w:rPr>
          <w:i/>
          <w:sz w:val="20"/>
        </w:rPr>
        <w:t>Special Access for Price Cap Local Exchange Carriers; AT&amp;T Corporation Petition for Rulemaking to Reform Regulation of Incumbent Local Exchange Carrier Rates for Interstate Special Access Services</w:t>
      </w:r>
      <w:r w:rsidRPr="008D6B1E">
        <w:rPr>
          <w:sz w:val="20"/>
        </w:rPr>
        <w:t>, WC Docket No. 05-25, RM-10593, Order and Data Collection Protective Order, 29 FCC Rcd 11657 (Wireline Comp. Bur.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D" w:rsidRDefault="00731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D" w:rsidRDefault="00731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F5" w:rsidRPr="00BE4CB5" w:rsidRDefault="00A214F5" w:rsidP="00A214F5">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62336" behindDoc="0" locked="0" layoutInCell="0" allowOverlap="1" wp14:anchorId="57D8D820" wp14:editId="34E8264E">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Pr>
        <w:rFonts w:ascii="Arial" w:hAnsi="Arial"/>
        <w:b/>
        <w:sz w:val="96"/>
      </w:rPr>
      <w:t>PUBLIC NOTICE</w:t>
    </w:r>
  </w:p>
  <w:p w:rsidR="00A214F5" w:rsidRPr="00A214F5" w:rsidRDefault="00A214F5" w:rsidP="00A214F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491260A4" wp14:editId="61125967">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17FCBEDB" wp14:editId="56328364">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4F5" w:rsidRDefault="00A214F5" w:rsidP="00A214F5">
                          <w:pPr>
                            <w:rPr>
                              <w:rFonts w:ascii="Arial" w:hAnsi="Arial"/>
                              <w:b/>
                            </w:rPr>
                          </w:pPr>
                          <w:r>
                            <w:rPr>
                              <w:rFonts w:ascii="Arial" w:hAnsi="Arial"/>
                              <w:b/>
                            </w:rPr>
                            <w:t>Federal Communications Commission</w:t>
                          </w:r>
                        </w:p>
                        <w:p w:rsidR="00A214F5" w:rsidRDefault="00A214F5" w:rsidP="00A214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214F5" w:rsidRDefault="00A214F5" w:rsidP="00A214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214F5" w:rsidRDefault="00A214F5" w:rsidP="00A214F5">
                    <w:pPr>
                      <w:rPr>
                        <w:rFonts w:ascii="Arial" w:hAnsi="Arial"/>
                        <w:b/>
                      </w:rPr>
                    </w:pPr>
                    <w:r>
                      <w:rPr>
                        <w:rFonts w:ascii="Arial" w:hAnsi="Arial"/>
                        <w:b/>
                      </w:rPr>
                      <w:t>Federal Communications Commission</w:t>
                    </w:r>
                  </w:p>
                  <w:p w:rsidR="00A214F5" w:rsidRDefault="00A214F5" w:rsidP="00A214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214F5" w:rsidRDefault="00A214F5" w:rsidP="00A214F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6AE77721" wp14:editId="4CD22B18">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4F5" w:rsidRDefault="00A214F5" w:rsidP="00A214F5">
                          <w:pPr>
                            <w:spacing w:before="40"/>
                            <w:jc w:val="right"/>
                            <w:rPr>
                              <w:rFonts w:ascii="Arial" w:hAnsi="Arial"/>
                              <w:b/>
                              <w:sz w:val="16"/>
                            </w:rPr>
                          </w:pPr>
                          <w:r>
                            <w:rPr>
                              <w:rFonts w:ascii="Arial" w:hAnsi="Arial"/>
                              <w:b/>
                              <w:sz w:val="16"/>
                            </w:rPr>
                            <w:t>News Media Information 202 / 418-0500</w:t>
                          </w:r>
                        </w:p>
                        <w:p w:rsidR="00A214F5" w:rsidRDefault="00A214F5" w:rsidP="00A214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214F5" w:rsidRDefault="00A214F5" w:rsidP="00A214F5">
                          <w:pPr>
                            <w:jc w:val="right"/>
                            <w:rPr>
                              <w:rFonts w:ascii="Arial" w:hAnsi="Arial"/>
                              <w:b/>
                              <w:sz w:val="16"/>
                            </w:rPr>
                          </w:pPr>
                          <w:r>
                            <w:rPr>
                              <w:rFonts w:ascii="Arial" w:hAnsi="Arial"/>
                              <w:b/>
                              <w:sz w:val="16"/>
                            </w:rPr>
                            <w:t>TTY: 1-888-835-5322</w:t>
                          </w:r>
                        </w:p>
                        <w:p w:rsidR="00A214F5" w:rsidRDefault="00A214F5" w:rsidP="00A214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214F5" w:rsidRDefault="00A214F5" w:rsidP="00A214F5">
                    <w:pPr>
                      <w:spacing w:before="40"/>
                      <w:jc w:val="right"/>
                      <w:rPr>
                        <w:rFonts w:ascii="Arial" w:hAnsi="Arial"/>
                        <w:b/>
                        <w:sz w:val="16"/>
                      </w:rPr>
                    </w:pPr>
                    <w:r>
                      <w:rPr>
                        <w:rFonts w:ascii="Arial" w:hAnsi="Arial"/>
                        <w:b/>
                        <w:sz w:val="16"/>
                      </w:rPr>
                      <w:t>News Media Information 202 / 418-0500</w:t>
                    </w:r>
                  </w:p>
                  <w:p w:rsidR="00A214F5" w:rsidRDefault="00A214F5" w:rsidP="00A214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214F5" w:rsidRDefault="00A214F5" w:rsidP="00A214F5">
                    <w:pPr>
                      <w:jc w:val="right"/>
                      <w:rPr>
                        <w:rFonts w:ascii="Arial" w:hAnsi="Arial"/>
                        <w:b/>
                        <w:sz w:val="16"/>
                      </w:rPr>
                    </w:pPr>
                    <w:r>
                      <w:rPr>
                        <w:rFonts w:ascii="Arial" w:hAnsi="Arial"/>
                        <w:b/>
                        <w:sz w:val="16"/>
                      </w:rPr>
                      <w:t>TTY: 1-888-835-5322</w:t>
                    </w:r>
                  </w:p>
                  <w:p w:rsidR="00A214F5" w:rsidRDefault="00A214F5" w:rsidP="00A214F5">
                    <w:pPr>
                      <w:jc w:val="right"/>
                    </w:pPr>
                  </w:p>
                </w:txbxContent>
              </v:textbox>
            </v:shape>
          </w:pict>
        </mc:Fallback>
      </mc:AlternateContent>
    </w:r>
  </w:p>
  <w:p w:rsidR="00C36258" w:rsidRDefault="00C36258" w:rsidP="00A214F5">
    <w:pPr>
      <w:pStyle w:val="Header"/>
      <w:tabs>
        <w:tab w:val="clear" w:pos="4320"/>
        <w:tab w:val="clear" w:pos="8640"/>
        <w:tab w:val="left" w:pos="108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F5" w:rsidRPr="00A214F5" w:rsidRDefault="00A214F5" w:rsidP="00A21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BF" w:rsidRPr="00A214F5" w:rsidRDefault="006745BF" w:rsidP="00A21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532"/>
    <w:multiLevelType w:val="hybridMultilevel"/>
    <w:tmpl w:val="84BEE1AA"/>
    <w:lvl w:ilvl="0" w:tplc="9FD08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2793A"/>
    <w:multiLevelType w:val="hybridMultilevel"/>
    <w:tmpl w:val="CB4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042E"/>
    <w:rsid w:val="0000063A"/>
    <w:rsid w:val="0000380A"/>
    <w:rsid w:val="0002088E"/>
    <w:rsid w:val="00024C41"/>
    <w:rsid w:val="00025197"/>
    <w:rsid w:val="000265AE"/>
    <w:rsid w:val="0003602C"/>
    <w:rsid w:val="00036EA1"/>
    <w:rsid w:val="00043F35"/>
    <w:rsid w:val="0004650C"/>
    <w:rsid w:val="00053F3C"/>
    <w:rsid w:val="000612C2"/>
    <w:rsid w:val="000615AE"/>
    <w:rsid w:val="00072E4F"/>
    <w:rsid w:val="00082129"/>
    <w:rsid w:val="0008301C"/>
    <w:rsid w:val="00083E1E"/>
    <w:rsid w:val="00092389"/>
    <w:rsid w:val="000A5D45"/>
    <w:rsid w:val="000B1D42"/>
    <w:rsid w:val="000B707C"/>
    <w:rsid w:val="000B7856"/>
    <w:rsid w:val="000C7EA8"/>
    <w:rsid w:val="000D441E"/>
    <w:rsid w:val="000D518D"/>
    <w:rsid w:val="000D5A53"/>
    <w:rsid w:val="000D75CC"/>
    <w:rsid w:val="000D7EB7"/>
    <w:rsid w:val="000E124F"/>
    <w:rsid w:val="000E74CB"/>
    <w:rsid w:val="000F2019"/>
    <w:rsid w:val="00104AF5"/>
    <w:rsid w:val="00107D68"/>
    <w:rsid w:val="00110ED8"/>
    <w:rsid w:val="00113B13"/>
    <w:rsid w:val="00120D3A"/>
    <w:rsid w:val="001278B8"/>
    <w:rsid w:val="00127A4E"/>
    <w:rsid w:val="00132EEE"/>
    <w:rsid w:val="00135B53"/>
    <w:rsid w:val="001476D5"/>
    <w:rsid w:val="00152260"/>
    <w:rsid w:val="00156D7D"/>
    <w:rsid w:val="00157955"/>
    <w:rsid w:val="00161BE3"/>
    <w:rsid w:val="00164230"/>
    <w:rsid w:val="001725C5"/>
    <w:rsid w:val="00173FA8"/>
    <w:rsid w:val="00173FFD"/>
    <w:rsid w:val="00175F20"/>
    <w:rsid w:val="0017603C"/>
    <w:rsid w:val="0017613D"/>
    <w:rsid w:val="0018643C"/>
    <w:rsid w:val="001915D3"/>
    <w:rsid w:val="00193B3A"/>
    <w:rsid w:val="001A0180"/>
    <w:rsid w:val="001A187C"/>
    <w:rsid w:val="001A25C7"/>
    <w:rsid w:val="001B312B"/>
    <w:rsid w:val="001B7731"/>
    <w:rsid w:val="001C12EA"/>
    <w:rsid w:val="001C51DB"/>
    <w:rsid w:val="001D3D75"/>
    <w:rsid w:val="001D6461"/>
    <w:rsid w:val="001E2B9D"/>
    <w:rsid w:val="001F2355"/>
    <w:rsid w:val="002057E7"/>
    <w:rsid w:val="00210C1B"/>
    <w:rsid w:val="00211213"/>
    <w:rsid w:val="002120DE"/>
    <w:rsid w:val="0021433B"/>
    <w:rsid w:val="00214CE2"/>
    <w:rsid w:val="00214F21"/>
    <w:rsid w:val="00215D21"/>
    <w:rsid w:val="002221C3"/>
    <w:rsid w:val="002242C5"/>
    <w:rsid w:val="0023109D"/>
    <w:rsid w:val="00231D7E"/>
    <w:rsid w:val="0023206A"/>
    <w:rsid w:val="00257A3C"/>
    <w:rsid w:val="00260257"/>
    <w:rsid w:val="0026490B"/>
    <w:rsid w:val="00267119"/>
    <w:rsid w:val="00270C59"/>
    <w:rsid w:val="00274F6F"/>
    <w:rsid w:val="0027541F"/>
    <w:rsid w:val="00281B89"/>
    <w:rsid w:val="00286B4C"/>
    <w:rsid w:val="00291EE8"/>
    <w:rsid w:val="002920DC"/>
    <w:rsid w:val="002A09B9"/>
    <w:rsid w:val="002A6892"/>
    <w:rsid w:val="002B3A8E"/>
    <w:rsid w:val="002C60F5"/>
    <w:rsid w:val="002C617D"/>
    <w:rsid w:val="002C7F4D"/>
    <w:rsid w:val="002E2A5F"/>
    <w:rsid w:val="002E4276"/>
    <w:rsid w:val="002E4F25"/>
    <w:rsid w:val="002F108F"/>
    <w:rsid w:val="002F56E9"/>
    <w:rsid w:val="002F5C4C"/>
    <w:rsid w:val="002F6863"/>
    <w:rsid w:val="002F697F"/>
    <w:rsid w:val="002F76B9"/>
    <w:rsid w:val="00300B08"/>
    <w:rsid w:val="003032B4"/>
    <w:rsid w:val="00315CD1"/>
    <w:rsid w:val="0031794A"/>
    <w:rsid w:val="003245B1"/>
    <w:rsid w:val="003250E1"/>
    <w:rsid w:val="003270E2"/>
    <w:rsid w:val="00333909"/>
    <w:rsid w:val="00333B0E"/>
    <w:rsid w:val="00337758"/>
    <w:rsid w:val="003527EE"/>
    <w:rsid w:val="003543BF"/>
    <w:rsid w:val="003558DE"/>
    <w:rsid w:val="003570A0"/>
    <w:rsid w:val="003600D1"/>
    <w:rsid w:val="00360976"/>
    <w:rsid w:val="00367629"/>
    <w:rsid w:val="0037054F"/>
    <w:rsid w:val="00372A16"/>
    <w:rsid w:val="00374794"/>
    <w:rsid w:val="0037723C"/>
    <w:rsid w:val="003807DC"/>
    <w:rsid w:val="00382C28"/>
    <w:rsid w:val="003840B2"/>
    <w:rsid w:val="0038730B"/>
    <w:rsid w:val="003925B1"/>
    <w:rsid w:val="003A2A45"/>
    <w:rsid w:val="003A3977"/>
    <w:rsid w:val="003B3C84"/>
    <w:rsid w:val="003C0006"/>
    <w:rsid w:val="003C2FF5"/>
    <w:rsid w:val="003D03E2"/>
    <w:rsid w:val="003D176E"/>
    <w:rsid w:val="003D1F85"/>
    <w:rsid w:val="003D423F"/>
    <w:rsid w:val="003D7C61"/>
    <w:rsid w:val="003E0982"/>
    <w:rsid w:val="003E39A9"/>
    <w:rsid w:val="003E7249"/>
    <w:rsid w:val="003F39B5"/>
    <w:rsid w:val="003F7DDB"/>
    <w:rsid w:val="00404CF4"/>
    <w:rsid w:val="004079BF"/>
    <w:rsid w:val="00407B07"/>
    <w:rsid w:val="00413313"/>
    <w:rsid w:val="00415626"/>
    <w:rsid w:val="004177BE"/>
    <w:rsid w:val="00420271"/>
    <w:rsid w:val="00423EF0"/>
    <w:rsid w:val="00427BCB"/>
    <w:rsid w:val="00437119"/>
    <w:rsid w:val="00445816"/>
    <w:rsid w:val="00450365"/>
    <w:rsid w:val="004554D7"/>
    <w:rsid w:val="00456067"/>
    <w:rsid w:val="00463F19"/>
    <w:rsid w:val="00471908"/>
    <w:rsid w:val="00472670"/>
    <w:rsid w:val="00476C2E"/>
    <w:rsid w:val="00480171"/>
    <w:rsid w:val="004A384A"/>
    <w:rsid w:val="004A44E4"/>
    <w:rsid w:val="004A48E4"/>
    <w:rsid w:val="004B34C8"/>
    <w:rsid w:val="004B5A03"/>
    <w:rsid w:val="004B728E"/>
    <w:rsid w:val="004B7EFE"/>
    <w:rsid w:val="004C1E87"/>
    <w:rsid w:val="004C376A"/>
    <w:rsid w:val="004C61A1"/>
    <w:rsid w:val="004C748C"/>
    <w:rsid w:val="004D085E"/>
    <w:rsid w:val="004D6693"/>
    <w:rsid w:val="004E1786"/>
    <w:rsid w:val="004E3880"/>
    <w:rsid w:val="004E4A9C"/>
    <w:rsid w:val="004E599D"/>
    <w:rsid w:val="004F33E4"/>
    <w:rsid w:val="004F539F"/>
    <w:rsid w:val="004F683F"/>
    <w:rsid w:val="00503765"/>
    <w:rsid w:val="00516615"/>
    <w:rsid w:val="0052261F"/>
    <w:rsid w:val="00525520"/>
    <w:rsid w:val="00533018"/>
    <w:rsid w:val="00533697"/>
    <w:rsid w:val="005336F5"/>
    <w:rsid w:val="005375DC"/>
    <w:rsid w:val="005449C8"/>
    <w:rsid w:val="0054523A"/>
    <w:rsid w:val="00555CC3"/>
    <w:rsid w:val="00556170"/>
    <w:rsid w:val="00570001"/>
    <w:rsid w:val="0057165B"/>
    <w:rsid w:val="00572E8B"/>
    <w:rsid w:val="005750F1"/>
    <w:rsid w:val="0058073B"/>
    <w:rsid w:val="0058277E"/>
    <w:rsid w:val="0058361F"/>
    <w:rsid w:val="005850E2"/>
    <w:rsid w:val="00590B85"/>
    <w:rsid w:val="00591272"/>
    <w:rsid w:val="00594043"/>
    <w:rsid w:val="005969D5"/>
    <w:rsid w:val="00597569"/>
    <w:rsid w:val="005A1C7B"/>
    <w:rsid w:val="005A6E63"/>
    <w:rsid w:val="005B3EEA"/>
    <w:rsid w:val="005B55F2"/>
    <w:rsid w:val="005C0B16"/>
    <w:rsid w:val="005C34CF"/>
    <w:rsid w:val="005C6049"/>
    <w:rsid w:val="005D164F"/>
    <w:rsid w:val="005D19EC"/>
    <w:rsid w:val="005D42FF"/>
    <w:rsid w:val="005D44C3"/>
    <w:rsid w:val="005D4D65"/>
    <w:rsid w:val="005E2DD1"/>
    <w:rsid w:val="005E4318"/>
    <w:rsid w:val="005E5BCF"/>
    <w:rsid w:val="005F19B9"/>
    <w:rsid w:val="005F458B"/>
    <w:rsid w:val="005F7E84"/>
    <w:rsid w:val="00602577"/>
    <w:rsid w:val="006055F4"/>
    <w:rsid w:val="0061033C"/>
    <w:rsid w:val="00613050"/>
    <w:rsid w:val="0061324A"/>
    <w:rsid w:val="00621426"/>
    <w:rsid w:val="00625055"/>
    <w:rsid w:val="00627D13"/>
    <w:rsid w:val="0063064A"/>
    <w:rsid w:val="006330C1"/>
    <w:rsid w:val="006538C0"/>
    <w:rsid w:val="00660F62"/>
    <w:rsid w:val="006650C6"/>
    <w:rsid w:val="006745BF"/>
    <w:rsid w:val="00676888"/>
    <w:rsid w:val="00682250"/>
    <w:rsid w:val="00684235"/>
    <w:rsid w:val="006913A9"/>
    <w:rsid w:val="00691AFB"/>
    <w:rsid w:val="00693732"/>
    <w:rsid w:val="00694251"/>
    <w:rsid w:val="006A0E9C"/>
    <w:rsid w:val="006A1C8D"/>
    <w:rsid w:val="006A32BC"/>
    <w:rsid w:val="006B4E04"/>
    <w:rsid w:val="006C7685"/>
    <w:rsid w:val="006D31AB"/>
    <w:rsid w:val="006D6930"/>
    <w:rsid w:val="006E18CF"/>
    <w:rsid w:val="006E5103"/>
    <w:rsid w:val="006E5E8E"/>
    <w:rsid w:val="006F5DFF"/>
    <w:rsid w:val="00701AAF"/>
    <w:rsid w:val="00702D6C"/>
    <w:rsid w:val="007037DA"/>
    <w:rsid w:val="00705138"/>
    <w:rsid w:val="0071154E"/>
    <w:rsid w:val="00714360"/>
    <w:rsid w:val="00715F81"/>
    <w:rsid w:val="0071603D"/>
    <w:rsid w:val="00716F9C"/>
    <w:rsid w:val="00722644"/>
    <w:rsid w:val="007312DD"/>
    <w:rsid w:val="00733C6B"/>
    <w:rsid w:val="00735D0A"/>
    <w:rsid w:val="00737193"/>
    <w:rsid w:val="007379E5"/>
    <w:rsid w:val="00737FB6"/>
    <w:rsid w:val="00737FD6"/>
    <w:rsid w:val="007402E8"/>
    <w:rsid w:val="00754490"/>
    <w:rsid w:val="00755677"/>
    <w:rsid w:val="00755917"/>
    <w:rsid w:val="0075659F"/>
    <w:rsid w:val="00764C32"/>
    <w:rsid w:val="00765D4E"/>
    <w:rsid w:val="00766CFF"/>
    <w:rsid w:val="00767353"/>
    <w:rsid w:val="00771CFE"/>
    <w:rsid w:val="0077659A"/>
    <w:rsid w:val="00780935"/>
    <w:rsid w:val="00781BD9"/>
    <w:rsid w:val="007839F7"/>
    <w:rsid w:val="007846BB"/>
    <w:rsid w:val="0078524D"/>
    <w:rsid w:val="007A1C95"/>
    <w:rsid w:val="007A4384"/>
    <w:rsid w:val="007B0D65"/>
    <w:rsid w:val="007C1915"/>
    <w:rsid w:val="007C1C75"/>
    <w:rsid w:val="007C22B8"/>
    <w:rsid w:val="007C3EB8"/>
    <w:rsid w:val="007C6575"/>
    <w:rsid w:val="007D08AB"/>
    <w:rsid w:val="007D48CF"/>
    <w:rsid w:val="007E557D"/>
    <w:rsid w:val="007E5A91"/>
    <w:rsid w:val="007F1EC6"/>
    <w:rsid w:val="007F30C5"/>
    <w:rsid w:val="008027A4"/>
    <w:rsid w:val="008029FD"/>
    <w:rsid w:val="00803729"/>
    <w:rsid w:val="00803C06"/>
    <w:rsid w:val="00806AAD"/>
    <w:rsid w:val="00810584"/>
    <w:rsid w:val="00813ECC"/>
    <w:rsid w:val="008165B8"/>
    <w:rsid w:val="00823B9B"/>
    <w:rsid w:val="0083343A"/>
    <w:rsid w:val="008356CA"/>
    <w:rsid w:val="0083639E"/>
    <w:rsid w:val="00850D1A"/>
    <w:rsid w:val="00851512"/>
    <w:rsid w:val="00855FAD"/>
    <w:rsid w:val="00857AD2"/>
    <w:rsid w:val="00863F50"/>
    <w:rsid w:val="00872952"/>
    <w:rsid w:val="008803CA"/>
    <w:rsid w:val="00885BB8"/>
    <w:rsid w:val="00891E86"/>
    <w:rsid w:val="0089410B"/>
    <w:rsid w:val="0089616F"/>
    <w:rsid w:val="008A28F9"/>
    <w:rsid w:val="008A62BB"/>
    <w:rsid w:val="008B4E48"/>
    <w:rsid w:val="008C0A4D"/>
    <w:rsid w:val="008C25D6"/>
    <w:rsid w:val="008C33A2"/>
    <w:rsid w:val="008C674F"/>
    <w:rsid w:val="008C7C13"/>
    <w:rsid w:val="008D157F"/>
    <w:rsid w:val="008D27FC"/>
    <w:rsid w:val="008D439E"/>
    <w:rsid w:val="008D4A43"/>
    <w:rsid w:val="008D6B1E"/>
    <w:rsid w:val="008D729C"/>
    <w:rsid w:val="008E70DC"/>
    <w:rsid w:val="008F39F8"/>
    <w:rsid w:val="008F40BA"/>
    <w:rsid w:val="008F5757"/>
    <w:rsid w:val="008F5B5C"/>
    <w:rsid w:val="00901662"/>
    <w:rsid w:val="009058EB"/>
    <w:rsid w:val="00905F4B"/>
    <w:rsid w:val="00914828"/>
    <w:rsid w:val="009301F6"/>
    <w:rsid w:val="009332C3"/>
    <w:rsid w:val="00933827"/>
    <w:rsid w:val="009379A6"/>
    <w:rsid w:val="0094312B"/>
    <w:rsid w:val="00945163"/>
    <w:rsid w:val="009455F6"/>
    <w:rsid w:val="009465CE"/>
    <w:rsid w:val="00951BE6"/>
    <w:rsid w:val="00953402"/>
    <w:rsid w:val="00956639"/>
    <w:rsid w:val="00957940"/>
    <w:rsid w:val="0096719D"/>
    <w:rsid w:val="00977083"/>
    <w:rsid w:val="00983A5C"/>
    <w:rsid w:val="0099106C"/>
    <w:rsid w:val="00993FDB"/>
    <w:rsid w:val="00996CFB"/>
    <w:rsid w:val="009B05FD"/>
    <w:rsid w:val="009B3A8A"/>
    <w:rsid w:val="009B5F52"/>
    <w:rsid w:val="009C3397"/>
    <w:rsid w:val="009C6820"/>
    <w:rsid w:val="009C74D7"/>
    <w:rsid w:val="009D1014"/>
    <w:rsid w:val="009D3ACE"/>
    <w:rsid w:val="009E16E3"/>
    <w:rsid w:val="009E19D6"/>
    <w:rsid w:val="009E262A"/>
    <w:rsid w:val="009E5A10"/>
    <w:rsid w:val="009F09F0"/>
    <w:rsid w:val="009F68FA"/>
    <w:rsid w:val="00A029CB"/>
    <w:rsid w:val="00A05FC8"/>
    <w:rsid w:val="00A06432"/>
    <w:rsid w:val="00A114CF"/>
    <w:rsid w:val="00A11897"/>
    <w:rsid w:val="00A13585"/>
    <w:rsid w:val="00A17190"/>
    <w:rsid w:val="00A214F5"/>
    <w:rsid w:val="00A25232"/>
    <w:rsid w:val="00A2569F"/>
    <w:rsid w:val="00A26517"/>
    <w:rsid w:val="00A27C90"/>
    <w:rsid w:val="00A325C4"/>
    <w:rsid w:val="00A33C70"/>
    <w:rsid w:val="00A34FF0"/>
    <w:rsid w:val="00A3631C"/>
    <w:rsid w:val="00A3735A"/>
    <w:rsid w:val="00A407E8"/>
    <w:rsid w:val="00A41A5F"/>
    <w:rsid w:val="00A4291F"/>
    <w:rsid w:val="00A42EFB"/>
    <w:rsid w:val="00A625F0"/>
    <w:rsid w:val="00A65D30"/>
    <w:rsid w:val="00A665B8"/>
    <w:rsid w:val="00A7241D"/>
    <w:rsid w:val="00A83B52"/>
    <w:rsid w:val="00A85B95"/>
    <w:rsid w:val="00A914DF"/>
    <w:rsid w:val="00A916FB"/>
    <w:rsid w:val="00AA2E0D"/>
    <w:rsid w:val="00AA37C8"/>
    <w:rsid w:val="00AB28F8"/>
    <w:rsid w:val="00AB2C98"/>
    <w:rsid w:val="00AB3BE4"/>
    <w:rsid w:val="00AB53F1"/>
    <w:rsid w:val="00AB7839"/>
    <w:rsid w:val="00AC2567"/>
    <w:rsid w:val="00AC67BD"/>
    <w:rsid w:val="00AD192A"/>
    <w:rsid w:val="00AD2352"/>
    <w:rsid w:val="00AD36FF"/>
    <w:rsid w:val="00AD4AA6"/>
    <w:rsid w:val="00AD55EE"/>
    <w:rsid w:val="00AE1BE3"/>
    <w:rsid w:val="00AF0DA1"/>
    <w:rsid w:val="00AF0DBE"/>
    <w:rsid w:val="00AF2FEC"/>
    <w:rsid w:val="00AF3D30"/>
    <w:rsid w:val="00AF4597"/>
    <w:rsid w:val="00AF5727"/>
    <w:rsid w:val="00B005EC"/>
    <w:rsid w:val="00B00DA1"/>
    <w:rsid w:val="00B12646"/>
    <w:rsid w:val="00B17EEC"/>
    <w:rsid w:val="00B22E1B"/>
    <w:rsid w:val="00B23BA8"/>
    <w:rsid w:val="00B259FA"/>
    <w:rsid w:val="00B25F23"/>
    <w:rsid w:val="00B3341A"/>
    <w:rsid w:val="00B33E87"/>
    <w:rsid w:val="00B34676"/>
    <w:rsid w:val="00B41CB0"/>
    <w:rsid w:val="00B43E05"/>
    <w:rsid w:val="00B471A1"/>
    <w:rsid w:val="00B63729"/>
    <w:rsid w:val="00B64D0A"/>
    <w:rsid w:val="00B673A6"/>
    <w:rsid w:val="00B70457"/>
    <w:rsid w:val="00B766F1"/>
    <w:rsid w:val="00B81001"/>
    <w:rsid w:val="00B81B48"/>
    <w:rsid w:val="00B82402"/>
    <w:rsid w:val="00B82569"/>
    <w:rsid w:val="00B8503C"/>
    <w:rsid w:val="00B95CEA"/>
    <w:rsid w:val="00B9647C"/>
    <w:rsid w:val="00BA1668"/>
    <w:rsid w:val="00BA4FFC"/>
    <w:rsid w:val="00BB15F8"/>
    <w:rsid w:val="00BB7DE3"/>
    <w:rsid w:val="00BC2D68"/>
    <w:rsid w:val="00BC3084"/>
    <w:rsid w:val="00BD0536"/>
    <w:rsid w:val="00BD0B99"/>
    <w:rsid w:val="00BD1FCF"/>
    <w:rsid w:val="00BD2BA0"/>
    <w:rsid w:val="00BD47DC"/>
    <w:rsid w:val="00BE0A05"/>
    <w:rsid w:val="00BE4A43"/>
    <w:rsid w:val="00BE4CB5"/>
    <w:rsid w:val="00BE5DFD"/>
    <w:rsid w:val="00BF132A"/>
    <w:rsid w:val="00C052F0"/>
    <w:rsid w:val="00C10A20"/>
    <w:rsid w:val="00C3114F"/>
    <w:rsid w:val="00C36258"/>
    <w:rsid w:val="00C406F0"/>
    <w:rsid w:val="00C40A71"/>
    <w:rsid w:val="00C42219"/>
    <w:rsid w:val="00C42575"/>
    <w:rsid w:val="00C42FFE"/>
    <w:rsid w:val="00C44D4E"/>
    <w:rsid w:val="00C53C74"/>
    <w:rsid w:val="00C549C1"/>
    <w:rsid w:val="00C55EB4"/>
    <w:rsid w:val="00C64007"/>
    <w:rsid w:val="00C6613F"/>
    <w:rsid w:val="00C66FCE"/>
    <w:rsid w:val="00C67940"/>
    <w:rsid w:val="00C67CDD"/>
    <w:rsid w:val="00C763C8"/>
    <w:rsid w:val="00C86197"/>
    <w:rsid w:val="00C878FD"/>
    <w:rsid w:val="00C94414"/>
    <w:rsid w:val="00C95FB1"/>
    <w:rsid w:val="00C961D1"/>
    <w:rsid w:val="00CA348B"/>
    <w:rsid w:val="00CA4339"/>
    <w:rsid w:val="00CA790A"/>
    <w:rsid w:val="00CB2806"/>
    <w:rsid w:val="00CB5066"/>
    <w:rsid w:val="00CB50AB"/>
    <w:rsid w:val="00CC1588"/>
    <w:rsid w:val="00CC658F"/>
    <w:rsid w:val="00CD356A"/>
    <w:rsid w:val="00CD6E07"/>
    <w:rsid w:val="00CE2A02"/>
    <w:rsid w:val="00CE742F"/>
    <w:rsid w:val="00D01AA7"/>
    <w:rsid w:val="00D033ED"/>
    <w:rsid w:val="00D11F9B"/>
    <w:rsid w:val="00D17DC0"/>
    <w:rsid w:val="00D20BD8"/>
    <w:rsid w:val="00D220DC"/>
    <w:rsid w:val="00D27B5E"/>
    <w:rsid w:val="00D30124"/>
    <w:rsid w:val="00D44544"/>
    <w:rsid w:val="00D46200"/>
    <w:rsid w:val="00D55582"/>
    <w:rsid w:val="00D60EFF"/>
    <w:rsid w:val="00D61800"/>
    <w:rsid w:val="00D6452E"/>
    <w:rsid w:val="00D67F8A"/>
    <w:rsid w:val="00D718AA"/>
    <w:rsid w:val="00D85148"/>
    <w:rsid w:val="00D91F58"/>
    <w:rsid w:val="00D9670C"/>
    <w:rsid w:val="00D96C20"/>
    <w:rsid w:val="00D971B5"/>
    <w:rsid w:val="00DA0443"/>
    <w:rsid w:val="00DB4215"/>
    <w:rsid w:val="00DC4972"/>
    <w:rsid w:val="00DC60E7"/>
    <w:rsid w:val="00DC6D03"/>
    <w:rsid w:val="00DD09E7"/>
    <w:rsid w:val="00DD3187"/>
    <w:rsid w:val="00DD46A1"/>
    <w:rsid w:val="00DD4F48"/>
    <w:rsid w:val="00DD6BEF"/>
    <w:rsid w:val="00DE15BD"/>
    <w:rsid w:val="00DE701A"/>
    <w:rsid w:val="00DF3BC1"/>
    <w:rsid w:val="00E00AA5"/>
    <w:rsid w:val="00E0779C"/>
    <w:rsid w:val="00E2252E"/>
    <w:rsid w:val="00E30E12"/>
    <w:rsid w:val="00E335F3"/>
    <w:rsid w:val="00E40B69"/>
    <w:rsid w:val="00E46CBD"/>
    <w:rsid w:val="00E5303A"/>
    <w:rsid w:val="00E548EF"/>
    <w:rsid w:val="00E61637"/>
    <w:rsid w:val="00E636AC"/>
    <w:rsid w:val="00E64A64"/>
    <w:rsid w:val="00E66307"/>
    <w:rsid w:val="00E71820"/>
    <w:rsid w:val="00E71C6A"/>
    <w:rsid w:val="00E83737"/>
    <w:rsid w:val="00E854E2"/>
    <w:rsid w:val="00E90C3C"/>
    <w:rsid w:val="00EA54ED"/>
    <w:rsid w:val="00EA594F"/>
    <w:rsid w:val="00EB025B"/>
    <w:rsid w:val="00EB1E1A"/>
    <w:rsid w:val="00EB54EA"/>
    <w:rsid w:val="00EB7A16"/>
    <w:rsid w:val="00EB7BB1"/>
    <w:rsid w:val="00EC1795"/>
    <w:rsid w:val="00EC40E5"/>
    <w:rsid w:val="00EC672D"/>
    <w:rsid w:val="00ED47D6"/>
    <w:rsid w:val="00ED6916"/>
    <w:rsid w:val="00EE315D"/>
    <w:rsid w:val="00EE6973"/>
    <w:rsid w:val="00EF212D"/>
    <w:rsid w:val="00EF5A7E"/>
    <w:rsid w:val="00F01ABA"/>
    <w:rsid w:val="00F066AF"/>
    <w:rsid w:val="00F11AC4"/>
    <w:rsid w:val="00F12B78"/>
    <w:rsid w:val="00F13234"/>
    <w:rsid w:val="00F156D9"/>
    <w:rsid w:val="00F168B5"/>
    <w:rsid w:val="00F25065"/>
    <w:rsid w:val="00F26991"/>
    <w:rsid w:val="00F442A3"/>
    <w:rsid w:val="00F46777"/>
    <w:rsid w:val="00F51DCE"/>
    <w:rsid w:val="00F5547B"/>
    <w:rsid w:val="00F554AB"/>
    <w:rsid w:val="00F57B5F"/>
    <w:rsid w:val="00F6607D"/>
    <w:rsid w:val="00F81D65"/>
    <w:rsid w:val="00F93A74"/>
    <w:rsid w:val="00F9625B"/>
    <w:rsid w:val="00FA2A9A"/>
    <w:rsid w:val="00FA69D5"/>
    <w:rsid w:val="00FB57F5"/>
    <w:rsid w:val="00FC399F"/>
    <w:rsid w:val="00FD0BD0"/>
    <w:rsid w:val="00FD5A9B"/>
    <w:rsid w:val="00FE0E9D"/>
    <w:rsid w:val="00FE202A"/>
    <w:rsid w:val="00FF2182"/>
    <w:rsid w:val="00FF2F5B"/>
    <w:rsid w:val="00FF396C"/>
    <w:rsid w:val="00FF6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uiPriority w:val="99"/>
    <w:rsid w:val="00EC40E5"/>
    <w:rPr>
      <w:color w:val="0000FF"/>
      <w:u w:val="single"/>
    </w:rPr>
  </w:style>
  <w:style w:type="paragraph" w:styleId="BlockText">
    <w:name w:val="Block Text"/>
    <w:basedOn w:val="Normal"/>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uiPriority w:val="99"/>
    <w:semiHidden/>
    <w:rsid w:val="00EC40E5"/>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
    <w:qFormat/>
    <w:rsid w:val="00EC40E5"/>
    <w:pPr>
      <w:tabs>
        <w:tab w:val="left" w:pos="720"/>
      </w:tabs>
      <w:spacing w:after="200"/>
    </w:p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7C1C75"/>
    <w:rPr>
      <w:sz w:val="22"/>
    </w:rPr>
  </w:style>
  <w:style w:type="character" w:customStyle="1" w:styleId="FooterChar">
    <w:name w:val="Footer Char"/>
    <w:basedOn w:val="DefaultParagraphFont"/>
    <w:link w:val="Footer"/>
    <w:uiPriority w:val="99"/>
    <w:rsid w:val="00BE4CB5"/>
    <w:rPr>
      <w:sz w:val="22"/>
    </w:rPr>
  </w:style>
  <w:style w:type="paragraph" w:styleId="ListParagraph">
    <w:name w:val="List Paragraph"/>
    <w:basedOn w:val="Normal"/>
    <w:uiPriority w:val="34"/>
    <w:qFormat/>
    <w:rsid w:val="00D718AA"/>
    <w:pPr>
      <w:ind w:left="720"/>
      <w:contextualSpacing/>
    </w:pPr>
  </w:style>
  <w:style w:type="table" w:styleId="TableGrid">
    <w:name w:val="Table Grid"/>
    <w:basedOn w:val="TableNormal"/>
    <w:rsid w:val="00082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
    <w:name w:val="DWTNorm"/>
    <w:basedOn w:val="Normal"/>
    <w:qFormat/>
    <w:rsid w:val="00082129"/>
    <w:pPr>
      <w:spacing w:after="240"/>
      <w:ind w:firstLine="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uiPriority w:val="99"/>
    <w:rsid w:val="00EC40E5"/>
    <w:rPr>
      <w:color w:val="0000FF"/>
      <w:u w:val="single"/>
    </w:rPr>
  </w:style>
  <w:style w:type="paragraph" w:styleId="BlockText">
    <w:name w:val="Block Text"/>
    <w:basedOn w:val="Normal"/>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uiPriority w:val="99"/>
    <w:semiHidden/>
    <w:rsid w:val="00EC40E5"/>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
    <w:qFormat/>
    <w:rsid w:val="00EC40E5"/>
    <w:pPr>
      <w:tabs>
        <w:tab w:val="left" w:pos="720"/>
      </w:tabs>
      <w:spacing w:after="200"/>
    </w:p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7C1C75"/>
    <w:rPr>
      <w:sz w:val="22"/>
    </w:rPr>
  </w:style>
  <w:style w:type="character" w:customStyle="1" w:styleId="FooterChar">
    <w:name w:val="Footer Char"/>
    <w:basedOn w:val="DefaultParagraphFont"/>
    <w:link w:val="Footer"/>
    <w:uiPriority w:val="99"/>
    <w:rsid w:val="00BE4CB5"/>
    <w:rPr>
      <w:sz w:val="22"/>
    </w:rPr>
  </w:style>
  <w:style w:type="paragraph" w:styleId="ListParagraph">
    <w:name w:val="List Paragraph"/>
    <w:basedOn w:val="Normal"/>
    <w:uiPriority w:val="34"/>
    <w:qFormat/>
    <w:rsid w:val="00D718AA"/>
    <w:pPr>
      <w:ind w:left="720"/>
      <w:contextualSpacing/>
    </w:pPr>
  </w:style>
  <w:style w:type="table" w:styleId="TableGrid">
    <w:name w:val="Table Grid"/>
    <w:basedOn w:val="TableNormal"/>
    <w:rsid w:val="00082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
    <w:name w:val="DWTNorm"/>
    <w:basedOn w:val="Normal"/>
    <w:qFormat/>
    <w:rsid w:val="00082129"/>
    <w:pPr>
      <w:spacing w:after="240"/>
      <w:ind w:firstLine="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856">
      <w:bodyDiv w:val="1"/>
      <w:marLeft w:val="0"/>
      <w:marRight w:val="0"/>
      <w:marTop w:val="0"/>
      <w:marBottom w:val="0"/>
      <w:divBdr>
        <w:top w:val="none" w:sz="0" w:space="0" w:color="auto"/>
        <w:left w:val="none" w:sz="0" w:space="0" w:color="auto"/>
        <w:bottom w:val="none" w:sz="0" w:space="0" w:color="auto"/>
        <w:right w:val="none" w:sz="0" w:space="0" w:color="auto"/>
      </w:divBdr>
    </w:div>
    <w:div w:id="1703240530">
      <w:bodyDiv w:val="1"/>
      <w:marLeft w:val="0"/>
      <w:marRight w:val="0"/>
      <w:marTop w:val="0"/>
      <w:marBottom w:val="0"/>
      <w:divBdr>
        <w:top w:val="none" w:sz="0" w:space="0" w:color="auto"/>
        <w:left w:val="none" w:sz="0" w:space="0" w:color="auto"/>
        <w:bottom w:val="none" w:sz="0" w:space="0" w:color="auto"/>
        <w:right w:val="none" w:sz="0" w:space="0" w:color="auto"/>
      </w:divBdr>
    </w:div>
    <w:div w:id="1924221750">
      <w:bodyDiv w:val="1"/>
      <w:marLeft w:val="0"/>
      <w:marRight w:val="0"/>
      <w:marTop w:val="0"/>
      <w:marBottom w:val="0"/>
      <w:divBdr>
        <w:top w:val="none" w:sz="0" w:space="0" w:color="auto"/>
        <w:left w:val="none" w:sz="0" w:space="0" w:color="auto"/>
        <w:bottom w:val="none" w:sz="0" w:space="0" w:color="auto"/>
        <w:right w:val="none" w:sz="0" w:space="0" w:color="auto"/>
      </w:divBdr>
    </w:div>
    <w:div w:id="20978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specialacces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transition.fcc.gov/Daily_Releases/Daily_Business/2014/%20db120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vin.Sacks@fcc.gov"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transition.fcc.gov/wcb/Data_Questions091514.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Daily_Releases/Daily_Business/%202014/db1205/DOC-330865A2.pdf" TargetMode="External"/><Relationship Id="rId1" Type="http://schemas.openxmlformats.org/officeDocument/2006/relationships/hyperlink" Target="http://transition.fcc.gov/wcb/%20Data_%20Questions09151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9191</Characters>
  <Application>Microsoft Office Word</Application>
  <DocSecurity>0</DocSecurity>
  <Lines>157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2015-01-12T20:50:00Z</cp:lastPrinted>
  <dcterms:created xsi:type="dcterms:W3CDTF">2015-01-16T22:58:00Z</dcterms:created>
  <dcterms:modified xsi:type="dcterms:W3CDTF">2015-01-16T22:58:00Z</dcterms:modified>
  <cp:category> </cp:category>
  <cp:contentStatus> </cp:contentStatus>
</cp:coreProperties>
</file>