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B2A58" w14:textId="77777777" w:rsidR="00EB311B" w:rsidRDefault="00EB311B">
      <w:bookmarkStart w:id="0" w:name="_GoBack"/>
      <w:bookmarkEnd w:id="0"/>
    </w:p>
    <w:p w14:paraId="26F458D9" w14:textId="77777777" w:rsidR="00EB311B" w:rsidRDefault="00EB311B"/>
    <w:p w14:paraId="07013F5F" w14:textId="71C7CF02" w:rsidR="00EB311B" w:rsidRDefault="00EB311B">
      <w:pPr>
        <w:jc w:val="right"/>
        <w:rPr>
          <w:b/>
          <w:sz w:val="24"/>
          <w:szCs w:val="24"/>
        </w:rPr>
      </w:pPr>
      <w:r>
        <w:tab/>
      </w:r>
      <w:r>
        <w:tab/>
      </w:r>
      <w:r>
        <w:tab/>
      </w:r>
      <w:r>
        <w:tab/>
      </w:r>
      <w:r>
        <w:tab/>
      </w:r>
      <w:r>
        <w:tab/>
      </w:r>
      <w:r>
        <w:tab/>
      </w:r>
      <w:r>
        <w:tab/>
      </w:r>
      <w:r>
        <w:tab/>
      </w:r>
      <w:r>
        <w:tab/>
      </w:r>
      <w:r>
        <w:rPr>
          <w:b/>
          <w:sz w:val="24"/>
          <w:szCs w:val="24"/>
        </w:rPr>
        <w:t xml:space="preserve">DA </w:t>
      </w:r>
      <w:r w:rsidR="00DD2E6C" w:rsidRPr="00DD2E6C">
        <w:rPr>
          <w:b/>
          <w:sz w:val="24"/>
          <w:szCs w:val="24"/>
        </w:rPr>
        <w:t>15-683</w:t>
      </w:r>
    </w:p>
    <w:p w14:paraId="55E8DE60" w14:textId="77777777" w:rsidR="00EB311B" w:rsidRDefault="00EB311B">
      <w:pPr>
        <w:jc w:val="right"/>
        <w:rPr>
          <w:b/>
          <w:sz w:val="24"/>
          <w:szCs w:val="24"/>
        </w:rPr>
      </w:pPr>
    </w:p>
    <w:p w14:paraId="61A7F1EC" w14:textId="77777777" w:rsidR="00EB311B" w:rsidRDefault="00EB311B">
      <w:pPr>
        <w:jc w:val="center"/>
        <w:rPr>
          <w:b/>
          <w:sz w:val="36"/>
          <w:szCs w:val="36"/>
        </w:rPr>
      </w:pPr>
      <w:r>
        <w:rPr>
          <w:b/>
          <w:sz w:val="36"/>
          <w:szCs w:val="36"/>
        </w:rPr>
        <w:t>Small Entity Compliance Guide</w:t>
      </w:r>
    </w:p>
    <w:p w14:paraId="02F8DDE7" w14:textId="77777777" w:rsidR="00EB311B" w:rsidRDefault="00EB311B">
      <w:pPr>
        <w:jc w:val="center"/>
        <w:rPr>
          <w:b/>
          <w:sz w:val="36"/>
          <w:szCs w:val="36"/>
        </w:rPr>
      </w:pPr>
    </w:p>
    <w:p w14:paraId="2065A15D" w14:textId="77777777" w:rsidR="00EB311B" w:rsidRDefault="00B53B22" w:rsidP="00B53B22">
      <w:pPr>
        <w:jc w:val="center"/>
        <w:rPr>
          <w:b/>
          <w:sz w:val="28"/>
          <w:szCs w:val="28"/>
        </w:rPr>
      </w:pPr>
      <w:r w:rsidRPr="00B53B22">
        <w:rPr>
          <w:b/>
          <w:sz w:val="28"/>
          <w:szCs w:val="28"/>
        </w:rPr>
        <w:t>Human Exposure to Radiofrequency Electromagnetic Fields</w:t>
      </w:r>
    </w:p>
    <w:p w14:paraId="75EC3A56" w14:textId="77777777" w:rsidR="00EB311B" w:rsidRDefault="00EB311B">
      <w:pPr>
        <w:jc w:val="center"/>
        <w:rPr>
          <w:b/>
          <w:sz w:val="22"/>
          <w:szCs w:val="22"/>
        </w:rPr>
      </w:pPr>
    </w:p>
    <w:p w14:paraId="0286E603" w14:textId="77777777" w:rsidR="00EB311B" w:rsidRDefault="00B53B22">
      <w:pPr>
        <w:jc w:val="center"/>
        <w:rPr>
          <w:bCs/>
          <w:sz w:val="24"/>
          <w:szCs w:val="24"/>
        </w:rPr>
      </w:pPr>
      <w:r>
        <w:rPr>
          <w:bCs/>
          <w:sz w:val="24"/>
          <w:szCs w:val="24"/>
        </w:rPr>
        <w:t xml:space="preserve">First </w:t>
      </w:r>
      <w:r w:rsidR="00EB311B">
        <w:rPr>
          <w:bCs/>
          <w:sz w:val="24"/>
          <w:szCs w:val="24"/>
        </w:rPr>
        <w:t>Report and Order</w:t>
      </w:r>
    </w:p>
    <w:p w14:paraId="0C32C2CE" w14:textId="77777777" w:rsidR="00EB311B" w:rsidRDefault="00EB311B">
      <w:pPr>
        <w:jc w:val="center"/>
        <w:rPr>
          <w:bCs/>
          <w:sz w:val="24"/>
          <w:szCs w:val="24"/>
        </w:rPr>
      </w:pPr>
      <w:r>
        <w:rPr>
          <w:bCs/>
          <w:sz w:val="24"/>
          <w:szCs w:val="24"/>
        </w:rPr>
        <w:t>FCC 1</w:t>
      </w:r>
      <w:r w:rsidR="00A03662">
        <w:rPr>
          <w:bCs/>
          <w:sz w:val="24"/>
          <w:szCs w:val="24"/>
        </w:rPr>
        <w:t>3</w:t>
      </w:r>
      <w:r w:rsidR="00B53B22">
        <w:rPr>
          <w:bCs/>
          <w:sz w:val="24"/>
          <w:szCs w:val="24"/>
        </w:rPr>
        <w:t>-39</w:t>
      </w:r>
    </w:p>
    <w:p w14:paraId="126817C8" w14:textId="77777777" w:rsidR="00EB311B" w:rsidRDefault="00A03662">
      <w:pPr>
        <w:jc w:val="center"/>
        <w:rPr>
          <w:spacing w:val="-2"/>
          <w:sz w:val="24"/>
          <w:szCs w:val="24"/>
        </w:rPr>
      </w:pPr>
      <w:r>
        <w:rPr>
          <w:spacing w:val="-2"/>
          <w:sz w:val="24"/>
          <w:szCs w:val="24"/>
        </w:rPr>
        <w:t>E</w:t>
      </w:r>
      <w:r w:rsidR="00EB311B">
        <w:rPr>
          <w:spacing w:val="-2"/>
          <w:sz w:val="24"/>
          <w:szCs w:val="24"/>
        </w:rPr>
        <w:t xml:space="preserve">T Docket No. </w:t>
      </w:r>
      <w:r w:rsidR="00B53B22">
        <w:rPr>
          <w:spacing w:val="-2"/>
          <w:sz w:val="24"/>
          <w:szCs w:val="24"/>
        </w:rPr>
        <w:t>03-137</w:t>
      </w:r>
    </w:p>
    <w:p w14:paraId="3E650DF1" w14:textId="77777777" w:rsidR="00EB311B" w:rsidRDefault="00B53B22">
      <w:pPr>
        <w:jc w:val="center"/>
        <w:rPr>
          <w:sz w:val="24"/>
          <w:szCs w:val="24"/>
        </w:rPr>
      </w:pPr>
      <w:r>
        <w:rPr>
          <w:spacing w:val="-2"/>
          <w:sz w:val="24"/>
          <w:szCs w:val="24"/>
        </w:rPr>
        <w:t>Adopted</w:t>
      </w:r>
      <w:r w:rsidR="0052073B">
        <w:rPr>
          <w:spacing w:val="-2"/>
          <w:sz w:val="24"/>
          <w:szCs w:val="24"/>
        </w:rPr>
        <w:t xml:space="preserve">: </w:t>
      </w:r>
      <w:r>
        <w:rPr>
          <w:spacing w:val="-2"/>
          <w:sz w:val="24"/>
          <w:szCs w:val="24"/>
        </w:rPr>
        <w:t>March</w:t>
      </w:r>
      <w:r w:rsidR="00A03662">
        <w:rPr>
          <w:spacing w:val="-2"/>
          <w:sz w:val="24"/>
          <w:szCs w:val="24"/>
        </w:rPr>
        <w:t xml:space="preserve"> </w:t>
      </w:r>
      <w:r>
        <w:rPr>
          <w:spacing w:val="-2"/>
          <w:sz w:val="24"/>
          <w:szCs w:val="24"/>
        </w:rPr>
        <w:t>27</w:t>
      </w:r>
      <w:r w:rsidR="00EB311B">
        <w:rPr>
          <w:spacing w:val="-2"/>
          <w:sz w:val="24"/>
          <w:szCs w:val="24"/>
        </w:rPr>
        <w:t>, 201</w:t>
      </w:r>
      <w:r w:rsidR="00A03662">
        <w:rPr>
          <w:spacing w:val="-2"/>
          <w:sz w:val="24"/>
          <w:szCs w:val="24"/>
        </w:rPr>
        <w:t>3</w:t>
      </w:r>
    </w:p>
    <w:p w14:paraId="45D4AD48" w14:textId="77777777" w:rsidR="00EB311B" w:rsidRDefault="00EB311B">
      <w:pPr>
        <w:tabs>
          <w:tab w:val="left" w:pos="360"/>
        </w:tabs>
        <w:ind w:left="1080" w:right="720"/>
        <w:jc w:val="center"/>
        <w:rPr>
          <w:b/>
          <w:sz w:val="22"/>
          <w:szCs w:val="22"/>
        </w:rPr>
      </w:pPr>
    </w:p>
    <w:p w14:paraId="0B087355" w14:textId="77777777" w:rsidR="00EB311B" w:rsidRDefault="00EB311B">
      <w:pPr>
        <w:tabs>
          <w:tab w:val="left" w:pos="360"/>
        </w:tabs>
        <w:ind w:left="1080" w:right="720"/>
        <w:jc w:val="both"/>
        <w:rPr>
          <w:b/>
          <w:sz w:val="22"/>
          <w:szCs w:val="22"/>
        </w:rPr>
      </w:pPr>
      <w:r>
        <w:rPr>
          <w:b/>
          <w:sz w:val="22"/>
          <w:szCs w:val="22"/>
        </w:rPr>
        <w:t>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w:t>
      </w:r>
      <w:r w:rsidR="0052073B">
        <w:rPr>
          <w:b/>
          <w:sz w:val="22"/>
          <w:szCs w:val="22"/>
        </w:rPr>
        <w:t>erenced FCC rulemaking docket</w:t>
      </w:r>
      <w:r>
        <w:rPr>
          <w:b/>
          <w:sz w:val="22"/>
          <w:szCs w:val="22"/>
        </w:rPr>
        <w:t xml:space="preserve">.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14:paraId="5E3D44FD" w14:textId="77777777" w:rsidR="00EB311B" w:rsidRDefault="00EB311B">
      <w:pPr>
        <w:tabs>
          <w:tab w:val="left" w:pos="360"/>
        </w:tabs>
        <w:ind w:left="1080" w:right="720"/>
        <w:jc w:val="both"/>
        <w:rPr>
          <w:b/>
          <w:sz w:val="22"/>
          <w:szCs w:val="22"/>
        </w:rPr>
      </w:pPr>
    </w:p>
    <w:p w14:paraId="6F8C9831" w14:textId="77777777" w:rsidR="00EB311B" w:rsidRDefault="00EB311B">
      <w:pPr>
        <w:tabs>
          <w:tab w:val="left" w:pos="360"/>
        </w:tabs>
        <w:ind w:left="1080" w:right="720"/>
        <w:jc w:val="both"/>
        <w:rPr>
          <w:b/>
          <w:sz w:val="22"/>
          <w:szCs w:val="22"/>
        </w:rPr>
      </w:pPr>
      <w:r>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r w:rsidR="00F87592">
        <w:rPr>
          <w:b/>
          <w:sz w:val="22"/>
          <w:szCs w:val="22"/>
        </w:rPr>
        <w:t xml:space="preserve"> or the FCC’s RF Safety office</w:t>
      </w:r>
      <w:r>
        <w:rPr>
          <w:b/>
          <w:sz w:val="22"/>
          <w:szCs w:val="22"/>
        </w:rPr>
        <w:t>:</w:t>
      </w:r>
    </w:p>
    <w:p w14:paraId="7FB77A6C" w14:textId="77777777" w:rsidR="00EB311B" w:rsidRDefault="00EB311B">
      <w:pPr>
        <w:rPr>
          <w:rFonts w:ascii="TimesNewRoman,Bold" w:hAnsi="TimesNewRoman,Bold" w:cs="TimesNewRoman,Bold"/>
          <w:b/>
          <w:bCs/>
          <w:color w:val="010101"/>
          <w:szCs w:val="24"/>
        </w:rPr>
      </w:pPr>
    </w:p>
    <w:p w14:paraId="3CE06D5B" w14:textId="77777777" w:rsidR="00EB311B" w:rsidRDefault="00EB311B">
      <w:pPr>
        <w:rPr>
          <w:b/>
          <w:sz w:val="22"/>
          <w:szCs w:val="22"/>
        </w:rPr>
      </w:pPr>
    </w:p>
    <w:p w14:paraId="08D01A19" w14:textId="77777777" w:rsidR="00EB311B" w:rsidRDefault="00EB311B">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202-418-0232</w:t>
      </w:r>
    </w:p>
    <w:p w14:paraId="5561B656" w14:textId="77777777" w:rsidR="00F87592" w:rsidRDefault="00F87592">
      <w:pPr>
        <w:jc w:val="center"/>
        <w:rPr>
          <w:b/>
          <w:color w:val="000000"/>
          <w:sz w:val="22"/>
          <w:szCs w:val="22"/>
        </w:rPr>
      </w:pPr>
      <w:r>
        <w:rPr>
          <w:rStyle w:val="Hyperlink"/>
          <w:b/>
          <w:sz w:val="22"/>
          <w:szCs w:val="22"/>
        </w:rPr>
        <w:t>RFSafety@fcc.gov</w:t>
      </w:r>
    </w:p>
    <w:p w14:paraId="209CE473" w14:textId="77777777" w:rsidR="00EB311B" w:rsidRPr="005E6135" w:rsidRDefault="00EB311B">
      <w:pPr>
        <w:jc w:val="center"/>
        <w:rPr>
          <w:b/>
          <w:color w:val="000000"/>
          <w:sz w:val="22"/>
          <w:szCs w:val="22"/>
          <w:u w:val="single"/>
        </w:rPr>
      </w:pPr>
      <w:r>
        <w:rPr>
          <w:b/>
          <w:color w:val="000000"/>
          <w:sz w:val="22"/>
          <w:szCs w:val="22"/>
        </w:rPr>
        <w:br w:type="page"/>
      </w:r>
      <w:r w:rsidR="008A40FF" w:rsidRPr="008A40FF">
        <w:rPr>
          <w:b/>
          <w:color w:val="000000"/>
          <w:sz w:val="22"/>
          <w:szCs w:val="22"/>
          <w:u w:val="single"/>
        </w:rPr>
        <w:lastRenderedPageBreak/>
        <w:t>Human Exposure to Radiofrequency Electromagnetic Fields</w:t>
      </w:r>
    </w:p>
    <w:p w14:paraId="3DF4D623" w14:textId="77777777" w:rsidR="00EB311B" w:rsidRPr="005E6135" w:rsidRDefault="00EB311B">
      <w:pPr>
        <w:jc w:val="center"/>
        <w:rPr>
          <w:b/>
          <w:color w:val="000000"/>
          <w:sz w:val="22"/>
          <w:szCs w:val="22"/>
          <w:u w:val="single"/>
        </w:rPr>
      </w:pPr>
    </w:p>
    <w:p w14:paraId="74C7C5B1" w14:textId="77777777" w:rsidR="00EB311B" w:rsidRPr="005E6135" w:rsidRDefault="00883E6C">
      <w:pPr>
        <w:pStyle w:val="Heading4"/>
        <w:tabs>
          <w:tab w:val="left" w:pos="360"/>
        </w:tabs>
        <w:rPr>
          <w:sz w:val="22"/>
          <w:szCs w:val="22"/>
          <w:u w:val="single"/>
        </w:rPr>
      </w:pPr>
      <w:r>
        <w:rPr>
          <w:sz w:val="22"/>
          <w:szCs w:val="22"/>
          <w:u w:val="single"/>
        </w:rPr>
        <w:t>1. Introduction</w:t>
      </w:r>
      <w:r w:rsidR="00046EBD">
        <w:rPr>
          <w:sz w:val="22"/>
          <w:szCs w:val="22"/>
          <w:u w:val="single"/>
        </w:rPr>
        <w:t xml:space="preserve"> and Background</w:t>
      </w:r>
    </w:p>
    <w:p w14:paraId="2EF8145C" w14:textId="77777777" w:rsidR="00EB311B" w:rsidRPr="005E6135" w:rsidRDefault="00EB311B">
      <w:pPr>
        <w:rPr>
          <w:sz w:val="22"/>
          <w:szCs w:val="22"/>
        </w:rPr>
      </w:pPr>
    </w:p>
    <w:p w14:paraId="7E31C70A" w14:textId="284B4637" w:rsidR="00B4556B" w:rsidRDefault="00EB311B" w:rsidP="00F87CE8">
      <w:pPr>
        <w:rPr>
          <w:sz w:val="22"/>
          <w:szCs w:val="22"/>
        </w:rPr>
      </w:pPr>
      <w:r w:rsidRPr="005E6135">
        <w:rPr>
          <w:sz w:val="22"/>
          <w:szCs w:val="22"/>
        </w:rPr>
        <w:t xml:space="preserve">In the </w:t>
      </w:r>
      <w:r w:rsidR="008A40FF">
        <w:rPr>
          <w:i/>
          <w:sz w:val="22"/>
          <w:szCs w:val="22"/>
        </w:rPr>
        <w:t xml:space="preserve">First </w:t>
      </w:r>
      <w:r w:rsidRPr="005E6135">
        <w:rPr>
          <w:i/>
          <w:sz w:val="22"/>
          <w:szCs w:val="22"/>
        </w:rPr>
        <w:t>Report and Order</w:t>
      </w:r>
      <w:r w:rsidR="00B74BD9" w:rsidRPr="005E6135">
        <w:rPr>
          <w:sz w:val="22"/>
          <w:szCs w:val="22"/>
        </w:rPr>
        <w:t xml:space="preserve"> </w:t>
      </w:r>
      <w:r w:rsidR="00F87CE8" w:rsidRPr="005E6135">
        <w:rPr>
          <w:sz w:val="22"/>
          <w:szCs w:val="22"/>
        </w:rPr>
        <w:t>(</w:t>
      </w:r>
      <w:r w:rsidR="00D15346">
        <w:rPr>
          <w:i/>
          <w:sz w:val="22"/>
          <w:szCs w:val="22"/>
        </w:rPr>
        <w:t>Order</w:t>
      </w:r>
      <w:r w:rsidR="00F87CE8" w:rsidRPr="005E6135">
        <w:rPr>
          <w:sz w:val="22"/>
          <w:szCs w:val="22"/>
        </w:rPr>
        <w:t xml:space="preserve">) </w:t>
      </w:r>
      <w:r w:rsidR="00F87592" w:rsidRPr="005E6135">
        <w:rPr>
          <w:sz w:val="22"/>
          <w:szCs w:val="22"/>
        </w:rPr>
        <w:t xml:space="preserve">in ET Docket </w:t>
      </w:r>
      <w:r w:rsidR="00F87592">
        <w:rPr>
          <w:sz w:val="22"/>
          <w:szCs w:val="22"/>
        </w:rPr>
        <w:t>03-137</w:t>
      </w:r>
      <w:r w:rsidR="009E229D">
        <w:rPr>
          <w:sz w:val="22"/>
          <w:szCs w:val="22"/>
        </w:rPr>
        <w:t xml:space="preserve"> </w:t>
      </w:r>
      <w:r w:rsidR="00B74BD9" w:rsidRPr="005E6135">
        <w:rPr>
          <w:sz w:val="22"/>
          <w:szCs w:val="22"/>
        </w:rPr>
        <w:t>a</w:t>
      </w:r>
      <w:r w:rsidRPr="005E6135">
        <w:rPr>
          <w:sz w:val="22"/>
          <w:szCs w:val="22"/>
        </w:rPr>
        <w:t xml:space="preserve">dopted </w:t>
      </w:r>
      <w:r w:rsidR="008A40FF">
        <w:rPr>
          <w:sz w:val="22"/>
          <w:szCs w:val="22"/>
        </w:rPr>
        <w:t>March 27</w:t>
      </w:r>
      <w:r w:rsidRPr="005E6135">
        <w:rPr>
          <w:sz w:val="22"/>
          <w:szCs w:val="22"/>
        </w:rPr>
        <w:t>, 201</w:t>
      </w:r>
      <w:r w:rsidR="00E15B84" w:rsidRPr="005E6135">
        <w:rPr>
          <w:sz w:val="22"/>
          <w:szCs w:val="22"/>
        </w:rPr>
        <w:t>3</w:t>
      </w:r>
      <w:r w:rsidRPr="005E6135">
        <w:rPr>
          <w:sz w:val="22"/>
          <w:szCs w:val="22"/>
        </w:rPr>
        <w:t xml:space="preserve">, the Commission amended </w:t>
      </w:r>
      <w:r w:rsidR="008A40FF">
        <w:rPr>
          <w:sz w:val="22"/>
          <w:szCs w:val="22"/>
        </w:rPr>
        <w:t xml:space="preserve">Part 1, </w:t>
      </w:r>
      <w:r w:rsidR="00046EBD">
        <w:rPr>
          <w:sz w:val="22"/>
          <w:szCs w:val="22"/>
        </w:rPr>
        <w:t xml:space="preserve">2, and 95 </w:t>
      </w:r>
      <w:r w:rsidR="00767287">
        <w:rPr>
          <w:sz w:val="22"/>
          <w:szCs w:val="22"/>
        </w:rPr>
        <w:t xml:space="preserve">of its </w:t>
      </w:r>
      <w:r w:rsidRPr="005E6135">
        <w:rPr>
          <w:sz w:val="22"/>
          <w:szCs w:val="22"/>
        </w:rPr>
        <w:t xml:space="preserve">rules governing </w:t>
      </w:r>
      <w:r w:rsidR="008A40FF">
        <w:rPr>
          <w:sz w:val="22"/>
          <w:szCs w:val="22"/>
        </w:rPr>
        <w:t xml:space="preserve">compliance with </w:t>
      </w:r>
      <w:r w:rsidR="00F87592">
        <w:rPr>
          <w:sz w:val="22"/>
          <w:szCs w:val="22"/>
        </w:rPr>
        <w:t xml:space="preserve">its </w:t>
      </w:r>
      <w:r w:rsidR="008A40FF">
        <w:rPr>
          <w:sz w:val="22"/>
          <w:szCs w:val="22"/>
        </w:rPr>
        <w:t xml:space="preserve">radiofrequency </w:t>
      </w:r>
      <w:r w:rsidR="00E46D0B">
        <w:rPr>
          <w:sz w:val="22"/>
          <w:szCs w:val="22"/>
        </w:rPr>
        <w:t xml:space="preserve">(RF) </w:t>
      </w:r>
      <w:r w:rsidR="008A40FF">
        <w:rPr>
          <w:sz w:val="22"/>
          <w:szCs w:val="22"/>
        </w:rPr>
        <w:t>exposure limits adopted under the National Environmental Policy Act</w:t>
      </w:r>
      <w:r w:rsidR="00046EBD">
        <w:rPr>
          <w:sz w:val="22"/>
          <w:szCs w:val="22"/>
        </w:rPr>
        <w:t xml:space="preserve"> (NEPA)</w:t>
      </w:r>
      <w:r w:rsidR="008A40FF">
        <w:rPr>
          <w:sz w:val="22"/>
          <w:szCs w:val="22"/>
        </w:rPr>
        <w:t>.  T</w:t>
      </w:r>
      <w:r w:rsidR="009252A7" w:rsidRPr="005E6135">
        <w:rPr>
          <w:sz w:val="22"/>
          <w:szCs w:val="22"/>
        </w:rPr>
        <w:t xml:space="preserve">he </w:t>
      </w:r>
      <w:r w:rsidR="00D15346">
        <w:rPr>
          <w:i/>
          <w:sz w:val="22"/>
          <w:szCs w:val="22"/>
        </w:rPr>
        <w:t>Order</w:t>
      </w:r>
      <w:r w:rsidR="00F87CE8" w:rsidRPr="005E6135">
        <w:rPr>
          <w:sz w:val="22"/>
          <w:szCs w:val="22"/>
        </w:rPr>
        <w:t xml:space="preserve"> </w:t>
      </w:r>
      <w:r w:rsidR="008A40FF">
        <w:rPr>
          <w:sz w:val="22"/>
          <w:szCs w:val="22"/>
        </w:rPr>
        <w:t>made minor change</w:t>
      </w:r>
      <w:r w:rsidR="00195007">
        <w:rPr>
          <w:sz w:val="22"/>
          <w:szCs w:val="22"/>
        </w:rPr>
        <w:t>s to the rules</w:t>
      </w:r>
      <w:r w:rsidR="00E46D0B">
        <w:rPr>
          <w:sz w:val="22"/>
          <w:szCs w:val="22"/>
        </w:rPr>
        <w:t>.</w:t>
      </w:r>
      <w:r w:rsidR="00DA4060">
        <w:rPr>
          <w:sz w:val="22"/>
          <w:szCs w:val="22"/>
        </w:rPr>
        <w:t xml:space="preserve"> </w:t>
      </w:r>
      <w:r w:rsidR="00E46D0B">
        <w:rPr>
          <w:sz w:val="22"/>
          <w:szCs w:val="22"/>
        </w:rPr>
        <w:t xml:space="preserve"> T</w:t>
      </w:r>
      <w:r w:rsidR="00DA4060">
        <w:rPr>
          <w:sz w:val="22"/>
          <w:szCs w:val="22"/>
        </w:rPr>
        <w:t>hese changes</w:t>
      </w:r>
      <w:r w:rsidR="00195007">
        <w:rPr>
          <w:sz w:val="22"/>
          <w:szCs w:val="22"/>
        </w:rPr>
        <w:t xml:space="preserve"> support and clarify existing compliance procedures in ways that increase flexibility in methods to show compliance and reduce the potential burden f</w:t>
      </w:r>
      <w:r w:rsidR="0002724C">
        <w:rPr>
          <w:sz w:val="22"/>
          <w:szCs w:val="22"/>
        </w:rPr>
        <w:t>rom</w:t>
      </w:r>
      <w:r w:rsidR="00195007">
        <w:rPr>
          <w:sz w:val="22"/>
          <w:szCs w:val="22"/>
        </w:rPr>
        <w:t xml:space="preserve"> misinterpret</w:t>
      </w:r>
      <w:r w:rsidR="0002724C">
        <w:rPr>
          <w:sz w:val="22"/>
          <w:szCs w:val="22"/>
        </w:rPr>
        <w:t>ing</w:t>
      </w:r>
      <w:r w:rsidR="00195007">
        <w:rPr>
          <w:sz w:val="22"/>
          <w:szCs w:val="22"/>
        </w:rPr>
        <w:t xml:space="preserve"> the rules.  These changes </w:t>
      </w:r>
      <w:r w:rsidR="00883E6C">
        <w:rPr>
          <w:sz w:val="22"/>
          <w:szCs w:val="22"/>
        </w:rPr>
        <w:t xml:space="preserve">alone </w:t>
      </w:r>
      <w:r w:rsidR="00195007">
        <w:rPr>
          <w:sz w:val="22"/>
          <w:szCs w:val="22"/>
        </w:rPr>
        <w:t xml:space="preserve">should not </w:t>
      </w:r>
      <w:r w:rsidR="008A40FF">
        <w:rPr>
          <w:sz w:val="22"/>
          <w:szCs w:val="22"/>
        </w:rPr>
        <w:t>significantly affect most small entities.</w:t>
      </w:r>
      <w:r w:rsidR="00FE4EC1">
        <w:rPr>
          <w:sz w:val="22"/>
          <w:szCs w:val="22"/>
        </w:rPr>
        <w:t xml:space="preserve">  </w:t>
      </w:r>
      <w:r w:rsidR="00883E6C">
        <w:rPr>
          <w:sz w:val="22"/>
          <w:szCs w:val="22"/>
        </w:rPr>
        <w:t>However, c</w:t>
      </w:r>
      <w:r w:rsidR="00FE4EC1">
        <w:rPr>
          <w:sz w:val="22"/>
          <w:szCs w:val="22"/>
        </w:rPr>
        <w:t xml:space="preserve">ompliance with the exposure </w:t>
      </w:r>
      <w:r w:rsidR="00046EBD">
        <w:rPr>
          <w:sz w:val="22"/>
          <w:szCs w:val="22"/>
        </w:rPr>
        <w:t>limits continues to be</w:t>
      </w:r>
      <w:r w:rsidR="00FE4EC1">
        <w:rPr>
          <w:sz w:val="22"/>
          <w:szCs w:val="22"/>
        </w:rPr>
        <w:t xml:space="preserve"> a general requirement </w:t>
      </w:r>
      <w:r w:rsidR="00883E6C">
        <w:rPr>
          <w:sz w:val="22"/>
          <w:szCs w:val="22"/>
        </w:rPr>
        <w:t>affecting both manufactu</w:t>
      </w:r>
      <w:r w:rsidR="00046EBD">
        <w:rPr>
          <w:sz w:val="22"/>
          <w:szCs w:val="22"/>
        </w:rPr>
        <w:t>rers and operators</w:t>
      </w:r>
      <w:r w:rsidR="00883E6C">
        <w:rPr>
          <w:sz w:val="22"/>
          <w:szCs w:val="22"/>
        </w:rPr>
        <w:t xml:space="preserve"> of RF devices</w:t>
      </w:r>
      <w:r w:rsidR="005F1AB3">
        <w:rPr>
          <w:sz w:val="22"/>
          <w:szCs w:val="22"/>
        </w:rPr>
        <w:t xml:space="preserve"> and transmitters</w:t>
      </w:r>
      <w:r w:rsidR="00883E6C">
        <w:rPr>
          <w:sz w:val="22"/>
          <w:szCs w:val="22"/>
        </w:rPr>
        <w:t xml:space="preserve"> alike,</w:t>
      </w:r>
      <w:r w:rsidR="00FE4EC1">
        <w:rPr>
          <w:sz w:val="22"/>
          <w:szCs w:val="22"/>
        </w:rPr>
        <w:t xml:space="preserve"> </w:t>
      </w:r>
      <w:r w:rsidR="00883C76">
        <w:rPr>
          <w:sz w:val="22"/>
          <w:szCs w:val="22"/>
        </w:rPr>
        <w:t>and</w:t>
      </w:r>
      <w:r w:rsidR="00883E6C">
        <w:rPr>
          <w:sz w:val="22"/>
          <w:szCs w:val="22"/>
        </w:rPr>
        <w:t xml:space="preserve"> </w:t>
      </w:r>
      <w:r w:rsidR="00046EBD">
        <w:rPr>
          <w:sz w:val="22"/>
          <w:szCs w:val="22"/>
        </w:rPr>
        <w:t>existing reference material</w:t>
      </w:r>
      <w:r w:rsidR="00FE4EC1">
        <w:rPr>
          <w:sz w:val="22"/>
          <w:szCs w:val="22"/>
        </w:rPr>
        <w:t xml:space="preserve"> on</w:t>
      </w:r>
      <w:r w:rsidR="00046EBD">
        <w:rPr>
          <w:sz w:val="22"/>
          <w:szCs w:val="22"/>
        </w:rPr>
        <w:t xml:space="preserve"> evaluating compliance</w:t>
      </w:r>
      <w:r w:rsidR="005F08F2">
        <w:rPr>
          <w:sz w:val="22"/>
          <w:szCs w:val="22"/>
        </w:rPr>
        <w:t xml:space="preserve"> </w:t>
      </w:r>
      <w:r w:rsidR="00883E6C">
        <w:rPr>
          <w:sz w:val="22"/>
          <w:szCs w:val="22"/>
        </w:rPr>
        <w:t>is a significant body of information</w:t>
      </w:r>
      <w:r w:rsidR="00046EBD">
        <w:rPr>
          <w:sz w:val="22"/>
          <w:szCs w:val="22"/>
        </w:rPr>
        <w:t>.  This material</w:t>
      </w:r>
      <w:r w:rsidR="00B4556B">
        <w:rPr>
          <w:sz w:val="22"/>
          <w:szCs w:val="22"/>
        </w:rPr>
        <w:t>, available on the Commission’s website,</w:t>
      </w:r>
      <w:r w:rsidR="00046EBD">
        <w:rPr>
          <w:sz w:val="22"/>
          <w:szCs w:val="22"/>
        </w:rPr>
        <w:t xml:space="preserve"> is</w:t>
      </w:r>
      <w:r w:rsidR="00883E6C">
        <w:rPr>
          <w:sz w:val="22"/>
          <w:szCs w:val="22"/>
        </w:rPr>
        <w:t xml:space="preserve"> </w:t>
      </w:r>
      <w:r w:rsidR="0081416D">
        <w:rPr>
          <w:sz w:val="22"/>
          <w:szCs w:val="22"/>
        </w:rPr>
        <w:t>continually</w:t>
      </w:r>
      <w:r w:rsidR="00883C76">
        <w:rPr>
          <w:sz w:val="22"/>
          <w:szCs w:val="22"/>
        </w:rPr>
        <w:t xml:space="preserve"> </w:t>
      </w:r>
      <w:r w:rsidR="005F08F2">
        <w:rPr>
          <w:sz w:val="22"/>
          <w:szCs w:val="22"/>
        </w:rPr>
        <w:t xml:space="preserve">being updated as necessary to </w:t>
      </w:r>
      <w:r w:rsidR="0081416D">
        <w:rPr>
          <w:sz w:val="22"/>
          <w:szCs w:val="22"/>
        </w:rPr>
        <w:t>keep up with changes in technology</w:t>
      </w:r>
      <w:r w:rsidR="005F08F2">
        <w:rPr>
          <w:sz w:val="22"/>
          <w:szCs w:val="22"/>
        </w:rPr>
        <w:t>.</w:t>
      </w:r>
      <w:r w:rsidR="00883E6C">
        <w:rPr>
          <w:sz w:val="22"/>
          <w:szCs w:val="22"/>
        </w:rPr>
        <w:t xml:space="preserve">  Given that the </w:t>
      </w:r>
      <w:r w:rsidR="00D15346">
        <w:rPr>
          <w:i/>
          <w:sz w:val="22"/>
          <w:szCs w:val="22"/>
        </w:rPr>
        <w:t>Order</w:t>
      </w:r>
      <w:r w:rsidR="00883E6C">
        <w:rPr>
          <w:sz w:val="22"/>
          <w:szCs w:val="22"/>
        </w:rPr>
        <w:t xml:space="preserve"> only makes minor adjustments to the rules and compliance with the exposure limits is an on-going requirement, the purpose of this document is to </w:t>
      </w:r>
      <w:r w:rsidR="0002724C">
        <w:rPr>
          <w:sz w:val="22"/>
          <w:szCs w:val="22"/>
        </w:rPr>
        <w:t>supplement</w:t>
      </w:r>
      <w:r w:rsidR="00883E6C">
        <w:rPr>
          <w:sz w:val="22"/>
          <w:szCs w:val="22"/>
        </w:rPr>
        <w:t xml:space="preserve"> </w:t>
      </w:r>
      <w:r w:rsidR="00AC7160">
        <w:rPr>
          <w:sz w:val="22"/>
          <w:szCs w:val="22"/>
        </w:rPr>
        <w:t>existing</w:t>
      </w:r>
      <w:r w:rsidR="0002724C">
        <w:rPr>
          <w:sz w:val="22"/>
          <w:szCs w:val="22"/>
        </w:rPr>
        <w:t xml:space="preserve"> guidance, noting any changes due to the </w:t>
      </w:r>
      <w:r w:rsidR="00D15346">
        <w:rPr>
          <w:i/>
          <w:sz w:val="22"/>
          <w:szCs w:val="22"/>
        </w:rPr>
        <w:t>Order</w:t>
      </w:r>
      <w:r w:rsidR="0002724C">
        <w:rPr>
          <w:sz w:val="22"/>
          <w:szCs w:val="22"/>
        </w:rPr>
        <w:t xml:space="preserve"> </w:t>
      </w:r>
      <w:r w:rsidR="0080507C">
        <w:rPr>
          <w:sz w:val="22"/>
          <w:szCs w:val="22"/>
        </w:rPr>
        <w:t>that affect the</w:t>
      </w:r>
      <w:r w:rsidR="00AC7160">
        <w:rPr>
          <w:sz w:val="22"/>
          <w:szCs w:val="22"/>
        </w:rPr>
        <w:t xml:space="preserve"> </w:t>
      </w:r>
      <w:r w:rsidR="00883E6C">
        <w:rPr>
          <w:sz w:val="22"/>
          <w:szCs w:val="22"/>
        </w:rPr>
        <w:t xml:space="preserve">steps that small entities </w:t>
      </w:r>
      <w:r w:rsidR="0066378E">
        <w:rPr>
          <w:sz w:val="22"/>
          <w:szCs w:val="22"/>
        </w:rPr>
        <w:t xml:space="preserve">are </w:t>
      </w:r>
      <w:r w:rsidR="0002724C">
        <w:rPr>
          <w:sz w:val="22"/>
          <w:szCs w:val="22"/>
        </w:rPr>
        <w:t xml:space="preserve">already required to </w:t>
      </w:r>
      <w:r w:rsidR="00883E6C">
        <w:rPr>
          <w:sz w:val="22"/>
          <w:szCs w:val="22"/>
        </w:rPr>
        <w:t>perform to show compliance with the</w:t>
      </w:r>
      <w:r w:rsidR="0002724C">
        <w:rPr>
          <w:sz w:val="22"/>
          <w:szCs w:val="22"/>
        </w:rPr>
        <w:t xml:space="preserve"> Commission’s</w:t>
      </w:r>
      <w:r w:rsidR="00883E6C">
        <w:rPr>
          <w:sz w:val="22"/>
          <w:szCs w:val="22"/>
        </w:rPr>
        <w:t xml:space="preserve"> RF Safety rules</w:t>
      </w:r>
      <w:r w:rsidR="00046EBD">
        <w:rPr>
          <w:sz w:val="22"/>
          <w:szCs w:val="22"/>
        </w:rPr>
        <w:t>.</w:t>
      </w:r>
    </w:p>
    <w:p w14:paraId="56ADBE9F" w14:textId="77777777" w:rsidR="00B4556B" w:rsidRDefault="00B4556B" w:rsidP="00F87CE8">
      <w:pPr>
        <w:rPr>
          <w:sz w:val="22"/>
          <w:szCs w:val="22"/>
        </w:rPr>
      </w:pPr>
    </w:p>
    <w:p w14:paraId="6276BA7E" w14:textId="57DBD960" w:rsidR="00CC58A5" w:rsidRDefault="00883C76" w:rsidP="00F87CE8">
      <w:pPr>
        <w:rPr>
          <w:sz w:val="22"/>
          <w:szCs w:val="22"/>
        </w:rPr>
      </w:pPr>
      <w:r>
        <w:rPr>
          <w:sz w:val="22"/>
          <w:szCs w:val="22"/>
        </w:rPr>
        <w:t>C</w:t>
      </w:r>
      <w:r w:rsidR="00B4556B">
        <w:rPr>
          <w:sz w:val="22"/>
          <w:szCs w:val="22"/>
        </w:rPr>
        <w:t xml:space="preserve">ompliance with the RF exposure limits in section 1.1310 of the </w:t>
      </w:r>
      <w:r w:rsidR="00DA4060">
        <w:rPr>
          <w:sz w:val="22"/>
          <w:szCs w:val="22"/>
        </w:rPr>
        <w:t>Commission</w:t>
      </w:r>
      <w:r w:rsidR="00767287">
        <w:rPr>
          <w:sz w:val="22"/>
          <w:szCs w:val="22"/>
        </w:rPr>
        <w:t>’s</w:t>
      </w:r>
      <w:r w:rsidR="00DA4060">
        <w:rPr>
          <w:sz w:val="22"/>
          <w:szCs w:val="22"/>
        </w:rPr>
        <w:t xml:space="preserve"> </w:t>
      </w:r>
      <w:r w:rsidR="00B42569">
        <w:rPr>
          <w:sz w:val="22"/>
          <w:szCs w:val="22"/>
        </w:rPr>
        <w:t>rules</w:t>
      </w:r>
      <w:r w:rsidR="002510CA">
        <w:rPr>
          <w:sz w:val="22"/>
          <w:szCs w:val="22"/>
        </w:rPr>
        <w:t xml:space="preserve">, 47 C.F.R. § 1.1310, </w:t>
      </w:r>
      <w:r w:rsidR="00B42569">
        <w:rPr>
          <w:sz w:val="22"/>
          <w:szCs w:val="22"/>
        </w:rPr>
        <w:t xml:space="preserve"> is </w:t>
      </w:r>
      <w:r w:rsidR="001F659C">
        <w:rPr>
          <w:sz w:val="22"/>
          <w:szCs w:val="22"/>
        </w:rPr>
        <w:t>a</w:t>
      </w:r>
      <w:r w:rsidR="00B4556B">
        <w:rPr>
          <w:sz w:val="22"/>
          <w:szCs w:val="22"/>
        </w:rPr>
        <w:t xml:space="preserve"> requirement that a</w:t>
      </w:r>
      <w:r w:rsidR="00B42569">
        <w:rPr>
          <w:sz w:val="22"/>
          <w:szCs w:val="22"/>
        </w:rPr>
        <w:t xml:space="preserve">pplies to all </w:t>
      </w:r>
      <w:r w:rsidR="0066378E">
        <w:rPr>
          <w:sz w:val="22"/>
          <w:szCs w:val="22"/>
        </w:rPr>
        <w:t>entities holding an FCC authorization, including radio station licenses and equipment authorizations</w:t>
      </w:r>
      <w:r w:rsidR="00B42569">
        <w:rPr>
          <w:sz w:val="22"/>
          <w:szCs w:val="22"/>
        </w:rPr>
        <w:t xml:space="preserve">.  </w:t>
      </w:r>
      <w:r w:rsidR="00190856">
        <w:rPr>
          <w:sz w:val="22"/>
          <w:szCs w:val="22"/>
        </w:rPr>
        <w:t xml:space="preserve">While </w:t>
      </w:r>
      <w:r w:rsidR="00B42569">
        <w:rPr>
          <w:sz w:val="22"/>
          <w:szCs w:val="22"/>
        </w:rPr>
        <w:t>the rules</w:t>
      </w:r>
      <w:r w:rsidR="00B4556B">
        <w:rPr>
          <w:sz w:val="22"/>
          <w:szCs w:val="22"/>
        </w:rPr>
        <w:t xml:space="preserve"> </w:t>
      </w:r>
      <w:r w:rsidR="00B42569">
        <w:rPr>
          <w:sz w:val="22"/>
          <w:szCs w:val="22"/>
        </w:rPr>
        <w:t xml:space="preserve">state </w:t>
      </w:r>
      <w:r w:rsidR="00190856">
        <w:rPr>
          <w:sz w:val="22"/>
          <w:szCs w:val="22"/>
        </w:rPr>
        <w:t xml:space="preserve">– as a National Environmental Policy Act (NEPA) processing requirement – </w:t>
      </w:r>
      <w:r w:rsidR="00B42569">
        <w:rPr>
          <w:sz w:val="22"/>
          <w:szCs w:val="22"/>
        </w:rPr>
        <w:t xml:space="preserve">that </w:t>
      </w:r>
      <w:r w:rsidR="00B4556B">
        <w:rPr>
          <w:sz w:val="22"/>
          <w:szCs w:val="22"/>
        </w:rPr>
        <w:t>a form</w:t>
      </w:r>
      <w:r w:rsidR="001F659C">
        <w:rPr>
          <w:sz w:val="22"/>
          <w:szCs w:val="22"/>
        </w:rPr>
        <w:t xml:space="preserve">al </w:t>
      </w:r>
      <w:r w:rsidR="001F659C" w:rsidRPr="00996B9C">
        <w:rPr>
          <w:i/>
          <w:sz w:val="22"/>
          <w:szCs w:val="22"/>
        </w:rPr>
        <w:t>Environmental Assessment</w:t>
      </w:r>
      <w:r w:rsidR="00B4556B">
        <w:rPr>
          <w:sz w:val="22"/>
          <w:szCs w:val="22"/>
        </w:rPr>
        <w:t xml:space="preserve"> </w:t>
      </w:r>
      <w:r>
        <w:rPr>
          <w:sz w:val="22"/>
          <w:szCs w:val="22"/>
        </w:rPr>
        <w:t>must</w:t>
      </w:r>
      <w:r w:rsidR="00B42569">
        <w:rPr>
          <w:sz w:val="22"/>
          <w:szCs w:val="22"/>
        </w:rPr>
        <w:t xml:space="preserve"> be submitted in the event that the exposure limi</w:t>
      </w:r>
      <w:r w:rsidR="001F659C">
        <w:rPr>
          <w:sz w:val="22"/>
          <w:szCs w:val="22"/>
        </w:rPr>
        <w:t xml:space="preserve">ts </w:t>
      </w:r>
      <w:r w:rsidR="0066378E">
        <w:rPr>
          <w:sz w:val="22"/>
          <w:szCs w:val="22"/>
        </w:rPr>
        <w:t xml:space="preserve">are </w:t>
      </w:r>
      <w:r w:rsidR="001F659C">
        <w:rPr>
          <w:sz w:val="22"/>
          <w:szCs w:val="22"/>
        </w:rPr>
        <w:t>to be</w:t>
      </w:r>
      <w:r w:rsidR="00B42569">
        <w:rPr>
          <w:sz w:val="22"/>
          <w:szCs w:val="22"/>
        </w:rPr>
        <w:t xml:space="preserve"> </w:t>
      </w:r>
      <w:r w:rsidR="0080507C">
        <w:rPr>
          <w:sz w:val="22"/>
          <w:szCs w:val="22"/>
        </w:rPr>
        <w:t>exceeded</w:t>
      </w:r>
      <w:r w:rsidR="00190856">
        <w:rPr>
          <w:sz w:val="22"/>
          <w:szCs w:val="22"/>
        </w:rPr>
        <w:t xml:space="preserve">, this wording was not intended to </w:t>
      </w:r>
      <w:r w:rsidR="00B42569">
        <w:rPr>
          <w:sz w:val="22"/>
          <w:szCs w:val="22"/>
        </w:rPr>
        <w:t xml:space="preserve">suggest that </w:t>
      </w:r>
      <w:r w:rsidR="00AC7160">
        <w:rPr>
          <w:sz w:val="22"/>
          <w:szCs w:val="22"/>
        </w:rPr>
        <w:t>exposure over these limits</w:t>
      </w:r>
      <w:r w:rsidR="00B42569">
        <w:rPr>
          <w:sz w:val="22"/>
          <w:szCs w:val="22"/>
        </w:rPr>
        <w:t xml:space="preserve"> </w:t>
      </w:r>
      <w:r>
        <w:rPr>
          <w:sz w:val="22"/>
          <w:szCs w:val="22"/>
        </w:rPr>
        <w:t>could</w:t>
      </w:r>
      <w:r w:rsidR="00B42569">
        <w:rPr>
          <w:sz w:val="22"/>
          <w:szCs w:val="22"/>
        </w:rPr>
        <w:t xml:space="preserve"> be allowed</w:t>
      </w:r>
      <w:r>
        <w:rPr>
          <w:sz w:val="22"/>
          <w:szCs w:val="22"/>
        </w:rPr>
        <w:t xml:space="preserve"> with the submission of an Environmental Assessment</w:t>
      </w:r>
      <w:r w:rsidR="00B42569">
        <w:rPr>
          <w:sz w:val="22"/>
          <w:szCs w:val="22"/>
        </w:rPr>
        <w:t xml:space="preserve">.  </w:t>
      </w:r>
      <w:r w:rsidR="00190856">
        <w:rPr>
          <w:sz w:val="22"/>
          <w:szCs w:val="22"/>
        </w:rPr>
        <w:t xml:space="preserve">In fact, </w:t>
      </w:r>
      <w:r w:rsidR="0080507C" w:rsidRPr="0080507C">
        <w:rPr>
          <w:sz w:val="22"/>
          <w:szCs w:val="22"/>
        </w:rPr>
        <w:t>given the potential negative impact on the qu</w:t>
      </w:r>
      <w:r w:rsidR="0080507C">
        <w:rPr>
          <w:sz w:val="22"/>
          <w:szCs w:val="22"/>
        </w:rPr>
        <w:t>ality of the human environment of such an allowance,</w:t>
      </w:r>
      <w:r w:rsidR="0080507C" w:rsidRPr="0080507C" w:rsidDel="00883C76">
        <w:rPr>
          <w:sz w:val="22"/>
          <w:szCs w:val="22"/>
        </w:rPr>
        <w:t xml:space="preserve"> </w:t>
      </w:r>
      <w:r w:rsidR="00AC7160">
        <w:rPr>
          <w:sz w:val="22"/>
          <w:szCs w:val="22"/>
        </w:rPr>
        <w:t>the Commission ha</w:t>
      </w:r>
      <w:r w:rsidR="00B42569">
        <w:rPr>
          <w:sz w:val="22"/>
          <w:szCs w:val="22"/>
        </w:rPr>
        <w:t>s ne</w:t>
      </w:r>
      <w:r w:rsidR="001F659C">
        <w:rPr>
          <w:sz w:val="22"/>
          <w:szCs w:val="22"/>
        </w:rPr>
        <w:t>ver accepted an Environmental Assessment</w:t>
      </w:r>
      <w:r w:rsidR="00B42569">
        <w:rPr>
          <w:sz w:val="22"/>
          <w:szCs w:val="22"/>
        </w:rPr>
        <w:t xml:space="preserve"> </w:t>
      </w:r>
      <w:r w:rsidR="0080507C">
        <w:rPr>
          <w:sz w:val="22"/>
          <w:szCs w:val="22"/>
        </w:rPr>
        <w:t xml:space="preserve">for </w:t>
      </w:r>
      <w:r w:rsidR="00B42569">
        <w:rPr>
          <w:sz w:val="22"/>
          <w:szCs w:val="22"/>
        </w:rPr>
        <w:t xml:space="preserve">this </w:t>
      </w:r>
      <w:r w:rsidR="0080507C">
        <w:rPr>
          <w:sz w:val="22"/>
          <w:szCs w:val="22"/>
        </w:rPr>
        <w:t>purpose</w:t>
      </w:r>
      <w:r w:rsidR="00B42569">
        <w:rPr>
          <w:sz w:val="22"/>
          <w:szCs w:val="22"/>
        </w:rPr>
        <w:t>.  T</w:t>
      </w:r>
      <w:r w:rsidR="00AC7160">
        <w:rPr>
          <w:sz w:val="22"/>
          <w:szCs w:val="22"/>
        </w:rPr>
        <w:t xml:space="preserve">he Commission </w:t>
      </w:r>
      <w:r w:rsidR="00B42569">
        <w:rPr>
          <w:sz w:val="22"/>
          <w:szCs w:val="22"/>
        </w:rPr>
        <w:t>does</w:t>
      </w:r>
      <w:r w:rsidR="00E46D0B">
        <w:rPr>
          <w:sz w:val="22"/>
          <w:szCs w:val="22"/>
        </w:rPr>
        <w:t>,</w:t>
      </w:r>
      <w:r w:rsidR="00B42569">
        <w:rPr>
          <w:sz w:val="22"/>
          <w:szCs w:val="22"/>
        </w:rPr>
        <w:t xml:space="preserve"> </w:t>
      </w:r>
      <w:r w:rsidR="00AC7160">
        <w:rPr>
          <w:sz w:val="22"/>
          <w:szCs w:val="22"/>
        </w:rPr>
        <w:t>as part of its licensing and equipme</w:t>
      </w:r>
      <w:r w:rsidR="00B42569">
        <w:rPr>
          <w:sz w:val="22"/>
          <w:szCs w:val="22"/>
        </w:rPr>
        <w:t>nt authorization process</w:t>
      </w:r>
      <w:r w:rsidR="0066378E">
        <w:rPr>
          <w:sz w:val="22"/>
          <w:szCs w:val="22"/>
        </w:rPr>
        <w:t>es</w:t>
      </w:r>
      <w:r w:rsidR="0080507C">
        <w:rPr>
          <w:sz w:val="22"/>
          <w:szCs w:val="22"/>
        </w:rPr>
        <w:t>,</w:t>
      </w:r>
      <w:r w:rsidR="00B42569">
        <w:rPr>
          <w:sz w:val="22"/>
          <w:szCs w:val="22"/>
        </w:rPr>
        <w:t xml:space="preserve"> accept</w:t>
      </w:r>
      <w:r w:rsidR="00AC7160">
        <w:rPr>
          <w:sz w:val="22"/>
          <w:szCs w:val="22"/>
        </w:rPr>
        <w:t xml:space="preserve"> </w:t>
      </w:r>
      <w:r w:rsidR="00B42569">
        <w:rPr>
          <w:sz w:val="22"/>
          <w:szCs w:val="22"/>
        </w:rPr>
        <w:t>and publish</w:t>
      </w:r>
      <w:r w:rsidR="00DA4060">
        <w:rPr>
          <w:sz w:val="22"/>
          <w:szCs w:val="22"/>
        </w:rPr>
        <w:t xml:space="preserve"> </w:t>
      </w:r>
      <w:r w:rsidR="00AC7160">
        <w:rPr>
          <w:sz w:val="22"/>
          <w:szCs w:val="22"/>
        </w:rPr>
        <w:t>various showing</w:t>
      </w:r>
      <w:r w:rsidR="00DA4060">
        <w:rPr>
          <w:sz w:val="22"/>
          <w:szCs w:val="22"/>
        </w:rPr>
        <w:t>s</w:t>
      </w:r>
      <w:r w:rsidR="00AC7160">
        <w:rPr>
          <w:sz w:val="22"/>
          <w:szCs w:val="22"/>
        </w:rPr>
        <w:t xml:space="preserve"> of compliance with the exposure limits</w:t>
      </w:r>
      <w:r>
        <w:rPr>
          <w:sz w:val="22"/>
          <w:szCs w:val="22"/>
        </w:rPr>
        <w:t>.</w:t>
      </w:r>
      <w:r w:rsidR="00AC7160">
        <w:rPr>
          <w:sz w:val="22"/>
          <w:szCs w:val="22"/>
        </w:rPr>
        <w:t xml:space="preserve"> </w:t>
      </w:r>
      <w:r>
        <w:rPr>
          <w:sz w:val="22"/>
          <w:szCs w:val="22"/>
        </w:rPr>
        <w:t xml:space="preserve"> T</w:t>
      </w:r>
      <w:r w:rsidR="00AC7160">
        <w:rPr>
          <w:sz w:val="22"/>
          <w:szCs w:val="22"/>
        </w:rPr>
        <w:t>hese</w:t>
      </w:r>
      <w:r>
        <w:rPr>
          <w:sz w:val="22"/>
          <w:szCs w:val="22"/>
        </w:rPr>
        <w:t xml:space="preserve"> showings</w:t>
      </w:r>
      <w:r w:rsidR="00AC7160">
        <w:rPr>
          <w:sz w:val="22"/>
          <w:szCs w:val="22"/>
        </w:rPr>
        <w:t xml:space="preserve"> are often referred to as </w:t>
      </w:r>
      <w:r w:rsidR="00AC7160" w:rsidRPr="00996B9C">
        <w:rPr>
          <w:i/>
          <w:sz w:val="22"/>
          <w:szCs w:val="22"/>
        </w:rPr>
        <w:t>routine environmental eval</w:t>
      </w:r>
      <w:r w:rsidR="00CC58A5" w:rsidRPr="00996B9C">
        <w:rPr>
          <w:i/>
          <w:sz w:val="22"/>
          <w:szCs w:val="22"/>
        </w:rPr>
        <w:t>uations</w:t>
      </w:r>
      <w:r w:rsidR="00CC58A5">
        <w:rPr>
          <w:sz w:val="22"/>
          <w:szCs w:val="22"/>
        </w:rPr>
        <w:t>, not to be confus</w:t>
      </w:r>
      <w:r w:rsidR="00B42569">
        <w:rPr>
          <w:sz w:val="22"/>
          <w:szCs w:val="22"/>
        </w:rPr>
        <w:t>ed with Environmental Assessment</w:t>
      </w:r>
      <w:r w:rsidR="00CC58A5">
        <w:rPr>
          <w:sz w:val="22"/>
          <w:szCs w:val="22"/>
        </w:rPr>
        <w:t>s.</w:t>
      </w:r>
      <w:r w:rsidR="00C1673B">
        <w:rPr>
          <w:sz w:val="22"/>
          <w:szCs w:val="22"/>
        </w:rPr>
        <w:t xml:space="preserve">  </w:t>
      </w:r>
      <w:r w:rsidR="00DA3D5A">
        <w:rPr>
          <w:sz w:val="22"/>
          <w:szCs w:val="22"/>
        </w:rPr>
        <w:t>The Commission</w:t>
      </w:r>
      <w:r w:rsidR="001A2F64">
        <w:rPr>
          <w:sz w:val="22"/>
          <w:szCs w:val="22"/>
        </w:rPr>
        <w:t>’s</w:t>
      </w:r>
      <w:r w:rsidR="00DA3D5A">
        <w:rPr>
          <w:sz w:val="22"/>
          <w:szCs w:val="22"/>
        </w:rPr>
        <w:t xml:space="preserve"> </w:t>
      </w:r>
      <w:r w:rsidR="0080507C">
        <w:rPr>
          <w:sz w:val="22"/>
          <w:szCs w:val="22"/>
        </w:rPr>
        <w:t xml:space="preserve">rules </w:t>
      </w:r>
      <w:r w:rsidR="00DA3D5A">
        <w:rPr>
          <w:sz w:val="22"/>
          <w:szCs w:val="22"/>
        </w:rPr>
        <w:t xml:space="preserve">also </w:t>
      </w:r>
      <w:r w:rsidR="0080507C">
        <w:rPr>
          <w:sz w:val="22"/>
          <w:szCs w:val="22"/>
        </w:rPr>
        <w:t>include various</w:t>
      </w:r>
      <w:r w:rsidR="00C1673B">
        <w:rPr>
          <w:sz w:val="22"/>
          <w:szCs w:val="22"/>
        </w:rPr>
        <w:t xml:space="preserve"> </w:t>
      </w:r>
      <w:r w:rsidR="00C1673B" w:rsidRPr="00996B9C">
        <w:rPr>
          <w:i/>
          <w:sz w:val="22"/>
          <w:szCs w:val="22"/>
        </w:rPr>
        <w:t>categorical exclusion</w:t>
      </w:r>
      <w:r w:rsidR="00DA3D5A" w:rsidRPr="00996B9C">
        <w:rPr>
          <w:i/>
          <w:sz w:val="22"/>
          <w:szCs w:val="22"/>
        </w:rPr>
        <w:t>s</w:t>
      </w:r>
      <w:r w:rsidR="00C1673B">
        <w:rPr>
          <w:sz w:val="22"/>
          <w:szCs w:val="22"/>
        </w:rPr>
        <w:t xml:space="preserve"> for particular services</w:t>
      </w:r>
      <w:r w:rsidR="00190856">
        <w:rPr>
          <w:sz w:val="22"/>
          <w:szCs w:val="22"/>
        </w:rPr>
        <w:t>,</w:t>
      </w:r>
      <w:r w:rsidR="00DA3D5A">
        <w:rPr>
          <w:sz w:val="22"/>
          <w:szCs w:val="22"/>
        </w:rPr>
        <w:t xml:space="preserve"> but such exclusions,</w:t>
      </w:r>
      <w:r w:rsidR="00C1673B">
        <w:rPr>
          <w:sz w:val="22"/>
          <w:szCs w:val="22"/>
        </w:rPr>
        <w:t xml:space="preserve"> or</w:t>
      </w:r>
      <w:r w:rsidR="00DA3D5A">
        <w:rPr>
          <w:sz w:val="22"/>
          <w:szCs w:val="22"/>
        </w:rPr>
        <w:t xml:space="preserve"> any</w:t>
      </w:r>
      <w:r w:rsidR="00C1673B">
        <w:rPr>
          <w:sz w:val="22"/>
          <w:szCs w:val="22"/>
        </w:rPr>
        <w:t xml:space="preserve"> lack of questions </w:t>
      </w:r>
      <w:r w:rsidR="00DA3D5A">
        <w:rPr>
          <w:sz w:val="22"/>
          <w:szCs w:val="22"/>
        </w:rPr>
        <w:t>pertaining to</w:t>
      </w:r>
      <w:r w:rsidR="00C1673B">
        <w:rPr>
          <w:sz w:val="22"/>
          <w:szCs w:val="22"/>
        </w:rPr>
        <w:t xml:space="preserve"> RF exposure on a form</w:t>
      </w:r>
      <w:r w:rsidR="0066378E">
        <w:rPr>
          <w:sz w:val="22"/>
          <w:szCs w:val="22"/>
        </w:rPr>
        <w:t>, do not</w:t>
      </w:r>
      <w:r w:rsidR="00652441">
        <w:rPr>
          <w:sz w:val="22"/>
          <w:szCs w:val="22"/>
        </w:rPr>
        <w:t xml:space="preserve"> imply </w:t>
      </w:r>
      <w:r w:rsidR="00DA3D5A">
        <w:rPr>
          <w:sz w:val="22"/>
          <w:szCs w:val="22"/>
        </w:rPr>
        <w:t xml:space="preserve">that the </w:t>
      </w:r>
      <w:r w:rsidR="00C1673B">
        <w:rPr>
          <w:sz w:val="22"/>
          <w:szCs w:val="22"/>
        </w:rPr>
        <w:t>exposure limits</w:t>
      </w:r>
      <w:r w:rsidR="00DA3D5A">
        <w:rPr>
          <w:sz w:val="22"/>
          <w:szCs w:val="22"/>
        </w:rPr>
        <w:t xml:space="preserve"> </w:t>
      </w:r>
      <w:r w:rsidR="0066378E">
        <w:rPr>
          <w:sz w:val="22"/>
          <w:szCs w:val="22"/>
        </w:rPr>
        <w:t>are not applicable</w:t>
      </w:r>
      <w:r w:rsidR="00DA3D5A">
        <w:rPr>
          <w:sz w:val="22"/>
          <w:szCs w:val="22"/>
        </w:rPr>
        <w:t xml:space="preserve"> to that service</w:t>
      </w:r>
      <w:r w:rsidR="00C1673B">
        <w:rPr>
          <w:sz w:val="22"/>
          <w:szCs w:val="22"/>
        </w:rPr>
        <w:t xml:space="preserve">.  </w:t>
      </w:r>
      <w:r w:rsidR="00DA3D5A">
        <w:rPr>
          <w:sz w:val="22"/>
          <w:szCs w:val="22"/>
        </w:rPr>
        <w:t xml:space="preserve">For example, </w:t>
      </w:r>
      <w:r w:rsidR="00652441">
        <w:rPr>
          <w:sz w:val="22"/>
          <w:szCs w:val="22"/>
        </w:rPr>
        <w:t>some services are categorically excluded from routine evaluation</w:t>
      </w:r>
      <w:r w:rsidR="00E46D0B">
        <w:rPr>
          <w:sz w:val="22"/>
          <w:szCs w:val="22"/>
        </w:rPr>
        <w:t>,</w:t>
      </w:r>
      <w:r w:rsidR="00652441">
        <w:rPr>
          <w:sz w:val="22"/>
          <w:szCs w:val="22"/>
        </w:rPr>
        <w:t xml:space="preserve"> but </w:t>
      </w:r>
      <w:r w:rsidR="00DA3D5A">
        <w:rPr>
          <w:sz w:val="22"/>
          <w:szCs w:val="22"/>
        </w:rPr>
        <w:t>m</w:t>
      </w:r>
      <w:r w:rsidR="00C1673B">
        <w:rPr>
          <w:sz w:val="22"/>
          <w:szCs w:val="22"/>
        </w:rPr>
        <w:t>any transmitt</w:t>
      </w:r>
      <w:r w:rsidR="00652441">
        <w:rPr>
          <w:sz w:val="22"/>
          <w:szCs w:val="22"/>
        </w:rPr>
        <w:t>ing antennas</w:t>
      </w:r>
      <w:r w:rsidR="00C1673B">
        <w:rPr>
          <w:sz w:val="22"/>
          <w:szCs w:val="22"/>
        </w:rPr>
        <w:t xml:space="preserve"> </w:t>
      </w:r>
      <w:r w:rsidR="00652441">
        <w:rPr>
          <w:sz w:val="22"/>
          <w:szCs w:val="22"/>
        </w:rPr>
        <w:t xml:space="preserve">operating in these services are capable of exceeding the exposure limits when </w:t>
      </w:r>
      <w:r w:rsidR="0066378E">
        <w:rPr>
          <w:sz w:val="22"/>
          <w:szCs w:val="22"/>
        </w:rPr>
        <w:t>very close</w:t>
      </w:r>
      <w:r w:rsidR="00652441">
        <w:rPr>
          <w:sz w:val="22"/>
          <w:szCs w:val="22"/>
        </w:rPr>
        <w:t xml:space="preserve"> to a person.</w:t>
      </w:r>
      <w:r w:rsidR="00C1673B">
        <w:rPr>
          <w:sz w:val="22"/>
          <w:szCs w:val="22"/>
        </w:rPr>
        <w:t xml:space="preserve"> </w:t>
      </w:r>
      <w:r w:rsidR="00652441">
        <w:rPr>
          <w:sz w:val="22"/>
          <w:szCs w:val="22"/>
        </w:rPr>
        <w:t xml:space="preserve"> </w:t>
      </w:r>
      <w:r w:rsidR="00DA3D5A">
        <w:rPr>
          <w:sz w:val="22"/>
          <w:szCs w:val="22"/>
        </w:rPr>
        <w:t>Therefore,</w:t>
      </w:r>
      <w:r w:rsidR="00C1673B">
        <w:rPr>
          <w:sz w:val="22"/>
          <w:szCs w:val="22"/>
        </w:rPr>
        <w:t xml:space="preserve"> consideration of RF levels and </w:t>
      </w:r>
      <w:r w:rsidR="00716F48">
        <w:rPr>
          <w:sz w:val="22"/>
          <w:szCs w:val="22"/>
        </w:rPr>
        <w:t xml:space="preserve">necessary restriction of </w:t>
      </w:r>
      <w:r w:rsidR="00C1673B">
        <w:rPr>
          <w:sz w:val="22"/>
          <w:szCs w:val="22"/>
        </w:rPr>
        <w:t xml:space="preserve">access to transmitting antennas </w:t>
      </w:r>
      <w:r w:rsidR="00716F48">
        <w:rPr>
          <w:sz w:val="22"/>
          <w:szCs w:val="22"/>
        </w:rPr>
        <w:t xml:space="preserve">to ensure compliance with the exposure limits </w:t>
      </w:r>
      <w:r w:rsidR="00C1673B">
        <w:rPr>
          <w:sz w:val="22"/>
          <w:szCs w:val="22"/>
        </w:rPr>
        <w:t xml:space="preserve">is a general underlying </w:t>
      </w:r>
      <w:r w:rsidR="00716F48">
        <w:rPr>
          <w:sz w:val="22"/>
          <w:szCs w:val="22"/>
        </w:rPr>
        <w:t>requirement</w:t>
      </w:r>
      <w:r w:rsidR="00DA3D5A">
        <w:rPr>
          <w:sz w:val="22"/>
          <w:szCs w:val="22"/>
        </w:rPr>
        <w:t xml:space="preserve"> for all services</w:t>
      </w:r>
      <w:r w:rsidR="00716F48">
        <w:rPr>
          <w:sz w:val="22"/>
          <w:szCs w:val="22"/>
        </w:rPr>
        <w:t xml:space="preserve"> even when routine evaluation is not required</w:t>
      </w:r>
      <w:r w:rsidR="00C1673B">
        <w:rPr>
          <w:sz w:val="22"/>
          <w:szCs w:val="22"/>
        </w:rPr>
        <w:t xml:space="preserve">. </w:t>
      </w:r>
    </w:p>
    <w:p w14:paraId="7FDD60B7" w14:textId="77777777" w:rsidR="002E620B" w:rsidRDefault="002E620B" w:rsidP="00F87CE8">
      <w:pPr>
        <w:rPr>
          <w:sz w:val="22"/>
          <w:szCs w:val="22"/>
        </w:rPr>
      </w:pPr>
    </w:p>
    <w:p w14:paraId="6AD450BA" w14:textId="5D2A0860" w:rsidR="00AD53E8" w:rsidRDefault="002E620B" w:rsidP="00F87CE8">
      <w:pPr>
        <w:rPr>
          <w:sz w:val="22"/>
          <w:szCs w:val="22"/>
        </w:rPr>
      </w:pPr>
      <w:r>
        <w:rPr>
          <w:sz w:val="22"/>
          <w:szCs w:val="22"/>
        </w:rPr>
        <w:t>The Commission maintains two regulatory approval tracks that apply to RF transmitters</w:t>
      </w:r>
      <w:r w:rsidR="005B1AD4">
        <w:rPr>
          <w:sz w:val="22"/>
          <w:szCs w:val="22"/>
        </w:rPr>
        <w:t xml:space="preserve"> and are relevant to RF exposure compliance</w:t>
      </w:r>
      <w:r>
        <w:rPr>
          <w:sz w:val="22"/>
          <w:szCs w:val="22"/>
        </w:rPr>
        <w:t>:</w:t>
      </w:r>
      <w:r w:rsidR="0066378E">
        <w:rPr>
          <w:sz w:val="22"/>
          <w:szCs w:val="22"/>
        </w:rPr>
        <w:t xml:space="preserve"> </w:t>
      </w:r>
      <w:r>
        <w:rPr>
          <w:sz w:val="22"/>
          <w:szCs w:val="22"/>
        </w:rPr>
        <w:t xml:space="preserve"> </w:t>
      </w:r>
      <w:r w:rsidR="001B5F8C">
        <w:rPr>
          <w:sz w:val="22"/>
          <w:szCs w:val="22"/>
        </w:rPr>
        <w:t xml:space="preserve">(1) </w:t>
      </w:r>
      <w:r w:rsidR="0066378E">
        <w:rPr>
          <w:sz w:val="22"/>
          <w:szCs w:val="22"/>
        </w:rPr>
        <w:t xml:space="preserve">licensing </w:t>
      </w:r>
      <w:r w:rsidR="00767287">
        <w:rPr>
          <w:sz w:val="22"/>
          <w:szCs w:val="22"/>
        </w:rPr>
        <w:t>and</w:t>
      </w:r>
      <w:r w:rsidR="001B5F8C">
        <w:rPr>
          <w:sz w:val="22"/>
          <w:szCs w:val="22"/>
        </w:rPr>
        <w:t xml:space="preserve"> (2)</w:t>
      </w:r>
      <w:r w:rsidR="00767287">
        <w:rPr>
          <w:sz w:val="22"/>
          <w:szCs w:val="22"/>
        </w:rPr>
        <w:t xml:space="preserve"> </w:t>
      </w:r>
      <w:r w:rsidR="0066378E">
        <w:rPr>
          <w:sz w:val="22"/>
          <w:szCs w:val="22"/>
        </w:rPr>
        <w:t>equipment authorization (EA)</w:t>
      </w:r>
      <w:r w:rsidR="00350C9B">
        <w:rPr>
          <w:sz w:val="22"/>
          <w:szCs w:val="22"/>
        </w:rPr>
        <w:t xml:space="preserve">.  A license is an authorization to operate </w:t>
      </w:r>
      <w:r w:rsidR="000E420E">
        <w:rPr>
          <w:sz w:val="22"/>
          <w:szCs w:val="22"/>
        </w:rPr>
        <w:t xml:space="preserve">one or more </w:t>
      </w:r>
      <w:r w:rsidR="00350C9B">
        <w:rPr>
          <w:sz w:val="22"/>
          <w:szCs w:val="22"/>
        </w:rPr>
        <w:t xml:space="preserve">transmitters in a specific frequency range and geographic area </w:t>
      </w:r>
      <w:r w:rsidR="005B1AD4">
        <w:rPr>
          <w:sz w:val="22"/>
          <w:szCs w:val="22"/>
        </w:rPr>
        <w:t>(</w:t>
      </w:r>
      <w:r w:rsidR="00350C9B">
        <w:rPr>
          <w:sz w:val="22"/>
          <w:szCs w:val="22"/>
        </w:rPr>
        <w:t>or at a specific site</w:t>
      </w:r>
      <w:r w:rsidR="005B1AD4">
        <w:rPr>
          <w:sz w:val="22"/>
          <w:szCs w:val="22"/>
        </w:rPr>
        <w:t>)</w:t>
      </w:r>
      <w:r w:rsidR="00350C9B">
        <w:rPr>
          <w:sz w:val="22"/>
          <w:szCs w:val="22"/>
        </w:rPr>
        <w:t xml:space="preserve"> according to the </w:t>
      </w:r>
      <w:r w:rsidR="00D73AB3">
        <w:rPr>
          <w:sz w:val="22"/>
          <w:szCs w:val="22"/>
        </w:rPr>
        <w:t>Commission</w:t>
      </w:r>
      <w:r w:rsidR="00767287">
        <w:rPr>
          <w:sz w:val="22"/>
          <w:szCs w:val="22"/>
        </w:rPr>
        <w:t>’s</w:t>
      </w:r>
      <w:r w:rsidR="00D73AB3">
        <w:rPr>
          <w:sz w:val="22"/>
          <w:szCs w:val="22"/>
        </w:rPr>
        <w:t xml:space="preserve"> </w:t>
      </w:r>
      <w:r w:rsidR="00350C9B">
        <w:rPr>
          <w:sz w:val="22"/>
          <w:szCs w:val="22"/>
        </w:rPr>
        <w:t xml:space="preserve">rules for a particular service.  A license does not generally specify </w:t>
      </w:r>
      <w:r w:rsidR="00767287">
        <w:rPr>
          <w:sz w:val="22"/>
          <w:szCs w:val="22"/>
        </w:rPr>
        <w:t xml:space="preserve">all of </w:t>
      </w:r>
      <w:r w:rsidR="00350C9B">
        <w:rPr>
          <w:sz w:val="22"/>
          <w:szCs w:val="22"/>
        </w:rPr>
        <w:t>the equipment to be used by a licensee</w:t>
      </w:r>
      <w:r w:rsidR="00AD62F7">
        <w:rPr>
          <w:sz w:val="22"/>
          <w:szCs w:val="22"/>
        </w:rPr>
        <w:t xml:space="preserve">.  In contrast, the </w:t>
      </w:r>
      <w:r w:rsidR="00767287">
        <w:rPr>
          <w:sz w:val="22"/>
          <w:szCs w:val="22"/>
        </w:rPr>
        <w:t>EA</w:t>
      </w:r>
      <w:r w:rsidR="00AD62F7">
        <w:rPr>
          <w:sz w:val="22"/>
          <w:szCs w:val="22"/>
        </w:rPr>
        <w:t xml:space="preserve"> program requires certification of </w:t>
      </w:r>
      <w:r w:rsidR="005A4277">
        <w:rPr>
          <w:sz w:val="22"/>
          <w:szCs w:val="22"/>
        </w:rPr>
        <w:t xml:space="preserve">specific </w:t>
      </w:r>
      <w:r w:rsidR="00AD62F7">
        <w:rPr>
          <w:sz w:val="22"/>
          <w:szCs w:val="22"/>
        </w:rPr>
        <w:t xml:space="preserve">transmitting devices and </w:t>
      </w:r>
      <w:r w:rsidR="00767287">
        <w:rPr>
          <w:sz w:val="22"/>
          <w:szCs w:val="22"/>
        </w:rPr>
        <w:t xml:space="preserve">associated </w:t>
      </w:r>
      <w:r w:rsidR="00AD62F7">
        <w:rPr>
          <w:sz w:val="22"/>
          <w:szCs w:val="22"/>
        </w:rPr>
        <w:t>equipment for use in particular services.  Some services are licensed by rule</w:t>
      </w:r>
      <w:r w:rsidR="00AB4DBC">
        <w:rPr>
          <w:sz w:val="22"/>
          <w:szCs w:val="22"/>
        </w:rPr>
        <w:t>, where the licensees do not require individualized licenses.  In such services, the t</w:t>
      </w:r>
      <w:r w:rsidR="00AD62F7">
        <w:rPr>
          <w:sz w:val="22"/>
          <w:szCs w:val="22"/>
        </w:rPr>
        <w:t xml:space="preserve">ransmitters used </w:t>
      </w:r>
      <w:r w:rsidR="00AB4DBC">
        <w:rPr>
          <w:sz w:val="22"/>
          <w:szCs w:val="22"/>
        </w:rPr>
        <w:t xml:space="preserve">by </w:t>
      </w:r>
      <w:r w:rsidR="00AD62F7">
        <w:rPr>
          <w:sz w:val="22"/>
          <w:szCs w:val="22"/>
        </w:rPr>
        <w:t xml:space="preserve">these </w:t>
      </w:r>
      <w:r w:rsidR="00AB4DBC">
        <w:rPr>
          <w:sz w:val="22"/>
          <w:szCs w:val="22"/>
        </w:rPr>
        <w:t>licensees</w:t>
      </w:r>
      <w:r w:rsidR="00AD62F7">
        <w:rPr>
          <w:sz w:val="22"/>
          <w:szCs w:val="22"/>
        </w:rPr>
        <w:t xml:space="preserve"> are only subject to equipment certification.  </w:t>
      </w:r>
      <w:r w:rsidR="003C70CD">
        <w:rPr>
          <w:sz w:val="22"/>
          <w:szCs w:val="22"/>
        </w:rPr>
        <w:t xml:space="preserve">The Commission also allows some devices to be operated on an unlicensed basis, and those devices are also subject only to </w:t>
      </w:r>
      <w:r w:rsidR="003C70CD">
        <w:rPr>
          <w:sz w:val="22"/>
          <w:szCs w:val="22"/>
        </w:rPr>
        <w:lastRenderedPageBreak/>
        <w:t xml:space="preserve">equipment certification.  </w:t>
      </w:r>
      <w:r w:rsidR="00AB4DBC">
        <w:rPr>
          <w:sz w:val="22"/>
          <w:szCs w:val="22"/>
        </w:rPr>
        <w:t xml:space="preserve">(In contrast to services licensed by rule, </w:t>
      </w:r>
      <w:r w:rsidR="008A0BD2">
        <w:rPr>
          <w:sz w:val="22"/>
          <w:szCs w:val="22"/>
        </w:rPr>
        <w:t xml:space="preserve">however, </w:t>
      </w:r>
      <w:r w:rsidR="00AB4DBC">
        <w:rPr>
          <w:sz w:val="22"/>
          <w:szCs w:val="22"/>
        </w:rPr>
        <w:t>the operators</w:t>
      </w:r>
      <w:r w:rsidR="00AD53E8">
        <w:rPr>
          <w:sz w:val="22"/>
          <w:szCs w:val="22"/>
        </w:rPr>
        <w:t xml:space="preserve"> of devices used in unlicensed services are not classified as licensees.)</w:t>
      </w:r>
    </w:p>
    <w:p w14:paraId="6E29E056" w14:textId="77777777" w:rsidR="00AD53E8" w:rsidRDefault="00AD53E8" w:rsidP="00F87CE8">
      <w:pPr>
        <w:rPr>
          <w:sz w:val="22"/>
          <w:szCs w:val="22"/>
        </w:rPr>
      </w:pPr>
    </w:p>
    <w:p w14:paraId="57902B51" w14:textId="49EE6064" w:rsidR="00692A4F" w:rsidRDefault="000E420E" w:rsidP="00F87CE8">
      <w:pPr>
        <w:rPr>
          <w:sz w:val="22"/>
          <w:szCs w:val="22"/>
        </w:rPr>
      </w:pPr>
      <w:r>
        <w:rPr>
          <w:sz w:val="22"/>
          <w:szCs w:val="22"/>
        </w:rPr>
        <w:t>The</w:t>
      </w:r>
      <w:r w:rsidR="00767287">
        <w:rPr>
          <w:sz w:val="22"/>
          <w:szCs w:val="22"/>
        </w:rPr>
        <w:t xml:space="preserve"> Commission’s Bureaus </w:t>
      </w:r>
      <w:r w:rsidR="00AD62F7">
        <w:rPr>
          <w:sz w:val="22"/>
          <w:szCs w:val="22"/>
        </w:rPr>
        <w:t xml:space="preserve">and </w:t>
      </w:r>
      <w:r w:rsidR="00767287">
        <w:rPr>
          <w:sz w:val="22"/>
          <w:szCs w:val="22"/>
        </w:rPr>
        <w:t xml:space="preserve">Offices </w:t>
      </w:r>
      <w:r w:rsidR="00AD62F7">
        <w:rPr>
          <w:sz w:val="22"/>
          <w:szCs w:val="22"/>
        </w:rPr>
        <w:t xml:space="preserve">administer licensing </w:t>
      </w:r>
      <w:r w:rsidR="00767287">
        <w:rPr>
          <w:sz w:val="22"/>
          <w:szCs w:val="22"/>
        </w:rPr>
        <w:t xml:space="preserve">through various </w:t>
      </w:r>
      <w:r>
        <w:rPr>
          <w:sz w:val="22"/>
          <w:szCs w:val="22"/>
        </w:rPr>
        <w:t xml:space="preserve">computer </w:t>
      </w:r>
      <w:r w:rsidR="00767287">
        <w:rPr>
          <w:sz w:val="22"/>
          <w:szCs w:val="22"/>
        </w:rPr>
        <w:t>system</w:t>
      </w:r>
      <w:r>
        <w:rPr>
          <w:sz w:val="22"/>
          <w:szCs w:val="22"/>
        </w:rPr>
        <w:t xml:space="preserve"> and databases</w:t>
      </w:r>
      <w:r w:rsidR="006433BC">
        <w:rPr>
          <w:sz w:val="22"/>
          <w:szCs w:val="22"/>
        </w:rPr>
        <w:t>.</w:t>
      </w:r>
      <w:r w:rsidR="00CB7C0E">
        <w:rPr>
          <w:sz w:val="22"/>
          <w:szCs w:val="22"/>
        </w:rPr>
        <w:t xml:space="preserve"> </w:t>
      </w:r>
      <w:r w:rsidR="006433BC">
        <w:rPr>
          <w:sz w:val="22"/>
          <w:szCs w:val="22"/>
        </w:rPr>
        <w:t xml:space="preserve"> </w:t>
      </w:r>
      <w:r w:rsidR="00571DB5">
        <w:rPr>
          <w:sz w:val="22"/>
          <w:szCs w:val="22"/>
        </w:rPr>
        <w:t>T</w:t>
      </w:r>
      <w:r w:rsidR="006433BC">
        <w:rPr>
          <w:sz w:val="22"/>
          <w:szCs w:val="22"/>
        </w:rPr>
        <w:t xml:space="preserve">hose systems </w:t>
      </w:r>
      <w:r w:rsidR="00767287">
        <w:rPr>
          <w:sz w:val="22"/>
          <w:szCs w:val="22"/>
        </w:rPr>
        <w:t xml:space="preserve">which </w:t>
      </w:r>
      <w:r w:rsidR="006433BC">
        <w:rPr>
          <w:sz w:val="22"/>
          <w:szCs w:val="22"/>
        </w:rPr>
        <w:t>provide information about RF transmitters can be search</w:t>
      </w:r>
      <w:r w:rsidR="00767287">
        <w:rPr>
          <w:sz w:val="22"/>
          <w:szCs w:val="22"/>
        </w:rPr>
        <w:t>ed</w:t>
      </w:r>
      <w:r w:rsidR="00CB7C0E">
        <w:rPr>
          <w:sz w:val="22"/>
          <w:szCs w:val="22"/>
        </w:rPr>
        <w:t xml:space="preserve"> at:</w:t>
      </w:r>
      <w:r w:rsidR="00AD62F7">
        <w:rPr>
          <w:sz w:val="22"/>
          <w:szCs w:val="22"/>
        </w:rPr>
        <w:t xml:space="preserve"> </w:t>
      </w:r>
      <w:hyperlink r:id="rId8" w:history="1">
        <w:r w:rsidR="00CB7C0E" w:rsidRPr="00A87BC3">
          <w:rPr>
            <w:rStyle w:val="Hyperlink"/>
            <w:sz w:val="22"/>
            <w:szCs w:val="22"/>
          </w:rPr>
          <w:t>http://fjallfoss.fcc.gov/General_Menu_Reports/</w:t>
        </w:r>
      </w:hyperlink>
      <w:r w:rsidR="00767287" w:rsidRPr="00757644">
        <w:rPr>
          <w:rStyle w:val="Hyperlink"/>
          <w:color w:val="auto"/>
          <w:sz w:val="22"/>
          <w:szCs w:val="22"/>
          <w:u w:val="none"/>
        </w:rPr>
        <w:t>.</w:t>
      </w:r>
      <w:r w:rsidR="00CB7C0E">
        <w:rPr>
          <w:sz w:val="22"/>
          <w:szCs w:val="22"/>
        </w:rPr>
        <w:t xml:space="preserve"> </w:t>
      </w:r>
      <w:r w:rsidR="00571DB5">
        <w:rPr>
          <w:sz w:val="22"/>
          <w:szCs w:val="22"/>
        </w:rPr>
        <w:t xml:space="preserve"> </w:t>
      </w:r>
      <w:r w:rsidR="00767287">
        <w:rPr>
          <w:sz w:val="22"/>
          <w:szCs w:val="22"/>
        </w:rPr>
        <w:t>T</w:t>
      </w:r>
      <w:r w:rsidR="00CB7C0E">
        <w:rPr>
          <w:sz w:val="22"/>
          <w:szCs w:val="22"/>
        </w:rPr>
        <w:t xml:space="preserve">he </w:t>
      </w:r>
      <w:r w:rsidR="001B5F8C">
        <w:rPr>
          <w:sz w:val="22"/>
          <w:szCs w:val="22"/>
        </w:rPr>
        <w:t>EA</w:t>
      </w:r>
      <w:r w:rsidR="00CB7C0E">
        <w:rPr>
          <w:sz w:val="22"/>
          <w:szCs w:val="22"/>
        </w:rPr>
        <w:t xml:space="preserve"> </w:t>
      </w:r>
      <w:r w:rsidR="002D2E55">
        <w:rPr>
          <w:sz w:val="22"/>
          <w:szCs w:val="22"/>
        </w:rPr>
        <w:t>system</w:t>
      </w:r>
      <w:r w:rsidR="00C0472F">
        <w:rPr>
          <w:sz w:val="22"/>
          <w:szCs w:val="22"/>
        </w:rPr>
        <w:t xml:space="preserve">, administered by the </w:t>
      </w:r>
      <w:r w:rsidR="00AD53E8">
        <w:rPr>
          <w:sz w:val="22"/>
          <w:szCs w:val="22"/>
        </w:rPr>
        <w:t xml:space="preserve">FCC </w:t>
      </w:r>
      <w:r w:rsidR="00C0472F">
        <w:rPr>
          <w:sz w:val="22"/>
          <w:szCs w:val="22"/>
        </w:rPr>
        <w:t>Office of Engineering and Technology’s Laboratory,</w:t>
      </w:r>
      <w:r w:rsidR="00CB7C0E">
        <w:rPr>
          <w:sz w:val="22"/>
          <w:szCs w:val="22"/>
        </w:rPr>
        <w:t xml:space="preserve"> </w:t>
      </w:r>
      <w:r w:rsidR="006433BC">
        <w:rPr>
          <w:sz w:val="22"/>
          <w:szCs w:val="22"/>
        </w:rPr>
        <w:t xml:space="preserve">offers information about RF </w:t>
      </w:r>
      <w:r>
        <w:rPr>
          <w:sz w:val="22"/>
          <w:szCs w:val="22"/>
        </w:rPr>
        <w:t xml:space="preserve">equipment and </w:t>
      </w:r>
      <w:r w:rsidR="006433BC">
        <w:rPr>
          <w:sz w:val="22"/>
          <w:szCs w:val="22"/>
        </w:rPr>
        <w:t xml:space="preserve">devices, and </w:t>
      </w:r>
      <w:r w:rsidR="00CB7C0E">
        <w:rPr>
          <w:sz w:val="22"/>
          <w:szCs w:val="22"/>
        </w:rPr>
        <w:t xml:space="preserve">can be accessed at: </w:t>
      </w:r>
      <w:hyperlink r:id="rId9" w:history="1">
        <w:r w:rsidR="00CB7C0E" w:rsidRPr="00A87BC3">
          <w:rPr>
            <w:rStyle w:val="Hyperlink"/>
            <w:sz w:val="22"/>
            <w:szCs w:val="22"/>
          </w:rPr>
          <w:t>http://transition.fcc.gov/oet/ea/</w:t>
        </w:r>
      </w:hyperlink>
      <w:r w:rsidR="00CB7C0E">
        <w:rPr>
          <w:sz w:val="22"/>
          <w:szCs w:val="22"/>
        </w:rPr>
        <w:t>.</w:t>
      </w:r>
      <w:r w:rsidR="00692A4F">
        <w:rPr>
          <w:sz w:val="22"/>
          <w:szCs w:val="22"/>
        </w:rPr>
        <w:t xml:space="preserve">  Within the </w:t>
      </w:r>
      <w:r w:rsidR="001B5F8C">
        <w:rPr>
          <w:sz w:val="22"/>
          <w:szCs w:val="22"/>
        </w:rPr>
        <w:t>EA system, the</w:t>
      </w:r>
      <w:r w:rsidR="00692A4F">
        <w:rPr>
          <w:sz w:val="22"/>
          <w:szCs w:val="22"/>
        </w:rPr>
        <w:t xml:space="preserve"> </w:t>
      </w:r>
      <w:r w:rsidR="001B5F8C">
        <w:rPr>
          <w:sz w:val="22"/>
          <w:szCs w:val="22"/>
        </w:rPr>
        <w:t>K</w:t>
      </w:r>
      <w:r w:rsidR="00692A4F">
        <w:rPr>
          <w:sz w:val="22"/>
          <w:szCs w:val="22"/>
        </w:rPr>
        <w:t xml:space="preserve">nowledge </w:t>
      </w:r>
      <w:r w:rsidR="001B5F8C">
        <w:rPr>
          <w:sz w:val="22"/>
          <w:szCs w:val="22"/>
        </w:rPr>
        <w:t>D</w:t>
      </w:r>
      <w:r w:rsidR="00692A4F">
        <w:rPr>
          <w:sz w:val="22"/>
          <w:szCs w:val="22"/>
        </w:rPr>
        <w:t>atabase</w:t>
      </w:r>
      <w:r w:rsidR="001B5F8C">
        <w:rPr>
          <w:sz w:val="22"/>
          <w:szCs w:val="22"/>
        </w:rPr>
        <w:t xml:space="preserve"> (KDB) offers</w:t>
      </w:r>
      <w:r w:rsidR="00692A4F">
        <w:rPr>
          <w:sz w:val="22"/>
          <w:szCs w:val="22"/>
        </w:rPr>
        <w:t xml:space="preserve"> guidance on</w:t>
      </w:r>
      <w:r w:rsidR="001B5F8C">
        <w:rPr>
          <w:sz w:val="22"/>
          <w:szCs w:val="22"/>
        </w:rPr>
        <w:t xml:space="preserve"> many topics</w:t>
      </w:r>
      <w:r w:rsidR="00482D74">
        <w:rPr>
          <w:sz w:val="22"/>
          <w:szCs w:val="22"/>
        </w:rPr>
        <w:t>,</w:t>
      </w:r>
      <w:r w:rsidR="001B5F8C">
        <w:rPr>
          <w:sz w:val="22"/>
          <w:szCs w:val="22"/>
        </w:rPr>
        <w:t xml:space="preserve"> including</w:t>
      </w:r>
      <w:r w:rsidR="00692A4F">
        <w:rPr>
          <w:sz w:val="22"/>
          <w:szCs w:val="22"/>
        </w:rPr>
        <w:t xml:space="preserve"> RF exposure compliance</w:t>
      </w:r>
      <w:r w:rsidR="001B5F8C">
        <w:rPr>
          <w:sz w:val="22"/>
          <w:szCs w:val="22"/>
        </w:rPr>
        <w:t xml:space="preserve">.  </w:t>
      </w:r>
      <w:r w:rsidR="00CE477C">
        <w:rPr>
          <w:sz w:val="22"/>
          <w:szCs w:val="22"/>
        </w:rPr>
        <w:t>Major documents in t</w:t>
      </w:r>
      <w:r w:rsidR="001B5F8C">
        <w:rPr>
          <w:sz w:val="22"/>
          <w:szCs w:val="22"/>
        </w:rPr>
        <w:t>he KDB</w:t>
      </w:r>
      <w:r w:rsidR="00692A4F">
        <w:rPr>
          <w:sz w:val="22"/>
          <w:szCs w:val="22"/>
        </w:rPr>
        <w:t xml:space="preserve"> can be found at:</w:t>
      </w:r>
      <w:r w:rsidR="005A4277">
        <w:rPr>
          <w:sz w:val="22"/>
          <w:szCs w:val="22"/>
        </w:rPr>
        <w:t xml:space="preserve"> </w:t>
      </w:r>
      <w:hyperlink r:id="rId10" w:history="1">
        <w:r w:rsidR="00692A4F" w:rsidRPr="00A87BC3">
          <w:rPr>
            <w:rStyle w:val="Hyperlink"/>
            <w:sz w:val="22"/>
            <w:szCs w:val="22"/>
          </w:rPr>
          <w:t>https://apps.fcc.gov/oetcf/kdb/reports/GuidedPublicationList.cfm</w:t>
        </w:r>
      </w:hyperlink>
      <w:r w:rsidR="00692A4F">
        <w:rPr>
          <w:sz w:val="22"/>
          <w:szCs w:val="22"/>
        </w:rPr>
        <w:t>.</w:t>
      </w:r>
    </w:p>
    <w:p w14:paraId="50DAA7CE" w14:textId="77777777" w:rsidR="00CC58A5" w:rsidRDefault="00CC58A5" w:rsidP="00F87CE8">
      <w:pPr>
        <w:rPr>
          <w:sz w:val="22"/>
          <w:szCs w:val="22"/>
        </w:rPr>
      </w:pPr>
    </w:p>
    <w:p w14:paraId="6F645A75" w14:textId="2929822A" w:rsidR="00526E2B" w:rsidRDefault="001B5F8C" w:rsidP="00F87CE8">
      <w:pPr>
        <w:rPr>
          <w:sz w:val="22"/>
          <w:szCs w:val="22"/>
        </w:rPr>
      </w:pPr>
      <w:r>
        <w:rPr>
          <w:sz w:val="22"/>
          <w:szCs w:val="22"/>
        </w:rPr>
        <w:t xml:space="preserve">Generally, </w:t>
      </w:r>
      <w:r w:rsidR="00081A46">
        <w:rPr>
          <w:sz w:val="22"/>
          <w:szCs w:val="22"/>
        </w:rPr>
        <w:t>application forms</w:t>
      </w:r>
      <w:r w:rsidR="00CC58A5">
        <w:rPr>
          <w:sz w:val="22"/>
          <w:szCs w:val="22"/>
        </w:rPr>
        <w:t xml:space="preserve"> for licenses and grants of equipment authorization </w:t>
      </w:r>
      <w:r w:rsidR="00081A46">
        <w:rPr>
          <w:sz w:val="22"/>
          <w:szCs w:val="22"/>
        </w:rPr>
        <w:t xml:space="preserve">for RF transmitters </w:t>
      </w:r>
      <w:r w:rsidR="00CC58A5">
        <w:rPr>
          <w:sz w:val="22"/>
          <w:szCs w:val="22"/>
        </w:rPr>
        <w:t xml:space="preserve">contain </w:t>
      </w:r>
      <w:r w:rsidR="00081A46">
        <w:rPr>
          <w:sz w:val="22"/>
          <w:szCs w:val="22"/>
        </w:rPr>
        <w:t>a set of certifications where the</w:t>
      </w:r>
      <w:r w:rsidR="00CC58A5">
        <w:rPr>
          <w:sz w:val="22"/>
          <w:szCs w:val="22"/>
        </w:rPr>
        <w:t xml:space="preserve"> applicant</w:t>
      </w:r>
      <w:r w:rsidR="00081A46">
        <w:rPr>
          <w:sz w:val="22"/>
          <w:szCs w:val="22"/>
        </w:rPr>
        <w:t xml:space="preserve"> attests to a set of facts.  Among th</w:t>
      </w:r>
      <w:r>
        <w:rPr>
          <w:sz w:val="22"/>
          <w:szCs w:val="22"/>
        </w:rPr>
        <w:t>is set, there</w:t>
      </w:r>
      <w:r w:rsidR="00081A46">
        <w:rPr>
          <w:sz w:val="22"/>
          <w:szCs w:val="22"/>
        </w:rPr>
        <w:t xml:space="preserve"> is</w:t>
      </w:r>
      <w:r>
        <w:rPr>
          <w:sz w:val="22"/>
          <w:szCs w:val="22"/>
        </w:rPr>
        <w:t xml:space="preserve"> typically</w:t>
      </w:r>
      <w:r w:rsidR="00081A46">
        <w:rPr>
          <w:sz w:val="22"/>
          <w:szCs w:val="22"/>
        </w:rPr>
        <w:t xml:space="preserve"> a requirement to certify compliance with </w:t>
      </w:r>
      <w:r w:rsidR="00852F90">
        <w:rPr>
          <w:sz w:val="22"/>
          <w:szCs w:val="22"/>
        </w:rPr>
        <w:t xml:space="preserve">the </w:t>
      </w:r>
      <w:r w:rsidR="00081A46">
        <w:rPr>
          <w:sz w:val="22"/>
          <w:szCs w:val="22"/>
        </w:rPr>
        <w:t xml:space="preserve">exposure limits.  In many cases, this certification is the only </w:t>
      </w:r>
      <w:r w:rsidR="000E420E">
        <w:rPr>
          <w:sz w:val="22"/>
          <w:szCs w:val="22"/>
        </w:rPr>
        <w:t xml:space="preserve">routine </w:t>
      </w:r>
      <w:r>
        <w:rPr>
          <w:sz w:val="22"/>
          <w:szCs w:val="22"/>
        </w:rPr>
        <w:t>requirement to demonstrate</w:t>
      </w:r>
      <w:r w:rsidR="00081A46">
        <w:rPr>
          <w:sz w:val="22"/>
          <w:szCs w:val="22"/>
        </w:rPr>
        <w:t xml:space="preserve"> compliance with the exposure limits.</w:t>
      </w:r>
      <w:r w:rsidR="00BD78BB">
        <w:rPr>
          <w:sz w:val="22"/>
          <w:szCs w:val="22"/>
        </w:rPr>
        <w:t xml:space="preserve">  However, the Commission may </w:t>
      </w:r>
      <w:r w:rsidR="005A4277">
        <w:rPr>
          <w:sz w:val="22"/>
          <w:szCs w:val="22"/>
        </w:rPr>
        <w:t xml:space="preserve">at any time </w:t>
      </w:r>
      <w:r w:rsidR="00BD78BB">
        <w:rPr>
          <w:sz w:val="22"/>
          <w:szCs w:val="22"/>
        </w:rPr>
        <w:t>request technical information to suppo</w:t>
      </w:r>
      <w:r w:rsidR="005A4277">
        <w:rPr>
          <w:sz w:val="22"/>
          <w:szCs w:val="22"/>
        </w:rPr>
        <w:t>rt a determin</w:t>
      </w:r>
      <w:r>
        <w:rPr>
          <w:sz w:val="22"/>
          <w:szCs w:val="22"/>
        </w:rPr>
        <w:t>ation of</w:t>
      </w:r>
      <w:r w:rsidR="005A4277">
        <w:rPr>
          <w:sz w:val="22"/>
          <w:szCs w:val="22"/>
        </w:rPr>
        <w:t xml:space="preserve"> exposure levels</w:t>
      </w:r>
      <w:r w:rsidR="00BD78BB">
        <w:rPr>
          <w:sz w:val="22"/>
          <w:szCs w:val="22"/>
        </w:rPr>
        <w:t xml:space="preserve"> for any transmitter</w:t>
      </w:r>
      <w:r w:rsidR="000E420E">
        <w:rPr>
          <w:sz w:val="22"/>
          <w:szCs w:val="22"/>
        </w:rPr>
        <w:t>, device,</w:t>
      </w:r>
      <w:r w:rsidR="00BD78BB">
        <w:rPr>
          <w:sz w:val="22"/>
          <w:szCs w:val="22"/>
        </w:rPr>
        <w:t xml:space="preserve"> or site.  These requests are </w:t>
      </w:r>
      <w:r w:rsidR="00405A7B">
        <w:rPr>
          <w:sz w:val="22"/>
          <w:szCs w:val="22"/>
        </w:rPr>
        <w:t xml:space="preserve">not uncommon during </w:t>
      </w:r>
      <w:r w:rsidR="00BD78BB">
        <w:rPr>
          <w:sz w:val="22"/>
          <w:szCs w:val="22"/>
        </w:rPr>
        <w:t xml:space="preserve">the </w:t>
      </w:r>
      <w:r w:rsidR="00B56355">
        <w:rPr>
          <w:sz w:val="22"/>
          <w:szCs w:val="22"/>
        </w:rPr>
        <w:t xml:space="preserve">Commission’s </w:t>
      </w:r>
      <w:r w:rsidR="00BD78BB">
        <w:rPr>
          <w:sz w:val="22"/>
          <w:szCs w:val="22"/>
        </w:rPr>
        <w:t xml:space="preserve">standard application </w:t>
      </w:r>
      <w:r w:rsidR="005A4277">
        <w:rPr>
          <w:sz w:val="22"/>
          <w:szCs w:val="22"/>
        </w:rPr>
        <w:t xml:space="preserve">and renewal </w:t>
      </w:r>
      <w:r w:rsidR="00BD78BB">
        <w:rPr>
          <w:sz w:val="22"/>
          <w:szCs w:val="22"/>
        </w:rPr>
        <w:t>process</w:t>
      </w:r>
      <w:r>
        <w:rPr>
          <w:sz w:val="22"/>
          <w:szCs w:val="22"/>
        </w:rPr>
        <w:t>es</w:t>
      </w:r>
      <w:r w:rsidR="00405A7B">
        <w:rPr>
          <w:sz w:val="22"/>
          <w:szCs w:val="22"/>
        </w:rPr>
        <w:t xml:space="preserve"> in situations </w:t>
      </w:r>
      <w:r w:rsidR="00BD78BB">
        <w:rPr>
          <w:sz w:val="22"/>
          <w:szCs w:val="22"/>
        </w:rPr>
        <w:t>whe</w:t>
      </w:r>
      <w:r w:rsidR="005A4277">
        <w:rPr>
          <w:sz w:val="22"/>
          <w:szCs w:val="22"/>
        </w:rPr>
        <w:t xml:space="preserve">re </w:t>
      </w:r>
      <w:r w:rsidR="0050214C">
        <w:rPr>
          <w:sz w:val="22"/>
          <w:szCs w:val="22"/>
        </w:rPr>
        <w:t>the exposure limits have been drawn close to the level at which the transmitters at issue are capable of meeting</w:t>
      </w:r>
      <w:r w:rsidR="00B56355">
        <w:rPr>
          <w:sz w:val="22"/>
          <w:szCs w:val="22"/>
        </w:rPr>
        <w:t xml:space="preserve">.  </w:t>
      </w:r>
      <w:r w:rsidR="00225CAB">
        <w:rPr>
          <w:sz w:val="22"/>
          <w:szCs w:val="22"/>
        </w:rPr>
        <w:t>For broadcast sites</w:t>
      </w:r>
      <w:r w:rsidR="00BA1946">
        <w:rPr>
          <w:sz w:val="22"/>
          <w:szCs w:val="22"/>
        </w:rPr>
        <w:t>, application</w:t>
      </w:r>
      <w:r w:rsidR="00185E79">
        <w:rPr>
          <w:sz w:val="22"/>
          <w:szCs w:val="22"/>
        </w:rPr>
        <w:t xml:space="preserve"> form</w:t>
      </w:r>
      <w:r w:rsidR="00BA1946">
        <w:rPr>
          <w:sz w:val="22"/>
          <w:szCs w:val="22"/>
        </w:rPr>
        <w:t>s include worksheets that the applicant may use to determine compliance and support a certification of compliance without a requirement to submit the worksheet</w:t>
      </w:r>
      <w:r w:rsidR="000E420E">
        <w:rPr>
          <w:sz w:val="22"/>
          <w:szCs w:val="22"/>
        </w:rPr>
        <w:t xml:space="preserve"> itself</w:t>
      </w:r>
      <w:r w:rsidR="00BA1946">
        <w:rPr>
          <w:sz w:val="22"/>
          <w:szCs w:val="22"/>
        </w:rPr>
        <w:t>.  In cases where the worksheet cannot be used to show compliance</w:t>
      </w:r>
      <w:r w:rsidR="005F1AB3">
        <w:rPr>
          <w:sz w:val="22"/>
          <w:szCs w:val="22"/>
        </w:rPr>
        <w:t>,</w:t>
      </w:r>
      <w:r w:rsidR="00BA1946">
        <w:rPr>
          <w:sz w:val="22"/>
          <w:szCs w:val="22"/>
        </w:rPr>
        <w:t xml:space="preserve"> an exhibit showing compliance with the exposure limits is </w:t>
      </w:r>
      <w:r w:rsidR="00185E79">
        <w:rPr>
          <w:sz w:val="22"/>
          <w:szCs w:val="22"/>
        </w:rPr>
        <w:t xml:space="preserve">typically </w:t>
      </w:r>
      <w:r w:rsidR="00BA1946">
        <w:rPr>
          <w:sz w:val="22"/>
          <w:szCs w:val="22"/>
        </w:rPr>
        <w:t xml:space="preserve">required to be filed with the application.  Such exhibits do not have a standard format but </w:t>
      </w:r>
      <w:r w:rsidR="000E420E">
        <w:rPr>
          <w:sz w:val="22"/>
          <w:szCs w:val="22"/>
        </w:rPr>
        <w:t>previously-filed exhibits</w:t>
      </w:r>
      <w:r w:rsidR="00185E79">
        <w:rPr>
          <w:sz w:val="22"/>
          <w:szCs w:val="22"/>
        </w:rPr>
        <w:t xml:space="preserve"> </w:t>
      </w:r>
      <w:r w:rsidR="005F1AB3">
        <w:rPr>
          <w:sz w:val="22"/>
          <w:szCs w:val="22"/>
        </w:rPr>
        <w:t>can be</w:t>
      </w:r>
      <w:r w:rsidR="00185E79">
        <w:rPr>
          <w:sz w:val="22"/>
          <w:szCs w:val="22"/>
        </w:rPr>
        <w:t xml:space="preserve"> readily</w:t>
      </w:r>
      <w:r w:rsidR="005F1AB3">
        <w:rPr>
          <w:sz w:val="22"/>
          <w:szCs w:val="22"/>
        </w:rPr>
        <w:t xml:space="preserve"> accessed at</w:t>
      </w:r>
      <w:r w:rsidR="00BA1946">
        <w:rPr>
          <w:sz w:val="22"/>
          <w:szCs w:val="22"/>
        </w:rPr>
        <w:t xml:space="preserve"> the Commission’s website</w:t>
      </w:r>
      <w:r w:rsidR="000E420E">
        <w:rPr>
          <w:sz w:val="22"/>
          <w:szCs w:val="22"/>
        </w:rPr>
        <w:t xml:space="preserve"> (URLs listed above)</w:t>
      </w:r>
      <w:r w:rsidR="00BA1946">
        <w:rPr>
          <w:sz w:val="22"/>
          <w:szCs w:val="22"/>
        </w:rPr>
        <w:t>.</w:t>
      </w:r>
      <w:r w:rsidR="00852F90">
        <w:rPr>
          <w:sz w:val="22"/>
          <w:szCs w:val="22"/>
        </w:rPr>
        <w:t xml:space="preserve">   Similarly, </w:t>
      </w:r>
      <w:r w:rsidR="00852F90" w:rsidRPr="00852F90">
        <w:rPr>
          <w:sz w:val="22"/>
          <w:szCs w:val="22"/>
        </w:rPr>
        <w:t xml:space="preserve">applications for equipment authorization </w:t>
      </w:r>
      <w:r w:rsidR="00852F90">
        <w:rPr>
          <w:sz w:val="22"/>
          <w:szCs w:val="22"/>
        </w:rPr>
        <w:t>for various portable</w:t>
      </w:r>
      <w:r w:rsidR="005A4277">
        <w:rPr>
          <w:sz w:val="22"/>
          <w:szCs w:val="22"/>
        </w:rPr>
        <w:t xml:space="preserve"> and mobile</w:t>
      </w:r>
      <w:r w:rsidR="00852F90">
        <w:rPr>
          <w:sz w:val="22"/>
          <w:szCs w:val="22"/>
        </w:rPr>
        <w:t xml:space="preserve"> tra</w:t>
      </w:r>
      <w:r w:rsidR="005F1AB3">
        <w:rPr>
          <w:sz w:val="22"/>
          <w:szCs w:val="22"/>
        </w:rPr>
        <w:t xml:space="preserve">nsmitters </w:t>
      </w:r>
      <w:r w:rsidR="00852F90">
        <w:rPr>
          <w:sz w:val="22"/>
          <w:szCs w:val="22"/>
        </w:rPr>
        <w:t>require submission o</w:t>
      </w:r>
      <w:r w:rsidR="005A4277">
        <w:rPr>
          <w:sz w:val="22"/>
          <w:szCs w:val="22"/>
        </w:rPr>
        <w:t>f RF evaluations</w:t>
      </w:r>
      <w:r w:rsidR="00DA5A49">
        <w:rPr>
          <w:sz w:val="22"/>
          <w:szCs w:val="22"/>
        </w:rPr>
        <w:t xml:space="preserve"> that</w:t>
      </w:r>
      <w:r w:rsidR="00852F90">
        <w:rPr>
          <w:sz w:val="22"/>
          <w:szCs w:val="22"/>
        </w:rPr>
        <w:t xml:space="preserve"> show compliance with the exposure limits.</w:t>
      </w:r>
      <w:r w:rsidR="00C1673B">
        <w:rPr>
          <w:sz w:val="22"/>
          <w:szCs w:val="22"/>
        </w:rPr>
        <w:t xml:space="preserve">  </w:t>
      </w:r>
    </w:p>
    <w:p w14:paraId="77EF256C" w14:textId="77777777" w:rsidR="00526E2B" w:rsidRDefault="00526E2B" w:rsidP="00F87CE8">
      <w:pPr>
        <w:rPr>
          <w:sz w:val="22"/>
          <w:szCs w:val="22"/>
        </w:rPr>
      </w:pPr>
    </w:p>
    <w:p w14:paraId="2C7BA83B" w14:textId="66F20457" w:rsidR="00B84422" w:rsidRDefault="00526E2B" w:rsidP="00F87CE8">
      <w:pPr>
        <w:rPr>
          <w:sz w:val="22"/>
          <w:szCs w:val="22"/>
        </w:rPr>
      </w:pPr>
      <w:r>
        <w:rPr>
          <w:sz w:val="22"/>
          <w:szCs w:val="22"/>
        </w:rPr>
        <w:t>Note that t</w:t>
      </w:r>
      <w:r w:rsidR="00C1673B">
        <w:rPr>
          <w:sz w:val="22"/>
          <w:szCs w:val="22"/>
        </w:rPr>
        <w:t xml:space="preserve">he terms </w:t>
      </w:r>
      <w:r w:rsidR="00482D74">
        <w:rPr>
          <w:sz w:val="22"/>
          <w:szCs w:val="22"/>
        </w:rPr>
        <w:t>“</w:t>
      </w:r>
      <w:r w:rsidR="00C1673B">
        <w:rPr>
          <w:sz w:val="22"/>
          <w:szCs w:val="22"/>
        </w:rPr>
        <w:t>portable,</w:t>
      </w:r>
      <w:r w:rsidR="00482D74">
        <w:rPr>
          <w:sz w:val="22"/>
          <w:szCs w:val="22"/>
        </w:rPr>
        <w:t>”</w:t>
      </w:r>
      <w:r w:rsidR="00C1673B">
        <w:rPr>
          <w:sz w:val="22"/>
          <w:szCs w:val="22"/>
        </w:rPr>
        <w:t xml:space="preserve"> </w:t>
      </w:r>
      <w:r w:rsidR="00482D74">
        <w:rPr>
          <w:sz w:val="22"/>
          <w:szCs w:val="22"/>
        </w:rPr>
        <w:t>“</w:t>
      </w:r>
      <w:r w:rsidR="00C1673B">
        <w:rPr>
          <w:sz w:val="22"/>
          <w:szCs w:val="22"/>
        </w:rPr>
        <w:t>mobile,</w:t>
      </w:r>
      <w:r w:rsidR="00482D74">
        <w:rPr>
          <w:sz w:val="22"/>
          <w:szCs w:val="22"/>
        </w:rPr>
        <w:t>”</w:t>
      </w:r>
      <w:r w:rsidR="00C1673B">
        <w:rPr>
          <w:sz w:val="22"/>
          <w:szCs w:val="22"/>
        </w:rPr>
        <w:t xml:space="preserve"> and </w:t>
      </w:r>
      <w:r w:rsidR="00482D74">
        <w:rPr>
          <w:sz w:val="22"/>
          <w:szCs w:val="22"/>
        </w:rPr>
        <w:t>“</w:t>
      </w:r>
      <w:r w:rsidR="00C1673B">
        <w:rPr>
          <w:sz w:val="22"/>
          <w:szCs w:val="22"/>
        </w:rPr>
        <w:t>fixed</w:t>
      </w:r>
      <w:r w:rsidR="00482D74">
        <w:rPr>
          <w:sz w:val="22"/>
          <w:szCs w:val="22"/>
        </w:rPr>
        <w:t>”</w:t>
      </w:r>
      <w:r w:rsidR="00C1673B">
        <w:rPr>
          <w:sz w:val="22"/>
          <w:szCs w:val="22"/>
        </w:rPr>
        <w:t xml:space="preserve"> in regard to transmitters have particular meanings with respect to implementation of the RF exposure limits</w:t>
      </w:r>
      <w:r w:rsidR="00001557">
        <w:rPr>
          <w:sz w:val="22"/>
          <w:szCs w:val="22"/>
        </w:rPr>
        <w:t xml:space="preserve"> </w:t>
      </w:r>
      <w:r w:rsidR="00185E79">
        <w:rPr>
          <w:sz w:val="22"/>
          <w:szCs w:val="22"/>
        </w:rPr>
        <w:t>(</w:t>
      </w:r>
      <w:r w:rsidR="00001557">
        <w:rPr>
          <w:sz w:val="22"/>
          <w:szCs w:val="22"/>
        </w:rPr>
        <w:t>see sections 2.1091 and 2.1093</w:t>
      </w:r>
      <w:r w:rsidR="002510CA">
        <w:rPr>
          <w:sz w:val="22"/>
          <w:szCs w:val="22"/>
        </w:rPr>
        <w:t xml:space="preserve"> of the Commission’s rules, 47 C.F.R. §§ 2.1091 and 2.1093</w:t>
      </w:r>
      <w:r w:rsidR="00185E79">
        <w:rPr>
          <w:sz w:val="22"/>
          <w:szCs w:val="22"/>
        </w:rPr>
        <w:t>)</w:t>
      </w:r>
      <w:r w:rsidR="00C1673B">
        <w:rPr>
          <w:sz w:val="22"/>
          <w:szCs w:val="22"/>
        </w:rPr>
        <w:t xml:space="preserve">.  Devices which by design are intended to be used with the antenna within 20 centimeters </w:t>
      </w:r>
      <w:r w:rsidR="00185E79">
        <w:rPr>
          <w:sz w:val="22"/>
          <w:szCs w:val="22"/>
        </w:rPr>
        <w:t xml:space="preserve">(approximately </w:t>
      </w:r>
      <w:r w:rsidR="00C1673B">
        <w:rPr>
          <w:sz w:val="22"/>
          <w:szCs w:val="22"/>
        </w:rPr>
        <w:t>8 inches</w:t>
      </w:r>
      <w:r w:rsidR="00185E79">
        <w:rPr>
          <w:sz w:val="22"/>
          <w:szCs w:val="22"/>
        </w:rPr>
        <w:t>)</w:t>
      </w:r>
      <w:r w:rsidR="00C1673B">
        <w:rPr>
          <w:sz w:val="22"/>
          <w:szCs w:val="22"/>
        </w:rPr>
        <w:t xml:space="preserve"> of the body</w:t>
      </w:r>
      <w:r w:rsidR="00001557">
        <w:rPr>
          <w:sz w:val="22"/>
          <w:szCs w:val="22"/>
        </w:rPr>
        <w:t xml:space="preserve"> are classified as portable</w:t>
      </w:r>
      <w:r w:rsidR="00482D74">
        <w:rPr>
          <w:sz w:val="22"/>
          <w:szCs w:val="22"/>
        </w:rPr>
        <w:t>,</w:t>
      </w:r>
      <w:r w:rsidR="00001557">
        <w:rPr>
          <w:sz w:val="22"/>
          <w:szCs w:val="22"/>
        </w:rPr>
        <w:t xml:space="preserve"> and </w:t>
      </w:r>
      <w:r w:rsidR="00482D74">
        <w:rPr>
          <w:sz w:val="22"/>
          <w:szCs w:val="22"/>
        </w:rPr>
        <w:t xml:space="preserve">when operated </w:t>
      </w:r>
      <w:r w:rsidR="00001557">
        <w:rPr>
          <w:sz w:val="22"/>
          <w:szCs w:val="22"/>
        </w:rPr>
        <w:t xml:space="preserve">above </w:t>
      </w:r>
      <w:r w:rsidR="00482D74">
        <w:rPr>
          <w:sz w:val="22"/>
          <w:szCs w:val="22"/>
        </w:rPr>
        <w:t xml:space="preserve">a certain </w:t>
      </w:r>
      <w:r w:rsidR="00001557">
        <w:rPr>
          <w:sz w:val="22"/>
          <w:szCs w:val="22"/>
        </w:rPr>
        <w:t>power threshold</w:t>
      </w:r>
      <w:r w:rsidR="00482D74">
        <w:rPr>
          <w:sz w:val="22"/>
          <w:szCs w:val="22"/>
        </w:rPr>
        <w:t>,</w:t>
      </w:r>
      <w:r w:rsidR="00001557">
        <w:rPr>
          <w:sz w:val="22"/>
          <w:szCs w:val="22"/>
        </w:rPr>
        <w:t xml:space="preserve"> are required to be tested for compliance with </w:t>
      </w:r>
      <w:r w:rsidR="000E420E">
        <w:rPr>
          <w:sz w:val="22"/>
          <w:szCs w:val="22"/>
        </w:rPr>
        <w:t xml:space="preserve">applicable </w:t>
      </w:r>
      <w:r w:rsidR="00001557">
        <w:rPr>
          <w:sz w:val="22"/>
          <w:szCs w:val="22"/>
        </w:rPr>
        <w:t xml:space="preserve">specific absorption rate (SAR) limits under specified conditions.  </w:t>
      </w:r>
      <w:r w:rsidR="0010355B">
        <w:rPr>
          <w:sz w:val="22"/>
          <w:szCs w:val="22"/>
        </w:rPr>
        <w:t xml:space="preserve">Testing considerations and </w:t>
      </w:r>
      <w:r w:rsidR="00571DB5">
        <w:rPr>
          <w:sz w:val="22"/>
          <w:szCs w:val="22"/>
        </w:rPr>
        <w:t xml:space="preserve">test </w:t>
      </w:r>
      <w:r w:rsidR="0010355B">
        <w:rPr>
          <w:sz w:val="22"/>
          <w:szCs w:val="22"/>
        </w:rPr>
        <w:t xml:space="preserve">reduction procedures can be found in KDB 447498 and other published RF exposure KDB procedures, which can be found via </w:t>
      </w:r>
      <w:r w:rsidR="0010355B" w:rsidRPr="0010355B">
        <w:rPr>
          <w:sz w:val="22"/>
          <w:szCs w:val="22"/>
        </w:rPr>
        <w:t>the links above for the KDB</w:t>
      </w:r>
      <w:r w:rsidR="00AD32F4">
        <w:rPr>
          <w:sz w:val="22"/>
          <w:szCs w:val="22"/>
        </w:rPr>
        <w:t xml:space="preserve"> system</w:t>
      </w:r>
      <w:r w:rsidR="0010355B">
        <w:rPr>
          <w:sz w:val="22"/>
          <w:szCs w:val="22"/>
        </w:rPr>
        <w:t xml:space="preserve">.  </w:t>
      </w:r>
      <w:r w:rsidR="00001557">
        <w:rPr>
          <w:sz w:val="22"/>
          <w:szCs w:val="22"/>
        </w:rPr>
        <w:t>All other devices and transmitters that are normally operated with the antenna or radiating structure more than 20 c</w:t>
      </w:r>
      <w:r w:rsidR="00185E79">
        <w:rPr>
          <w:sz w:val="22"/>
          <w:szCs w:val="22"/>
        </w:rPr>
        <w:t>enti</w:t>
      </w:r>
      <w:r w:rsidR="00001557">
        <w:rPr>
          <w:sz w:val="22"/>
          <w:szCs w:val="22"/>
        </w:rPr>
        <w:t>m</w:t>
      </w:r>
      <w:r w:rsidR="00185E79">
        <w:rPr>
          <w:sz w:val="22"/>
          <w:szCs w:val="22"/>
        </w:rPr>
        <w:t>eters</w:t>
      </w:r>
      <w:r w:rsidR="00001557">
        <w:rPr>
          <w:sz w:val="22"/>
          <w:szCs w:val="22"/>
        </w:rPr>
        <w:t xml:space="preserve"> from the body are classified as </w:t>
      </w:r>
      <w:r w:rsidR="00AD32F4">
        <w:rPr>
          <w:sz w:val="22"/>
          <w:szCs w:val="22"/>
        </w:rPr>
        <w:t xml:space="preserve">either </w:t>
      </w:r>
      <w:r w:rsidR="00001557">
        <w:rPr>
          <w:sz w:val="22"/>
          <w:szCs w:val="22"/>
        </w:rPr>
        <w:t xml:space="preserve">mobile or fixed </w:t>
      </w:r>
      <w:r w:rsidR="00185E79">
        <w:rPr>
          <w:sz w:val="22"/>
          <w:szCs w:val="22"/>
        </w:rPr>
        <w:t xml:space="preserve">(depending on whether they are </w:t>
      </w:r>
      <w:r w:rsidR="00AE2BFE">
        <w:rPr>
          <w:sz w:val="22"/>
          <w:szCs w:val="22"/>
        </w:rPr>
        <w:t xml:space="preserve">rendered </w:t>
      </w:r>
      <w:r w:rsidR="00185E79">
        <w:rPr>
          <w:sz w:val="22"/>
          <w:szCs w:val="22"/>
        </w:rPr>
        <w:t xml:space="preserve">physically </w:t>
      </w:r>
      <w:r w:rsidR="00AE2BFE">
        <w:rPr>
          <w:sz w:val="22"/>
          <w:szCs w:val="22"/>
        </w:rPr>
        <w:t xml:space="preserve">immobile </w:t>
      </w:r>
      <w:r w:rsidR="00185E79">
        <w:rPr>
          <w:sz w:val="22"/>
          <w:szCs w:val="22"/>
        </w:rPr>
        <w:t xml:space="preserve">when installed) </w:t>
      </w:r>
      <w:r w:rsidR="00001557">
        <w:rPr>
          <w:sz w:val="22"/>
          <w:szCs w:val="22"/>
        </w:rPr>
        <w:t xml:space="preserve">and for these transmitters </w:t>
      </w:r>
      <w:r w:rsidR="00AE2BFE">
        <w:rPr>
          <w:sz w:val="22"/>
          <w:szCs w:val="22"/>
        </w:rPr>
        <w:t xml:space="preserve">compliance is generally measured against </w:t>
      </w:r>
      <w:r w:rsidR="00001557">
        <w:rPr>
          <w:sz w:val="22"/>
          <w:szCs w:val="22"/>
        </w:rPr>
        <w:t xml:space="preserve">the </w:t>
      </w:r>
      <w:r w:rsidR="00360EC2">
        <w:rPr>
          <w:sz w:val="22"/>
          <w:szCs w:val="22"/>
        </w:rPr>
        <w:t>maximum permissible exposure (</w:t>
      </w:r>
      <w:r w:rsidR="00001557">
        <w:rPr>
          <w:sz w:val="22"/>
          <w:szCs w:val="22"/>
        </w:rPr>
        <w:t>MPE</w:t>
      </w:r>
      <w:r w:rsidR="00360EC2">
        <w:rPr>
          <w:sz w:val="22"/>
          <w:szCs w:val="22"/>
        </w:rPr>
        <w:t>) field strength or power density</w:t>
      </w:r>
      <w:r w:rsidR="00001557">
        <w:rPr>
          <w:sz w:val="22"/>
          <w:szCs w:val="22"/>
        </w:rPr>
        <w:t xml:space="preserve"> limits </w:t>
      </w:r>
      <w:r w:rsidR="00360EC2">
        <w:rPr>
          <w:sz w:val="22"/>
          <w:szCs w:val="22"/>
        </w:rPr>
        <w:t xml:space="preserve">in section 1.1310 </w:t>
      </w:r>
      <w:r w:rsidR="002510CA">
        <w:rPr>
          <w:sz w:val="22"/>
          <w:szCs w:val="22"/>
        </w:rPr>
        <w:t>of the Commission’s rules, 47 C.F.R. § 1.1310</w:t>
      </w:r>
      <w:r w:rsidR="00001557">
        <w:rPr>
          <w:sz w:val="22"/>
          <w:szCs w:val="22"/>
        </w:rPr>
        <w:t xml:space="preserve">.  </w:t>
      </w:r>
    </w:p>
    <w:p w14:paraId="1EF1ACFD" w14:textId="77777777" w:rsidR="00B84422" w:rsidRDefault="00B84422" w:rsidP="00F87CE8">
      <w:pPr>
        <w:rPr>
          <w:sz w:val="22"/>
          <w:szCs w:val="22"/>
        </w:rPr>
      </w:pPr>
    </w:p>
    <w:p w14:paraId="38861950" w14:textId="347DEC4B" w:rsidR="00195007" w:rsidRDefault="00CE477C" w:rsidP="00F87CE8">
      <w:pPr>
        <w:rPr>
          <w:sz w:val="22"/>
          <w:szCs w:val="22"/>
        </w:rPr>
      </w:pPr>
      <w:r>
        <w:rPr>
          <w:sz w:val="22"/>
          <w:szCs w:val="22"/>
        </w:rPr>
        <w:t>Also</w:t>
      </w:r>
      <w:r w:rsidR="00B84422">
        <w:rPr>
          <w:sz w:val="22"/>
          <w:szCs w:val="22"/>
        </w:rPr>
        <w:t xml:space="preserve">, members of the general public </w:t>
      </w:r>
      <w:r w:rsidR="00407216">
        <w:rPr>
          <w:sz w:val="22"/>
          <w:szCs w:val="22"/>
        </w:rPr>
        <w:t>and small entities that operate or provide space for transmitters bu</w:t>
      </w:r>
      <w:r w:rsidR="00DA5A49">
        <w:rPr>
          <w:sz w:val="22"/>
          <w:szCs w:val="22"/>
        </w:rPr>
        <w:t>t are not required to submit</w:t>
      </w:r>
      <w:r w:rsidR="00407216">
        <w:rPr>
          <w:sz w:val="22"/>
          <w:szCs w:val="22"/>
        </w:rPr>
        <w:t xml:space="preserve"> application</w:t>
      </w:r>
      <w:r w:rsidR="00DA5A49">
        <w:rPr>
          <w:sz w:val="22"/>
          <w:szCs w:val="22"/>
        </w:rPr>
        <w:t xml:space="preserve">s to the Commission have a role to play in ensuring </w:t>
      </w:r>
      <w:r w:rsidR="00B84422">
        <w:rPr>
          <w:sz w:val="22"/>
          <w:szCs w:val="22"/>
        </w:rPr>
        <w:t>compliance with the exposure limits</w:t>
      </w:r>
      <w:r w:rsidR="00407216">
        <w:rPr>
          <w:sz w:val="22"/>
          <w:szCs w:val="22"/>
        </w:rPr>
        <w:t xml:space="preserve">.  These entities </w:t>
      </w:r>
      <w:r w:rsidR="00633F91">
        <w:rPr>
          <w:sz w:val="22"/>
          <w:szCs w:val="22"/>
        </w:rPr>
        <w:t xml:space="preserve">should </w:t>
      </w:r>
      <w:r w:rsidR="00B84422">
        <w:rPr>
          <w:sz w:val="22"/>
          <w:szCs w:val="22"/>
        </w:rPr>
        <w:t>be inform</w:t>
      </w:r>
      <w:r w:rsidR="00407216">
        <w:rPr>
          <w:sz w:val="22"/>
          <w:szCs w:val="22"/>
        </w:rPr>
        <w:t xml:space="preserve">ed </w:t>
      </w:r>
      <w:r w:rsidR="00633F91">
        <w:rPr>
          <w:sz w:val="22"/>
          <w:szCs w:val="22"/>
        </w:rPr>
        <w:t xml:space="preserve">about </w:t>
      </w:r>
      <w:r w:rsidR="00D17983">
        <w:rPr>
          <w:sz w:val="22"/>
          <w:szCs w:val="22"/>
        </w:rPr>
        <w:t>practice</w:t>
      </w:r>
      <w:r w:rsidR="00407216">
        <w:rPr>
          <w:sz w:val="22"/>
          <w:szCs w:val="22"/>
        </w:rPr>
        <w:t>s that may result in</w:t>
      </w:r>
      <w:r w:rsidR="00B84422">
        <w:rPr>
          <w:sz w:val="22"/>
          <w:szCs w:val="22"/>
        </w:rPr>
        <w:t xml:space="preserve"> exposure over the limits.  </w:t>
      </w:r>
      <w:r w:rsidR="00C13640">
        <w:rPr>
          <w:sz w:val="22"/>
          <w:szCs w:val="22"/>
        </w:rPr>
        <w:t>For example, a</w:t>
      </w:r>
      <w:r w:rsidR="00AD32F4">
        <w:rPr>
          <w:sz w:val="22"/>
          <w:szCs w:val="22"/>
        </w:rPr>
        <w:t xml:space="preserve"> Wi</w:t>
      </w:r>
      <w:r w:rsidR="005212C0">
        <w:rPr>
          <w:sz w:val="22"/>
          <w:szCs w:val="22"/>
        </w:rPr>
        <w:t>-</w:t>
      </w:r>
      <w:r w:rsidR="00AD32F4">
        <w:rPr>
          <w:sz w:val="22"/>
          <w:szCs w:val="22"/>
        </w:rPr>
        <w:t>Fi</w:t>
      </w:r>
      <w:r w:rsidR="00C13640">
        <w:rPr>
          <w:sz w:val="22"/>
          <w:szCs w:val="22"/>
        </w:rPr>
        <w:t xml:space="preserve"> access point </w:t>
      </w:r>
      <w:r w:rsidR="00AD32F4">
        <w:rPr>
          <w:sz w:val="22"/>
          <w:szCs w:val="22"/>
        </w:rPr>
        <w:t xml:space="preserve">or utility “Smart Meter” </w:t>
      </w:r>
      <w:r w:rsidR="00C13640">
        <w:rPr>
          <w:sz w:val="22"/>
          <w:szCs w:val="22"/>
        </w:rPr>
        <w:t xml:space="preserve">may be authorized for use only at </w:t>
      </w:r>
      <w:r w:rsidR="00766F95">
        <w:rPr>
          <w:sz w:val="22"/>
          <w:szCs w:val="22"/>
        </w:rPr>
        <w:t xml:space="preserve">distances </w:t>
      </w:r>
      <w:r w:rsidR="00C13640">
        <w:rPr>
          <w:sz w:val="22"/>
          <w:szCs w:val="22"/>
        </w:rPr>
        <w:t>greater than 20 centimeters (</w:t>
      </w:r>
      <w:r w:rsidR="00185E79">
        <w:rPr>
          <w:sz w:val="22"/>
          <w:szCs w:val="22"/>
        </w:rPr>
        <w:t xml:space="preserve">approximately </w:t>
      </w:r>
      <w:r w:rsidR="00C13640">
        <w:rPr>
          <w:sz w:val="22"/>
          <w:szCs w:val="22"/>
        </w:rPr>
        <w:t xml:space="preserve">8 inches) from all persons and this requirement needs to be </w:t>
      </w:r>
      <w:r w:rsidR="009037B4">
        <w:rPr>
          <w:sz w:val="22"/>
          <w:szCs w:val="22"/>
        </w:rPr>
        <w:t xml:space="preserve">effectively </w:t>
      </w:r>
      <w:r w:rsidR="00C13640">
        <w:rPr>
          <w:sz w:val="22"/>
          <w:szCs w:val="22"/>
        </w:rPr>
        <w:t xml:space="preserve">communicated to </w:t>
      </w:r>
      <w:r w:rsidR="009037B4">
        <w:rPr>
          <w:sz w:val="22"/>
          <w:szCs w:val="22"/>
        </w:rPr>
        <w:t xml:space="preserve">both </w:t>
      </w:r>
      <w:r w:rsidR="00C13640">
        <w:rPr>
          <w:sz w:val="22"/>
          <w:szCs w:val="22"/>
        </w:rPr>
        <w:t xml:space="preserve">the </w:t>
      </w:r>
      <w:r w:rsidR="00407216">
        <w:rPr>
          <w:sz w:val="22"/>
          <w:szCs w:val="22"/>
        </w:rPr>
        <w:t xml:space="preserve">installer and </w:t>
      </w:r>
      <w:r w:rsidR="00C13640">
        <w:rPr>
          <w:sz w:val="22"/>
          <w:szCs w:val="22"/>
        </w:rPr>
        <w:t>consumer.  Similarly, owners of buildings a</w:t>
      </w:r>
      <w:r w:rsidR="008F7471">
        <w:rPr>
          <w:sz w:val="22"/>
          <w:szCs w:val="22"/>
        </w:rPr>
        <w:t>nd towers that host transmitting antennas</w:t>
      </w:r>
      <w:r w:rsidR="00DA5A49">
        <w:rPr>
          <w:sz w:val="22"/>
          <w:szCs w:val="22"/>
        </w:rPr>
        <w:t xml:space="preserve"> are encouraged </w:t>
      </w:r>
      <w:r w:rsidR="00633F91">
        <w:rPr>
          <w:sz w:val="22"/>
          <w:szCs w:val="22"/>
        </w:rPr>
        <w:t>to cooperate with</w:t>
      </w:r>
      <w:r w:rsidR="00C13640">
        <w:rPr>
          <w:sz w:val="22"/>
          <w:szCs w:val="22"/>
        </w:rPr>
        <w:t xml:space="preserve"> the efforts o</w:t>
      </w:r>
      <w:r w:rsidR="00DA5A49">
        <w:rPr>
          <w:sz w:val="22"/>
          <w:szCs w:val="22"/>
        </w:rPr>
        <w:t>f licensees to limit access to</w:t>
      </w:r>
      <w:r w:rsidR="00C13640">
        <w:rPr>
          <w:sz w:val="22"/>
          <w:szCs w:val="22"/>
        </w:rPr>
        <w:t xml:space="preserve"> areas exceeding </w:t>
      </w:r>
      <w:r w:rsidR="009037B4">
        <w:rPr>
          <w:sz w:val="22"/>
          <w:szCs w:val="22"/>
        </w:rPr>
        <w:t xml:space="preserve">the Commission’s </w:t>
      </w:r>
      <w:r w:rsidR="00C13640">
        <w:rPr>
          <w:sz w:val="22"/>
          <w:szCs w:val="22"/>
        </w:rPr>
        <w:t xml:space="preserve">exposure limits.  </w:t>
      </w:r>
      <w:r w:rsidR="00B84422">
        <w:rPr>
          <w:sz w:val="22"/>
          <w:szCs w:val="22"/>
        </w:rPr>
        <w:t xml:space="preserve"> </w:t>
      </w:r>
      <w:r w:rsidR="00852F90">
        <w:rPr>
          <w:sz w:val="22"/>
          <w:szCs w:val="22"/>
        </w:rPr>
        <w:t xml:space="preserve"> </w:t>
      </w:r>
      <w:r w:rsidR="00BA1946">
        <w:rPr>
          <w:sz w:val="22"/>
          <w:szCs w:val="22"/>
        </w:rPr>
        <w:t xml:space="preserve">    </w:t>
      </w:r>
      <w:r w:rsidR="00BD78BB">
        <w:rPr>
          <w:sz w:val="22"/>
          <w:szCs w:val="22"/>
        </w:rPr>
        <w:t xml:space="preserve"> </w:t>
      </w:r>
      <w:r w:rsidR="00081A46">
        <w:rPr>
          <w:sz w:val="22"/>
          <w:szCs w:val="22"/>
        </w:rPr>
        <w:t xml:space="preserve"> </w:t>
      </w:r>
      <w:r w:rsidR="005F08F2">
        <w:rPr>
          <w:sz w:val="22"/>
          <w:szCs w:val="22"/>
        </w:rPr>
        <w:t xml:space="preserve"> </w:t>
      </w:r>
    </w:p>
    <w:p w14:paraId="0B85DCC5" w14:textId="77777777" w:rsidR="00EB311B" w:rsidRPr="005E6135" w:rsidRDefault="00EB311B">
      <w:pPr>
        <w:rPr>
          <w:sz w:val="22"/>
          <w:szCs w:val="22"/>
        </w:rPr>
      </w:pPr>
    </w:p>
    <w:p w14:paraId="297328B7" w14:textId="27C308F5" w:rsidR="00EB311B" w:rsidRPr="005E6135" w:rsidRDefault="00EB311B">
      <w:pPr>
        <w:rPr>
          <w:sz w:val="22"/>
          <w:szCs w:val="22"/>
        </w:rPr>
      </w:pPr>
      <w:r w:rsidRPr="005E6135">
        <w:rPr>
          <w:sz w:val="22"/>
          <w:szCs w:val="22"/>
        </w:rPr>
        <w:t>A copy of th</w:t>
      </w:r>
      <w:r w:rsidR="00F87CE8" w:rsidRPr="005E6135">
        <w:rPr>
          <w:sz w:val="22"/>
          <w:szCs w:val="22"/>
        </w:rPr>
        <w:t xml:space="preserve">e </w:t>
      </w:r>
      <w:r w:rsidR="00D15346">
        <w:rPr>
          <w:i/>
          <w:sz w:val="22"/>
          <w:szCs w:val="22"/>
        </w:rPr>
        <w:t>Order</w:t>
      </w:r>
      <w:r w:rsidR="00F87CE8" w:rsidRPr="005E6135">
        <w:rPr>
          <w:sz w:val="22"/>
          <w:szCs w:val="22"/>
        </w:rPr>
        <w:t xml:space="preserve"> </w:t>
      </w:r>
      <w:r w:rsidRPr="005E6135">
        <w:rPr>
          <w:sz w:val="22"/>
          <w:szCs w:val="22"/>
        </w:rPr>
        <w:t xml:space="preserve">is available at: </w:t>
      </w:r>
      <w:hyperlink r:id="rId11" w:history="1">
        <w:r w:rsidR="00225CAB" w:rsidRPr="0011552A">
          <w:rPr>
            <w:rStyle w:val="Hyperlink"/>
            <w:sz w:val="22"/>
            <w:szCs w:val="22"/>
          </w:rPr>
          <w:t>http://apps.fcc.gov/ecfs/document/view?id=7022136644</w:t>
        </w:r>
      </w:hyperlink>
      <w:r w:rsidR="00342193">
        <w:rPr>
          <w:sz w:val="22"/>
          <w:szCs w:val="22"/>
        </w:rPr>
        <w:t>.</w:t>
      </w:r>
    </w:p>
    <w:p w14:paraId="41EDC255" w14:textId="77777777" w:rsidR="003346A3" w:rsidRPr="005E6135" w:rsidRDefault="003346A3">
      <w:pPr>
        <w:rPr>
          <w:sz w:val="22"/>
          <w:szCs w:val="22"/>
        </w:rPr>
      </w:pPr>
    </w:p>
    <w:p w14:paraId="59450627" w14:textId="77777777" w:rsidR="00666E21" w:rsidRPr="00666E21" w:rsidRDefault="002D6086">
      <w:pPr>
        <w:rPr>
          <w:b/>
          <w:sz w:val="22"/>
          <w:szCs w:val="22"/>
          <w:u w:val="single"/>
        </w:rPr>
      </w:pPr>
      <w:r>
        <w:rPr>
          <w:b/>
          <w:sz w:val="22"/>
          <w:szCs w:val="22"/>
          <w:u w:val="single"/>
        </w:rPr>
        <w:t xml:space="preserve">2.  </w:t>
      </w:r>
      <w:r w:rsidR="009E229D">
        <w:rPr>
          <w:b/>
          <w:sz w:val="22"/>
          <w:szCs w:val="22"/>
          <w:u w:val="single"/>
        </w:rPr>
        <w:t xml:space="preserve">First </w:t>
      </w:r>
      <w:r>
        <w:rPr>
          <w:b/>
          <w:sz w:val="22"/>
          <w:szCs w:val="22"/>
          <w:u w:val="single"/>
        </w:rPr>
        <w:t xml:space="preserve">Report and Order </w:t>
      </w:r>
      <w:r w:rsidR="00666E21">
        <w:rPr>
          <w:b/>
          <w:sz w:val="22"/>
          <w:szCs w:val="22"/>
          <w:u w:val="single"/>
        </w:rPr>
        <w:t>General Information</w:t>
      </w:r>
    </w:p>
    <w:p w14:paraId="4809E6C0" w14:textId="77777777" w:rsidR="002D6086" w:rsidRDefault="002D6086">
      <w:pPr>
        <w:rPr>
          <w:sz w:val="22"/>
          <w:szCs w:val="22"/>
        </w:rPr>
      </w:pPr>
    </w:p>
    <w:p w14:paraId="634AA78F" w14:textId="420B02D3" w:rsidR="00223C5B" w:rsidRDefault="002D6086">
      <w:pPr>
        <w:rPr>
          <w:sz w:val="22"/>
          <w:szCs w:val="22"/>
        </w:rPr>
      </w:pPr>
      <w:r>
        <w:rPr>
          <w:sz w:val="22"/>
          <w:szCs w:val="22"/>
        </w:rPr>
        <w:t xml:space="preserve">The </w:t>
      </w:r>
      <w:r w:rsidR="00D15346">
        <w:rPr>
          <w:i/>
          <w:sz w:val="22"/>
          <w:szCs w:val="22"/>
        </w:rPr>
        <w:t>Order</w:t>
      </w:r>
      <w:r>
        <w:rPr>
          <w:sz w:val="22"/>
          <w:szCs w:val="22"/>
        </w:rPr>
        <w:t xml:space="preserve"> includes two major sections: (1) Evaluation of RF Exposure and (2) Mitigation</w:t>
      </w:r>
      <w:r w:rsidR="009E229D">
        <w:rPr>
          <w:sz w:val="22"/>
          <w:szCs w:val="22"/>
        </w:rPr>
        <w:t xml:space="preserve"> of</w:t>
      </w:r>
      <w:r w:rsidR="00CA596F">
        <w:rPr>
          <w:sz w:val="22"/>
          <w:szCs w:val="22"/>
        </w:rPr>
        <w:t xml:space="preserve"> potential</w:t>
      </w:r>
      <w:r w:rsidR="009E229D">
        <w:rPr>
          <w:sz w:val="22"/>
          <w:szCs w:val="22"/>
        </w:rPr>
        <w:t xml:space="preserve"> RF exposure</w:t>
      </w:r>
      <w:r w:rsidR="00CA596F">
        <w:rPr>
          <w:sz w:val="22"/>
          <w:szCs w:val="22"/>
        </w:rPr>
        <w:t xml:space="preserve"> in excess of FCC limits</w:t>
      </w:r>
      <w:r>
        <w:rPr>
          <w:sz w:val="22"/>
          <w:szCs w:val="22"/>
        </w:rPr>
        <w:t xml:space="preserve">.  In this context, </w:t>
      </w:r>
      <w:r w:rsidR="00B44F87">
        <w:rPr>
          <w:sz w:val="22"/>
          <w:szCs w:val="22"/>
        </w:rPr>
        <w:t>“</w:t>
      </w:r>
      <w:r>
        <w:rPr>
          <w:sz w:val="22"/>
          <w:szCs w:val="22"/>
        </w:rPr>
        <w:t>evaluation</w:t>
      </w:r>
      <w:r w:rsidR="00B44F87">
        <w:rPr>
          <w:sz w:val="22"/>
          <w:szCs w:val="22"/>
        </w:rPr>
        <w:t>”</w:t>
      </w:r>
      <w:r>
        <w:rPr>
          <w:sz w:val="22"/>
          <w:szCs w:val="22"/>
        </w:rPr>
        <w:t xml:space="preserve"> </w:t>
      </w:r>
      <w:r w:rsidR="008352F6">
        <w:rPr>
          <w:sz w:val="22"/>
          <w:szCs w:val="22"/>
        </w:rPr>
        <w:t>refers to the determination of potential exposure levels by calculation or measurement</w:t>
      </w:r>
      <w:r w:rsidR="00B44F87">
        <w:rPr>
          <w:sz w:val="22"/>
          <w:szCs w:val="22"/>
        </w:rPr>
        <w:t>,</w:t>
      </w:r>
      <w:r w:rsidR="008352F6">
        <w:rPr>
          <w:sz w:val="22"/>
          <w:szCs w:val="22"/>
        </w:rPr>
        <w:t xml:space="preserve"> and </w:t>
      </w:r>
      <w:r w:rsidR="00B44F87">
        <w:rPr>
          <w:sz w:val="22"/>
          <w:szCs w:val="22"/>
        </w:rPr>
        <w:t>“</w:t>
      </w:r>
      <w:r w:rsidR="008352F6">
        <w:rPr>
          <w:sz w:val="22"/>
          <w:szCs w:val="22"/>
        </w:rPr>
        <w:t>mitigation</w:t>
      </w:r>
      <w:r w:rsidR="00B44F87">
        <w:rPr>
          <w:sz w:val="22"/>
          <w:szCs w:val="22"/>
        </w:rPr>
        <w:t>”</w:t>
      </w:r>
      <w:r w:rsidR="008352F6">
        <w:rPr>
          <w:sz w:val="22"/>
          <w:szCs w:val="22"/>
        </w:rPr>
        <w:t xml:space="preserve"> involves actions that are necessary to ensure compliance with the </w:t>
      </w:r>
      <w:r w:rsidR="00975D03">
        <w:rPr>
          <w:sz w:val="22"/>
          <w:szCs w:val="22"/>
        </w:rPr>
        <w:t xml:space="preserve">exposure </w:t>
      </w:r>
      <w:r w:rsidR="008352F6">
        <w:rPr>
          <w:sz w:val="22"/>
          <w:szCs w:val="22"/>
        </w:rPr>
        <w:t>limits.</w:t>
      </w:r>
    </w:p>
    <w:p w14:paraId="2036229B" w14:textId="77777777" w:rsidR="00DA5A49" w:rsidRPr="005E6135" w:rsidRDefault="00DA5A49">
      <w:pPr>
        <w:rPr>
          <w:sz w:val="22"/>
          <w:szCs w:val="22"/>
        </w:rPr>
      </w:pPr>
    </w:p>
    <w:p w14:paraId="57DA5DE3" w14:textId="44F8D7CB" w:rsidR="00EB311B" w:rsidRDefault="00EB311B">
      <w:pPr>
        <w:rPr>
          <w:b/>
          <w:sz w:val="22"/>
          <w:szCs w:val="22"/>
          <w:u w:val="single"/>
        </w:rPr>
      </w:pPr>
      <w:r w:rsidRPr="005E6135">
        <w:rPr>
          <w:b/>
          <w:sz w:val="22"/>
          <w:szCs w:val="22"/>
          <w:u w:val="single"/>
        </w:rPr>
        <w:t xml:space="preserve">3.  </w:t>
      </w:r>
      <w:r w:rsidR="00223C5B">
        <w:rPr>
          <w:b/>
          <w:sz w:val="22"/>
          <w:szCs w:val="22"/>
          <w:u w:val="single"/>
        </w:rPr>
        <w:t>Evaluation</w:t>
      </w:r>
    </w:p>
    <w:p w14:paraId="6F50B58A" w14:textId="77777777" w:rsidR="00F66AAA" w:rsidRDefault="00F66AAA">
      <w:pPr>
        <w:rPr>
          <w:sz w:val="22"/>
          <w:szCs w:val="22"/>
        </w:rPr>
      </w:pPr>
    </w:p>
    <w:p w14:paraId="0562F6A7" w14:textId="25A5DB4F" w:rsidR="006919B2" w:rsidRDefault="00223C5B">
      <w:pPr>
        <w:rPr>
          <w:sz w:val="22"/>
          <w:szCs w:val="22"/>
        </w:rPr>
      </w:pPr>
      <w:r>
        <w:rPr>
          <w:sz w:val="22"/>
          <w:szCs w:val="22"/>
        </w:rPr>
        <w:t>T</w:t>
      </w:r>
      <w:r w:rsidRPr="00223C5B">
        <w:rPr>
          <w:sz w:val="22"/>
          <w:szCs w:val="22"/>
        </w:rPr>
        <w:t xml:space="preserve">he </w:t>
      </w:r>
      <w:r w:rsidRPr="00757644">
        <w:rPr>
          <w:i/>
          <w:sz w:val="22"/>
          <w:szCs w:val="22"/>
        </w:rPr>
        <w:t>Order</w:t>
      </w:r>
      <w:r w:rsidRPr="00223C5B">
        <w:rPr>
          <w:sz w:val="22"/>
          <w:szCs w:val="22"/>
        </w:rPr>
        <w:t xml:space="preserve"> adopted changes to the demonstrations that applicants are required to provide in certain cases to show that their equipment will comply with the Commission’s RF exposure limits.</w:t>
      </w:r>
      <w:r>
        <w:rPr>
          <w:sz w:val="22"/>
          <w:szCs w:val="22"/>
        </w:rPr>
        <w:t xml:space="preserve">  These demonstrations of compliance</w:t>
      </w:r>
      <w:r w:rsidR="00342193">
        <w:rPr>
          <w:sz w:val="22"/>
          <w:szCs w:val="22"/>
        </w:rPr>
        <w:t>,</w:t>
      </w:r>
      <w:r>
        <w:rPr>
          <w:sz w:val="22"/>
          <w:szCs w:val="22"/>
        </w:rPr>
        <w:t xml:space="preserve"> </w:t>
      </w:r>
      <w:r w:rsidR="00342193">
        <w:rPr>
          <w:sz w:val="22"/>
          <w:szCs w:val="22"/>
        </w:rPr>
        <w:t xml:space="preserve">known as </w:t>
      </w:r>
      <w:r>
        <w:rPr>
          <w:sz w:val="22"/>
          <w:szCs w:val="22"/>
        </w:rPr>
        <w:t>evaluations</w:t>
      </w:r>
      <w:r w:rsidR="00342193">
        <w:rPr>
          <w:sz w:val="22"/>
          <w:szCs w:val="22"/>
        </w:rPr>
        <w:t>,</w:t>
      </w:r>
      <w:r>
        <w:rPr>
          <w:sz w:val="22"/>
          <w:szCs w:val="22"/>
        </w:rPr>
        <w:t xml:space="preserve"> are </w:t>
      </w:r>
      <w:r w:rsidR="00653743">
        <w:rPr>
          <w:sz w:val="22"/>
          <w:szCs w:val="22"/>
        </w:rPr>
        <w:t>fundamentally based on</w:t>
      </w:r>
      <w:r>
        <w:rPr>
          <w:sz w:val="22"/>
          <w:szCs w:val="22"/>
        </w:rPr>
        <w:t xml:space="preserve"> SAR</w:t>
      </w:r>
      <w:r w:rsidR="00342193">
        <w:rPr>
          <w:sz w:val="22"/>
          <w:szCs w:val="22"/>
        </w:rPr>
        <w:t>,</w:t>
      </w:r>
      <w:r w:rsidR="00475B5F">
        <w:rPr>
          <w:sz w:val="22"/>
          <w:szCs w:val="22"/>
        </w:rPr>
        <w:t xml:space="preserve"> </w:t>
      </w:r>
      <w:r w:rsidR="00653743">
        <w:rPr>
          <w:sz w:val="22"/>
          <w:szCs w:val="22"/>
        </w:rPr>
        <w:t>which is a measure of power absorbed per mass of tissue</w:t>
      </w:r>
      <w:r w:rsidR="00342193">
        <w:rPr>
          <w:sz w:val="22"/>
          <w:szCs w:val="22"/>
        </w:rPr>
        <w:t xml:space="preserve"> (applicable at frequencies less than 6 GHz),</w:t>
      </w:r>
      <w:r w:rsidR="00653743">
        <w:rPr>
          <w:sz w:val="22"/>
          <w:szCs w:val="22"/>
        </w:rPr>
        <w:t xml:space="preserve"> and on </w:t>
      </w:r>
      <w:r>
        <w:rPr>
          <w:sz w:val="22"/>
          <w:szCs w:val="22"/>
        </w:rPr>
        <w:t>MPE</w:t>
      </w:r>
      <w:r w:rsidR="00342193">
        <w:rPr>
          <w:sz w:val="22"/>
          <w:szCs w:val="22"/>
        </w:rPr>
        <w:t>, which is a measure of</w:t>
      </w:r>
      <w:r w:rsidR="00653743">
        <w:rPr>
          <w:sz w:val="22"/>
          <w:szCs w:val="22"/>
        </w:rPr>
        <w:t xml:space="preserve"> external illuminating power </w:t>
      </w:r>
      <w:r w:rsidR="00342193">
        <w:rPr>
          <w:sz w:val="22"/>
          <w:szCs w:val="22"/>
        </w:rPr>
        <w:t xml:space="preserve">flux </w:t>
      </w:r>
      <w:r w:rsidR="00653743">
        <w:rPr>
          <w:sz w:val="22"/>
          <w:szCs w:val="22"/>
        </w:rPr>
        <w:t>density</w:t>
      </w:r>
      <w:r w:rsidR="00342193">
        <w:rPr>
          <w:sz w:val="22"/>
          <w:szCs w:val="22"/>
        </w:rPr>
        <w:t xml:space="preserve"> (applicable </w:t>
      </w:r>
      <w:r w:rsidR="00653743">
        <w:rPr>
          <w:sz w:val="22"/>
          <w:szCs w:val="22"/>
        </w:rPr>
        <w:t xml:space="preserve">at </w:t>
      </w:r>
      <w:r w:rsidR="00342193">
        <w:rPr>
          <w:sz w:val="22"/>
          <w:szCs w:val="22"/>
        </w:rPr>
        <w:t xml:space="preserve">frequencies </w:t>
      </w:r>
      <w:r w:rsidR="00653743">
        <w:rPr>
          <w:sz w:val="22"/>
          <w:szCs w:val="22"/>
        </w:rPr>
        <w:t>greater than 6 GHz</w:t>
      </w:r>
      <w:r w:rsidR="00342193">
        <w:rPr>
          <w:sz w:val="22"/>
          <w:szCs w:val="22"/>
        </w:rPr>
        <w:t>)</w:t>
      </w:r>
      <w:r w:rsidR="00653743">
        <w:rPr>
          <w:sz w:val="22"/>
          <w:szCs w:val="22"/>
        </w:rPr>
        <w:t xml:space="preserve">.  </w:t>
      </w:r>
      <w:r w:rsidR="00475B5F">
        <w:rPr>
          <w:sz w:val="22"/>
          <w:szCs w:val="22"/>
        </w:rPr>
        <w:t xml:space="preserve">Both SAR and </w:t>
      </w:r>
      <w:r w:rsidR="00342193">
        <w:rPr>
          <w:sz w:val="22"/>
          <w:szCs w:val="22"/>
        </w:rPr>
        <w:t>MPE</w:t>
      </w:r>
      <w:r w:rsidR="00475B5F">
        <w:rPr>
          <w:sz w:val="22"/>
          <w:szCs w:val="22"/>
        </w:rPr>
        <w:t xml:space="preserve"> </w:t>
      </w:r>
      <w:r w:rsidR="00653743">
        <w:rPr>
          <w:sz w:val="22"/>
          <w:szCs w:val="22"/>
        </w:rPr>
        <w:t>may be determined by valid measurement or calculation</w:t>
      </w:r>
      <w:r w:rsidR="00342193">
        <w:rPr>
          <w:sz w:val="22"/>
          <w:szCs w:val="22"/>
        </w:rPr>
        <w:t xml:space="preserve"> techniques</w:t>
      </w:r>
      <w:r w:rsidR="00653743">
        <w:rPr>
          <w:sz w:val="22"/>
          <w:szCs w:val="22"/>
        </w:rPr>
        <w:t xml:space="preserve">.  In many cases </w:t>
      </w:r>
      <w:r w:rsidR="00B840DA">
        <w:rPr>
          <w:sz w:val="22"/>
          <w:szCs w:val="22"/>
        </w:rPr>
        <w:t xml:space="preserve">for mobile and fixed transmitters </w:t>
      </w:r>
      <w:r w:rsidR="00653743">
        <w:rPr>
          <w:sz w:val="22"/>
          <w:szCs w:val="22"/>
        </w:rPr>
        <w:t>below 6 GHz</w:t>
      </w:r>
      <w:r w:rsidR="00342193">
        <w:rPr>
          <w:sz w:val="22"/>
          <w:szCs w:val="22"/>
        </w:rPr>
        <w:t>,</w:t>
      </w:r>
      <w:r w:rsidR="00653743">
        <w:rPr>
          <w:sz w:val="22"/>
          <w:szCs w:val="22"/>
        </w:rPr>
        <w:t xml:space="preserve"> a p</w:t>
      </w:r>
      <w:r w:rsidR="00475B5F">
        <w:rPr>
          <w:sz w:val="22"/>
          <w:szCs w:val="22"/>
        </w:rPr>
        <w:t>ractical</w:t>
      </w:r>
      <w:r w:rsidR="00653743">
        <w:rPr>
          <w:sz w:val="22"/>
          <w:szCs w:val="22"/>
        </w:rPr>
        <w:t xml:space="preserve"> determination of compliance w</w:t>
      </w:r>
      <w:r w:rsidR="00B840DA">
        <w:rPr>
          <w:sz w:val="22"/>
          <w:szCs w:val="22"/>
        </w:rPr>
        <w:t>ith the SAR limits continues to be</w:t>
      </w:r>
      <w:r w:rsidR="00475B5F">
        <w:rPr>
          <w:sz w:val="22"/>
          <w:szCs w:val="22"/>
        </w:rPr>
        <w:t xml:space="preserve"> </w:t>
      </w:r>
      <w:r w:rsidR="00342193">
        <w:rPr>
          <w:sz w:val="22"/>
          <w:szCs w:val="22"/>
        </w:rPr>
        <w:t xml:space="preserve">evaluation </w:t>
      </w:r>
      <w:r w:rsidR="00475B5F">
        <w:rPr>
          <w:sz w:val="22"/>
          <w:szCs w:val="22"/>
        </w:rPr>
        <w:t>based on</w:t>
      </w:r>
      <w:r w:rsidR="00DB0874">
        <w:rPr>
          <w:sz w:val="22"/>
          <w:szCs w:val="22"/>
        </w:rPr>
        <w:t xml:space="preserve"> </w:t>
      </w:r>
      <w:r w:rsidR="00475B5F">
        <w:rPr>
          <w:sz w:val="22"/>
          <w:szCs w:val="22"/>
        </w:rPr>
        <w:t>the MPE limits</w:t>
      </w:r>
      <w:r w:rsidR="00342193">
        <w:rPr>
          <w:sz w:val="22"/>
          <w:szCs w:val="22"/>
        </w:rPr>
        <w:t>,</w:t>
      </w:r>
      <w:r w:rsidR="00475B5F">
        <w:rPr>
          <w:sz w:val="22"/>
          <w:szCs w:val="22"/>
        </w:rPr>
        <w:t xml:space="preserve"> which were</w:t>
      </w:r>
      <w:r w:rsidR="00342193">
        <w:rPr>
          <w:sz w:val="22"/>
          <w:szCs w:val="22"/>
        </w:rPr>
        <w:t xml:space="preserve"> themselves</w:t>
      </w:r>
      <w:r w:rsidR="00475B5F">
        <w:rPr>
          <w:sz w:val="22"/>
          <w:szCs w:val="22"/>
        </w:rPr>
        <w:t xml:space="preserve"> derived from the SAR limits.  </w:t>
      </w:r>
      <w:r w:rsidR="00B840DA">
        <w:rPr>
          <w:sz w:val="22"/>
          <w:szCs w:val="22"/>
        </w:rPr>
        <w:t>However, where advantageous</w:t>
      </w:r>
      <w:r w:rsidR="009A6F7C">
        <w:rPr>
          <w:sz w:val="22"/>
          <w:szCs w:val="22"/>
        </w:rPr>
        <w:t>, a valid</w:t>
      </w:r>
      <w:r w:rsidR="00B840DA">
        <w:rPr>
          <w:sz w:val="22"/>
          <w:szCs w:val="22"/>
        </w:rPr>
        <w:t xml:space="preserve"> SAR determina</w:t>
      </w:r>
      <w:r w:rsidR="009A6F7C">
        <w:rPr>
          <w:sz w:val="22"/>
          <w:szCs w:val="22"/>
        </w:rPr>
        <w:t>tion</w:t>
      </w:r>
      <w:r w:rsidR="00B840DA">
        <w:rPr>
          <w:sz w:val="22"/>
          <w:szCs w:val="22"/>
        </w:rPr>
        <w:t xml:space="preserve"> </w:t>
      </w:r>
      <w:r w:rsidR="009A6F7C">
        <w:rPr>
          <w:sz w:val="22"/>
          <w:szCs w:val="22"/>
        </w:rPr>
        <w:t xml:space="preserve">may be used </w:t>
      </w:r>
      <w:r w:rsidR="00342193">
        <w:rPr>
          <w:sz w:val="22"/>
          <w:szCs w:val="22"/>
        </w:rPr>
        <w:t xml:space="preserve">as an evaluation </w:t>
      </w:r>
      <w:r w:rsidR="009A6F7C">
        <w:rPr>
          <w:sz w:val="22"/>
          <w:szCs w:val="22"/>
        </w:rPr>
        <w:t xml:space="preserve">to show compliance for </w:t>
      </w:r>
      <w:r w:rsidR="00342193">
        <w:rPr>
          <w:sz w:val="22"/>
          <w:szCs w:val="22"/>
        </w:rPr>
        <w:t>any transmitter</w:t>
      </w:r>
      <w:r w:rsidR="009A6F7C">
        <w:rPr>
          <w:sz w:val="22"/>
          <w:szCs w:val="22"/>
        </w:rPr>
        <w:t xml:space="preserve"> below 6 GHz</w:t>
      </w:r>
      <w:r w:rsidR="00342193">
        <w:rPr>
          <w:sz w:val="22"/>
          <w:szCs w:val="22"/>
        </w:rPr>
        <w:t>,</w:t>
      </w:r>
      <w:r w:rsidR="009A6F7C">
        <w:rPr>
          <w:sz w:val="22"/>
          <w:szCs w:val="22"/>
        </w:rPr>
        <w:t xml:space="preserve"> and </w:t>
      </w:r>
      <w:r w:rsidR="00342193">
        <w:rPr>
          <w:sz w:val="22"/>
          <w:szCs w:val="22"/>
        </w:rPr>
        <w:t xml:space="preserve">so would </w:t>
      </w:r>
      <w:r w:rsidR="009A6F7C">
        <w:rPr>
          <w:sz w:val="22"/>
          <w:szCs w:val="22"/>
        </w:rPr>
        <w:t xml:space="preserve">take precedence over an MPE evaluation.  </w:t>
      </w:r>
      <w:r w:rsidR="00475B5F">
        <w:rPr>
          <w:sz w:val="22"/>
          <w:szCs w:val="22"/>
        </w:rPr>
        <w:t xml:space="preserve">For portable devices designed to operate at less than 20 cm from the body and at </w:t>
      </w:r>
      <w:r w:rsidR="00342193">
        <w:rPr>
          <w:sz w:val="22"/>
          <w:szCs w:val="22"/>
        </w:rPr>
        <w:t xml:space="preserve">frequencies </w:t>
      </w:r>
      <w:r w:rsidR="00475B5F">
        <w:rPr>
          <w:sz w:val="22"/>
          <w:szCs w:val="22"/>
        </w:rPr>
        <w:t xml:space="preserve">less than 6 GHz, an SAR evaluation </w:t>
      </w:r>
      <w:r w:rsidR="009A6F7C">
        <w:rPr>
          <w:sz w:val="22"/>
          <w:szCs w:val="22"/>
        </w:rPr>
        <w:t>continues to be</w:t>
      </w:r>
      <w:r w:rsidR="00475B5F">
        <w:rPr>
          <w:sz w:val="22"/>
          <w:szCs w:val="22"/>
        </w:rPr>
        <w:t xml:space="preserve"> required unless the power is less </w:t>
      </w:r>
      <w:r w:rsidR="00C244C7">
        <w:rPr>
          <w:sz w:val="22"/>
          <w:szCs w:val="22"/>
        </w:rPr>
        <w:t>than certain exclusion criteria; see KDB publication 447498 at:</w:t>
      </w:r>
      <w:r w:rsidR="00475B5F">
        <w:rPr>
          <w:sz w:val="22"/>
          <w:szCs w:val="22"/>
        </w:rPr>
        <w:t xml:space="preserve"> </w:t>
      </w:r>
      <w:hyperlink r:id="rId12" w:history="1">
        <w:r w:rsidR="00C244C7" w:rsidRPr="0036368A">
          <w:rPr>
            <w:rStyle w:val="Hyperlink"/>
            <w:sz w:val="22"/>
            <w:szCs w:val="22"/>
          </w:rPr>
          <w:t>https://apps.fcc.gov/oetcf/kdb/reports/GuidedPublicationList.cfm</w:t>
        </w:r>
      </w:hyperlink>
      <w:r w:rsidR="00C244C7">
        <w:rPr>
          <w:sz w:val="22"/>
          <w:szCs w:val="22"/>
        </w:rPr>
        <w:t>.</w:t>
      </w:r>
    </w:p>
    <w:p w14:paraId="409D1FA3" w14:textId="77777777" w:rsidR="00FE54B3" w:rsidRDefault="00FE54B3" w:rsidP="00FE54B3">
      <w:pPr>
        <w:rPr>
          <w:sz w:val="22"/>
          <w:szCs w:val="22"/>
        </w:rPr>
      </w:pPr>
    </w:p>
    <w:p w14:paraId="66D3882E" w14:textId="77777777" w:rsidR="007C6336" w:rsidRDefault="00FE54B3" w:rsidP="00FE54B3">
      <w:pPr>
        <w:rPr>
          <w:sz w:val="22"/>
          <w:szCs w:val="22"/>
        </w:rPr>
      </w:pPr>
      <w:r>
        <w:rPr>
          <w:b/>
          <w:sz w:val="22"/>
          <w:szCs w:val="22"/>
          <w:u w:val="single"/>
        </w:rPr>
        <w:t>4</w:t>
      </w:r>
      <w:r w:rsidRPr="005E6135">
        <w:rPr>
          <w:b/>
          <w:sz w:val="22"/>
          <w:szCs w:val="22"/>
          <w:u w:val="single"/>
        </w:rPr>
        <w:t xml:space="preserve">.  </w:t>
      </w:r>
      <w:r w:rsidR="007C6336">
        <w:rPr>
          <w:b/>
          <w:sz w:val="22"/>
          <w:szCs w:val="22"/>
          <w:u w:val="single"/>
        </w:rPr>
        <w:t>Mitigation</w:t>
      </w:r>
    </w:p>
    <w:p w14:paraId="5C1C2FFD" w14:textId="77777777" w:rsidR="007C6336" w:rsidRDefault="007C6336" w:rsidP="00FE54B3">
      <w:pPr>
        <w:rPr>
          <w:sz w:val="22"/>
          <w:szCs w:val="22"/>
        </w:rPr>
      </w:pPr>
    </w:p>
    <w:p w14:paraId="4069F09A" w14:textId="038CE66C" w:rsidR="003D051C" w:rsidRDefault="002E7FA4" w:rsidP="00FE54B3">
      <w:pPr>
        <w:rPr>
          <w:sz w:val="22"/>
          <w:szCs w:val="22"/>
        </w:rPr>
      </w:pPr>
      <w:r>
        <w:rPr>
          <w:sz w:val="22"/>
          <w:szCs w:val="22"/>
        </w:rPr>
        <w:t xml:space="preserve">The Commission employs more </w:t>
      </w:r>
      <w:r w:rsidR="00845D35">
        <w:rPr>
          <w:sz w:val="22"/>
          <w:szCs w:val="22"/>
        </w:rPr>
        <w:t xml:space="preserve">flexible </w:t>
      </w:r>
      <w:r>
        <w:rPr>
          <w:sz w:val="22"/>
          <w:szCs w:val="22"/>
        </w:rPr>
        <w:t xml:space="preserve">RF exposure limits in occupational settings, which are defined as settings in which </w:t>
      </w:r>
      <w:r w:rsidR="007C6336">
        <w:rPr>
          <w:sz w:val="22"/>
          <w:szCs w:val="22"/>
        </w:rPr>
        <w:t>individuals</w:t>
      </w:r>
      <w:r w:rsidR="007D0917">
        <w:rPr>
          <w:sz w:val="22"/>
          <w:szCs w:val="22"/>
        </w:rPr>
        <w:t xml:space="preserve"> </w:t>
      </w:r>
      <w:r w:rsidR="007C6336">
        <w:rPr>
          <w:sz w:val="22"/>
          <w:szCs w:val="22"/>
        </w:rPr>
        <w:t xml:space="preserve">have full awareness </w:t>
      </w:r>
      <w:r w:rsidR="00CA596F">
        <w:rPr>
          <w:sz w:val="22"/>
          <w:szCs w:val="22"/>
        </w:rPr>
        <w:t xml:space="preserve">of </w:t>
      </w:r>
      <w:r w:rsidR="007C6336">
        <w:rPr>
          <w:sz w:val="22"/>
          <w:szCs w:val="22"/>
        </w:rPr>
        <w:t xml:space="preserve">and control over their exposure.  </w:t>
      </w:r>
      <w:r>
        <w:rPr>
          <w:sz w:val="22"/>
          <w:szCs w:val="22"/>
        </w:rPr>
        <w:t xml:space="preserve">In other words, the more </w:t>
      </w:r>
      <w:r w:rsidR="00845D35">
        <w:rPr>
          <w:sz w:val="22"/>
          <w:szCs w:val="22"/>
        </w:rPr>
        <w:t xml:space="preserve">flexible </w:t>
      </w:r>
      <w:r>
        <w:rPr>
          <w:sz w:val="22"/>
          <w:szCs w:val="22"/>
        </w:rPr>
        <w:t xml:space="preserve">RF exposure limits apply in cases </w:t>
      </w:r>
      <w:r w:rsidR="00FF4903">
        <w:rPr>
          <w:sz w:val="22"/>
          <w:szCs w:val="22"/>
        </w:rPr>
        <w:t xml:space="preserve">where Commission licensees and/or manufacturers holding equipment authorizations give </w:t>
      </w:r>
      <w:r>
        <w:rPr>
          <w:sz w:val="22"/>
          <w:szCs w:val="22"/>
        </w:rPr>
        <w:t xml:space="preserve">the individuals </w:t>
      </w:r>
      <w:r w:rsidR="00FF4903">
        <w:rPr>
          <w:sz w:val="22"/>
          <w:szCs w:val="22"/>
        </w:rPr>
        <w:t xml:space="preserve">who are </w:t>
      </w:r>
      <w:r w:rsidR="003E2159">
        <w:rPr>
          <w:sz w:val="22"/>
          <w:szCs w:val="22"/>
        </w:rPr>
        <w:t xml:space="preserve">likely to encounter </w:t>
      </w:r>
      <w:r>
        <w:rPr>
          <w:sz w:val="22"/>
          <w:szCs w:val="22"/>
        </w:rPr>
        <w:t xml:space="preserve">RF radiation </w:t>
      </w:r>
      <w:r w:rsidR="00626EB2">
        <w:rPr>
          <w:sz w:val="22"/>
          <w:szCs w:val="22"/>
        </w:rPr>
        <w:t>appropriate training or education</w:t>
      </w:r>
      <w:r>
        <w:rPr>
          <w:sz w:val="22"/>
          <w:szCs w:val="22"/>
        </w:rPr>
        <w:t>,</w:t>
      </w:r>
      <w:r w:rsidR="00626EB2">
        <w:rPr>
          <w:sz w:val="22"/>
          <w:szCs w:val="22"/>
        </w:rPr>
        <w:t xml:space="preserve"> such as through an RF safety program in a work environment</w:t>
      </w:r>
      <w:r>
        <w:rPr>
          <w:sz w:val="22"/>
          <w:szCs w:val="22"/>
        </w:rPr>
        <w:t>,</w:t>
      </w:r>
      <w:r w:rsidR="00626EB2">
        <w:rPr>
          <w:sz w:val="22"/>
          <w:szCs w:val="22"/>
        </w:rPr>
        <w:t xml:space="preserve"> and/or </w:t>
      </w:r>
      <w:r w:rsidR="00FF4903">
        <w:rPr>
          <w:sz w:val="22"/>
          <w:szCs w:val="22"/>
        </w:rPr>
        <w:t xml:space="preserve">post </w:t>
      </w:r>
      <w:r w:rsidR="00626EB2">
        <w:rPr>
          <w:sz w:val="22"/>
          <w:szCs w:val="22"/>
        </w:rPr>
        <w:t>“visual advisories” such as signs or labeling</w:t>
      </w:r>
      <w:r w:rsidR="00560A7B">
        <w:rPr>
          <w:sz w:val="22"/>
          <w:szCs w:val="22"/>
        </w:rPr>
        <w:t xml:space="preserve">.  </w:t>
      </w:r>
      <w:r w:rsidR="00FF4903">
        <w:rPr>
          <w:sz w:val="22"/>
          <w:szCs w:val="22"/>
        </w:rPr>
        <w:t>Commission rules require that t</w:t>
      </w:r>
      <w:r w:rsidR="002F25DB">
        <w:rPr>
          <w:sz w:val="22"/>
          <w:szCs w:val="22"/>
        </w:rPr>
        <w:t>he</w:t>
      </w:r>
      <w:r w:rsidR="003E2159">
        <w:rPr>
          <w:sz w:val="22"/>
          <w:szCs w:val="22"/>
        </w:rPr>
        <w:t>se</w:t>
      </w:r>
      <w:r w:rsidR="0081009D">
        <w:rPr>
          <w:sz w:val="22"/>
          <w:szCs w:val="22"/>
        </w:rPr>
        <w:t xml:space="preserve"> </w:t>
      </w:r>
      <w:r w:rsidR="003E2159">
        <w:rPr>
          <w:sz w:val="22"/>
          <w:szCs w:val="22"/>
        </w:rPr>
        <w:t xml:space="preserve">safeguards </w:t>
      </w:r>
      <w:r w:rsidR="002F25DB">
        <w:rPr>
          <w:sz w:val="22"/>
          <w:szCs w:val="22"/>
        </w:rPr>
        <w:t>be</w:t>
      </w:r>
      <w:r w:rsidR="005976B9">
        <w:rPr>
          <w:sz w:val="22"/>
          <w:szCs w:val="22"/>
        </w:rPr>
        <w:t xml:space="preserve"> </w:t>
      </w:r>
      <w:r w:rsidR="00626EB2">
        <w:rPr>
          <w:sz w:val="22"/>
          <w:szCs w:val="22"/>
        </w:rPr>
        <w:t xml:space="preserve">adequate to ensure </w:t>
      </w:r>
      <w:r w:rsidR="002F25DB">
        <w:rPr>
          <w:sz w:val="22"/>
          <w:szCs w:val="22"/>
        </w:rPr>
        <w:t xml:space="preserve">that workers are aware of the steps that they must take to protect against exposure to RF levels that exceed the Commission’s limits.  </w:t>
      </w:r>
      <w:r w:rsidR="007C6336">
        <w:rPr>
          <w:sz w:val="22"/>
          <w:szCs w:val="22"/>
        </w:rPr>
        <w:t xml:space="preserve">For small mobile </w:t>
      </w:r>
      <w:r w:rsidR="000209B4">
        <w:rPr>
          <w:sz w:val="22"/>
          <w:szCs w:val="22"/>
        </w:rPr>
        <w:t>and portable devices</w:t>
      </w:r>
      <w:r w:rsidR="002F3E6B">
        <w:rPr>
          <w:sz w:val="22"/>
          <w:szCs w:val="22"/>
        </w:rPr>
        <w:t>,</w:t>
      </w:r>
      <w:r w:rsidR="000209B4">
        <w:rPr>
          <w:sz w:val="22"/>
          <w:szCs w:val="22"/>
        </w:rPr>
        <w:t xml:space="preserve"> </w:t>
      </w:r>
      <w:r w:rsidR="007D0917">
        <w:rPr>
          <w:sz w:val="22"/>
          <w:szCs w:val="22"/>
        </w:rPr>
        <w:t>awareness and con</w:t>
      </w:r>
      <w:r w:rsidR="000209B4">
        <w:rPr>
          <w:sz w:val="22"/>
          <w:szCs w:val="22"/>
        </w:rPr>
        <w:t xml:space="preserve">trol may be supported by </w:t>
      </w:r>
      <w:r w:rsidR="007D0917">
        <w:rPr>
          <w:sz w:val="22"/>
          <w:szCs w:val="22"/>
        </w:rPr>
        <w:t xml:space="preserve">instructions and labeling that are </w:t>
      </w:r>
      <w:r w:rsidR="0028456B">
        <w:rPr>
          <w:sz w:val="22"/>
          <w:szCs w:val="22"/>
        </w:rPr>
        <w:t>visible to</w:t>
      </w:r>
      <w:r w:rsidR="00370E3B">
        <w:rPr>
          <w:sz w:val="22"/>
          <w:szCs w:val="22"/>
        </w:rPr>
        <w:t xml:space="preserve"> </w:t>
      </w:r>
      <w:r w:rsidR="007D0917">
        <w:rPr>
          <w:sz w:val="22"/>
          <w:szCs w:val="22"/>
        </w:rPr>
        <w:t>the device user.</w:t>
      </w:r>
      <w:r w:rsidR="00360EC2">
        <w:rPr>
          <w:sz w:val="22"/>
          <w:szCs w:val="22"/>
        </w:rPr>
        <w:t xml:space="preserve">  </w:t>
      </w:r>
      <w:r w:rsidR="00391DFE">
        <w:rPr>
          <w:sz w:val="22"/>
          <w:szCs w:val="22"/>
        </w:rPr>
        <w:t>The</w:t>
      </w:r>
      <w:r w:rsidR="00C0448E">
        <w:rPr>
          <w:i/>
          <w:sz w:val="22"/>
          <w:szCs w:val="22"/>
        </w:rPr>
        <w:t xml:space="preserve"> Order</w:t>
      </w:r>
      <w:r w:rsidR="00C0448E" w:rsidRPr="00757644">
        <w:rPr>
          <w:i/>
          <w:sz w:val="22"/>
        </w:rPr>
        <w:t xml:space="preserve"> </w:t>
      </w:r>
      <w:r w:rsidR="00391DFE">
        <w:rPr>
          <w:sz w:val="22"/>
          <w:szCs w:val="22"/>
        </w:rPr>
        <w:t xml:space="preserve">changed </w:t>
      </w:r>
      <w:r w:rsidR="00C0448E">
        <w:rPr>
          <w:sz w:val="22"/>
          <w:szCs w:val="22"/>
        </w:rPr>
        <w:t xml:space="preserve">sections </w:t>
      </w:r>
      <w:r w:rsidR="00391DFE">
        <w:rPr>
          <w:sz w:val="22"/>
          <w:szCs w:val="22"/>
        </w:rPr>
        <w:t xml:space="preserve">2.1091(d)(3) and 2.1093(d)(1)(i) </w:t>
      </w:r>
      <w:r w:rsidR="00845D35">
        <w:rPr>
          <w:sz w:val="22"/>
          <w:szCs w:val="22"/>
        </w:rPr>
        <w:t xml:space="preserve">of the Commission’s rules </w:t>
      </w:r>
      <w:r w:rsidR="00391DFE">
        <w:rPr>
          <w:sz w:val="22"/>
          <w:szCs w:val="22"/>
        </w:rPr>
        <w:t xml:space="preserve">to allow the use of visual advisories such as </w:t>
      </w:r>
      <w:r w:rsidR="000209B4">
        <w:rPr>
          <w:sz w:val="22"/>
          <w:szCs w:val="22"/>
        </w:rPr>
        <w:t>external labeling, embossing</w:t>
      </w:r>
      <w:r w:rsidR="00C0448E">
        <w:rPr>
          <w:sz w:val="22"/>
          <w:szCs w:val="22"/>
        </w:rPr>
        <w:t>,</w:t>
      </w:r>
      <w:r w:rsidR="000209B4">
        <w:rPr>
          <w:sz w:val="22"/>
          <w:szCs w:val="22"/>
        </w:rPr>
        <w:t xml:space="preserve"> or</w:t>
      </w:r>
      <w:r w:rsidR="00391DFE">
        <w:rPr>
          <w:sz w:val="22"/>
          <w:szCs w:val="22"/>
        </w:rPr>
        <w:t xml:space="preserve"> an equivalent electronic display or “scree</w:t>
      </w:r>
      <w:r w:rsidR="000209B4">
        <w:rPr>
          <w:sz w:val="22"/>
          <w:szCs w:val="22"/>
        </w:rPr>
        <w:t>n</w:t>
      </w:r>
      <w:r w:rsidR="00391DFE">
        <w:rPr>
          <w:sz w:val="22"/>
          <w:szCs w:val="22"/>
        </w:rPr>
        <w:t xml:space="preserve"> flash</w:t>
      </w:r>
      <w:r w:rsidR="00C0448E">
        <w:rPr>
          <w:sz w:val="22"/>
          <w:szCs w:val="22"/>
        </w:rPr>
        <w:t>,</w:t>
      </w:r>
      <w:r w:rsidR="00626EB2">
        <w:rPr>
          <w:sz w:val="22"/>
          <w:szCs w:val="22"/>
        </w:rPr>
        <w:t>” to support awareness of users of mobile and portable devices evaluated under the occupational limits.</w:t>
      </w:r>
      <w:r w:rsidR="000209B4">
        <w:rPr>
          <w:sz w:val="22"/>
          <w:szCs w:val="22"/>
        </w:rPr>
        <w:t xml:space="preserve">  Visual advisories can be used as part of an applicant’s evidence of device user awareness.</w:t>
      </w:r>
      <w:r w:rsidR="00482C1B">
        <w:rPr>
          <w:sz w:val="22"/>
          <w:szCs w:val="22"/>
        </w:rPr>
        <w:t xml:space="preserve">  Similarly, for fixed transmitter sites,</w:t>
      </w:r>
      <w:r w:rsidR="003D051C">
        <w:rPr>
          <w:sz w:val="22"/>
          <w:szCs w:val="22"/>
        </w:rPr>
        <w:t xml:space="preserve"> </w:t>
      </w:r>
      <w:r w:rsidR="002F3E6B">
        <w:rPr>
          <w:sz w:val="22"/>
          <w:szCs w:val="22"/>
        </w:rPr>
        <w:t>section</w:t>
      </w:r>
      <w:r w:rsidR="00482C1B">
        <w:rPr>
          <w:sz w:val="22"/>
          <w:szCs w:val="22"/>
        </w:rPr>
        <w:t xml:space="preserve"> 1.1310(e)(1) </w:t>
      </w:r>
      <w:r w:rsidR="00845D35">
        <w:rPr>
          <w:sz w:val="22"/>
          <w:szCs w:val="22"/>
        </w:rPr>
        <w:t xml:space="preserve">of the rules </w:t>
      </w:r>
      <w:r w:rsidR="00482C1B">
        <w:rPr>
          <w:sz w:val="22"/>
          <w:szCs w:val="22"/>
        </w:rPr>
        <w:t>explain</w:t>
      </w:r>
      <w:r w:rsidR="00845D35">
        <w:rPr>
          <w:sz w:val="22"/>
          <w:szCs w:val="22"/>
        </w:rPr>
        <w:t>s</w:t>
      </w:r>
      <w:r w:rsidR="00482C1B">
        <w:rPr>
          <w:sz w:val="22"/>
          <w:szCs w:val="22"/>
        </w:rPr>
        <w:t xml:space="preserve"> </w:t>
      </w:r>
      <w:r w:rsidR="00845D35">
        <w:rPr>
          <w:sz w:val="22"/>
          <w:szCs w:val="22"/>
        </w:rPr>
        <w:t>that “</w:t>
      </w:r>
      <w:r w:rsidR="00482C1B">
        <w:rPr>
          <w:sz w:val="22"/>
          <w:szCs w:val="22"/>
        </w:rPr>
        <w:t>awareness</w:t>
      </w:r>
      <w:r w:rsidR="00845D35">
        <w:rPr>
          <w:sz w:val="22"/>
          <w:szCs w:val="22"/>
        </w:rPr>
        <w:t>”</w:t>
      </w:r>
      <w:r w:rsidR="00482C1B">
        <w:rPr>
          <w:sz w:val="22"/>
          <w:szCs w:val="22"/>
        </w:rPr>
        <w:t xml:space="preserve"> in the occupational context mean</w:t>
      </w:r>
      <w:r w:rsidR="0028456B">
        <w:rPr>
          <w:sz w:val="22"/>
          <w:szCs w:val="22"/>
        </w:rPr>
        <w:t>s</w:t>
      </w:r>
      <w:r w:rsidR="00482C1B">
        <w:rPr>
          <w:sz w:val="22"/>
          <w:szCs w:val="22"/>
        </w:rPr>
        <w:t xml:space="preserve"> that an exposed person has received written and/or verbal information  fully explaining the potential for RF exposure</w:t>
      </w:r>
      <w:r w:rsidR="002F3E6B">
        <w:rPr>
          <w:sz w:val="22"/>
          <w:szCs w:val="22"/>
        </w:rPr>
        <w:t xml:space="preserve">, and </w:t>
      </w:r>
      <w:r w:rsidR="002F3E6B" w:rsidRPr="002F3E6B">
        <w:rPr>
          <w:sz w:val="22"/>
          <w:szCs w:val="22"/>
        </w:rPr>
        <w:t xml:space="preserve">appropriate training regarding work practices relating to controlling or mitigating </w:t>
      </w:r>
      <w:r w:rsidR="002F3E6B">
        <w:rPr>
          <w:sz w:val="22"/>
          <w:szCs w:val="22"/>
        </w:rPr>
        <w:t>the</w:t>
      </w:r>
      <w:r w:rsidR="002F3E6B" w:rsidRPr="002F3E6B">
        <w:rPr>
          <w:sz w:val="22"/>
          <w:szCs w:val="22"/>
        </w:rPr>
        <w:t xml:space="preserve"> exposure</w:t>
      </w:r>
      <w:r w:rsidR="003D051C">
        <w:rPr>
          <w:sz w:val="22"/>
          <w:szCs w:val="22"/>
        </w:rPr>
        <w:t>.</w:t>
      </w:r>
      <w:r w:rsidR="002F3E6B">
        <w:rPr>
          <w:sz w:val="22"/>
          <w:szCs w:val="22"/>
        </w:rPr>
        <w:t xml:space="preserve">  The only exception to the requirement for </w:t>
      </w:r>
      <w:r w:rsidR="002F3E6B" w:rsidRPr="002F3E6B">
        <w:rPr>
          <w:sz w:val="22"/>
          <w:szCs w:val="22"/>
        </w:rPr>
        <w:t>training is</w:t>
      </w:r>
      <w:r w:rsidR="002F3E6B">
        <w:rPr>
          <w:sz w:val="22"/>
          <w:szCs w:val="22"/>
        </w:rPr>
        <w:t xml:space="preserve"> </w:t>
      </w:r>
      <w:r w:rsidR="002F3E6B" w:rsidRPr="002F3E6B">
        <w:rPr>
          <w:sz w:val="22"/>
          <w:szCs w:val="22"/>
        </w:rPr>
        <w:t xml:space="preserve">for </w:t>
      </w:r>
      <w:r w:rsidR="002F3E6B" w:rsidRPr="002F3E6B">
        <w:rPr>
          <w:i/>
          <w:sz w:val="22"/>
          <w:szCs w:val="22"/>
        </w:rPr>
        <w:t>transient</w:t>
      </w:r>
      <w:r w:rsidR="002F3E6B">
        <w:rPr>
          <w:sz w:val="22"/>
          <w:szCs w:val="22"/>
        </w:rPr>
        <w:t xml:space="preserve"> persons</w:t>
      </w:r>
      <w:r w:rsidR="0028456B">
        <w:rPr>
          <w:sz w:val="22"/>
          <w:szCs w:val="22"/>
        </w:rPr>
        <w:t xml:space="preserve"> (persons who traverse a small area </w:t>
      </w:r>
      <w:r w:rsidR="00845D35">
        <w:rPr>
          <w:sz w:val="22"/>
          <w:szCs w:val="22"/>
        </w:rPr>
        <w:t xml:space="preserve">in which </w:t>
      </w:r>
      <w:r w:rsidR="0028456B">
        <w:rPr>
          <w:sz w:val="22"/>
          <w:szCs w:val="22"/>
        </w:rPr>
        <w:t>the public exposure limit</w:t>
      </w:r>
      <w:r w:rsidR="00845D35">
        <w:rPr>
          <w:sz w:val="22"/>
          <w:szCs w:val="22"/>
        </w:rPr>
        <w:t xml:space="preserve"> is exceeded</w:t>
      </w:r>
      <w:r w:rsidR="0028456B">
        <w:rPr>
          <w:sz w:val="22"/>
          <w:szCs w:val="22"/>
        </w:rPr>
        <w:t xml:space="preserve">, but </w:t>
      </w:r>
      <w:r w:rsidR="00845D35">
        <w:rPr>
          <w:sz w:val="22"/>
          <w:szCs w:val="22"/>
        </w:rPr>
        <w:t xml:space="preserve">who will </w:t>
      </w:r>
      <w:r w:rsidR="0028456B">
        <w:rPr>
          <w:sz w:val="22"/>
          <w:szCs w:val="22"/>
        </w:rPr>
        <w:t>not linger or work in that area)</w:t>
      </w:r>
      <w:r w:rsidR="00845D35">
        <w:rPr>
          <w:sz w:val="22"/>
          <w:szCs w:val="22"/>
        </w:rPr>
        <w:t>.  Nevertheless</w:t>
      </w:r>
      <w:r w:rsidR="002F3E6B">
        <w:rPr>
          <w:sz w:val="22"/>
          <w:szCs w:val="22"/>
        </w:rPr>
        <w:t xml:space="preserve">, </w:t>
      </w:r>
      <w:r w:rsidR="00845D35">
        <w:rPr>
          <w:sz w:val="22"/>
          <w:szCs w:val="22"/>
        </w:rPr>
        <w:t xml:space="preserve">the rules still require that such </w:t>
      </w:r>
      <w:r w:rsidR="002F3E6B">
        <w:rPr>
          <w:sz w:val="22"/>
          <w:szCs w:val="22"/>
        </w:rPr>
        <w:t>individuals</w:t>
      </w:r>
      <w:r w:rsidR="002F3E6B" w:rsidRPr="002F3E6B">
        <w:rPr>
          <w:sz w:val="22"/>
          <w:szCs w:val="22"/>
        </w:rPr>
        <w:t xml:space="preserve"> </w:t>
      </w:r>
      <w:r w:rsidR="002F3E6B">
        <w:rPr>
          <w:sz w:val="22"/>
          <w:szCs w:val="22"/>
        </w:rPr>
        <w:t xml:space="preserve">at least </w:t>
      </w:r>
      <w:r w:rsidR="002F3E6B" w:rsidRPr="002F3E6B">
        <w:rPr>
          <w:sz w:val="22"/>
          <w:szCs w:val="22"/>
        </w:rPr>
        <w:t>receive written and/or verbal information and notification (</w:t>
      </w:r>
      <w:r w:rsidR="00845D35">
        <w:rPr>
          <w:sz w:val="22"/>
          <w:szCs w:val="22"/>
        </w:rPr>
        <w:t xml:space="preserve">provided, </w:t>
      </w:r>
      <w:r w:rsidR="002F3E6B" w:rsidRPr="002F3E6B">
        <w:rPr>
          <w:sz w:val="22"/>
          <w:szCs w:val="22"/>
        </w:rPr>
        <w:t xml:space="preserve">for example, </w:t>
      </w:r>
      <w:r w:rsidR="00845D35">
        <w:rPr>
          <w:sz w:val="22"/>
          <w:szCs w:val="22"/>
        </w:rPr>
        <w:t xml:space="preserve">by the posting of </w:t>
      </w:r>
      <w:r w:rsidR="002F3E6B" w:rsidRPr="002F3E6B">
        <w:rPr>
          <w:sz w:val="22"/>
          <w:szCs w:val="22"/>
        </w:rPr>
        <w:t xml:space="preserve">signs) concerning their </w:t>
      </w:r>
      <w:r w:rsidR="00845D35">
        <w:rPr>
          <w:sz w:val="22"/>
          <w:szCs w:val="22"/>
        </w:rPr>
        <w:t xml:space="preserve">potential </w:t>
      </w:r>
      <w:r w:rsidR="002F3E6B" w:rsidRPr="002F3E6B">
        <w:rPr>
          <w:sz w:val="22"/>
          <w:szCs w:val="22"/>
        </w:rPr>
        <w:t xml:space="preserve">exposure and </w:t>
      </w:r>
      <w:r w:rsidR="00845D35">
        <w:rPr>
          <w:sz w:val="22"/>
          <w:szCs w:val="22"/>
        </w:rPr>
        <w:t xml:space="preserve">the </w:t>
      </w:r>
      <w:r w:rsidR="002F3E6B" w:rsidRPr="002F3E6B">
        <w:rPr>
          <w:sz w:val="22"/>
          <w:szCs w:val="22"/>
        </w:rPr>
        <w:t xml:space="preserve">appropriate means available to mitigate </w:t>
      </w:r>
      <w:r w:rsidR="00845D35">
        <w:rPr>
          <w:sz w:val="22"/>
          <w:szCs w:val="22"/>
        </w:rPr>
        <w:t xml:space="preserve">such </w:t>
      </w:r>
      <w:r w:rsidR="002F3E6B" w:rsidRPr="002F3E6B">
        <w:rPr>
          <w:sz w:val="22"/>
          <w:szCs w:val="22"/>
        </w:rPr>
        <w:t>exposure</w:t>
      </w:r>
      <w:r w:rsidR="002F3E6B">
        <w:rPr>
          <w:sz w:val="22"/>
          <w:szCs w:val="22"/>
        </w:rPr>
        <w:t>.</w:t>
      </w:r>
      <w:r w:rsidR="007646F2">
        <w:rPr>
          <w:sz w:val="22"/>
          <w:szCs w:val="22"/>
        </w:rPr>
        <w:t xml:space="preserve">  </w:t>
      </w:r>
    </w:p>
    <w:p w14:paraId="3B4008CE" w14:textId="77777777" w:rsidR="003D051C" w:rsidRDefault="003D051C" w:rsidP="00FE54B3">
      <w:pPr>
        <w:rPr>
          <w:sz w:val="22"/>
          <w:szCs w:val="22"/>
        </w:rPr>
      </w:pPr>
    </w:p>
    <w:p w14:paraId="229E9DE8" w14:textId="2ACCF7EB" w:rsidR="007C6336" w:rsidRPr="007C6336" w:rsidRDefault="003D051C" w:rsidP="00FE54B3">
      <w:pPr>
        <w:rPr>
          <w:sz w:val="22"/>
          <w:szCs w:val="22"/>
        </w:rPr>
      </w:pPr>
      <w:r>
        <w:rPr>
          <w:sz w:val="22"/>
          <w:szCs w:val="22"/>
        </w:rPr>
        <w:t xml:space="preserve">The </w:t>
      </w:r>
      <w:r w:rsidR="00D15346">
        <w:rPr>
          <w:i/>
          <w:sz w:val="22"/>
          <w:szCs w:val="22"/>
        </w:rPr>
        <w:t>Order</w:t>
      </w:r>
      <w:r w:rsidR="007646F2">
        <w:rPr>
          <w:sz w:val="22"/>
          <w:szCs w:val="22"/>
        </w:rPr>
        <w:t xml:space="preserve"> </w:t>
      </w:r>
      <w:r w:rsidR="00560E06">
        <w:rPr>
          <w:sz w:val="22"/>
          <w:szCs w:val="22"/>
        </w:rPr>
        <w:t>also reminded regulated parties of the</w:t>
      </w:r>
      <w:r w:rsidR="00560E06" w:rsidRPr="00757644">
        <w:rPr>
          <w:sz w:val="22"/>
        </w:rPr>
        <w:t xml:space="preserve"> </w:t>
      </w:r>
      <w:r w:rsidR="00560E06">
        <w:rPr>
          <w:sz w:val="22"/>
          <w:szCs w:val="22"/>
        </w:rPr>
        <w:t xml:space="preserve">Commission’s </w:t>
      </w:r>
      <w:r w:rsidR="0028456B">
        <w:rPr>
          <w:sz w:val="22"/>
          <w:szCs w:val="22"/>
        </w:rPr>
        <w:t>existing</w:t>
      </w:r>
      <w:r w:rsidR="007646F2">
        <w:rPr>
          <w:sz w:val="22"/>
          <w:szCs w:val="22"/>
        </w:rPr>
        <w:t xml:space="preserve"> “5 % rule” and policy</w:t>
      </w:r>
      <w:r w:rsidR="00560E06">
        <w:rPr>
          <w:sz w:val="22"/>
          <w:szCs w:val="22"/>
        </w:rPr>
        <w:t>.  Under this policy, if</w:t>
      </w:r>
      <w:r w:rsidR="007646F2">
        <w:rPr>
          <w:sz w:val="22"/>
          <w:szCs w:val="22"/>
        </w:rPr>
        <w:t xml:space="preserve"> </w:t>
      </w:r>
      <w:r w:rsidR="00560E06">
        <w:rPr>
          <w:sz w:val="22"/>
          <w:szCs w:val="22"/>
        </w:rPr>
        <w:t xml:space="preserve">the Commission finds that </w:t>
      </w:r>
      <w:r w:rsidR="00404641">
        <w:rPr>
          <w:sz w:val="22"/>
          <w:szCs w:val="22"/>
        </w:rPr>
        <w:t>a multiple transmitter site</w:t>
      </w:r>
      <w:r w:rsidR="00560E06">
        <w:rPr>
          <w:sz w:val="22"/>
          <w:szCs w:val="22"/>
        </w:rPr>
        <w:t xml:space="preserve"> exceeds the applicable RF exposure limit, </w:t>
      </w:r>
      <w:r w:rsidR="00393EEB">
        <w:rPr>
          <w:sz w:val="22"/>
          <w:szCs w:val="22"/>
        </w:rPr>
        <w:t>all licensees of transmitters at the site whose operations produce at least 5% of the applicable RF exposure limit are held</w:t>
      </w:r>
      <w:r w:rsidR="00404641">
        <w:rPr>
          <w:sz w:val="22"/>
          <w:szCs w:val="22"/>
        </w:rPr>
        <w:t xml:space="preserve"> jointly and severally responsible for</w:t>
      </w:r>
      <w:r w:rsidR="00393EEB">
        <w:rPr>
          <w:sz w:val="22"/>
          <w:szCs w:val="22"/>
        </w:rPr>
        <w:t xml:space="preserve"> any forfeiture penalty resulting from the</w:t>
      </w:r>
      <w:r w:rsidR="00404641">
        <w:rPr>
          <w:sz w:val="22"/>
          <w:szCs w:val="22"/>
        </w:rPr>
        <w:t xml:space="preserve"> non-compliance.  </w:t>
      </w:r>
      <w:r w:rsidR="007646F2">
        <w:rPr>
          <w:sz w:val="22"/>
          <w:szCs w:val="22"/>
        </w:rPr>
        <w:t xml:space="preserve">  </w:t>
      </w:r>
      <w:r>
        <w:rPr>
          <w:sz w:val="22"/>
          <w:szCs w:val="22"/>
        </w:rPr>
        <w:t xml:space="preserve"> </w:t>
      </w:r>
      <w:r w:rsidR="00482C1B">
        <w:rPr>
          <w:sz w:val="22"/>
          <w:szCs w:val="22"/>
        </w:rPr>
        <w:t xml:space="preserve">   </w:t>
      </w:r>
    </w:p>
    <w:p w14:paraId="3A1C834E" w14:textId="77777777" w:rsidR="00FE54B3" w:rsidRDefault="00FE54B3" w:rsidP="00FE54B3">
      <w:pPr>
        <w:rPr>
          <w:sz w:val="22"/>
          <w:szCs w:val="22"/>
        </w:rPr>
      </w:pPr>
    </w:p>
    <w:p w14:paraId="72E61FC0" w14:textId="77777777" w:rsidR="006919B2" w:rsidRPr="00FE54B3" w:rsidRDefault="006919B2" w:rsidP="006919B2">
      <w:pPr>
        <w:rPr>
          <w:sz w:val="22"/>
          <w:szCs w:val="22"/>
        </w:rPr>
      </w:pPr>
      <w:r>
        <w:rPr>
          <w:b/>
          <w:sz w:val="22"/>
          <w:szCs w:val="22"/>
          <w:u w:val="single"/>
        </w:rPr>
        <w:t>5.  General Information</w:t>
      </w:r>
    </w:p>
    <w:p w14:paraId="015CEF7B" w14:textId="77777777" w:rsidR="00DD7C8F" w:rsidRDefault="00DD7C8F">
      <w:pPr>
        <w:rPr>
          <w:sz w:val="22"/>
          <w:szCs w:val="22"/>
        </w:rPr>
      </w:pPr>
    </w:p>
    <w:p w14:paraId="655BF65B" w14:textId="35FE696F" w:rsidR="00014F01" w:rsidRPr="005E6135" w:rsidRDefault="007B3EB8" w:rsidP="00DD7C8F">
      <w:pPr>
        <w:rPr>
          <w:sz w:val="22"/>
          <w:szCs w:val="22"/>
        </w:rPr>
      </w:pPr>
      <w:r>
        <w:rPr>
          <w:sz w:val="22"/>
          <w:szCs w:val="22"/>
        </w:rPr>
        <w:t xml:space="preserve">The basic document that gives </w:t>
      </w:r>
      <w:r w:rsidR="00516722">
        <w:rPr>
          <w:sz w:val="22"/>
          <w:szCs w:val="22"/>
        </w:rPr>
        <w:t xml:space="preserve">general </w:t>
      </w:r>
      <w:r>
        <w:rPr>
          <w:sz w:val="22"/>
          <w:szCs w:val="22"/>
        </w:rPr>
        <w:t xml:space="preserve">methods for the determination of compliance with the </w:t>
      </w:r>
      <w:r w:rsidR="00975D03">
        <w:rPr>
          <w:sz w:val="22"/>
          <w:szCs w:val="22"/>
        </w:rPr>
        <w:t>exposure limits for environmental</w:t>
      </w:r>
      <w:r>
        <w:rPr>
          <w:sz w:val="22"/>
          <w:szCs w:val="22"/>
        </w:rPr>
        <w:t xml:space="preserve"> RF sources </w:t>
      </w:r>
      <w:r w:rsidR="00975D03">
        <w:rPr>
          <w:sz w:val="22"/>
          <w:szCs w:val="22"/>
        </w:rPr>
        <w:t xml:space="preserve">continues to be Office of Engineering and Technology </w:t>
      </w:r>
      <w:r w:rsidR="00516722">
        <w:rPr>
          <w:sz w:val="22"/>
          <w:szCs w:val="22"/>
        </w:rPr>
        <w:t xml:space="preserve">(OET) </w:t>
      </w:r>
      <w:r w:rsidR="00975D03">
        <w:rPr>
          <w:sz w:val="22"/>
          <w:szCs w:val="22"/>
        </w:rPr>
        <w:t>Bulletin 65 available at:</w:t>
      </w:r>
      <w:r w:rsidR="00DD7C8F">
        <w:rPr>
          <w:sz w:val="22"/>
          <w:szCs w:val="22"/>
        </w:rPr>
        <w:t xml:space="preserve"> </w:t>
      </w:r>
      <w:hyperlink r:id="rId13" w:history="1">
        <w:r w:rsidR="00516722" w:rsidRPr="00874684">
          <w:rPr>
            <w:rStyle w:val="Hyperlink"/>
            <w:sz w:val="22"/>
            <w:szCs w:val="22"/>
          </w:rPr>
          <w:t>http://transition.fcc.gov/Bureaus/Engineering_Technology/Documents/bulletins/oet65/oet65.pdf</w:t>
        </w:r>
      </w:hyperlink>
      <w:r w:rsidR="00516722">
        <w:rPr>
          <w:sz w:val="22"/>
          <w:szCs w:val="22"/>
        </w:rPr>
        <w:t xml:space="preserve">.  Several other related documents and general information are available at: </w:t>
      </w:r>
      <w:hyperlink r:id="rId14" w:history="1">
        <w:r w:rsidR="00516722" w:rsidRPr="00874684">
          <w:rPr>
            <w:rStyle w:val="Hyperlink"/>
            <w:sz w:val="22"/>
            <w:szCs w:val="22"/>
          </w:rPr>
          <w:t>http://www.fcc.gov/encyclopedia/radio-frequency-safety</w:t>
        </w:r>
      </w:hyperlink>
      <w:r w:rsidR="004A54AF">
        <w:rPr>
          <w:sz w:val="22"/>
          <w:szCs w:val="22"/>
        </w:rPr>
        <w:t>.  For guidance on compliance for mobile and portable devices see the links above for the KDB.</w:t>
      </w:r>
    </w:p>
    <w:sectPr w:rsidR="00014F01" w:rsidRPr="005E6135">
      <w:headerReference w:type="even" r:id="rId15"/>
      <w:headerReference w:type="default" r:id="rId16"/>
      <w:footerReference w:type="even" r:id="rId17"/>
      <w:footerReference w:type="default" r:id="rId18"/>
      <w:headerReference w:type="first" r:id="rId19"/>
      <w:footerReference w:type="first" r:id="rId20"/>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183A6" w14:textId="77777777" w:rsidR="00255FE1" w:rsidRDefault="00255FE1">
      <w:r>
        <w:separator/>
      </w:r>
    </w:p>
  </w:endnote>
  <w:endnote w:type="continuationSeparator" w:id="0">
    <w:p w14:paraId="069D0542" w14:textId="77777777" w:rsidR="00255FE1" w:rsidRDefault="00255FE1">
      <w:r>
        <w:continuationSeparator/>
      </w:r>
    </w:p>
  </w:endnote>
  <w:endnote w:type="continuationNotice" w:id="1">
    <w:p w14:paraId="27DC031D" w14:textId="77777777" w:rsidR="00255FE1" w:rsidRDefault="00255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BC3A" w14:textId="77777777" w:rsidR="00EB311B" w:rsidRDefault="00EB3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5581">
      <w:rPr>
        <w:rStyle w:val="PageNumber"/>
        <w:noProof/>
      </w:rPr>
      <w:t>4</w:t>
    </w:r>
    <w:r>
      <w:rPr>
        <w:rStyle w:val="PageNumber"/>
      </w:rPr>
      <w:fldChar w:fldCharType="end"/>
    </w:r>
  </w:p>
  <w:p w14:paraId="0B30BFAF" w14:textId="77777777" w:rsidR="00EB311B" w:rsidRDefault="00EB3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14B7" w14:textId="77777777" w:rsidR="00EB311B" w:rsidRDefault="00EB3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05B9">
      <w:rPr>
        <w:rStyle w:val="PageNumber"/>
        <w:noProof/>
      </w:rPr>
      <w:t>2</w:t>
    </w:r>
    <w:r>
      <w:rPr>
        <w:rStyle w:val="PageNumber"/>
      </w:rPr>
      <w:fldChar w:fldCharType="end"/>
    </w:r>
  </w:p>
  <w:p w14:paraId="45A9574B" w14:textId="77777777" w:rsidR="00EB311B" w:rsidRDefault="00EB3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E492E" w14:textId="77777777" w:rsidR="00A95581" w:rsidRDefault="00A95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E00F4" w14:textId="77777777" w:rsidR="00255FE1" w:rsidRDefault="00255FE1">
      <w:r>
        <w:separator/>
      </w:r>
    </w:p>
  </w:footnote>
  <w:footnote w:type="continuationSeparator" w:id="0">
    <w:p w14:paraId="6ECF110A" w14:textId="77777777" w:rsidR="00255FE1" w:rsidRDefault="00255FE1">
      <w:r>
        <w:continuationSeparator/>
      </w:r>
    </w:p>
  </w:footnote>
  <w:footnote w:type="continuationNotice" w:id="1">
    <w:p w14:paraId="24164ECE" w14:textId="77777777" w:rsidR="00255FE1" w:rsidRDefault="00255F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BDFDC" w14:textId="77777777" w:rsidR="00A95581" w:rsidRDefault="00A95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6FEF" w14:textId="77777777" w:rsidR="00A95581" w:rsidRDefault="00A95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F01B8" w14:textId="77777777" w:rsidR="00EB311B" w:rsidRDefault="00971F28">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14:anchorId="30383980" wp14:editId="7802C055">
          <wp:simplePos x="0" y="0"/>
          <wp:positionH relativeFrom="column">
            <wp:posOffset>-403860</wp:posOffset>
          </wp:positionH>
          <wp:positionV relativeFrom="paragraph">
            <wp:posOffset>0</wp:posOffset>
          </wp:positionV>
          <wp:extent cx="865505"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EB311B">
      <w:rPr>
        <w:rFonts w:ascii="CG Times (W1)" w:hAnsi="CG Times (W1)"/>
        <w:sz w:val="28"/>
      </w:rPr>
      <w:t>Federal Communications Commission</w:t>
    </w:r>
  </w:p>
  <w:p w14:paraId="3A21A51E" w14:textId="77777777" w:rsidR="00EB311B" w:rsidRDefault="00EB311B">
    <w:pPr>
      <w:jc w:val="center"/>
    </w:pPr>
    <w:r>
      <w:rPr>
        <w:rFonts w:ascii="CG Times (W1)" w:hAnsi="CG Times (W1)"/>
        <w:sz w:val="28"/>
      </w:rPr>
      <w:t>Washington, D.C. 20554</w:t>
    </w:r>
  </w:p>
  <w:p w14:paraId="37C84F5C" w14:textId="77777777" w:rsidR="00EB311B" w:rsidRDefault="00EB311B">
    <w:pPr>
      <w:pStyle w:val="Header"/>
      <w:tabs>
        <w:tab w:val="clear" w:pos="4320"/>
      </w:tabs>
      <w:jc w:val="center"/>
      <w:rPr>
        <w:sz w:val="22"/>
      </w:rPr>
    </w:pPr>
  </w:p>
  <w:p w14:paraId="1A993FA3" w14:textId="6B0A35D6" w:rsidR="00EB311B" w:rsidRDefault="00DD2E6C">
    <w:pPr>
      <w:pStyle w:val="Header"/>
      <w:tabs>
        <w:tab w:val="clear" w:pos="4320"/>
      </w:tabs>
      <w:jc w:val="center"/>
      <w:rPr>
        <w:sz w:val="24"/>
        <w:szCs w:val="24"/>
      </w:rPr>
    </w:pPr>
    <w:r>
      <w:rPr>
        <w:sz w:val="24"/>
        <w:szCs w:val="24"/>
      </w:rPr>
      <w:t>June 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020"/>
    <w:multiLevelType w:val="hybridMultilevel"/>
    <w:tmpl w:val="7A1E3596"/>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8A7BAF"/>
    <w:multiLevelType w:val="hybridMultilevel"/>
    <w:tmpl w:val="72D4CDBC"/>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182925"/>
    <w:multiLevelType w:val="singleLevel"/>
    <w:tmpl w:val="C40EC6CE"/>
    <w:lvl w:ilvl="0">
      <w:start w:val="1"/>
      <w:numFmt w:val="decimal"/>
      <w:pStyle w:val="ParaNum"/>
      <w:lvlText w:val="%1."/>
      <w:lvlJc w:val="left"/>
      <w:pPr>
        <w:tabs>
          <w:tab w:val="num" w:pos="1080"/>
        </w:tabs>
        <w:ind w:left="0" w:firstLine="720"/>
      </w:pPr>
      <w:rPr>
        <w:b w:val="0"/>
        <w:sz w:val="22"/>
        <w:szCs w:val="22"/>
      </w:rPr>
    </w:lvl>
  </w:abstractNum>
  <w:abstractNum w:abstractNumId="3">
    <w:nsid w:val="66A33A5A"/>
    <w:multiLevelType w:val="hybridMultilevel"/>
    <w:tmpl w:val="9FFC27D8"/>
    <w:lvl w:ilvl="0" w:tplc="FEFC9E90">
      <w:start w:val="1"/>
      <w:numFmt w:val="bullet"/>
      <w:lvlText w:val=""/>
      <w:lvlJc w:val="left"/>
      <w:pPr>
        <w:tabs>
          <w:tab w:val="num" w:pos="720"/>
        </w:tabs>
        <w:ind w:left="720" w:hanging="360"/>
      </w:pPr>
      <w:rPr>
        <w:rFonts w:ascii="Symbol" w:hAnsi="Symbol" w:hint="default"/>
      </w:rPr>
    </w:lvl>
    <w:lvl w:ilvl="1" w:tplc="A8CC3304" w:tentative="1">
      <w:start w:val="1"/>
      <w:numFmt w:val="bullet"/>
      <w:lvlText w:val="o"/>
      <w:lvlJc w:val="left"/>
      <w:pPr>
        <w:tabs>
          <w:tab w:val="num" w:pos="1440"/>
        </w:tabs>
        <w:ind w:left="1440" w:hanging="360"/>
      </w:pPr>
      <w:rPr>
        <w:rFonts w:ascii="Courier New" w:hAnsi="Courier New" w:cs="Arial" w:hint="default"/>
      </w:rPr>
    </w:lvl>
    <w:lvl w:ilvl="2" w:tplc="7F16D7F8" w:tentative="1">
      <w:start w:val="1"/>
      <w:numFmt w:val="bullet"/>
      <w:lvlText w:val=""/>
      <w:lvlJc w:val="left"/>
      <w:pPr>
        <w:tabs>
          <w:tab w:val="num" w:pos="2160"/>
        </w:tabs>
        <w:ind w:left="2160" w:hanging="360"/>
      </w:pPr>
      <w:rPr>
        <w:rFonts w:ascii="Wingdings" w:hAnsi="Wingdings" w:hint="default"/>
      </w:rPr>
    </w:lvl>
    <w:lvl w:ilvl="3" w:tplc="01CE8748" w:tentative="1">
      <w:start w:val="1"/>
      <w:numFmt w:val="bullet"/>
      <w:lvlText w:val=""/>
      <w:lvlJc w:val="left"/>
      <w:pPr>
        <w:tabs>
          <w:tab w:val="num" w:pos="2880"/>
        </w:tabs>
        <w:ind w:left="2880" w:hanging="360"/>
      </w:pPr>
      <w:rPr>
        <w:rFonts w:ascii="Symbol" w:hAnsi="Symbol" w:hint="default"/>
      </w:rPr>
    </w:lvl>
    <w:lvl w:ilvl="4" w:tplc="438A8264" w:tentative="1">
      <w:start w:val="1"/>
      <w:numFmt w:val="bullet"/>
      <w:lvlText w:val="o"/>
      <w:lvlJc w:val="left"/>
      <w:pPr>
        <w:tabs>
          <w:tab w:val="num" w:pos="3600"/>
        </w:tabs>
        <w:ind w:left="3600" w:hanging="360"/>
      </w:pPr>
      <w:rPr>
        <w:rFonts w:ascii="Courier New" w:hAnsi="Courier New" w:cs="Arial" w:hint="default"/>
      </w:rPr>
    </w:lvl>
    <w:lvl w:ilvl="5" w:tplc="9B5A4078" w:tentative="1">
      <w:start w:val="1"/>
      <w:numFmt w:val="bullet"/>
      <w:lvlText w:val=""/>
      <w:lvlJc w:val="left"/>
      <w:pPr>
        <w:tabs>
          <w:tab w:val="num" w:pos="4320"/>
        </w:tabs>
        <w:ind w:left="4320" w:hanging="360"/>
      </w:pPr>
      <w:rPr>
        <w:rFonts w:ascii="Wingdings" w:hAnsi="Wingdings" w:hint="default"/>
      </w:rPr>
    </w:lvl>
    <w:lvl w:ilvl="6" w:tplc="A1A6DE2C" w:tentative="1">
      <w:start w:val="1"/>
      <w:numFmt w:val="bullet"/>
      <w:lvlText w:val=""/>
      <w:lvlJc w:val="left"/>
      <w:pPr>
        <w:tabs>
          <w:tab w:val="num" w:pos="5040"/>
        </w:tabs>
        <w:ind w:left="5040" w:hanging="360"/>
      </w:pPr>
      <w:rPr>
        <w:rFonts w:ascii="Symbol" w:hAnsi="Symbol" w:hint="default"/>
      </w:rPr>
    </w:lvl>
    <w:lvl w:ilvl="7" w:tplc="D5A2659A" w:tentative="1">
      <w:start w:val="1"/>
      <w:numFmt w:val="bullet"/>
      <w:lvlText w:val="o"/>
      <w:lvlJc w:val="left"/>
      <w:pPr>
        <w:tabs>
          <w:tab w:val="num" w:pos="5760"/>
        </w:tabs>
        <w:ind w:left="5760" w:hanging="360"/>
      </w:pPr>
      <w:rPr>
        <w:rFonts w:ascii="Courier New" w:hAnsi="Courier New" w:cs="Arial" w:hint="default"/>
      </w:rPr>
    </w:lvl>
    <w:lvl w:ilvl="8" w:tplc="4A60D10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1B"/>
    <w:rsid w:val="00001557"/>
    <w:rsid w:val="00014F01"/>
    <w:rsid w:val="00017465"/>
    <w:rsid w:val="000209B4"/>
    <w:rsid w:val="0002724C"/>
    <w:rsid w:val="00034BA6"/>
    <w:rsid w:val="00037BE1"/>
    <w:rsid w:val="00046EBD"/>
    <w:rsid w:val="00061047"/>
    <w:rsid w:val="00070A08"/>
    <w:rsid w:val="000719B6"/>
    <w:rsid w:val="00081A46"/>
    <w:rsid w:val="000C3B74"/>
    <w:rsid w:val="000D14B8"/>
    <w:rsid w:val="000D3E98"/>
    <w:rsid w:val="000E420E"/>
    <w:rsid w:val="0010355B"/>
    <w:rsid w:val="0013209F"/>
    <w:rsid w:val="00134963"/>
    <w:rsid w:val="001364C3"/>
    <w:rsid w:val="001368D8"/>
    <w:rsid w:val="00144A41"/>
    <w:rsid w:val="001452B4"/>
    <w:rsid w:val="0017726F"/>
    <w:rsid w:val="00177429"/>
    <w:rsid w:val="00185E79"/>
    <w:rsid w:val="00190856"/>
    <w:rsid w:val="001928CA"/>
    <w:rsid w:val="00195007"/>
    <w:rsid w:val="0019752C"/>
    <w:rsid w:val="001A2F64"/>
    <w:rsid w:val="001B5F8C"/>
    <w:rsid w:val="001D6A39"/>
    <w:rsid w:val="001E13DC"/>
    <w:rsid w:val="001E4BBB"/>
    <w:rsid w:val="001F3925"/>
    <w:rsid w:val="001F659C"/>
    <w:rsid w:val="002049B3"/>
    <w:rsid w:val="00213BF4"/>
    <w:rsid w:val="00223C5B"/>
    <w:rsid w:val="00225CAB"/>
    <w:rsid w:val="002510CA"/>
    <w:rsid w:val="00255FE1"/>
    <w:rsid w:val="00262566"/>
    <w:rsid w:val="0028456B"/>
    <w:rsid w:val="0029145A"/>
    <w:rsid w:val="002A59E9"/>
    <w:rsid w:val="002B702D"/>
    <w:rsid w:val="002D2E55"/>
    <w:rsid w:val="002D6086"/>
    <w:rsid w:val="002E620B"/>
    <w:rsid w:val="002E7FA4"/>
    <w:rsid w:val="002F25DB"/>
    <w:rsid w:val="002F3E6B"/>
    <w:rsid w:val="003346A3"/>
    <w:rsid w:val="00342193"/>
    <w:rsid w:val="00343B7D"/>
    <w:rsid w:val="00350C9B"/>
    <w:rsid w:val="00354570"/>
    <w:rsid w:val="00360EC2"/>
    <w:rsid w:val="00370E3B"/>
    <w:rsid w:val="00391DFE"/>
    <w:rsid w:val="00393EC3"/>
    <w:rsid w:val="00393EEB"/>
    <w:rsid w:val="003A1860"/>
    <w:rsid w:val="003C18CE"/>
    <w:rsid w:val="003C70CD"/>
    <w:rsid w:val="003D051C"/>
    <w:rsid w:val="003D5565"/>
    <w:rsid w:val="003E2159"/>
    <w:rsid w:val="003E42D0"/>
    <w:rsid w:val="003E7556"/>
    <w:rsid w:val="0040130D"/>
    <w:rsid w:val="00404641"/>
    <w:rsid w:val="00405A7B"/>
    <w:rsid w:val="00407216"/>
    <w:rsid w:val="00467797"/>
    <w:rsid w:val="00475B5F"/>
    <w:rsid w:val="004814E9"/>
    <w:rsid w:val="00482C1B"/>
    <w:rsid w:val="00482D74"/>
    <w:rsid w:val="004A54AF"/>
    <w:rsid w:val="004B608A"/>
    <w:rsid w:val="004E72B8"/>
    <w:rsid w:val="004F4184"/>
    <w:rsid w:val="0050132A"/>
    <w:rsid w:val="0050214C"/>
    <w:rsid w:val="00513449"/>
    <w:rsid w:val="00516722"/>
    <w:rsid w:val="0052073B"/>
    <w:rsid w:val="005212C0"/>
    <w:rsid w:val="0052173D"/>
    <w:rsid w:val="00526E2B"/>
    <w:rsid w:val="00560A7B"/>
    <w:rsid w:val="00560E06"/>
    <w:rsid w:val="0056339E"/>
    <w:rsid w:val="00571DB5"/>
    <w:rsid w:val="00580C8C"/>
    <w:rsid w:val="00586959"/>
    <w:rsid w:val="005976B9"/>
    <w:rsid w:val="005A4277"/>
    <w:rsid w:val="005B1AD4"/>
    <w:rsid w:val="005D27C9"/>
    <w:rsid w:val="005E0D5F"/>
    <w:rsid w:val="005E6135"/>
    <w:rsid w:val="005F08F2"/>
    <w:rsid w:val="005F1AB3"/>
    <w:rsid w:val="00610833"/>
    <w:rsid w:val="0061306F"/>
    <w:rsid w:val="00623139"/>
    <w:rsid w:val="00626EB2"/>
    <w:rsid w:val="00633F91"/>
    <w:rsid w:val="006420D4"/>
    <w:rsid w:val="006433BC"/>
    <w:rsid w:val="00652441"/>
    <w:rsid w:val="00653743"/>
    <w:rsid w:val="00662BA9"/>
    <w:rsid w:val="0066378E"/>
    <w:rsid w:val="006661B0"/>
    <w:rsid w:val="006663B4"/>
    <w:rsid w:val="00666E21"/>
    <w:rsid w:val="00667174"/>
    <w:rsid w:val="006919B2"/>
    <w:rsid w:val="00692A4F"/>
    <w:rsid w:val="0069794B"/>
    <w:rsid w:val="006A6030"/>
    <w:rsid w:val="006A7C03"/>
    <w:rsid w:val="006C7487"/>
    <w:rsid w:val="006D3B23"/>
    <w:rsid w:val="006E56C0"/>
    <w:rsid w:val="00702E9C"/>
    <w:rsid w:val="00716D83"/>
    <w:rsid w:val="00716F48"/>
    <w:rsid w:val="007366DF"/>
    <w:rsid w:val="00746094"/>
    <w:rsid w:val="00757644"/>
    <w:rsid w:val="007646F2"/>
    <w:rsid w:val="00764DC0"/>
    <w:rsid w:val="00766F95"/>
    <w:rsid w:val="00767287"/>
    <w:rsid w:val="0077720E"/>
    <w:rsid w:val="007B3EB8"/>
    <w:rsid w:val="007C5381"/>
    <w:rsid w:val="007C6336"/>
    <w:rsid w:val="007D0917"/>
    <w:rsid w:val="007F6D89"/>
    <w:rsid w:val="0080507C"/>
    <w:rsid w:val="008075E9"/>
    <w:rsid w:val="0081009D"/>
    <w:rsid w:val="0081416D"/>
    <w:rsid w:val="008352F6"/>
    <w:rsid w:val="00845D35"/>
    <w:rsid w:val="00852F90"/>
    <w:rsid w:val="00853712"/>
    <w:rsid w:val="00855997"/>
    <w:rsid w:val="00883C76"/>
    <w:rsid w:val="00883E6C"/>
    <w:rsid w:val="008843FB"/>
    <w:rsid w:val="008A0BD2"/>
    <w:rsid w:val="008A40FF"/>
    <w:rsid w:val="008A664D"/>
    <w:rsid w:val="008B0A75"/>
    <w:rsid w:val="008B5566"/>
    <w:rsid w:val="008F14E2"/>
    <w:rsid w:val="008F7471"/>
    <w:rsid w:val="009037B4"/>
    <w:rsid w:val="009158B2"/>
    <w:rsid w:val="00921365"/>
    <w:rsid w:val="009252A7"/>
    <w:rsid w:val="00930BD6"/>
    <w:rsid w:val="009358DE"/>
    <w:rsid w:val="00971F28"/>
    <w:rsid w:val="00975D03"/>
    <w:rsid w:val="00976620"/>
    <w:rsid w:val="00986CCE"/>
    <w:rsid w:val="00996B9C"/>
    <w:rsid w:val="009A6F7C"/>
    <w:rsid w:val="009B03D1"/>
    <w:rsid w:val="009B253E"/>
    <w:rsid w:val="009E229D"/>
    <w:rsid w:val="009F22EE"/>
    <w:rsid w:val="00A03662"/>
    <w:rsid w:val="00A07A76"/>
    <w:rsid w:val="00A11BFA"/>
    <w:rsid w:val="00A27637"/>
    <w:rsid w:val="00A40A5B"/>
    <w:rsid w:val="00A5139E"/>
    <w:rsid w:val="00A54943"/>
    <w:rsid w:val="00A71A89"/>
    <w:rsid w:val="00A9154E"/>
    <w:rsid w:val="00A95581"/>
    <w:rsid w:val="00AB4DBC"/>
    <w:rsid w:val="00AC7160"/>
    <w:rsid w:val="00AD32F4"/>
    <w:rsid w:val="00AD53E8"/>
    <w:rsid w:val="00AD62F7"/>
    <w:rsid w:val="00AD74BD"/>
    <w:rsid w:val="00AE2BFE"/>
    <w:rsid w:val="00B03A50"/>
    <w:rsid w:val="00B06582"/>
    <w:rsid w:val="00B42569"/>
    <w:rsid w:val="00B44F87"/>
    <w:rsid w:val="00B4556B"/>
    <w:rsid w:val="00B53B22"/>
    <w:rsid w:val="00B56355"/>
    <w:rsid w:val="00B74BD9"/>
    <w:rsid w:val="00B770F9"/>
    <w:rsid w:val="00B840DA"/>
    <w:rsid w:val="00B84422"/>
    <w:rsid w:val="00B92C81"/>
    <w:rsid w:val="00BA1946"/>
    <w:rsid w:val="00BA77E0"/>
    <w:rsid w:val="00BA7FA9"/>
    <w:rsid w:val="00BC648C"/>
    <w:rsid w:val="00BD78BB"/>
    <w:rsid w:val="00C03176"/>
    <w:rsid w:val="00C0448E"/>
    <w:rsid w:val="00C0472F"/>
    <w:rsid w:val="00C1050C"/>
    <w:rsid w:val="00C13640"/>
    <w:rsid w:val="00C1673B"/>
    <w:rsid w:val="00C244C7"/>
    <w:rsid w:val="00C259C3"/>
    <w:rsid w:val="00C268C5"/>
    <w:rsid w:val="00C44E16"/>
    <w:rsid w:val="00C83E7D"/>
    <w:rsid w:val="00C902EF"/>
    <w:rsid w:val="00C92056"/>
    <w:rsid w:val="00CA596F"/>
    <w:rsid w:val="00CB2C4B"/>
    <w:rsid w:val="00CB7C0E"/>
    <w:rsid w:val="00CC3A4B"/>
    <w:rsid w:val="00CC58A5"/>
    <w:rsid w:val="00CD1221"/>
    <w:rsid w:val="00CE477C"/>
    <w:rsid w:val="00D14012"/>
    <w:rsid w:val="00D15346"/>
    <w:rsid w:val="00D17983"/>
    <w:rsid w:val="00D41C44"/>
    <w:rsid w:val="00D73AB3"/>
    <w:rsid w:val="00D83FA0"/>
    <w:rsid w:val="00D9070E"/>
    <w:rsid w:val="00D933B5"/>
    <w:rsid w:val="00D95AB3"/>
    <w:rsid w:val="00DA3D5A"/>
    <w:rsid w:val="00DA4060"/>
    <w:rsid w:val="00DA5A49"/>
    <w:rsid w:val="00DB0874"/>
    <w:rsid w:val="00DB3306"/>
    <w:rsid w:val="00DD2E6C"/>
    <w:rsid w:val="00DD7C8F"/>
    <w:rsid w:val="00DF48CB"/>
    <w:rsid w:val="00E039D0"/>
    <w:rsid w:val="00E07C26"/>
    <w:rsid w:val="00E12A37"/>
    <w:rsid w:val="00E15B84"/>
    <w:rsid w:val="00E201EF"/>
    <w:rsid w:val="00E26564"/>
    <w:rsid w:val="00E34D29"/>
    <w:rsid w:val="00E46D0B"/>
    <w:rsid w:val="00E56C65"/>
    <w:rsid w:val="00E71DD2"/>
    <w:rsid w:val="00E83AFE"/>
    <w:rsid w:val="00E943D8"/>
    <w:rsid w:val="00EA3706"/>
    <w:rsid w:val="00EB311B"/>
    <w:rsid w:val="00ED6427"/>
    <w:rsid w:val="00EF23B2"/>
    <w:rsid w:val="00F005B9"/>
    <w:rsid w:val="00F076E7"/>
    <w:rsid w:val="00F1606C"/>
    <w:rsid w:val="00F211B8"/>
    <w:rsid w:val="00F46EC6"/>
    <w:rsid w:val="00F50369"/>
    <w:rsid w:val="00F66AAA"/>
    <w:rsid w:val="00F74A08"/>
    <w:rsid w:val="00F87592"/>
    <w:rsid w:val="00F87CE8"/>
    <w:rsid w:val="00FA20EF"/>
    <w:rsid w:val="00FA2544"/>
    <w:rsid w:val="00FA7E40"/>
    <w:rsid w:val="00FC6D4E"/>
    <w:rsid w:val="00FE4EC1"/>
    <w:rsid w:val="00FE54B3"/>
    <w:rsid w:val="00FE5E35"/>
    <w:rsid w:val="00FF4903"/>
    <w:rsid w:val="00FF56C5"/>
    <w:rsid w:val="00FF67FD"/>
    <w:rsid w:val="00FF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B2"/>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ParaNum">
    <w:name w:val="ParaNum"/>
    <w:basedOn w:val="Normal"/>
    <w:link w:val="ParaNumChar1"/>
    <w:pPr>
      <w:widowControl w:val="0"/>
      <w:numPr>
        <w:numId w:val="3"/>
      </w:numPr>
      <w:spacing w:after="120"/>
    </w:pPr>
    <w:rPr>
      <w:snapToGrid w:val="0"/>
      <w:kern w:val="28"/>
      <w:sz w:val="22"/>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ParaNumChar1">
    <w:name w:val="ParaNum Char1"/>
    <w:basedOn w:val="DefaultParagraphFont"/>
    <w:link w:val="ParaNum"/>
    <w:rsid w:val="009158B2"/>
    <w:rPr>
      <w:snapToGrid w:val="0"/>
      <w:kern w:val="28"/>
      <w:sz w:val="22"/>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basedOn w:val="Normal"/>
    <w:link w:val="FootnoteTextChar2"/>
    <w:rsid w:val="00CB2C4B"/>
    <w:pPr>
      <w:spacing w:after="120"/>
    </w:pPr>
  </w:style>
  <w:style w:type="character" w:customStyle="1" w:styleId="FootnoteTextChar">
    <w:name w:val="Footnote Text Char"/>
    <w:basedOn w:val="DefaultParagraphFont"/>
    <w:rsid w:val="00CB2C4B"/>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locked/>
    <w:rsid w:val="00CB2C4B"/>
  </w:style>
  <w:style w:type="character" w:styleId="FootnoteReference">
    <w:name w:val="footnote reference"/>
    <w:aliases w:val="Appel note de bas de p,o,fr,(NECG) Footnote Reference,Style 12,Style 124,Style 3,Style 17,FR,Style 13,Footnote Reference/,Style 6"/>
    <w:basedOn w:val="DefaultParagraphFont"/>
    <w:rsid w:val="00CB2C4B"/>
    <w:rPr>
      <w:rFonts w:ascii="Times New Roman" w:hAnsi="Times New Roman" w:cs="Times New Roman"/>
      <w:color w:val="auto"/>
      <w:sz w:val="22"/>
      <w:vertAlign w:val="superscript"/>
    </w:rPr>
  </w:style>
  <w:style w:type="character" w:styleId="CommentReference">
    <w:name w:val="annotation reference"/>
    <w:basedOn w:val="DefaultParagraphFont"/>
    <w:rsid w:val="00185E79"/>
    <w:rPr>
      <w:sz w:val="16"/>
      <w:szCs w:val="16"/>
    </w:rPr>
  </w:style>
  <w:style w:type="paragraph" w:styleId="CommentText">
    <w:name w:val="annotation text"/>
    <w:basedOn w:val="Normal"/>
    <w:link w:val="CommentTextChar"/>
    <w:rsid w:val="00185E79"/>
  </w:style>
  <w:style w:type="character" w:customStyle="1" w:styleId="CommentTextChar">
    <w:name w:val="Comment Text Char"/>
    <w:basedOn w:val="DefaultParagraphFont"/>
    <w:link w:val="CommentText"/>
    <w:rsid w:val="00185E79"/>
  </w:style>
  <w:style w:type="paragraph" w:styleId="CommentSubject">
    <w:name w:val="annotation subject"/>
    <w:basedOn w:val="CommentText"/>
    <w:next w:val="CommentText"/>
    <w:link w:val="CommentSubjectChar"/>
    <w:rsid w:val="00185E79"/>
    <w:rPr>
      <w:b/>
      <w:bCs/>
    </w:rPr>
  </w:style>
  <w:style w:type="character" w:customStyle="1" w:styleId="CommentSubjectChar">
    <w:name w:val="Comment Subject Char"/>
    <w:basedOn w:val="CommentTextChar"/>
    <w:link w:val="CommentSubject"/>
    <w:rsid w:val="00185E79"/>
    <w:rPr>
      <w:b/>
      <w:bCs/>
    </w:rPr>
  </w:style>
  <w:style w:type="paragraph" w:styleId="Revision">
    <w:name w:val="Revision"/>
    <w:hidden/>
    <w:uiPriority w:val="99"/>
    <w:semiHidden/>
    <w:rsid w:val="00B92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B2"/>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ParaNum">
    <w:name w:val="ParaNum"/>
    <w:basedOn w:val="Normal"/>
    <w:link w:val="ParaNumChar1"/>
    <w:pPr>
      <w:widowControl w:val="0"/>
      <w:numPr>
        <w:numId w:val="3"/>
      </w:numPr>
      <w:spacing w:after="120"/>
    </w:pPr>
    <w:rPr>
      <w:snapToGrid w:val="0"/>
      <w:kern w:val="28"/>
      <w:sz w:val="22"/>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ParaNumChar1">
    <w:name w:val="ParaNum Char1"/>
    <w:basedOn w:val="DefaultParagraphFont"/>
    <w:link w:val="ParaNum"/>
    <w:rsid w:val="009158B2"/>
    <w:rPr>
      <w:snapToGrid w:val="0"/>
      <w:kern w:val="28"/>
      <w:sz w:val="22"/>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basedOn w:val="Normal"/>
    <w:link w:val="FootnoteTextChar2"/>
    <w:rsid w:val="00CB2C4B"/>
    <w:pPr>
      <w:spacing w:after="120"/>
    </w:pPr>
  </w:style>
  <w:style w:type="character" w:customStyle="1" w:styleId="FootnoteTextChar">
    <w:name w:val="Footnote Text Char"/>
    <w:basedOn w:val="DefaultParagraphFont"/>
    <w:rsid w:val="00CB2C4B"/>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locked/>
    <w:rsid w:val="00CB2C4B"/>
  </w:style>
  <w:style w:type="character" w:styleId="FootnoteReference">
    <w:name w:val="footnote reference"/>
    <w:aliases w:val="Appel note de bas de p,o,fr,(NECG) Footnote Reference,Style 12,Style 124,Style 3,Style 17,FR,Style 13,Footnote Reference/,Style 6"/>
    <w:basedOn w:val="DefaultParagraphFont"/>
    <w:rsid w:val="00CB2C4B"/>
    <w:rPr>
      <w:rFonts w:ascii="Times New Roman" w:hAnsi="Times New Roman" w:cs="Times New Roman"/>
      <w:color w:val="auto"/>
      <w:sz w:val="22"/>
      <w:vertAlign w:val="superscript"/>
    </w:rPr>
  </w:style>
  <w:style w:type="character" w:styleId="CommentReference">
    <w:name w:val="annotation reference"/>
    <w:basedOn w:val="DefaultParagraphFont"/>
    <w:rsid w:val="00185E79"/>
    <w:rPr>
      <w:sz w:val="16"/>
      <w:szCs w:val="16"/>
    </w:rPr>
  </w:style>
  <w:style w:type="paragraph" w:styleId="CommentText">
    <w:name w:val="annotation text"/>
    <w:basedOn w:val="Normal"/>
    <w:link w:val="CommentTextChar"/>
    <w:rsid w:val="00185E79"/>
  </w:style>
  <w:style w:type="character" w:customStyle="1" w:styleId="CommentTextChar">
    <w:name w:val="Comment Text Char"/>
    <w:basedOn w:val="DefaultParagraphFont"/>
    <w:link w:val="CommentText"/>
    <w:rsid w:val="00185E79"/>
  </w:style>
  <w:style w:type="paragraph" w:styleId="CommentSubject">
    <w:name w:val="annotation subject"/>
    <w:basedOn w:val="CommentText"/>
    <w:next w:val="CommentText"/>
    <w:link w:val="CommentSubjectChar"/>
    <w:rsid w:val="00185E79"/>
    <w:rPr>
      <w:b/>
      <w:bCs/>
    </w:rPr>
  </w:style>
  <w:style w:type="character" w:customStyle="1" w:styleId="CommentSubjectChar">
    <w:name w:val="Comment Subject Char"/>
    <w:basedOn w:val="CommentTextChar"/>
    <w:link w:val="CommentSubject"/>
    <w:rsid w:val="00185E79"/>
    <w:rPr>
      <w:b/>
      <w:bCs/>
    </w:rPr>
  </w:style>
  <w:style w:type="paragraph" w:styleId="Revision">
    <w:name w:val="Revision"/>
    <w:hidden/>
    <w:uiPriority w:val="99"/>
    <w:semiHidden/>
    <w:rsid w:val="00B9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General_Menu_Reports/" TargetMode="External"/><Relationship Id="rId13" Type="http://schemas.openxmlformats.org/officeDocument/2006/relationships/hyperlink" Target="http://transition.fcc.gov/Bureaus/Engineering_Technology/Documents/bulletins/oet65/oet65.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s.fcc.gov/oetcf/kdb/reports/GuidedPublicationList.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document/view?id=702213664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ps.fcc.gov/oetcf/kdb/reports/GuidedPublicationList.cf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transition.fcc.gov/oet/ea/" TargetMode="External"/><Relationship Id="rId14" Type="http://schemas.openxmlformats.org/officeDocument/2006/relationships/hyperlink" Target="http://www.fcc.gov/encyclopedia/radio-frequency-safety"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2289</Words>
  <Characters>13159</Characters>
  <Application>Microsoft Office Word</Application>
  <DocSecurity>0</DocSecurity>
  <Lines>207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15533</CharactersWithSpaces>
  <SharedDoc>false</SharedDoc>
  <HyperlinkBase> </HyperlinkBase>
  <HLinks>
    <vt:vector size="60" baseType="variant">
      <vt:variant>
        <vt:i4>6160424</vt:i4>
      </vt:variant>
      <vt:variant>
        <vt:i4>27</vt:i4>
      </vt:variant>
      <vt:variant>
        <vt:i4>0</vt:i4>
      </vt:variant>
      <vt:variant>
        <vt:i4>5</vt:i4>
      </vt:variant>
      <vt:variant>
        <vt:lpwstr>http://hraunfoss.fcc.gov/edocs_public/attachmatch/DA-10-815A1.pdf</vt:lpwstr>
      </vt:variant>
      <vt:variant>
        <vt:lpwstr/>
      </vt:variant>
      <vt:variant>
        <vt:i4>5701751</vt:i4>
      </vt:variant>
      <vt:variant>
        <vt:i4>24</vt:i4>
      </vt:variant>
      <vt:variant>
        <vt:i4>0</vt:i4>
      </vt:variant>
      <vt:variant>
        <vt:i4>5</vt:i4>
      </vt:variant>
      <vt:variant>
        <vt:lpwstr>http://hraunfoss.fcc.gov/edocs_public/attachmatch/FCC-09-23A1.pdf</vt:lpwstr>
      </vt:variant>
      <vt:variant>
        <vt:lpwstr/>
      </vt:variant>
      <vt:variant>
        <vt:i4>5570619</vt:i4>
      </vt:variant>
      <vt:variant>
        <vt:i4>21</vt:i4>
      </vt:variant>
      <vt:variant>
        <vt:i4>0</vt:i4>
      </vt:variant>
      <vt:variant>
        <vt:i4>5</vt:i4>
      </vt:variant>
      <vt:variant>
        <vt:lpwstr>http://hraunfoss.fcc.gov/edocs_public/attachmatch/DA-11-912A1.doc</vt:lpwstr>
      </vt:variant>
      <vt:variant>
        <vt:lpwstr/>
      </vt:variant>
      <vt:variant>
        <vt:i4>6881309</vt:i4>
      </vt:variant>
      <vt:variant>
        <vt:i4>18</vt:i4>
      </vt:variant>
      <vt:variant>
        <vt:i4>0</vt:i4>
      </vt:variant>
      <vt:variant>
        <vt:i4>5</vt:i4>
      </vt:variant>
      <vt:variant>
        <vt:lpwstr>http://hraunfoss.fcc.gov/edocs_public/attachmatch/FCC-10-128A1.pdf</vt:lpwstr>
      </vt:variant>
      <vt:variant>
        <vt:lpwstr/>
      </vt:variant>
      <vt:variant>
        <vt:i4>6553630</vt:i4>
      </vt:variant>
      <vt:variant>
        <vt:i4>15</vt:i4>
      </vt:variant>
      <vt:variant>
        <vt:i4>0</vt:i4>
      </vt:variant>
      <vt:variant>
        <vt:i4>5</vt:i4>
      </vt:variant>
      <vt:variant>
        <vt:lpwstr>http://hraunfoss.fcc.gov/edocs_public/attachmatch/FCC-06-103A1.pdf</vt:lpwstr>
      </vt:variant>
      <vt:variant>
        <vt:lpwstr/>
      </vt:variant>
      <vt:variant>
        <vt:i4>5701748</vt:i4>
      </vt:variant>
      <vt:variant>
        <vt:i4>12</vt:i4>
      </vt:variant>
      <vt:variant>
        <vt:i4>0</vt:i4>
      </vt:variant>
      <vt:variant>
        <vt:i4>5</vt:i4>
      </vt:variant>
      <vt:variant>
        <vt:lpwstr>http://hraunfoss.fcc.gov/edocs_public/attachmatch/FCC-09-20A1.pdf</vt:lpwstr>
      </vt:variant>
      <vt:variant>
        <vt:lpwstr/>
      </vt:variant>
      <vt:variant>
        <vt:i4>6684696</vt:i4>
      </vt:variant>
      <vt:variant>
        <vt:i4>9</vt:i4>
      </vt:variant>
      <vt:variant>
        <vt:i4>0</vt:i4>
      </vt:variant>
      <vt:variant>
        <vt:i4>5</vt:i4>
      </vt:variant>
      <vt:variant>
        <vt:lpwstr>http://hraunfoss.fcc.gov/edocs_public/attachmatch/FCC-11-176A1.pdf</vt:lpwstr>
      </vt:variant>
      <vt:variant>
        <vt:lpwstr/>
      </vt:variant>
      <vt:variant>
        <vt:i4>7798845</vt:i4>
      </vt:variant>
      <vt:variant>
        <vt:i4>6</vt:i4>
      </vt:variant>
      <vt:variant>
        <vt:i4>0</vt:i4>
      </vt:variant>
      <vt:variant>
        <vt:i4>5</vt:i4>
      </vt:variant>
      <vt:variant>
        <vt:lpwstr>http://www.fcc.gov/encyclopedia/equipment-authorization-procedures</vt:lpwstr>
      </vt:variant>
      <vt:variant>
        <vt:lpwstr/>
      </vt:variant>
      <vt:variant>
        <vt:i4>6684696</vt:i4>
      </vt:variant>
      <vt:variant>
        <vt:i4>3</vt:i4>
      </vt:variant>
      <vt:variant>
        <vt:i4>0</vt:i4>
      </vt:variant>
      <vt:variant>
        <vt:i4>5</vt:i4>
      </vt:variant>
      <vt:variant>
        <vt:lpwstr>http://hraunfoss.fcc.gov/edocs_public/attachmatch/FCC-11-176A1.pdf</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2015-06-10T14:35:00Z</dcterms:created>
  <dcterms:modified xsi:type="dcterms:W3CDTF">2015-06-10T14:35:00Z</dcterms:modified>
  <cp:category> </cp:category>
  <cp:contentStatus> </cp:contentStatus>
</cp:coreProperties>
</file>