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A45DA5" w:rsidRDefault="00A45DA5">
      <w:pPr>
        <w:rPr>
          <w:sz w:val="22"/>
          <w:szCs w:val="22"/>
        </w:rPr>
      </w:pPr>
    </w:p>
    <w:p w:rsidR="00A45DA5" w:rsidRPr="00525AF7" w:rsidRDefault="00A45DA5" w:rsidP="00525AF7">
      <w:pPr>
        <w:ind w:left="5760" w:firstLine="720"/>
        <w:rPr>
          <w:b/>
          <w:sz w:val="22"/>
          <w:szCs w:val="22"/>
        </w:rPr>
      </w:pPr>
      <w:r w:rsidRPr="00525AF7">
        <w:rPr>
          <w:b/>
          <w:sz w:val="22"/>
          <w:szCs w:val="22"/>
        </w:rPr>
        <w:t xml:space="preserve">DA </w:t>
      </w:r>
      <w:r w:rsidRPr="004019AA">
        <w:rPr>
          <w:b/>
          <w:sz w:val="22"/>
          <w:szCs w:val="22"/>
        </w:rPr>
        <w:t>15-</w:t>
      </w:r>
      <w:r w:rsidR="00A13422">
        <w:rPr>
          <w:b/>
          <w:sz w:val="22"/>
          <w:szCs w:val="22"/>
        </w:rPr>
        <w:t>688</w:t>
      </w:r>
    </w:p>
    <w:p w:rsidR="00A45DA5" w:rsidRDefault="00A45DA5" w:rsidP="00525AF7">
      <w:pPr>
        <w:ind w:left="5760" w:firstLine="720"/>
        <w:rPr>
          <w:b/>
          <w:sz w:val="22"/>
          <w:szCs w:val="22"/>
        </w:rPr>
      </w:pPr>
      <w:r w:rsidRPr="00525AF7">
        <w:rPr>
          <w:b/>
          <w:sz w:val="22"/>
          <w:szCs w:val="22"/>
        </w:rPr>
        <w:t>Released:</w:t>
      </w:r>
      <w:r w:rsidR="00525AF7">
        <w:rPr>
          <w:b/>
          <w:sz w:val="22"/>
          <w:szCs w:val="22"/>
        </w:rPr>
        <w:t xml:space="preserve"> </w:t>
      </w:r>
      <w:r w:rsidR="00A13422">
        <w:rPr>
          <w:b/>
          <w:sz w:val="22"/>
          <w:szCs w:val="22"/>
        </w:rPr>
        <w:t>June 11, 2015</w:t>
      </w:r>
    </w:p>
    <w:p w:rsidR="00525AF7" w:rsidRPr="00525AF7" w:rsidRDefault="00525AF7" w:rsidP="00525AF7">
      <w:pPr>
        <w:ind w:left="5760" w:firstLine="720"/>
        <w:rPr>
          <w:b/>
          <w:sz w:val="22"/>
          <w:szCs w:val="22"/>
        </w:rPr>
      </w:pPr>
    </w:p>
    <w:p w:rsidR="00A45DA5" w:rsidRDefault="004D32DA" w:rsidP="00A45DA5">
      <w:pPr>
        <w:rPr>
          <w:sz w:val="22"/>
          <w:szCs w:val="22"/>
        </w:rPr>
      </w:pPr>
      <w:r>
        <w:rPr>
          <w:sz w:val="22"/>
          <w:szCs w:val="22"/>
        </w:rPr>
        <w:t>WWLP Broadcasting, LLC</w:t>
      </w:r>
    </w:p>
    <w:p w:rsidR="00A45DA5" w:rsidRDefault="004D32DA" w:rsidP="00A45DA5">
      <w:pPr>
        <w:rPr>
          <w:sz w:val="22"/>
          <w:szCs w:val="22"/>
        </w:rPr>
      </w:pPr>
      <w:r>
        <w:rPr>
          <w:sz w:val="22"/>
          <w:szCs w:val="22"/>
        </w:rPr>
        <w:t>333 East Franklin Street</w:t>
      </w:r>
    </w:p>
    <w:p w:rsidR="00A45DA5" w:rsidRDefault="004D32DA" w:rsidP="00A45DA5">
      <w:pPr>
        <w:rPr>
          <w:sz w:val="22"/>
          <w:szCs w:val="22"/>
        </w:rPr>
      </w:pPr>
      <w:r>
        <w:rPr>
          <w:sz w:val="22"/>
          <w:szCs w:val="22"/>
        </w:rPr>
        <w:t>Richmond</w:t>
      </w:r>
      <w:r w:rsidR="00A45DA5">
        <w:rPr>
          <w:sz w:val="22"/>
          <w:szCs w:val="22"/>
        </w:rPr>
        <w:t xml:space="preserve">, </w:t>
      </w:r>
      <w:r>
        <w:rPr>
          <w:sz w:val="22"/>
          <w:szCs w:val="22"/>
        </w:rPr>
        <w:t>Virginia</w:t>
      </w:r>
      <w:r w:rsidR="00A45DA5">
        <w:rPr>
          <w:sz w:val="22"/>
          <w:szCs w:val="22"/>
        </w:rPr>
        <w:t xml:space="preserve"> </w:t>
      </w:r>
      <w:r>
        <w:rPr>
          <w:sz w:val="22"/>
          <w:szCs w:val="22"/>
        </w:rPr>
        <w:t>23219</w:t>
      </w:r>
    </w:p>
    <w:p w:rsidR="00A45DA5" w:rsidRPr="00362E68" w:rsidRDefault="00A45DA5" w:rsidP="00A45DA5">
      <w:pPr>
        <w:rPr>
          <w:sz w:val="22"/>
          <w:szCs w:val="22"/>
        </w:rPr>
      </w:pPr>
    </w:p>
    <w:p w:rsidR="00A45DA5" w:rsidRPr="00362E68" w:rsidRDefault="00A45DA5" w:rsidP="00A45DA5">
      <w:pPr>
        <w:suppressAutoHyphens/>
        <w:ind w:left="5760"/>
        <w:rPr>
          <w:sz w:val="22"/>
          <w:szCs w:val="22"/>
        </w:rPr>
      </w:pPr>
    </w:p>
    <w:p w:rsidR="00A45DA5" w:rsidRPr="0044284A" w:rsidRDefault="00A45DA5" w:rsidP="00A45DA5">
      <w:pPr>
        <w:suppressAutoHyphens/>
        <w:ind w:left="5040"/>
        <w:rPr>
          <w:sz w:val="22"/>
          <w:szCs w:val="22"/>
        </w:rPr>
      </w:pPr>
      <w:r w:rsidRPr="00362E68">
        <w:rPr>
          <w:sz w:val="22"/>
          <w:szCs w:val="22"/>
        </w:rPr>
        <w:t>Re:</w:t>
      </w:r>
      <w:r w:rsidRPr="0044284A">
        <w:rPr>
          <w:sz w:val="22"/>
          <w:szCs w:val="22"/>
        </w:rPr>
        <w:tab/>
      </w:r>
      <w:r w:rsidR="004D32DA">
        <w:rPr>
          <w:bCs/>
          <w:sz w:val="22"/>
          <w:szCs w:val="22"/>
        </w:rPr>
        <w:t>WFXQ-CD</w:t>
      </w:r>
      <w:r w:rsidRPr="0044284A">
        <w:rPr>
          <w:bCs/>
          <w:sz w:val="22"/>
          <w:szCs w:val="22"/>
        </w:rPr>
        <w:t xml:space="preserve">, </w:t>
      </w:r>
      <w:r w:rsidR="004D32DA">
        <w:rPr>
          <w:bCs/>
          <w:sz w:val="22"/>
          <w:szCs w:val="22"/>
        </w:rPr>
        <w:t>Springfield, Massachusetts</w:t>
      </w:r>
    </w:p>
    <w:p w:rsidR="00A45DA5" w:rsidRPr="0044284A" w:rsidRDefault="00A45DA5" w:rsidP="00A45DA5">
      <w:pPr>
        <w:suppressAutoHyphens/>
        <w:ind w:left="5040" w:firstLine="720"/>
        <w:rPr>
          <w:sz w:val="22"/>
          <w:szCs w:val="22"/>
        </w:rPr>
      </w:pPr>
      <w:r w:rsidRPr="0044284A">
        <w:rPr>
          <w:sz w:val="22"/>
          <w:szCs w:val="22"/>
        </w:rPr>
        <w:t>Facility ID:</w:t>
      </w:r>
      <w:r w:rsidR="0044284A" w:rsidRPr="0044284A">
        <w:rPr>
          <w:sz w:val="22"/>
          <w:szCs w:val="22"/>
        </w:rPr>
        <w:t xml:space="preserve"> </w:t>
      </w:r>
      <w:r w:rsidR="00CC07CE">
        <w:rPr>
          <w:sz w:val="22"/>
          <w:szCs w:val="22"/>
        </w:rPr>
        <w:t>2650</w:t>
      </w:r>
    </w:p>
    <w:p w:rsidR="00A45DA5" w:rsidRPr="00362E68" w:rsidRDefault="00A45DA5" w:rsidP="00A45DA5">
      <w:pPr>
        <w:suppressAutoHyphens/>
        <w:ind w:left="5040" w:firstLine="720"/>
        <w:rPr>
          <w:sz w:val="22"/>
          <w:szCs w:val="22"/>
        </w:rPr>
      </w:pPr>
      <w:r w:rsidRPr="0044284A">
        <w:rPr>
          <w:sz w:val="22"/>
          <w:szCs w:val="22"/>
        </w:rPr>
        <w:t xml:space="preserve">FRN: </w:t>
      </w:r>
      <w:r w:rsidR="00CC07CE">
        <w:rPr>
          <w:sz w:val="22"/>
          <w:szCs w:val="22"/>
        </w:rPr>
        <w:t>0004992871</w:t>
      </w:r>
    </w:p>
    <w:p w:rsidR="00A45DA5" w:rsidRPr="00362E68" w:rsidRDefault="00A45DA5" w:rsidP="00A45DA5">
      <w:pPr>
        <w:tabs>
          <w:tab w:val="left" w:pos="4320"/>
          <w:tab w:val="left" w:pos="5040"/>
        </w:tabs>
        <w:jc w:val="both"/>
        <w:rPr>
          <w:sz w:val="22"/>
          <w:szCs w:val="22"/>
        </w:rPr>
      </w:pPr>
    </w:p>
    <w:p w:rsidR="00A45DA5" w:rsidRPr="00362E68" w:rsidRDefault="00A45DA5" w:rsidP="00A45DA5">
      <w:pPr>
        <w:tabs>
          <w:tab w:val="left" w:pos="4320"/>
          <w:tab w:val="left" w:pos="5040"/>
        </w:tabs>
        <w:jc w:val="both"/>
        <w:rPr>
          <w:sz w:val="22"/>
          <w:szCs w:val="22"/>
        </w:rPr>
      </w:pPr>
      <w:r w:rsidRPr="00362E68">
        <w:rPr>
          <w:sz w:val="22"/>
          <w:szCs w:val="22"/>
        </w:rPr>
        <w:t>Dear Licensee:</w:t>
      </w:r>
    </w:p>
    <w:p w:rsidR="00A45DA5" w:rsidRPr="00362E68" w:rsidRDefault="00A45DA5" w:rsidP="00A45DA5">
      <w:pPr>
        <w:jc w:val="both"/>
        <w:rPr>
          <w:sz w:val="22"/>
          <w:szCs w:val="22"/>
        </w:rPr>
      </w:pPr>
    </w:p>
    <w:p w:rsidR="00A45DA5" w:rsidRPr="00362E68" w:rsidRDefault="00A45DA5" w:rsidP="00A45DA5">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CC07CE">
        <w:rPr>
          <w:bCs/>
          <w:sz w:val="22"/>
          <w:szCs w:val="22"/>
        </w:rPr>
        <w:t>WFXQ-CD</w:t>
      </w:r>
      <w:r w:rsidR="00CC07CE" w:rsidRPr="0044284A">
        <w:rPr>
          <w:bCs/>
          <w:sz w:val="22"/>
          <w:szCs w:val="22"/>
        </w:rPr>
        <w:t xml:space="preserve">, </w:t>
      </w:r>
      <w:r w:rsidR="00CC07CE">
        <w:rPr>
          <w:bCs/>
          <w:sz w:val="22"/>
          <w:szCs w:val="22"/>
        </w:rPr>
        <w:t>Springfield, Massachusetts</w:t>
      </w:r>
      <w:r w:rsidRPr="00362E68">
        <w:rPr>
          <w:sz w:val="22"/>
          <w:szCs w:val="22"/>
        </w:rPr>
        <w:t xml:space="preserve"> (the “Station”), which is licensed to </w:t>
      </w:r>
      <w:r w:rsidR="00CC07CE">
        <w:rPr>
          <w:sz w:val="22"/>
          <w:szCs w:val="22"/>
        </w:rPr>
        <w:t>WWLP Broadcasting, LLC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A45DA5" w:rsidRPr="00362E68" w:rsidRDefault="00A45DA5" w:rsidP="00A45DA5">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xml:space="preserve">.  Pursuant to this statutory mandate, the Commission adopted Section 73.670 of the Rules, 47 C.F.R. § 73.670, which limits the amount of commercial matter </w:t>
      </w:r>
      <w:r w:rsidR="00456E55">
        <w:rPr>
          <w:sz w:val="22"/>
          <w:szCs w:val="22"/>
        </w:rPr>
        <w:t>that</w:t>
      </w:r>
      <w:r w:rsidRPr="00362E68">
        <w:rPr>
          <w:sz w:val="22"/>
          <w:szCs w:val="22"/>
        </w:rPr>
        <w:t xml:space="preserve">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A45DA5" w:rsidRPr="00362E68" w:rsidRDefault="00A45DA5" w:rsidP="00A45DA5">
      <w:pPr>
        <w:spacing w:after="240"/>
        <w:ind w:firstLine="720"/>
        <w:jc w:val="both"/>
        <w:rPr>
          <w:sz w:val="22"/>
          <w:szCs w:val="22"/>
        </w:rPr>
      </w:pPr>
      <w:r w:rsidRPr="00362E68">
        <w:rPr>
          <w:sz w:val="22"/>
          <w:szCs w:val="22"/>
        </w:rPr>
        <w:t>In furtherance of the CTA’s underlying purpose to protect children from excessive and ina</w:t>
      </w:r>
      <w:r w:rsidR="00456E55">
        <w:rPr>
          <w:sz w:val="22"/>
          <w:szCs w:val="22"/>
        </w:rPr>
        <w:t>ppropriate commercial messages,</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sidRPr="00362E68">
        <w:rPr>
          <w:sz w:val="22"/>
          <w:szCs w:val="22"/>
        </w:rPr>
        <w:t xml:space="preserve">   Specifically, Section 73.670(b) permits the display of Internet website addresses during program material or promotional material not counted as commercial time only if</w:t>
      </w:r>
      <w:r w:rsidR="00456E55">
        <w:rPr>
          <w:sz w:val="22"/>
          <w:szCs w:val="22"/>
        </w:rPr>
        <w:t xml:space="preserve"> it meets the following four-</w:t>
      </w:r>
      <w:r w:rsidRPr="00C22ABC">
        <w:rPr>
          <w:sz w:val="22"/>
          <w:szCs w:val="22"/>
        </w:rPr>
        <w:t>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 xml:space="preserve">program-related or other noncommercial content; (2) the website is not primarily intended for commercial purposes, including either e-commerce </w:t>
      </w:r>
      <w:r w:rsidR="00E36983">
        <w:rPr>
          <w:sz w:val="22"/>
          <w:szCs w:val="22"/>
        </w:rPr>
        <w:t>or advertising; (3) the website’</w:t>
      </w:r>
      <w:r w:rsidRPr="00362E68">
        <w:rPr>
          <w:sz w:val="22"/>
          <w:szCs w:val="22"/>
        </w:rPr>
        <w:t>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A45DA5" w:rsidRPr="00116C4E" w:rsidRDefault="00A45DA5" w:rsidP="00A45DA5">
      <w:pPr>
        <w:autoSpaceDE w:val="0"/>
        <w:autoSpaceDN w:val="0"/>
        <w:adjustRightInd w:val="0"/>
        <w:spacing w:after="240"/>
        <w:ind w:firstLine="720"/>
        <w:jc w:val="both"/>
        <w:rPr>
          <w:sz w:val="22"/>
          <w:szCs w:val="22"/>
        </w:rPr>
      </w:pPr>
      <w:r w:rsidRPr="004019AA">
        <w:rPr>
          <w:sz w:val="22"/>
          <w:szCs w:val="22"/>
        </w:rPr>
        <w:t xml:space="preserve">On </w:t>
      </w:r>
      <w:r w:rsidR="00CC07CE" w:rsidRPr="004019AA">
        <w:rPr>
          <w:sz w:val="22"/>
          <w:szCs w:val="22"/>
        </w:rPr>
        <w:t>November 2</w:t>
      </w:r>
      <w:r w:rsidR="004019AA" w:rsidRPr="004019AA">
        <w:rPr>
          <w:sz w:val="22"/>
          <w:szCs w:val="22"/>
        </w:rPr>
        <w:t>6</w:t>
      </w:r>
      <w:r w:rsidR="00760815">
        <w:rPr>
          <w:sz w:val="22"/>
          <w:szCs w:val="22"/>
        </w:rPr>
        <w:t>, 2014</w:t>
      </w:r>
      <w:r w:rsidRPr="00362E68">
        <w:rPr>
          <w:sz w:val="22"/>
          <w:szCs w:val="22"/>
        </w:rPr>
        <w:t>,</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In </w:t>
      </w:r>
      <w:r w:rsidR="00EF46E1">
        <w:rPr>
          <w:sz w:val="22"/>
          <w:szCs w:val="22"/>
        </w:rPr>
        <w:t xml:space="preserve">Exhibit 22 </w:t>
      </w:r>
      <w:r w:rsidR="00ED1730">
        <w:rPr>
          <w:sz w:val="22"/>
          <w:szCs w:val="22"/>
        </w:rPr>
        <w:t xml:space="preserve">to </w:t>
      </w:r>
      <w:r w:rsidRPr="00116C4E">
        <w:rPr>
          <w:sz w:val="22"/>
          <w:szCs w:val="22"/>
        </w:rPr>
        <w:t>the application, Licensee</w:t>
      </w:r>
      <w:r>
        <w:rPr>
          <w:sz w:val="22"/>
          <w:szCs w:val="22"/>
        </w:rPr>
        <w:t xml:space="preserve"> </w:t>
      </w:r>
      <w:r w:rsidRPr="00116C4E">
        <w:rPr>
          <w:sz w:val="22"/>
          <w:szCs w:val="22"/>
        </w:rPr>
        <w:t>admitted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p>
    <w:p w:rsidR="00A45DA5" w:rsidRPr="00362E68" w:rsidRDefault="00A45DA5" w:rsidP="00A45DA5">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A45DA5" w:rsidRPr="00362E68" w:rsidRDefault="00A45DA5" w:rsidP="00A45DA5">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A45DA5" w:rsidRPr="00362E68" w:rsidRDefault="00A45DA5" w:rsidP="00A45DA5">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A45DA5" w:rsidRPr="00362E68" w:rsidRDefault="00A45DA5" w:rsidP="00A45DA5">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A45DA5" w:rsidRPr="00362E68" w:rsidRDefault="00A45DA5" w:rsidP="00A45DA5">
      <w:pPr>
        <w:ind w:firstLine="720"/>
        <w:jc w:val="both"/>
        <w:rPr>
          <w:color w:val="000000"/>
          <w:sz w:val="22"/>
          <w:szCs w:val="22"/>
        </w:rPr>
      </w:pPr>
    </w:p>
    <w:p w:rsidR="00A45DA5" w:rsidRPr="00362E68" w:rsidRDefault="00A45DA5" w:rsidP="00A45DA5">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A45DA5" w:rsidRPr="00362E68" w:rsidRDefault="00A45DA5" w:rsidP="00A45DA5">
      <w:pPr>
        <w:rPr>
          <w:sz w:val="22"/>
          <w:szCs w:val="22"/>
        </w:rPr>
      </w:pPr>
    </w:p>
    <w:p w:rsidR="00A45DA5" w:rsidRPr="00362E68" w:rsidRDefault="00A45DA5" w:rsidP="00A45DA5">
      <w:pPr>
        <w:rPr>
          <w:sz w:val="22"/>
          <w:szCs w:val="22"/>
        </w:rPr>
      </w:pPr>
    </w:p>
    <w:p w:rsidR="00A45DA5" w:rsidRPr="00362E68" w:rsidRDefault="00A45DA5" w:rsidP="00A45DA5">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A45DA5" w:rsidRPr="00362E68" w:rsidRDefault="00A45DA5" w:rsidP="00A45DA5">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A45DA5" w:rsidRPr="00362E68" w:rsidRDefault="00A45DA5" w:rsidP="00A45DA5">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A45DA5" w:rsidRPr="00362E68" w:rsidRDefault="00A45DA5" w:rsidP="00A45DA5">
      <w:pPr>
        <w:rPr>
          <w:sz w:val="22"/>
          <w:szCs w:val="22"/>
        </w:rPr>
      </w:pPr>
    </w:p>
    <w:p w:rsidR="00A45DA5" w:rsidRPr="00362E68" w:rsidRDefault="00A45DA5" w:rsidP="00A45DA5">
      <w:pPr>
        <w:rPr>
          <w:sz w:val="22"/>
          <w:szCs w:val="22"/>
        </w:rPr>
      </w:pPr>
      <w:r w:rsidRPr="00362E68">
        <w:rPr>
          <w:sz w:val="22"/>
          <w:szCs w:val="22"/>
        </w:rPr>
        <w:t>cc:</w:t>
      </w:r>
    </w:p>
    <w:p w:rsidR="00A45DA5" w:rsidRDefault="00CC07CE" w:rsidP="00A45DA5">
      <w:pPr>
        <w:rPr>
          <w:sz w:val="22"/>
          <w:szCs w:val="22"/>
        </w:rPr>
      </w:pPr>
      <w:r>
        <w:rPr>
          <w:sz w:val="22"/>
          <w:szCs w:val="22"/>
        </w:rPr>
        <w:t>Christina H. Burrow</w:t>
      </w:r>
      <w:r w:rsidR="00E36983">
        <w:rPr>
          <w:sz w:val="22"/>
          <w:szCs w:val="22"/>
        </w:rPr>
        <w:t>, Esq.</w:t>
      </w:r>
    </w:p>
    <w:p w:rsidR="0058445D" w:rsidRPr="00362E68" w:rsidRDefault="00CC07CE" w:rsidP="00A45DA5">
      <w:pPr>
        <w:rPr>
          <w:sz w:val="22"/>
          <w:szCs w:val="22"/>
        </w:rPr>
      </w:pPr>
      <w:r>
        <w:rPr>
          <w:sz w:val="22"/>
          <w:szCs w:val="22"/>
        </w:rPr>
        <w:t>Cooley LLP</w:t>
      </w:r>
    </w:p>
    <w:p w:rsidR="00A45DA5" w:rsidRDefault="00CC07CE" w:rsidP="00A45DA5">
      <w:pPr>
        <w:rPr>
          <w:sz w:val="22"/>
          <w:szCs w:val="22"/>
        </w:rPr>
      </w:pPr>
      <w:r>
        <w:rPr>
          <w:sz w:val="22"/>
          <w:szCs w:val="22"/>
        </w:rPr>
        <w:t>1299 Pennsylvania Avenue, NW</w:t>
      </w:r>
      <w:r w:rsidR="00E36983">
        <w:rPr>
          <w:sz w:val="22"/>
          <w:szCs w:val="22"/>
        </w:rPr>
        <w:t>, Suite 700</w:t>
      </w:r>
    </w:p>
    <w:p w:rsidR="0058445D" w:rsidRPr="00362E68" w:rsidRDefault="00CC07CE" w:rsidP="00A45DA5">
      <w:pPr>
        <w:rPr>
          <w:sz w:val="22"/>
          <w:szCs w:val="22"/>
        </w:rPr>
      </w:pPr>
      <w:r>
        <w:rPr>
          <w:sz w:val="22"/>
          <w:szCs w:val="22"/>
        </w:rPr>
        <w:t>Washington, DC 20004</w:t>
      </w:r>
    </w:p>
    <w:p w:rsidR="00A45DA5" w:rsidRPr="00204CE3" w:rsidRDefault="00A45DA5" w:rsidP="00A45DA5">
      <w:pPr>
        <w:rPr>
          <w:sz w:val="22"/>
          <w:szCs w:val="22"/>
        </w:rPr>
      </w:pPr>
    </w:p>
    <w:p w:rsidR="00A45DA5" w:rsidRPr="00204CE3" w:rsidRDefault="00A45DA5" w:rsidP="00A45DA5">
      <w:pPr>
        <w:rPr>
          <w:sz w:val="22"/>
          <w:szCs w:val="22"/>
        </w:rPr>
      </w:pPr>
    </w:p>
    <w:p w:rsidR="00A45DA5" w:rsidRPr="00204CE3" w:rsidRDefault="00A45DA5" w:rsidP="00A45DA5">
      <w:pPr>
        <w:rPr>
          <w:sz w:val="22"/>
          <w:szCs w:val="22"/>
        </w:rPr>
      </w:pPr>
    </w:p>
    <w:p w:rsidR="00A45DA5" w:rsidRPr="00204CE3" w:rsidRDefault="00A45DA5">
      <w:pPr>
        <w:rPr>
          <w:sz w:val="22"/>
          <w:szCs w:val="22"/>
        </w:rPr>
      </w:pPr>
    </w:p>
    <w:sectPr w:rsidR="00A45DA5"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C1" w:rsidRDefault="00AC08C1">
      <w:r>
        <w:separator/>
      </w:r>
    </w:p>
  </w:endnote>
  <w:endnote w:type="continuationSeparator" w:id="0">
    <w:p w:rsidR="00AC08C1" w:rsidRDefault="00AC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6" w:rsidRDefault="001E4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6" w:rsidRDefault="001E4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6" w:rsidRDefault="001E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C1" w:rsidRDefault="00AC08C1">
      <w:r>
        <w:separator/>
      </w:r>
    </w:p>
  </w:footnote>
  <w:footnote w:type="continuationSeparator" w:id="0">
    <w:p w:rsidR="00AC08C1" w:rsidRDefault="00AC08C1">
      <w:r>
        <w:continuationSeparator/>
      </w:r>
    </w:p>
  </w:footnote>
  <w:footnote w:id="1">
    <w:p w:rsidR="00A45DA5" w:rsidRDefault="00A45DA5" w:rsidP="00A45DA5">
      <w:pPr>
        <w:pStyle w:val="FootnoteText"/>
        <w:spacing w:after="120"/>
      </w:pPr>
      <w:r>
        <w:rPr>
          <w:rStyle w:val="FootnoteReference"/>
        </w:rPr>
        <w:footnoteRef/>
      </w:r>
      <w:r>
        <w:t xml:space="preserve"> File No. </w:t>
      </w:r>
      <w:r w:rsidR="00815D91">
        <w:t>BR</w:t>
      </w:r>
      <w:r w:rsidR="00297E91">
        <w:t>DT</w:t>
      </w:r>
      <w:r w:rsidR="00815D91">
        <w:t>A</w:t>
      </w:r>
      <w:r w:rsidR="00297E91">
        <w:t xml:space="preserve"> </w:t>
      </w:r>
      <w:r w:rsidR="00815D91">
        <w:t>–</w:t>
      </w:r>
      <w:r w:rsidR="00297E91">
        <w:t xml:space="preserve"> </w:t>
      </w:r>
      <w:r w:rsidR="00815D91">
        <w:t>20141126AKG</w:t>
      </w:r>
      <w:r w:rsidR="00297E91">
        <w:t xml:space="preserve"> </w:t>
      </w:r>
      <w:r>
        <w:t>(“</w:t>
      </w:r>
      <w:r w:rsidR="00815D91">
        <w:t>WFXQ-CD</w:t>
      </w:r>
      <w:r>
        <w:t xml:space="preserve"> Renewal”). </w:t>
      </w:r>
    </w:p>
  </w:footnote>
  <w:footnote w:id="2">
    <w:p w:rsidR="00A45DA5" w:rsidRPr="00205327" w:rsidRDefault="00A45DA5" w:rsidP="00A45DA5">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A45DA5" w:rsidRPr="00205327" w:rsidRDefault="00A45DA5" w:rsidP="00A45DA5">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A45DA5" w:rsidRPr="00205327" w:rsidRDefault="00A45DA5" w:rsidP="00A45DA5">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w:t>
      </w:r>
      <w:r w:rsidR="00297E91">
        <w:t xml:space="preserve"> </w:t>
      </w:r>
      <w:r>
        <w:t>73.670(b), (c), and (d).</w:t>
      </w:r>
      <w:r w:rsidRPr="00205327">
        <w:t xml:space="preserve"> </w:t>
      </w:r>
    </w:p>
  </w:footnote>
  <w:footnote w:id="5">
    <w:p w:rsidR="00A45DA5" w:rsidRPr="00205327" w:rsidRDefault="00A45DA5" w:rsidP="00A45DA5">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A45DA5" w:rsidRPr="00807875" w:rsidRDefault="00A45DA5" w:rsidP="00A45DA5">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went on to clarify that “broadcasters are free to display the addresses of website</w:t>
      </w:r>
      <w:r w:rsidR="00E36983">
        <w:t>s</w:t>
      </w:r>
      <w:r w:rsidRPr="00807875">
        <w:t xml:space="preserv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A45DA5" w:rsidRDefault="00A45DA5" w:rsidP="00A45DA5">
      <w:pPr>
        <w:pStyle w:val="FootnoteText"/>
        <w:spacing w:after="120"/>
      </w:pPr>
      <w:r>
        <w:rPr>
          <w:rStyle w:val="FootnoteReference"/>
        </w:rPr>
        <w:footnoteRef/>
      </w:r>
      <w:r>
        <w:t xml:space="preserve"> </w:t>
      </w:r>
      <w:r w:rsidR="00815D91">
        <w:t>WFXQ-CD</w:t>
      </w:r>
      <w:r>
        <w:t xml:space="preserve"> Renewal, Exhibit 22.</w:t>
      </w:r>
    </w:p>
  </w:footnote>
  <w:footnote w:id="8">
    <w:p w:rsidR="00A45DA5" w:rsidRDefault="00A45DA5" w:rsidP="00A45DA5">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xml:space="preserve">., Admonishment Letter, 29 FCC Rcd 9692 (Vid. Div. 2014).  When viewed on </w:t>
      </w:r>
      <w:r w:rsidR="00E36983">
        <w:t>June 5</w:t>
      </w:r>
      <w:r>
        <w:t>, 2015, the website at URL “</w:t>
      </w:r>
      <w:hyperlink r:id="rId1" w:history="1">
        <w:r w:rsidRPr="00577514">
          <w:rPr>
            <w:rStyle w:val="Hyperlink"/>
          </w:rPr>
          <w:t>www.lazytown.com</w:t>
        </w:r>
      </w:hyperlink>
      <w:r>
        <w:t xml:space="preserve">” no longer contained a “shop” link or any content other than a description </w:t>
      </w:r>
      <w:r w:rsidR="00023E9E">
        <w:t>of the show and links to a LazyT</w:t>
      </w:r>
      <w:r>
        <w:t xml:space="preserve">own Facebook page and You Tube channel.  </w:t>
      </w:r>
    </w:p>
  </w:footnote>
  <w:footnote w:id="9">
    <w:p w:rsidR="00A45DA5" w:rsidRPr="00205327" w:rsidRDefault="00A45DA5" w:rsidP="00A45DA5">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A45DA5" w:rsidRPr="00205327" w:rsidRDefault="00A45DA5" w:rsidP="00A45DA5">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6" w:rsidRDefault="001E4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6" w:rsidRDefault="001E4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9D57A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552328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9D57A2">
      <w:rPr>
        <w:noProof/>
        <w:sz w:val="24"/>
      </w:rPr>
      <w:t>June 11,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A5"/>
    <w:rsid w:val="00023E9E"/>
    <w:rsid w:val="00130EC6"/>
    <w:rsid w:val="0017300E"/>
    <w:rsid w:val="001E4126"/>
    <w:rsid w:val="00204CE3"/>
    <w:rsid w:val="00297E91"/>
    <w:rsid w:val="002B54DB"/>
    <w:rsid w:val="002E7343"/>
    <w:rsid w:val="004019AA"/>
    <w:rsid w:val="0044284A"/>
    <w:rsid w:val="00456E55"/>
    <w:rsid w:val="004D32DA"/>
    <w:rsid w:val="004D3B53"/>
    <w:rsid w:val="00525AF7"/>
    <w:rsid w:val="005553B0"/>
    <w:rsid w:val="0058445D"/>
    <w:rsid w:val="005905AE"/>
    <w:rsid w:val="00760815"/>
    <w:rsid w:val="00815D91"/>
    <w:rsid w:val="00844C83"/>
    <w:rsid w:val="009D57A2"/>
    <w:rsid w:val="00A13422"/>
    <w:rsid w:val="00A3301F"/>
    <w:rsid w:val="00A45DA5"/>
    <w:rsid w:val="00A946E1"/>
    <w:rsid w:val="00AC08C1"/>
    <w:rsid w:val="00CC07CE"/>
    <w:rsid w:val="00D83712"/>
    <w:rsid w:val="00E36983"/>
    <w:rsid w:val="00ED1730"/>
    <w:rsid w:val="00EF46E1"/>
    <w:rsid w:val="00F50BD8"/>
    <w:rsid w:val="00F6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A45DA5"/>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A45DA5"/>
  </w:style>
  <w:style w:type="character" w:styleId="FootnoteReference">
    <w:name w:val="footnote reference"/>
    <w:semiHidden/>
    <w:rsid w:val="00A45DA5"/>
    <w:rPr>
      <w:vertAlign w:val="superscript"/>
    </w:rPr>
  </w:style>
  <w:style w:type="character" w:styleId="Hyperlink">
    <w:name w:val="Hyperlink"/>
    <w:rsid w:val="00A45DA5"/>
    <w:rPr>
      <w:color w:val="0000FF"/>
      <w:u w:val="single"/>
    </w:rPr>
  </w:style>
  <w:style w:type="character" w:styleId="FollowedHyperlink">
    <w:name w:val="FollowedHyperlink"/>
    <w:basedOn w:val="DefaultParagraphFont"/>
    <w:uiPriority w:val="99"/>
    <w:semiHidden/>
    <w:unhideWhenUsed/>
    <w:rsid w:val="00023E9E"/>
    <w:rPr>
      <w:color w:val="800080" w:themeColor="followedHyperlink"/>
      <w:u w:val="single"/>
    </w:rPr>
  </w:style>
  <w:style w:type="paragraph" w:styleId="BalloonText">
    <w:name w:val="Balloon Text"/>
    <w:basedOn w:val="Normal"/>
    <w:link w:val="BalloonTextChar"/>
    <w:uiPriority w:val="99"/>
    <w:semiHidden/>
    <w:unhideWhenUsed/>
    <w:rsid w:val="00844C83"/>
    <w:rPr>
      <w:rFonts w:ascii="Tahoma" w:hAnsi="Tahoma" w:cs="Tahoma"/>
      <w:sz w:val="16"/>
      <w:szCs w:val="16"/>
    </w:rPr>
  </w:style>
  <w:style w:type="character" w:customStyle="1" w:styleId="BalloonTextChar">
    <w:name w:val="Balloon Text Char"/>
    <w:basedOn w:val="DefaultParagraphFont"/>
    <w:link w:val="BalloonText"/>
    <w:uiPriority w:val="99"/>
    <w:semiHidden/>
    <w:rsid w:val="0084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A45DA5"/>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A45DA5"/>
  </w:style>
  <w:style w:type="character" w:styleId="FootnoteReference">
    <w:name w:val="footnote reference"/>
    <w:semiHidden/>
    <w:rsid w:val="00A45DA5"/>
    <w:rPr>
      <w:vertAlign w:val="superscript"/>
    </w:rPr>
  </w:style>
  <w:style w:type="character" w:styleId="Hyperlink">
    <w:name w:val="Hyperlink"/>
    <w:rsid w:val="00A45DA5"/>
    <w:rPr>
      <w:color w:val="0000FF"/>
      <w:u w:val="single"/>
    </w:rPr>
  </w:style>
  <w:style w:type="character" w:styleId="FollowedHyperlink">
    <w:name w:val="FollowedHyperlink"/>
    <w:basedOn w:val="DefaultParagraphFont"/>
    <w:uiPriority w:val="99"/>
    <w:semiHidden/>
    <w:unhideWhenUsed/>
    <w:rsid w:val="00023E9E"/>
    <w:rPr>
      <w:color w:val="800080" w:themeColor="followedHyperlink"/>
      <w:u w:val="single"/>
    </w:rPr>
  </w:style>
  <w:style w:type="paragraph" w:styleId="BalloonText">
    <w:name w:val="Balloon Text"/>
    <w:basedOn w:val="Normal"/>
    <w:link w:val="BalloonTextChar"/>
    <w:uiPriority w:val="99"/>
    <w:semiHidden/>
    <w:unhideWhenUsed/>
    <w:rsid w:val="00844C83"/>
    <w:rPr>
      <w:rFonts w:ascii="Tahoma" w:hAnsi="Tahoma" w:cs="Tahoma"/>
      <w:sz w:val="16"/>
      <w:szCs w:val="16"/>
    </w:rPr>
  </w:style>
  <w:style w:type="character" w:customStyle="1" w:styleId="BalloonTextChar">
    <w:name w:val="Balloon Text Char"/>
    <w:basedOn w:val="DefaultParagraphFont"/>
    <w:link w:val="BalloonText"/>
    <w:uiPriority w:val="99"/>
    <w:semiHidden/>
    <w:rsid w:val="0084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van.Morris\AppData\Local\Microsoft\Windows\Temporary%20Internet%20Files\Content.MSO\419B5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419B587</Template>
  <TotalTime>0</TotalTime>
  <Pages>3</Pages>
  <Words>829</Words>
  <Characters>4605</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2015-06-11T14:22:00Z</dcterms:created>
  <dcterms:modified xsi:type="dcterms:W3CDTF">2015-06-11T14:22:00Z</dcterms:modified>
  <cp:category> </cp:category>
  <cp:contentStatus> </cp:contentStatus>
</cp:coreProperties>
</file>