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3B38A4" w:rsidRDefault="00602577">
      <w:pPr>
        <w:pStyle w:val="Header"/>
        <w:tabs>
          <w:tab w:val="clear" w:pos="4320"/>
          <w:tab w:val="clear" w:pos="8640"/>
        </w:tabs>
        <w:rPr>
          <w:szCs w:val="22"/>
        </w:rPr>
        <w:sectPr w:rsidR="00602577" w:rsidRPr="003B38A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C47EA" w:rsidRPr="005C5CA5" w:rsidRDefault="005C5CA5" w:rsidP="005C5CA5">
      <w:pPr>
        <w:jc w:val="right"/>
        <w:rPr>
          <w:sz w:val="24"/>
          <w:szCs w:val="24"/>
        </w:rPr>
      </w:pPr>
      <w:r w:rsidRPr="005C5CA5">
        <w:rPr>
          <w:sz w:val="24"/>
          <w:szCs w:val="24"/>
        </w:rPr>
        <w:lastRenderedPageBreak/>
        <w:t>DA 15-692</w:t>
      </w:r>
    </w:p>
    <w:p w:rsidR="007C47EA" w:rsidRPr="006056B3" w:rsidRDefault="007C47EA" w:rsidP="005C5CA5">
      <w:pPr>
        <w:spacing w:after="240"/>
        <w:jc w:val="right"/>
        <w:rPr>
          <w:sz w:val="24"/>
          <w:szCs w:val="24"/>
        </w:rPr>
      </w:pPr>
      <w:r w:rsidRPr="006056B3">
        <w:rPr>
          <w:sz w:val="24"/>
          <w:szCs w:val="24"/>
        </w:rPr>
        <w:t xml:space="preserve">Released:  </w:t>
      </w:r>
      <w:r w:rsidR="005C5CA5" w:rsidRPr="005C5CA5">
        <w:rPr>
          <w:sz w:val="24"/>
          <w:szCs w:val="24"/>
        </w:rPr>
        <w:t>July 2</w:t>
      </w:r>
      <w:r w:rsidRPr="005C5CA5">
        <w:rPr>
          <w:sz w:val="24"/>
          <w:szCs w:val="24"/>
        </w:rPr>
        <w:t>, 2015</w:t>
      </w:r>
    </w:p>
    <w:p w:rsidR="007C47EA" w:rsidRPr="006056B3" w:rsidRDefault="007C47EA" w:rsidP="007C47EA">
      <w:pPr>
        <w:spacing w:after="120"/>
        <w:jc w:val="center"/>
        <w:rPr>
          <w:b/>
          <w:sz w:val="24"/>
          <w:szCs w:val="24"/>
        </w:rPr>
      </w:pPr>
      <w:r>
        <w:rPr>
          <w:b/>
          <w:sz w:val="24"/>
          <w:szCs w:val="24"/>
        </w:rPr>
        <w:t>OPEN INTERNET ADVISORY OPINION PROCEDURES</w:t>
      </w:r>
    </w:p>
    <w:p w:rsidR="007C47EA" w:rsidRPr="00D234D6" w:rsidRDefault="007C47EA" w:rsidP="007C47EA">
      <w:pPr>
        <w:tabs>
          <w:tab w:val="center" w:pos="4680"/>
        </w:tabs>
        <w:suppressAutoHyphens/>
        <w:spacing w:after="120"/>
        <w:rPr>
          <w:sz w:val="24"/>
          <w:szCs w:val="24"/>
        </w:rPr>
      </w:pPr>
      <w:r>
        <w:rPr>
          <w:b/>
          <w:sz w:val="24"/>
          <w:szCs w:val="24"/>
        </w:rPr>
        <w:tab/>
      </w:r>
      <w:r w:rsidRPr="00D234D6">
        <w:rPr>
          <w:sz w:val="24"/>
          <w:szCs w:val="24"/>
        </w:rPr>
        <w:t>Protecting and Promoting the Open Internet</w:t>
      </w:r>
    </w:p>
    <w:p w:rsidR="007C47EA" w:rsidRDefault="007C47EA" w:rsidP="007C47EA">
      <w:pPr>
        <w:tabs>
          <w:tab w:val="center" w:pos="4680"/>
        </w:tabs>
        <w:suppressAutoHyphens/>
        <w:spacing w:after="120"/>
        <w:rPr>
          <w:spacing w:val="-2"/>
        </w:rPr>
      </w:pPr>
      <w:r>
        <w:rPr>
          <w:b/>
          <w:sz w:val="24"/>
          <w:szCs w:val="24"/>
        </w:rPr>
        <w:tab/>
      </w:r>
      <w:r w:rsidRPr="0016272B">
        <w:rPr>
          <w:spacing w:val="-2"/>
        </w:rPr>
        <w:t>GN Docket No. 14-28</w:t>
      </w:r>
    </w:p>
    <w:p w:rsidR="007C47EA" w:rsidRPr="006A5C8D" w:rsidRDefault="007C47EA" w:rsidP="007C47EA">
      <w:pPr>
        <w:tabs>
          <w:tab w:val="center" w:pos="4680"/>
        </w:tabs>
        <w:suppressAutoHyphens/>
        <w:rPr>
          <w:spacing w:val="-2"/>
        </w:rPr>
      </w:pPr>
    </w:p>
    <w:p w:rsidR="007C47EA" w:rsidRDefault="007C47EA" w:rsidP="000F77FB">
      <w:pPr>
        <w:spacing w:after="240" w:line="276" w:lineRule="auto"/>
        <w:rPr>
          <w:szCs w:val="22"/>
        </w:rPr>
      </w:pPr>
      <w:r w:rsidRPr="00503206">
        <w:rPr>
          <w:szCs w:val="22"/>
        </w:rPr>
        <w:t xml:space="preserve">On February 26, 2015, the FCC adopted the </w:t>
      </w:r>
      <w:r w:rsidRPr="00503206">
        <w:rPr>
          <w:i/>
          <w:szCs w:val="22"/>
        </w:rPr>
        <w:t>2015 Open Internet Order</w:t>
      </w:r>
      <w:r w:rsidRPr="00503206" w:rsidDel="00D11928">
        <w:rPr>
          <w:szCs w:val="22"/>
        </w:rPr>
        <w:t xml:space="preserve"> </w:t>
      </w:r>
      <w:r w:rsidRPr="00503206">
        <w:rPr>
          <w:szCs w:val="22"/>
        </w:rPr>
        <w:t>to protect Internet openness and promote continued innovation and investment in the nation’s broadband networks.</w:t>
      </w:r>
      <w:r w:rsidRPr="00503206">
        <w:rPr>
          <w:rStyle w:val="FootnoteReference"/>
          <w:szCs w:val="22"/>
        </w:rPr>
        <w:footnoteReference w:id="1"/>
      </w:r>
      <w:r w:rsidRPr="00503206">
        <w:rPr>
          <w:szCs w:val="22"/>
        </w:rPr>
        <w:t xml:space="preserve">  It established three bright line rules that prohibit blocking, throttling, and paid prioritization.</w:t>
      </w:r>
      <w:r w:rsidRPr="00503206">
        <w:rPr>
          <w:rStyle w:val="FootnoteReference"/>
          <w:szCs w:val="22"/>
        </w:rPr>
        <w:footnoteReference w:id="2"/>
      </w:r>
      <w:r w:rsidRPr="00503206">
        <w:rPr>
          <w:szCs w:val="22"/>
        </w:rPr>
        <w:t xml:space="preserve">  </w:t>
      </w:r>
      <w:r>
        <w:rPr>
          <w:szCs w:val="22"/>
        </w:rPr>
        <w:t>To protect against similar Open Internet harms from new or different practices that fall outside of those three rules, the FCC</w:t>
      </w:r>
      <w:r w:rsidRPr="00503206">
        <w:rPr>
          <w:szCs w:val="22"/>
        </w:rPr>
        <w:t xml:space="preserve"> established a legal standard under which it can prohibit, on a case-by-case basis, practices that unreasonably interfere with or unreasonably disadvantage the ability of consumers to reach the Internet content, services, and applications of their choosing or of</w:t>
      </w:r>
      <w:r>
        <w:rPr>
          <w:szCs w:val="22"/>
        </w:rPr>
        <w:t xml:space="preserve"> </w:t>
      </w:r>
      <w:r w:rsidR="008979B1">
        <w:rPr>
          <w:szCs w:val="22"/>
        </w:rPr>
        <w:t xml:space="preserve">an </w:t>
      </w:r>
      <w:r>
        <w:rPr>
          <w:szCs w:val="22"/>
        </w:rPr>
        <w:t>“</w:t>
      </w:r>
      <w:r w:rsidR="008979B1">
        <w:rPr>
          <w:szCs w:val="22"/>
        </w:rPr>
        <w:t>edge provider</w:t>
      </w:r>
      <w:r>
        <w:rPr>
          <w:szCs w:val="22"/>
        </w:rPr>
        <w:t>”</w:t>
      </w:r>
      <w:r>
        <w:rPr>
          <w:rStyle w:val="FootnoteReference"/>
          <w:szCs w:val="22"/>
        </w:rPr>
        <w:footnoteReference w:id="3"/>
      </w:r>
      <w:r w:rsidRPr="00503206">
        <w:rPr>
          <w:szCs w:val="22"/>
        </w:rPr>
        <w:t xml:space="preserve"> </w:t>
      </w:r>
      <w:r>
        <w:rPr>
          <w:szCs w:val="22"/>
        </w:rPr>
        <w:t>(</w:t>
      </w:r>
      <w:r w:rsidRPr="00ED6449">
        <w:rPr>
          <w:szCs w:val="22"/>
        </w:rPr>
        <w:t>e.g., a website or application) to access consumers using the Internet.</w:t>
      </w:r>
      <w:r w:rsidRPr="00ED6449">
        <w:rPr>
          <w:rStyle w:val="FootnoteReference"/>
          <w:szCs w:val="22"/>
        </w:rPr>
        <w:footnoteReference w:id="4"/>
      </w:r>
      <w:r w:rsidRPr="00ED6449">
        <w:rPr>
          <w:szCs w:val="22"/>
        </w:rPr>
        <w:t xml:space="preserve">  </w:t>
      </w:r>
      <w:r w:rsidRPr="00503206">
        <w:rPr>
          <w:szCs w:val="22"/>
        </w:rPr>
        <w:t xml:space="preserve">To complement these </w:t>
      </w:r>
      <w:r>
        <w:rPr>
          <w:szCs w:val="22"/>
        </w:rPr>
        <w:t>conduct</w:t>
      </w:r>
      <w:r w:rsidRPr="00503206">
        <w:rPr>
          <w:szCs w:val="22"/>
        </w:rPr>
        <w:t xml:space="preserve"> rules, the FCC also enhanced its existing </w:t>
      </w:r>
      <w:r>
        <w:rPr>
          <w:szCs w:val="22"/>
        </w:rPr>
        <w:t>Open Internet T</w:t>
      </w:r>
      <w:r w:rsidRPr="00503206">
        <w:rPr>
          <w:szCs w:val="22"/>
        </w:rPr>
        <w:t xml:space="preserve">ransparency </w:t>
      </w:r>
      <w:r>
        <w:rPr>
          <w:szCs w:val="22"/>
        </w:rPr>
        <w:t>R</w:t>
      </w:r>
      <w:r w:rsidRPr="00503206">
        <w:rPr>
          <w:szCs w:val="22"/>
        </w:rPr>
        <w:t>ule</w:t>
      </w:r>
      <w:r>
        <w:rPr>
          <w:szCs w:val="22"/>
        </w:rPr>
        <w:t>.</w:t>
      </w:r>
      <w:r w:rsidRPr="00503206">
        <w:rPr>
          <w:rStyle w:val="FootnoteReference"/>
          <w:szCs w:val="22"/>
        </w:rPr>
        <w:footnoteReference w:id="5"/>
      </w:r>
      <w:r>
        <w:rPr>
          <w:szCs w:val="22"/>
        </w:rPr>
        <w:t xml:space="preserve">  </w:t>
      </w:r>
      <w:r w:rsidRPr="00ED6449">
        <w:rPr>
          <w:szCs w:val="22"/>
        </w:rPr>
        <w:t xml:space="preserve">The </w:t>
      </w:r>
      <w:r>
        <w:rPr>
          <w:szCs w:val="22"/>
        </w:rPr>
        <w:t>Open</w:t>
      </w:r>
      <w:r w:rsidRPr="00ED6449">
        <w:rPr>
          <w:szCs w:val="22"/>
        </w:rPr>
        <w:t xml:space="preserve"> Internet rules are applicable to all providers of broadband Internet access service, including both </w:t>
      </w:r>
      <w:r>
        <w:rPr>
          <w:szCs w:val="22"/>
        </w:rPr>
        <w:t>fixed</w:t>
      </w:r>
      <w:r w:rsidRPr="00ED6449">
        <w:rPr>
          <w:szCs w:val="22"/>
        </w:rPr>
        <w:t xml:space="preserve"> and </w:t>
      </w:r>
      <w:r>
        <w:rPr>
          <w:szCs w:val="22"/>
        </w:rPr>
        <w:t>mobile</w:t>
      </w:r>
      <w:r w:rsidRPr="00ED6449">
        <w:rPr>
          <w:szCs w:val="22"/>
        </w:rPr>
        <w:t xml:space="preserve"> providers</w:t>
      </w:r>
      <w:r>
        <w:rPr>
          <w:szCs w:val="22"/>
        </w:rPr>
        <w:t>.</w:t>
      </w:r>
      <w:r w:rsidRPr="00ED6449">
        <w:rPr>
          <w:szCs w:val="22"/>
        </w:rPr>
        <w:t xml:space="preserve"> </w:t>
      </w:r>
    </w:p>
    <w:p w:rsidR="007C47EA" w:rsidRPr="00C12344" w:rsidRDefault="007C47EA" w:rsidP="007C47EA">
      <w:pPr>
        <w:spacing w:after="240" w:line="276" w:lineRule="auto"/>
        <w:rPr>
          <w:szCs w:val="22"/>
        </w:rPr>
      </w:pPr>
      <w:r w:rsidRPr="00503206">
        <w:rPr>
          <w:szCs w:val="22"/>
        </w:rPr>
        <w:t xml:space="preserve">In the </w:t>
      </w:r>
      <w:r w:rsidRPr="00503206">
        <w:rPr>
          <w:i/>
          <w:szCs w:val="22"/>
        </w:rPr>
        <w:t>2015 Open Internet Order</w:t>
      </w:r>
      <w:r w:rsidRPr="00503206">
        <w:rPr>
          <w:szCs w:val="22"/>
        </w:rPr>
        <w:t>, the FCC also adopted a new process for companies to get advice from the FCC about the legality of new practices that companies may be considering.  This new process involves requesting and receiving an advisory opinion on specific, prospective business practices.</w:t>
      </w:r>
      <w:r w:rsidRPr="00503206">
        <w:rPr>
          <w:rStyle w:val="FootnoteReference"/>
          <w:szCs w:val="22"/>
        </w:rPr>
        <w:footnoteReference w:id="6"/>
      </w:r>
      <w:r w:rsidRPr="00503206">
        <w:rPr>
          <w:szCs w:val="22"/>
        </w:rPr>
        <w:t xml:space="preserve">  </w:t>
      </w:r>
    </w:p>
    <w:p w:rsidR="007C47EA" w:rsidRPr="00503206" w:rsidRDefault="007C47EA" w:rsidP="007C47EA">
      <w:pPr>
        <w:spacing w:after="240" w:line="276" w:lineRule="auto"/>
        <w:rPr>
          <w:b/>
          <w:szCs w:val="22"/>
        </w:rPr>
      </w:pPr>
      <w:r w:rsidRPr="00503206">
        <w:rPr>
          <w:szCs w:val="22"/>
        </w:rPr>
        <w:t xml:space="preserve">In this </w:t>
      </w:r>
      <w:r>
        <w:t>Public Notice</w:t>
      </w:r>
      <w:r w:rsidRPr="00503206">
        <w:rPr>
          <w:szCs w:val="22"/>
        </w:rPr>
        <w:t>,</w:t>
      </w:r>
      <w:r w:rsidRPr="00503206">
        <w:rPr>
          <w:b/>
          <w:szCs w:val="22"/>
        </w:rPr>
        <w:t xml:space="preserve"> </w:t>
      </w:r>
      <w:r w:rsidRPr="00503206">
        <w:rPr>
          <w:szCs w:val="22"/>
        </w:rPr>
        <w:t xml:space="preserve">the Enforcement Bureau (Bureau) provides information about </w:t>
      </w:r>
      <w:r>
        <w:rPr>
          <w:szCs w:val="22"/>
        </w:rPr>
        <w:t>Open</w:t>
      </w:r>
      <w:r w:rsidRPr="00503206">
        <w:rPr>
          <w:szCs w:val="22"/>
        </w:rPr>
        <w:t xml:space="preserve"> Internet advisory opinions and the process for submitting a request for an opinion.  </w:t>
      </w:r>
    </w:p>
    <w:p w:rsidR="007C47EA" w:rsidRPr="00392504" w:rsidRDefault="007C47EA" w:rsidP="007C47EA">
      <w:pPr>
        <w:keepNext/>
        <w:spacing w:after="240" w:line="276" w:lineRule="auto"/>
        <w:rPr>
          <w:b/>
          <w:color w:val="003366"/>
          <w:szCs w:val="22"/>
        </w:rPr>
      </w:pPr>
      <w:r w:rsidRPr="00392504">
        <w:rPr>
          <w:b/>
          <w:color w:val="003366"/>
          <w:szCs w:val="22"/>
        </w:rPr>
        <w:lastRenderedPageBreak/>
        <w:t xml:space="preserve">What are </w:t>
      </w:r>
      <w:r>
        <w:rPr>
          <w:b/>
          <w:color w:val="003366"/>
          <w:szCs w:val="22"/>
        </w:rPr>
        <w:t>Open</w:t>
      </w:r>
      <w:r w:rsidRPr="00392504">
        <w:rPr>
          <w:b/>
          <w:color w:val="003366"/>
          <w:szCs w:val="22"/>
        </w:rPr>
        <w:t xml:space="preserve"> Internet advisory opinions?</w:t>
      </w:r>
    </w:p>
    <w:p w:rsidR="007C47EA" w:rsidRPr="00392504" w:rsidRDefault="007C47EA" w:rsidP="007C47EA">
      <w:pPr>
        <w:spacing w:after="240" w:line="276" w:lineRule="auto"/>
        <w:rPr>
          <w:szCs w:val="22"/>
        </w:rPr>
      </w:pPr>
      <w:r w:rsidRPr="00392504">
        <w:rPr>
          <w:szCs w:val="22"/>
        </w:rPr>
        <w:t xml:space="preserve">Advisory opinions are a tool </w:t>
      </w:r>
      <w:r>
        <w:rPr>
          <w:szCs w:val="22"/>
        </w:rPr>
        <w:t xml:space="preserve">available to companies that are </w:t>
      </w:r>
      <w:r w:rsidRPr="00392504">
        <w:rPr>
          <w:szCs w:val="22"/>
        </w:rPr>
        <w:t>concerned abo</w:t>
      </w:r>
      <w:r w:rsidR="00FF2AEA">
        <w:rPr>
          <w:szCs w:val="22"/>
        </w:rPr>
        <w:t>u</w:t>
      </w:r>
      <w:r w:rsidRPr="00392504">
        <w:rPr>
          <w:szCs w:val="22"/>
        </w:rPr>
        <w:t xml:space="preserve">t </w:t>
      </w:r>
      <w:r>
        <w:rPr>
          <w:szCs w:val="22"/>
        </w:rPr>
        <w:t>whether</w:t>
      </w:r>
      <w:r w:rsidRPr="00392504">
        <w:rPr>
          <w:szCs w:val="22"/>
        </w:rPr>
        <w:t xml:space="preserve"> </w:t>
      </w:r>
      <w:r>
        <w:rPr>
          <w:szCs w:val="22"/>
        </w:rPr>
        <w:t xml:space="preserve">a potential activity or new </w:t>
      </w:r>
      <w:r w:rsidRPr="00392504">
        <w:rPr>
          <w:szCs w:val="22"/>
        </w:rPr>
        <w:t xml:space="preserve">business </w:t>
      </w:r>
      <w:r>
        <w:rPr>
          <w:szCs w:val="22"/>
        </w:rPr>
        <w:t>practice</w:t>
      </w:r>
      <w:r w:rsidRPr="00392504">
        <w:rPr>
          <w:szCs w:val="22"/>
        </w:rPr>
        <w:t xml:space="preserve"> </w:t>
      </w:r>
      <w:r>
        <w:rPr>
          <w:szCs w:val="22"/>
        </w:rPr>
        <w:t>they are considering will comply with</w:t>
      </w:r>
      <w:r w:rsidRPr="00392504">
        <w:rPr>
          <w:szCs w:val="22"/>
        </w:rPr>
        <w:t xml:space="preserve"> the </w:t>
      </w:r>
      <w:r>
        <w:rPr>
          <w:szCs w:val="22"/>
        </w:rPr>
        <w:t>Open</w:t>
      </w:r>
      <w:r w:rsidRPr="00392504">
        <w:rPr>
          <w:szCs w:val="22"/>
        </w:rPr>
        <w:t xml:space="preserve"> Internet rules</w:t>
      </w:r>
      <w:r>
        <w:rPr>
          <w:szCs w:val="22"/>
        </w:rPr>
        <w:t>.  Companies</w:t>
      </w:r>
      <w:r w:rsidRPr="00392504">
        <w:rPr>
          <w:szCs w:val="22"/>
        </w:rPr>
        <w:t xml:space="preserve"> may </w:t>
      </w:r>
      <w:r>
        <w:rPr>
          <w:szCs w:val="22"/>
        </w:rPr>
        <w:t xml:space="preserve">request </w:t>
      </w:r>
      <w:r w:rsidRPr="00392504">
        <w:rPr>
          <w:szCs w:val="22"/>
        </w:rPr>
        <w:t>a</w:t>
      </w:r>
      <w:r>
        <w:rPr>
          <w:szCs w:val="22"/>
        </w:rPr>
        <w:t>n advisory opinion</w:t>
      </w:r>
      <w:r w:rsidRPr="00392504">
        <w:rPr>
          <w:szCs w:val="22"/>
        </w:rPr>
        <w:t xml:space="preserve"> from the Bureau regarding </w:t>
      </w:r>
      <w:r>
        <w:rPr>
          <w:szCs w:val="22"/>
        </w:rPr>
        <w:t>such proposed</w:t>
      </w:r>
      <w:r w:rsidRPr="00392504">
        <w:rPr>
          <w:szCs w:val="22"/>
        </w:rPr>
        <w:t xml:space="preserve"> conduct</w:t>
      </w:r>
      <w:r>
        <w:rPr>
          <w:szCs w:val="22"/>
        </w:rPr>
        <w:t>.</w:t>
      </w:r>
      <w:r w:rsidRPr="00392504">
        <w:rPr>
          <w:rStyle w:val="FootnoteReference"/>
          <w:szCs w:val="22"/>
        </w:rPr>
        <w:footnoteReference w:id="7"/>
      </w:r>
      <w:r w:rsidRPr="00392504">
        <w:rPr>
          <w:szCs w:val="22"/>
        </w:rPr>
        <w:t xml:space="preserve">  The opinions will provide guidance about how the Bureau will evaluate </w:t>
      </w:r>
      <w:r>
        <w:rPr>
          <w:szCs w:val="22"/>
        </w:rPr>
        <w:t>the conduct</w:t>
      </w:r>
      <w:r w:rsidRPr="00392504">
        <w:rPr>
          <w:szCs w:val="22"/>
        </w:rPr>
        <w:t xml:space="preserve"> and the factors that will be considered in determining whether </w:t>
      </w:r>
      <w:r>
        <w:rPr>
          <w:szCs w:val="22"/>
        </w:rPr>
        <w:t>the conduct would be consistent with the Open</w:t>
      </w:r>
      <w:r w:rsidRPr="00392504">
        <w:rPr>
          <w:szCs w:val="22"/>
        </w:rPr>
        <w:t xml:space="preserve"> Internet </w:t>
      </w:r>
      <w:r>
        <w:rPr>
          <w:szCs w:val="22"/>
        </w:rPr>
        <w:t>rules</w:t>
      </w:r>
      <w:r w:rsidRPr="00392504">
        <w:rPr>
          <w:szCs w:val="22"/>
        </w:rPr>
        <w:t>.</w:t>
      </w:r>
      <w:r w:rsidRPr="00392504">
        <w:rPr>
          <w:rStyle w:val="FootnoteReference"/>
          <w:szCs w:val="22"/>
        </w:rPr>
        <w:footnoteReference w:id="8"/>
      </w:r>
      <w:r>
        <w:rPr>
          <w:szCs w:val="22"/>
        </w:rPr>
        <w:t xml:space="preserve">  Specifically, parties may request advisory opinions regarding conduct that potentially could implicate the existing Open Internet rules or any rules or policies related to the Open Internet that may be adopted in the future.</w:t>
      </w:r>
      <w:r>
        <w:rPr>
          <w:rStyle w:val="FootnoteReference"/>
          <w:szCs w:val="22"/>
        </w:rPr>
        <w:footnoteReference w:id="9"/>
      </w:r>
      <w:r>
        <w:rPr>
          <w:szCs w:val="22"/>
        </w:rPr>
        <w:t xml:space="preserve">  </w:t>
      </w:r>
    </w:p>
    <w:p w:rsidR="007C47EA" w:rsidRPr="00392504" w:rsidRDefault="007C47EA" w:rsidP="007C47EA">
      <w:pPr>
        <w:pStyle w:val="NormalWeb"/>
        <w:keepNext/>
        <w:shd w:val="clear" w:color="auto" w:fill="FFFFFF"/>
        <w:spacing w:before="0" w:beforeAutospacing="0" w:after="240" w:afterAutospacing="0" w:line="276" w:lineRule="auto"/>
        <w:rPr>
          <w:b/>
          <w:color w:val="003366"/>
          <w:sz w:val="22"/>
          <w:szCs w:val="22"/>
        </w:rPr>
      </w:pPr>
      <w:r w:rsidRPr="00392504">
        <w:rPr>
          <w:b/>
          <w:color w:val="003366"/>
          <w:sz w:val="22"/>
          <w:szCs w:val="22"/>
        </w:rPr>
        <w:t>What is the purpose of advisory opinions?</w:t>
      </w:r>
    </w:p>
    <w:p w:rsidR="007C47EA" w:rsidRPr="00392504" w:rsidRDefault="007C47EA" w:rsidP="007C47EA">
      <w:pPr>
        <w:spacing w:after="240" w:line="276" w:lineRule="auto"/>
        <w:rPr>
          <w:bCs/>
          <w:szCs w:val="22"/>
        </w:rPr>
      </w:pPr>
      <w:r w:rsidRPr="00392504">
        <w:rPr>
          <w:szCs w:val="22"/>
        </w:rPr>
        <w:t>Advisory opinions are intended to promote legal certainty, so that broadband providers</w:t>
      </w:r>
      <w:r>
        <w:rPr>
          <w:szCs w:val="22"/>
        </w:rPr>
        <w:t xml:space="preserve"> </w:t>
      </w:r>
      <w:r w:rsidRPr="00392504">
        <w:rPr>
          <w:szCs w:val="22"/>
        </w:rPr>
        <w:t>can plan their activities based on clear guidance.</w:t>
      </w:r>
      <w:r w:rsidRPr="00392504">
        <w:rPr>
          <w:rStyle w:val="FootnoteReference"/>
          <w:szCs w:val="22"/>
        </w:rPr>
        <w:footnoteReference w:id="10"/>
      </w:r>
      <w:r w:rsidRPr="00392504">
        <w:rPr>
          <w:szCs w:val="22"/>
        </w:rPr>
        <w:t xml:space="preserve">  Advisory opinions will allow companies to seek guidance on the propriety of certain </w:t>
      </w:r>
      <w:r>
        <w:rPr>
          <w:szCs w:val="22"/>
        </w:rPr>
        <w:t>Open</w:t>
      </w:r>
      <w:r w:rsidRPr="00392504">
        <w:rPr>
          <w:szCs w:val="22"/>
        </w:rPr>
        <w:t xml:space="preserve"> Internet practices before implementing them, enabling them to be proactive about compliance and avoid enforcement actions later.</w:t>
      </w:r>
      <w:r w:rsidRPr="00392504">
        <w:rPr>
          <w:rStyle w:val="FootnoteReference"/>
          <w:szCs w:val="22"/>
        </w:rPr>
        <w:footnoteReference w:id="11"/>
      </w:r>
      <w:r w:rsidRPr="00392504">
        <w:rPr>
          <w:szCs w:val="22"/>
        </w:rPr>
        <w:t xml:space="preserve">  Because </w:t>
      </w:r>
      <w:r w:rsidR="00942ED8">
        <w:rPr>
          <w:szCs w:val="22"/>
        </w:rPr>
        <w:t xml:space="preserve">advisory </w:t>
      </w:r>
      <w:r w:rsidRPr="00392504">
        <w:rPr>
          <w:szCs w:val="22"/>
        </w:rPr>
        <w:t xml:space="preserve">opinions will be publicly available, they </w:t>
      </w:r>
      <w:r w:rsidRPr="00AB59E3">
        <w:rPr>
          <w:szCs w:val="22"/>
        </w:rPr>
        <w:t>should also</w:t>
      </w:r>
      <w:r w:rsidRPr="00392504">
        <w:rPr>
          <w:szCs w:val="22"/>
        </w:rPr>
        <w:t xml:space="preserve"> reduce the number of disputes by providing guidance to the industry.</w:t>
      </w:r>
      <w:r w:rsidRPr="00392504">
        <w:rPr>
          <w:rStyle w:val="FootnoteReference"/>
          <w:szCs w:val="22"/>
        </w:rPr>
        <w:footnoteReference w:id="12"/>
      </w:r>
    </w:p>
    <w:p w:rsidR="007C47EA" w:rsidRPr="00392504" w:rsidRDefault="007C47EA" w:rsidP="007C47EA">
      <w:pPr>
        <w:pStyle w:val="NormalWeb"/>
        <w:keepNext/>
        <w:shd w:val="clear" w:color="auto" w:fill="FFFFFF"/>
        <w:spacing w:before="0" w:beforeAutospacing="0" w:after="240" w:afterAutospacing="0" w:line="276" w:lineRule="auto"/>
        <w:rPr>
          <w:b/>
          <w:color w:val="003366"/>
          <w:sz w:val="22"/>
          <w:szCs w:val="22"/>
        </w:rPr>
      </w:pPr>
      <w:r w:rsidRPr="00392504">
        <w:rPr>
          <w:b/>
          <w:color w:val="003366"/>
          <w:sz w:val="22"/>
          <w:szCs w:val="22"/>
        </w:rPr>
        <w:t>Who can request an advisory opinion?</w:t>
      </w:r>
    </w:p>
    <w:p w:rsidR="007C47EA" w:rsidRPr="00392504" w:rsidRDefault="007C47EA" w:rsidP="007C47EA">
      <w:pPr>
        <w:spacing w:after="240" w:line="276" w:lineRule="auto"/>
        <w:rPr>
          <w:szCs w:val="22"/>
        </w:rPr>
      </w:pPr>
      <w:r w:rsidRPr="00392504">
        <w:rPr>
          <w:szCs w:val="22"/>
        </w:rPr>
        <w:t xml:space="preserve">Any entity subject to </w:t>
      </w:r>
      <w:r>
        <w:rPr>
          <w:szCs w:val="22"/>
        </w:rPr>
        <w:t>the FCC</w:t>
      </w:r>
      <w:r w:rsidRPr="00392504">
        <w:rPr>
          <w:szCs w:val="22"/>
        </w:rPr>
        <w:t xml:space="preserve">’s jurisdiction can request an advisory opinion regarding its own prospective or proposed </w:t>
      </w:r>
      <w:r>
        <w:rPr>
          <w:szCs w:val="22"/>
        </w:rPr>
        <w:t>activity or business practice</w:t>
      </w:r>
      <w:r w:rsidRPr="00392504">
        <w:rPr>
          <w:szCs w:val="22"/>
        </w:rPr>
        <w:t xml:space="preserve"> that may implicate the </w:t>
      </w:r>
      <w:r>
        <w:rPr>
          <w:szCs w:val="22"/>
        </w:rPr>
        <w:t>Open</w:t>
      </w:r>
      <w:r w:rsidRPr="00392504">
        <w:rPr>
          <w:szCs w:val="22"/>
        </w:rPr>
        <w:t xml:space="preserve"> Internet rules.</w:t>
      </w:r>
      <w:r w:rsidRPr="00392504">
        <w:rPr>
          <w:rStyle w:val="FootnoteReference"/>
          <w:szCs w:val="22"/>
        </w:rPr>
        <w:footnoteReference w:id="13"/>
      </w:r>
    </w:p>
    <w:p w:rsidR="007C47EA" w:rsidRPr="00392504" w:rsidRDefault="007C47EA" w:rsidP="007C47EA">
      <w:pPr>
        <w:pStyle w:val="NormalWeb"/>
        <w:keepNext/>
        <w:shd w:val="clear" w:color="auto" w:fill="FFFFFF"/>
        <w:spacing w:before="0" w:beforeAutospacing="0" w:after="240" w:afterAutospacing="0" w:line="276" w:lineRule="auto"/>
        <w:rPr>
          <w:b/>
          <w:color w:val="003366"/>
          <w:sz w:val="22"/>
          <w:szCs w:val="22"/>
        </w:rPr>
      </w:pPr>
      <w:r w:rsidRPr="00392504">
        <w:rPr>
          <w:b/>
          <w:color w:val="003366"/>
          <w:sz w:val="22"/>
          <w:szCs w:val="22"/>
        </w:rPr>
        <w:t>Am I required to request an advisory opinion?  Are there any consequences if I don’t?</w:t>
      </w:r>
    </w:p>
    <w:p w:rsidR="007C47EA" w:rsidRPr="002E40F4" w:rsidRDefault="007C47EA" w:rsidP="007C47EA">
      <w:pPr>
        <w:pStyle w:val="NormalWeb"/>
        <w:keepNext/>
        <w:shd w:val="clear" w:color="auto" w:fill="FFFFFF"/>
        <w:spacing w:before="0" w:beforeAutospacing="0" w:after="240" w:afterAutospacing="0" w:line="276" w:lineRule="auto"/>
        <w:rPr>
          <w:b/>
          <w:sz w:val="22"/>
          <w:szCs w:val="22"/>
        </w:rPr>
      </w:pPr>
      <w:r w:rsidRPr="00110528">
        <w:rPr>
          <w:sz w:val="22"/>
          <w:szCs w:val="22"/>
        </w:rPr>
        <w:t xml:space="preserve">No.  Solicitation of advisory opinions is purely voluntary, and failure to seek an opinion will not be </w:t>
      </w:r>
      <w:r w:rsidRPr="002E40F4">
        <w:rPr>
          <w:sz w:val="22"/>
          <w:szCs w:val="22"/>
        </w:rPr>
        <w:t xml:space="preserve">used as evidence that an entity’s practices are inconsistent with the </w:t>
      </w:r>
      <w:r>
        <w:rPr>
          <w:sz w:val="22"/>
          <w:szCs w:val="22"/>
        </w:rPr>
        <w:t>Open</w:t>
      </w:r>
      <w:r w:rsidRPr="002E40F4">
        <w:rPr>
          <w:sz w:val="22"/>
          <w:szCs w:val="22"/>
        </w:rPr>
        <w:t xml:space="preserve"> Internet rules.</w:t>
      </w:r>
      <w:r w:rsidRPr="002E40F4">
        <w:rPr>
          <w:rStyle w:val="FootnoteReference"/>
          <w:sz w:val="22"/>
          <w:szCs w:val="22"/>
        </w:rPr>
        <w:footnoteReference w:id="14"/>
      </w:r>
    </w:p>
    <w:p w:rsidR="007C47EA" w:rsidRPr="00BD5AC0" w:rsidRDefault="007C47EA" w:rsidP="007C47EA">
      <w:pPr>
        <w:pStyle w:val="NormalWeb"/>
        <w:shd w:val="clear" w:color="auto" w:fill="FFFFFF"/>
        <w:spacing w:before="0" w:beforeAutospacing="0" w:after="240" w:afterAutospacing="0" w:line="276" w:lineRule="auto"/>
        <w:rPr>
          <w:b/>
          <w:color w:val="003366"/>
          <w:sz w:val="22"/>
          <w:szCs w:val="22"/>
        </w:rPr>
      </w:pPr>
      <w:r w:rsidRPr="00BD5AC0">
        <w:rPr>
          <w:b/>
          <w:color w:val="003366"/>
          <w:sz w:val="22"/>
          <w:szCs w:val="22"/>
        </w:rPr>
        <w:t>What are proper subjects for advisory opinions?</w:t>
      </w:r>
    </w:p>
    <w:p w:rsidR="007C47EA" w:rsidRPr="00254F35" w:rsidRDefault="007C47EA" w:rsidP="007C47EA">
      <w:pPr>
        <w:pStyle w:val="NormalWeb"/>
        <w:keepNext/>
        <w:shd w:val="clear" w:color="auto" w:fill="FFFFFF"/>
        <w:spacing w:before="0" w:beforeAutospacing="0" w:after="240" w:afterAutospacing="0" w:line="276" w:lineRule="auto"/>
        <w:rPr>
          <w:bCs/>
          <w:sz w:val="22"/>
          <w:szCs w:val="22"/>
        </w:rPr>
      </w:pPr>
      <w:r w:rsidRPr="00503206">
        <w:rPr>
          <w:bCs/>
          <w:sz w:val="22"/>
          <w:szCs w:val="22"/>
        </w:rPr>
        <w:t xml:space="preserve">Requests for advisory opinions must relate to prospective or proposed conduct that the requesting party intends to pursue and which may implicate the </w:t>
      </w:r>
      <w:r>
        <w:rPr>
          <w:bCs/>
          <w:sz w:val="22"/>
          <w:szCs w:val="22"/>
        </w:rPr>
        <w:t>Open</w:t>
      </w:r>
      <w:r w:rsidRPr="00503206">
        <w:rPr>
          <w:bCs/>
          <w:sz w:val="22"/>
          <w:szCs w:val="22"/>
        </w:rPr>
        <w:t xml:space="preserve"> Internet rules.</w:t>
      </w:r>
      <w:r w:rsidRPr="00503206">
        <w:rPr>
          <w:rStyle w:val="FootnoteReference"/>
          <w:bCs/>
          <w:sz w:val="22"/>
          <w:szCs w:val="22"/>
        </w:rPr>
        <w:footnoteReference w:id="15"/>
      </w:r>
      <w:r w:rsidRPr="00503206">
        <w:rPr>
          <w:bCs/>
          <w:sz w:val="22"/>
          <w:szCs w:val="22"/>
        </w:rPr>
        <w:t xml:space="preserve">  </w:t>
      </w:r>
      <w:r w:rsidRPr="00503206">
        <w:rPr>
          <w:iCs/>
          <w:sz w:val="22"/>
          <w:szCs w:val="22"/>
        </w:rPr>
        <w:t xml:space="preserve">A proposed course of conduct for which an advisory opinion is sought must be sufficiently concrete and detailed so as to be more than merely hypothetical; it must be sufficiently defined to enable the </w:t>
      </w:r>
      <w:r>
        <w:rPr>
          <w:iCs/>
          <w:sz w:val="22"/>
          <w:szCs w:val="22"/>
        </w:rPr>
        <w:t>Bureau</w:t>
      </w:r>
      <w:r w:rsidRPr="00503206">
        <w:rPr>
          <w:iCs/>
          <w:sz w:val="22"/>
          <w:szCs w:val="22"/>
        </w:rPr>
        <w:t xml:space="preserve"> to conduct an in-depth </w:t>
      </w:r>
      <w:r w:rsidRPr="00503206">
        <w:rPr>
          <w:iCs/>
          <w:sz w:val="22"/>
          <w:szCs w:val="22"/>
        </w:rPr>
        <w:lastRenderedPageBreak/>
        <w:t>evaluation of the proposal</w:t>
      </w:r>
      <w:r w:rsidRPr="00503206">
        <w:rPr>
          <w:sz w:val="22"/>
          <w:szCs w:val="22"/>
        </w:rPr>
        <w:t>.</w:t>
      </w:r>
      <w:r w:rsidRPr="00503206">
        <w:rPr>
          <w:rStyle w:val="FootnoteReference"/>
          <w:sz w:val="22"/>
          <w:szCs w:val="22"/>
        </w:rPr>
        <w:footnoteReference w:id="16"/>
      </w:r>
      <w:r w:rsidRPr="00503206">
        <w:rPr>
          <w:sz w:val="22"/>
          <w:szCs w:val="22"/>
        </w:rPr>
        <w:t xml:space="preserve">  </w:t>
      </w:r>
      <w:r w:rsidR="00EB5C7F">
        <w:rPr>
          <w:bCs/>
          <w:sz w:val="22"/>
          <w:szCs w:val="22"/>
        </w:rPr>
        <w:t>In addition, t</w:t>
      </w:r>
      <w:r w:rsidRPr="00503206">
        <w:rPr>
          <w:bCs/>
          <w:sz w:val="22"/>
          <w:szCs w:val="22"/>
        </w:rPr>
        <w:t>he Bureau will not respond to requests for opinions that relate to ongoing or prior conduct.</w:t>
      </w:r>
      <w:r w:rsidRPr="00503206">
        <w:rPr>
          <w:rStyle w:val="FootnoteReference"/>
          <w:bCs/>
          <w:sz w:val="22"/>
          <w:szCs w:val="22"/>
        </w:rPr>
        <w:footnoteReference w:id="17"/>
      </w:r>
      <w:r w:rsidRPr="00503206">
        <w:rPr>
          <w:bCs/>
          <w:sz w:val="22"/>
          <w:szCs w:val="22"/>
        </w:rPr>
        <w:t xml:space="preserve">  </w:t>
      </w:r>
      <w:r w:rsidR="00EB5C7F">
        <w:rPr>
          <w:bCs/>
          <w:sz w:val="22"/>
          <w:szCs w:val="22"/>
        </w:rPr>
        <w:t>T</w:t>
      </w:r>
      <w:r w:rsidRPr="00503206">
        <w:rPr>
          <w:bCs/>
          <w:sz w:val="22"/>
          <w:szCs w:val="22"/>
        </w:rPr>
        <w:t xml:space="preserve">he Bureau </w:t>
      </w:r>
      <w:r w:rsidR="00EB5C7F">
        <w:rPr>
          <w:bCs/>
          <w:sz w:val="22"/>
          <w:szCs w:val="22"/>
        </w:rPr>
        <w:t xml:space="preserve">also </w:t>
      </w:r>
      <w:r w:rsidRPr="00503206">
        <w:rPr>
          <w:bCs/>
          <w:sz w:val="22"/>
          <w:szCs w:val="22"/>
        </w:rPr>
        <w:t xml:space="preserve">will </w:t>
      </w:r>
      <w:r w:rsidRPr="00110528">
        <w:rPr>
          <w:bCs/>
          <w:sz w:val="22"/>
          <w:szCs w:val="22"/>
        </w:rPr>
        <w:t xml:space="preserve">not </w:t>
      </w:r>
      <w:r w:rsidRPr="00110528">
        <w:rPr>
          <w:sz w:val="22"/>
          <w:szCs w:val="22"/>
        </w:rPr>
        <w:t>respond</w:t>
      </w:r>
      <w:r w:rsidRPr="00110528">
        <w:rPr>
          <w:bCs/>
          <w:sz w:val="22"/>
          <w:szCs w:val="22"/>
        </w:rPr>
        <w:t xml:space="preserve"> to requests if the same or substantially the same conduct is the subject of a current </w:t>
      </w:r>
      <w:r w:rsidRPr="00254F35">
        <w:rPr>
          <w:bCs/>
          <w:sz w:val="22"/>
          <w:szCs w:val="22"/>
        </w:rPr>
        <w:t>government investigation or proceeding, including any ongoing litigation or open rulemaking at the Commission.</w:t>
      </w:r>
      <w:r w:rsidRPr="00254F35">
        <w:rPr>
          <w:rStyle w:val="FootnoteReference"/>
          <w:bCs/>
          <w:sz w:val="22"/>
          <w:szCs w:val="22"/>
        </w:rPr>
        <w:footnoteReference w:id="18"/>
      </w:r>
      <w:r>
        <w:rPr>
          <w:bCs/>
          <w:sz w:val="22"/>
          <w:szCs w:val="22"/>
        </w:rPr>
        <w:t xml:space="preserve">  </w:t>
      </w:r>
      <w:r w:rsidRPr="00334F32">
        <w:rPr>
          <w:bCs/>
          <w:sz w:val="22"/>
          <w:szCs w:val="22"/>
        </w:rPr>
        <w:t xml:space="preserve">Requesters are under a continuing obligation </w:t>
      </w:r>
      <w:r>
        <w:rPr>
          <w:bCs/>
          <w:sz w:val="22"/>
          <w:szCs w:val="22"/>
        </w:rPr>
        <w:t xml:space="preserve">while the request is pending </w:t>
      </w:r>
      <w:r w:rsidRPr="00334F32">
        <w:rPr>
          <w:bCs/>
          <w:sz w:val="22"/>
          <w:szCs w:val="22"/>
        </w:rPr>
        <w:t>to inform the Bureau if the request involves the same or substantially the same conduct that is the subject of a current government investigation or proceeding.</w:t>
      </w:r>
    </w:p>
    <w:p w:rsidR="007C47EA" w:rsidRPr="00110528" w:rsidRDefault="007C47EA" w:rsidP="007C47EA">
      <w:pPr>
        <w:pStyle w:val="NormalWeb"/>
        <w:keepNext/>
        <w:shd w:val="clear" w:color="auto" w:fill="FFFFFF"/>
        <w:spacing w:before="0" w:beforeAutospacing="0" w:after="240" w:afterAutospacing="0" w:line="276" w:lineRule="auto"/>
        <w:rPr>
          <w:b/>
          <w:color w:val="003366"/>
          <w:sz w:val="22"/>
          <w:szCs w:val="22"/>
        </w:rPr>
      </w:pPr>
      <w:r w:rsidRPr="00110528">
        <w:rPr>
          <w:b/>
          <w:color w:val="003366"/>
          <w:sz w:val="22"/>
          <w:szCs w:val="22"/>
        </w:rPr>
        <w:t xml:space="preserve">How do I request an advisory opinion?  </w:t>
      </w:r>
    </w:p>
    <w:p w:rsidR="007C47EA" w:rsidRPr="00110528" w:rsidRDefault="007C47EA" w:rsidP="007C47EA">
      <w:pPr>
        <w:spacing w:after="240" w:line="276" w:lineRule="auto"/>
        <w:rPr>
          <w:szCs w:val="22"/>
        </w:rPr>
      </w:pPr>
      <w:r w:rsidRPr="00110528">
        <w:rPr>
          <w:bCs/>
          <w:szCs w:val="22"/>
        </w:rPr>
        <w:t xml:space="preserve">Requests for advisory opinions </w:t>
      </w:r>
      <w:r>
        <w:rPr>
          <w:bCs/>
          <w:szCs w:val="22"/>
        </w:rPr>
        <w:t>must</w:t>
      </w:r>
      <w:r w:rsidRPr="00110528">
        <w:rPr>
          <w:bCs/>
          <w:szCs w:val="22"/>
        </w:rPr>
        <w:t xml:space="preserve"> be filed via the FCC’s website or with the Office of the Secretary and </w:t>
      </w:r>
      <w:r>
        <w:rPr>
          <w:bCs/>
          <w:szCs w:val="22"/>
        </w:rPr>
        <w:t xml:space="preserve">also </w:t>
      </w:r>
      <w:r w:rsidRPr="00110528">
        <w:rPr>
          <w:bCs/>
          <w:szCs w:val="22"/>
        </w:rPr>
        <w:t xml:space="preserve">must be </w:t>
      </w:r>
      <w:r>
        <w:rPr>
          <w:bCs/>
          <w:szCs w:val="22"/>
        </w:rPr>
        <w:t>submitted t</w:t>
      </w:r>
      <w:r w:rsidRPr="00110528">
        <w:rPr>
          <w:bCs/>
          <w:szCs w:val="22"/>
        </w:rPr>
        <w:t>o the Chief of the Enforcement Bureau and the Chief of the Investigations and Hearings Division of the Enforcement Bureau.</w:t>
      </w:r>
      <w:r w:rsidRPr="00110528">
        <w:rPr>
          <w:rStyle w:val="FootnoteReference"/>
          <w:bCs/>
          <w:szCs w:val="22"/>
        </w:rPr>
        <w:footnoteReference w:id="19"/>
      </w:r>
      <w:r w:rsidRPr="00110528">
        <w:rPr>
          <w:bCs/>
          <w:szCs w:val="22"/>
        </w:rPr>
        <w:t xml:space="preserve">  </w:t>
      </w:r>
      <w:r w:rsidRPr="00EF4AAE">
        <w:rPr>
          <w:bCs/>
          <w:szCs w:val="22"/>
        </w:rPr>
        <w:t xml:space="preserve">To file via the FCC’s website, go to “Submit a Non-Docketed Filing” from within the Electronic Comment Filing System (ECFS) at </w:t>
      </w:r>
      <w:r w:rsidRPr="005C5CA5">
        <w:rPr>
          <w:bCs/>
          <w:szCs w:val="22"/>
        </w:rPr>
        <w:t>http://apps.fcc.gov/ecfs/</w:t>
      </w:r>
      <w:r w:rsidRPr="00EF4AAE">
        <w:rPr>
          <w:bCs/>
          <w:szCs w:val="22"/>
        </w:rPr>
        <w:t>.  Select</w:t>
      </w:r>
      <w:r>
        <w:rPr>
          <w:bCs/>
          <w:szCs w:val="22"/>
        </w:rPr>
        <w:t xml:space="preserve"> </w:t>
      </w:r>
      <w:r w:rsidRPr="00EF4AAE">
        <w:rPr>
          <w:bCs/>
          <w:szCs w:val="22"/>
        </w:rPr>
        <w:t xml:space="preserve">“Request for Open Internet Advisory Opinion” as the appropriate FCC inbox.  This will bring the request to the attention of the Bureau.  Any documents filed through ECFS will become publicly available.  To submit a </w:t>
      </w:r>
      <w:r w:rsidR="00EB5C7F">
        <w:rPr>
          <w:bCs/>
          <w:szCs w:val="22"/>
        </w:rPr>
        <w:t xml:space="preserve">request for </w:t>
      </w:r>
      <w:r w:rsidRPr="00EF4AAE">
        <w:rPr>
          <w:bCs/>
          <w:szCs w:val="22"/>
        </w:rPr>
        <w:t xml:space="preserve">material </w:t>
      </w:r>
      <w:r>
        <w:rPr>
          <w:bCs/>
          <w:szCs w:val="22"/>
        </w:rPr>
        <w:t xml:space="preserve">to </w:t>
      </w:r>
      <w:r w:rsidRPr="00EF4AAE">
        <w:rPr>
          <w:bCs/>
          <w:szCs w:val="22"/>
        </w:rPr>
        <w:t>be withheld from public inspection, see section 0.459 of the Commission’s rules.</w:t>
      </w:r>
      <w:r>
        <w:rPr>
          <w:rStyle w:val="FootnoteReference"/>
          <w:bCs/>
          <w:szCs w:val="22"/>
        </w:rPr>
        <w:footnoteReference w:id="20"/>
      </w:r>
    </w:p>
    <w:p w:rsidR="007C47EA" w:rsidRPr="00110528" w:rsidRDefault="007C47EA" w:rsidP="007C47EA">
      <w:pPr>
        <w:pStyle w:val="NormalWeb"/>
        <w:keepNext/>
        <w:shd w:val="clear" w:color="auto" w:fill="FFFFFF"/>
        <w:spacing w:before="0" w:beforeAutospacing="0" w:after="240" w:afterAutospacing="0" w:line="276" w:lineRule="auto"/>
        <w:rPr>
          <w:b/>
          <w:color w:val="003366"/>
          <w:sz w:val="22"/>
          <w:szCs w:val="22"/>
        </w:rPr>
      </w:pPr>
      <w:r w:rsidRPr="00110528">
        <w:rPr>
          <w:b/>
          <w:color w:val="003366"/>
          <w:sz w:val="22"/>
          <w:szCs w:val="22"/>
        </w:rPr>
        <w:t>What information will I need to include with my request?</w:t>
      </w:r>
    </w:p>
    <w:p w:rsidR="007C47EA" w:rsidRPr="00110528" w:rsidRDefault="007C47EA" w:rsidP="007C47EA">
      <w:pPr>
        <w:spacing w:after="240" w:line="276" w:lineRule="auto"/>
        <w:rPr>
          <w:bCs/>
          <w:szCs w:val="22"/>
        </w:rPr>
      </w:pPr>
      <w:r w:rsidRPr="00110528">
        <w:rPr>
          <w:bCs/>
          <w:szCs w:val="22"/>
        </w:rPr>
        <w:t xml:space="preserve">Requests for advisory opinions must be accompanied by all material information </w:t>
      </w:r>
      <w:r>
        <w:rPr>
          <w:bCs/>
          <w:szCs w:val="22"/>
        </w:rPr>
        <w:t>needed</w:t>
      </w:r>
      <w:r w:rsidRPr="00110528">
        <w:rPr>
          <w:bCs/>
          <w:szCs w:val="22"/>
        </w:rPr>
        <w:t xml:space="preserve"> for </w:t>
      </w:r>
      <w:r>
        <w:rPr>
          <w:bCs/>
          <w:szCs w:val="22"/>
        </w:rPr>
        <w:t xml:space="preserve">the </w:t>
      </w:r>
      <w:r w:rsidRPr="00110528">
        <w:rPr>
          <w:bCs/>
          <w:szCs w:val="22"/>
        </w:rPr>
        <w:t xml:space="preserve">Bureau to make a determination regarding whether the proposed conduct would comply with the </w:t>
      </w:r>
      <w:r>
        <w:rPr>
          <w:bCs/>
          <w:szCs w:val="22"/>
        </w:rPr>
        <w:t>Open</w:t>
      </w:r>
      <w:r w:rsidRPr="00110528">
        <w:rPr>
          <w:bCs/>
          <w:szCs w:val="22"/>
        </w:rPr>
        <w:t xml:space="preserve"> Internet rules.</w:t>
      </w:r>
      <w:r w:rsidRPr="00110528">
        <w:rPr>
          <w:rStyle w:val="FootnoteReference"/>
          <w:bCs/>
          <w:szCs w:val="22"/>
        </w:rPr>
        <w:footnoteReference w:id="21"/>
      </w:r>
      <w:r w:rsidRPr="00110528">
        <w:rPr>
          <w:bCs/>
          <w:szCs w:val="22"/>
        </w:rPr>
        <w:t xml:space="preserve">  As examples, a company may submit documents describing the program; disclosures, advertisements</w:t>
      </w:r>
      <w:r>
        <w:rPr>
          <w:bCs/>
          <w:szCs w:val="22"/>
        </w:rPr>
        <w:t>,</w:t>
      </w:r>
      <w:r w:rsidRPr="00110528">
        <w:rPr>
          <w:bCs/>
          <w:szCs w:val="22"/>
        </w:rPr>
        <w:t xml:space="preserve"> or other consumer-facing materials; engineering analyses; rollout plans and schedules; and analyses of the potential effects on consumers.  The Bureau will primarily be looking for factual information contained in business documents created in the normal course of business; legal analysis is not required.  The submitting party can request confidential treatment of its materials</w:t>
      </w:r>
      <w:r>
        <w:rPr>
          <w:bCs/>
          <w:szCs w:val="22"/>
        </w:rPr>
        <w:t xml:space="preserve"> </w:t>
      </w:r>
      <w:r w:rsidRPr="00334F32">
        <w:rPr>
          <w:bCs/>
          <w:szCs w:val="22"/>
        </w:rPr>
        <w:t xml:space="preserve">in accordance with </w:t>
      </w:r>
      <w:r>
        <w:rPr>
          <w:bCs/>
          <w:szCs w:val="22"/>
        </w:rPr>
        <w:t>S</w:t>
      </w:r>
      <w:r w:rsidRPr="00334F32">
        <w:rPr>
          <w:bCs/>
          <w:szCs w:val="22"/>
        </w:rPr>
        <w:t>ection 0.459 of the</w:t>
      </w:r>
      <w:r>
        <w:rPr>
          <w:bCs/>
          <w:szCs w:val="22"/>
        </w:rPr>
        <w:t xml:space="preserve"> Commission’s </w:t>
      </w:r>
      <w:r w:rsidRPr="00334F32">
        <w:rPr>
          <w:bCs/>
          <w:szCs w:val="22"/>
        </w:rPr>
        <w:t>rules</w:t>
      </w:r>
      <w:r w:rsidRPr="00110528">
        <w:rPr>
          <w:bCs/>
          <w:szCs w:val="22"/>
        </w:rPr>
        <w:t xml:space="preserve">.  </w:t>
      </w:r>
    </w:p>
    <w:p w:rsidR="007C47EA" w:rsidRPr="00110528" w:rsidRDefault="007C47EA" w:rsidP="007C47EA">
      <w:pPr>
        <w:spacing w:after="240" w:line="276" w:lineRule="auto"/>
        <w:rPr>
          <w:szCs w:val="22"/>
        </w:rPr>
      </w:pPr>
      <w:r>
        <w:rPr>
          <w:bCs/>
          <w:szCs w:val="22"/>
        </w:rPr>
        <w:t xml:space="preserve">The </w:t>
      </w:r>
      <w:r w:rsidRPr="00110528">
        <w:rPr>
          <w:bCs/>
          <w:szCs w:val="22"/>
        </w:rPr>
        <w:t xml:space="preserve">Bureau will have discretion to ask parties requesting opinions, as well as other parties that may have information relevant to the request or that may be impacted by the proposed conduct, for additional information that the </w:t>
      </w:r>
      <w:r>
        <w:rPr>
          <w:bCs/>
          <w:szCs w:val="22"/>
        </w:rPr>
        <w:t>Bureau</w:t>
      </w:r>
      <w:r w:rsidRPr="00110528">
        <w:rPr>
          <w:bCs/>
          <w:szCs w:val="22"/>
        </w:rPr>
        <w:t xml:space="preserve"> deems necessary to respond to the request.</w:t>
      </w:r>
      <w:r w:rsidRPr="00110528">
        <w:rPr>
          <w:rStyle w:val="FootnoteReference"/>
          <w:bCs/>
          <w:szCs w:val="22"/>
        </w:rPr>
        <w:footnoteReference w:id="22"/>
      </w:r>
      <w:r w:rsidRPr="00110528">
        <w:rPr>
          <w:bCs/>
          <w:szCs w:val="22"/>
        </w:rPr>
        <w:t xml:space="preserve">    </w:t>
      </w:r>
    </w:p>
    <w:p w:rsidR="007C47EA" w:rsidRPr="00392504" w:rsidRDefault="007C47EA" w:rsidP="007C47EA">
      <w:pPr>
        <w:spacing w:after="240" w:line="276" w:lineRule="auto"/>
        <w:rPr>
          <w:bCs/>
          <w:szCs w:val="22"/>
        </w:rPr>
      </w:pPr>
      <w:r w:rsidRPr="00110528">
        <w:rPr>
          <w:szCs w:val="22"/>
        </w:rPr>
        <w:t xml:space="preserve">Because advisory opinions will rely on full and truthful disclosures by the requesting entities, requesters must certify that factual representations are truthful and accurate, and that they have </w:t>
      </w:r>
      <w:r w:rsidRPr="00392504">
        <w:rPr>
          <w:szCs w:val="22"/>
        </w:rPr>
        <w:t>not intentionally omitted any material information from the request.</w:t>
      </w:r>
      <w:r w:rsidRPr="00392504">
        <w:rPr>
          <w:rStyle w:val="FootnoteReference"/>
          <w:szCs w:val="22"/>
        </w:rPr>
        <w:footnoteReference w:id="23"/>
      </w:r>
      <w:r w:rsidRPr="00392504">
        <w:rPr>
          <w:szCs w:val="22"/>
        </w:rPr>
        <w:t xml:space="preserve">  </w:t>
      </w:r>
    </w:p>
    <w:p w:rsidR="007C47EA" w:rsidRPr="00392504" w:rsidRDefault="007C47EA" w:rsidP="007C47EA">
      <w:pPr>
        <w:pStyle w:val="NormalWeb"/>
        <w:shd w:val="clear" w:color="auto" w:fill="FFFFFF"/>
        <w:spacing w:before="0" w:beforeAutospacing="0" w:after="240" w:afterAutospacing="0" w:line="276" w:lineRule="auto"/>
        <w:rPr>
          <w:color w:val="003366"/>
          <w:sz w:val="22"/>
          <w:szCs w:val="22"/>
        </w:rPr>
      </w:pPr>
      <w:r w:rsidRPr="00392504">
        <w:rPr>
          <w:b/>
          <w:color w:val="003366"/>
          <w:sz w:val="22"/>
          <w:szCs w:val="22"/>
        </w:rPr>
        <w:t>Will the Enforcement Bureau respond to every request for an advisory opinion?</w:t>
      </w:r>
    </w:p>
    <w:p w:rsidR="007C47EA" w:rsidRPr="00392504" w:rsidRDefault="007C47EA" w:rsidP="007C47EA">
      <w:pPr>
        <w:spacing w:after="240" w:line="276" w:lineRule="auto"/>
        <w:rPr>
          <w:bCs/>
          <w:szCs w:val="22"/>
        </w:rPr>
      </w:pPr>
      <w:r w:rsidRPr="00392504">
        <w:rPr>
          <w:bCs/>
          <w:szCs w:val="22"/>
        </w:rPr>
        <w:t>No.  The Bureau may, in its discretion, refuse to consider a request for an advisory opinion.</w:t>
      </w:r>
      <w:r w:rsidRPr="00392504">
        <w:rPr>
          <w:rStyle w:val="FootnoteReference"/>
          <w:bCs/>
          <w:szCs w:val="22"/>
        </w:rPr>
        <w:footnoteReference w:id="24"/>
      </w:r>
      <w:r w:rsidRPr="00392504">
        <w:rPr>
          <w:bCs/>
          <w:szCs w:val="22"/>
        </w:rPr>
        <w:t xml:space="preserve">  </w:t>
      </w:r>
      <w:r w:rsidRPr="00392504">
        <w:rPr>
          <w:szCs w:val="22"/>
        </w:rPr>
        <w:t>If the Bureau declines to respond to a request, it will inform the requesting party in writing.</w:t>
      </w:r>
      <w:r w:rsidRPr="00392504">
        <w:rPr>
          <w:rStyle w:val="FootnoteReference"/>
          <w:szCs w:val="22"/>
        </w:rPr>
        <w:footnoteReference w:id="25"/>
      </w:r>
      <w:r w:rsidRPr="00392504">
        <w:rPr>
          <w:bCs/>
          <w:szCs w:val="22"/>
        </w:rPr>
        <w:t xml:space="preserve">  </w:t>
      </w:r>
      <w:r w:rsidRPr="00392504">
        <w:rPr>
          <w:szCs w:val="22"/>
        </w:rPr>
        <w:t xml:space="preserve">As a general matter, the Bureau will be more </w:t>
      </w:r>
      <w:r w:rsidRPr="00392504">
        <w:rPr>
          <w:bCs/>
          <w:szCs w:val="22"/>
        </w:rPr>
        <w:t>likely</w:t>
      </w:r>
      <w:r w:rsidRPr="00392504">
        <w:rPr>
          <w:szCs w:val="22"/>
        </w:rPr>
        <w:t xml:space="preserve"> to respond to requests where the proposed conduct involves a substantial question of fact or law and there is no clear </w:t>
      </w:r>
      <w:r>
        <w:rPr>
          <w:szCs w:val="22"/>
        </w:rPr>
        <w:t>FCC</w:t>
      </w:r>
      <w:r w:rsidRPr="00392504">
        <w:rPr>
          <w:szCs w:val="22"/>
        </w:rPr>
        <w:t xml:space="preserve"> or court precedent, or the subject matter of the request and publication of </w:t>
      </w:r>
      <w:r>
        <w:rPr>
          <w:szCs w:val="22"/>
        </w:rPr>
        <w:t>FCC</w:t>
      </w:r>
      <w:r w:rsidRPr="00392504">
        <w:rPr>
          <w:szCs w:val="22"/>
        </w:rPr>
        <w:t xml:space="preserve"> advice is of significant public interest.</w:t>
      </w:r>
      <w:r w:rsidRPr="00392504">
        <w:rPr>
          <w:rStyle w:val="FootnoteReference"/>
          <w:szCs w:val="22"/>
        </w:rPr>
        <w:footnoteReference w:id="26"/>
      </w:r>
    </w:p>
    <w:p w:rsidR="007C47EA" w:rsidRPr="00392504" w:rsidRDefault="007C47EA" w:rsidP="007C47EA">
      <w:pPr>
        <w:pStyle w:val="NormalWeb"/>
        <w:keepNext/>
        <w:shd w:val="clear" w:color="auto" w:fill="FFFFFF"/>
        <w:spacing w:before="0" w:beforeAutospacing="0" w:after="240" w:afterAutospacing="0" w:line="276" w:lineRule="auto"/>
        <w:rPr>
          <w:color w:val="003366"/>
          <w:sz w:val="22"/>
          <w:szCs w:val="22"/>
        </w:rPr>
      </w:pPr>
      <w:r w:rsidRPr="00392504">
        <w:rPr>
          <w:b/>
          <w:color w:val="003366"/>
          <w:sz w:val="22"/>
          <w:szCs w:val="22"/>
        </w:rPr>
        <w:t>What will happen after I submit my request for an advisory opinion?</w:t>
      </w:r>
    </w:p>
    <w:p w:rsidR="007C47EA" w:rsidRPr="00392504" w:rsidRDefault="007C47EA" w:rsidP="007C47EA">
      <w:pPr>
        <w:spacing w:after="240" w:line="276" w:lineRule="auto"/>
        <w:rPr>
          <w:bCs/>
          <w:szCs w:val="22"/>
        </w:rPr>
      </w:pPr>
      <w:r w:rsidRPr="00392504">
        <w:rPr>
          <w:bCs/>
          <w:szCs w:val="22"/>
        </w:rPr>
        <w:t xml:space="preserve">After </w:t>
      </w:r>
      <w:r>
        <w:rPr>
          <w:bCs/>
          <w:szCs w:val="22"/>
        </w:rPr>
        <w:t xml:space="preserve">initial </w:t>
      </w:r>
      <w:r w:rsidRPr="00392504">
        <w:rPr>
          <w:bCs/>
          <w:szCs w:val="22"/>
        </w:rPr>
        <w:t>review</w:t>
      </w:r>
      <w:r>
        <w:rPr>
          <w:bCs/>
          <w:szCs w:val="22"/>
        </w:rPr>
        <w:t xml:space="preserve"> of </w:t>
      </w:r>
      <w:r w:rsidRPr="00392504">
        <w:rPr>
          <w:bCs/>
          <w:szCs w:val="22"/>
        </w:rPr>
        <w:t>an advisory opinion</w:t>
      </w:r>
      <w:r>
        <w:rPr>
          <w:bCs/>
          <w:szCs w:val="22"/>
        </w:rPr>
        <w:t xml:space="preserve"> request</w:t>
      </w:r>
      <w:r w:rsidRPr="00392504">
        <w:rPr>
          <w:bCs/>
          <w:szCs w:val="22"/>
        </w:rPr>
        <w:t>, the Bureau will</w:t>
      </w:r>
      <w:r>
        <w:rPr>
          <w:bCs/>
          <w:szCs w:val="22"/>
        </w:rPr>
        <w:t xml:space="preserve"> often reach out to the requester for more information or to discuss the materials.  The Bureau will coordinate with other bureaus and offices within the Commission, as appropriate, on the issuance of any opinions.</w:t>
      </w:r>
      <w:r>
        <w:rPr>
          <w:rStyle w:val="FootnoteReference"/>
          <w:bCs/>
          <w:szCs w:val="22"/>
        </w:rPr>
        <w:footnoteReference w:id="27"/>
      </w:r>
      <w:r>
        <w:rPr>
          <w:bCs/>
          <w:szCs w:val="22"/>
        </w:rPr>
        <w:t xml:space="preserve">  If the Bureau decides to issue an advisory opinion, it will discuss the scope and result of the opinion with the party, resolve any confidentiality concerns, and then issue a public </w:t>
      </w:r>
      <w:r w:rsidRPr="00392504">
        <w:rPr>
          <w:bCs/>
          <w:szCs w:val="22"/>
        </w:rPr>
        <w:t>advisory opinion that will state the Bureau’s present enforcement intention with respect to the proposed practices</w:t>
      </w:r>
      <w:r>
        <w:rPr>
          <w:bCs/>
          <w:szCs w:val="22"/>
        </w:rPr>
        <w:t xml:space="preserve">.  If the Bureau decides not to issue an advisory opinion, then it will </w:t>
      </w:r>
      <w:r w:rsidRPr="00392504">
        <w:rPr>
          <w:bCs/>
          <w:szCs w:val="22"/>
        </w:rPr>
        <w:t xml:space="preserve">issue a written statement </w:t>
      </w:r>
      <w:r>
        <w:rPr>
          <w:bCs/>
          <w:szCs w:val="22"/>
        </w:rPr>
        <w:t xml:space="preserve">to the party </w:t>
      </w:r>
      <w:r w:rsidRPr="00392504">
        <w:rPr>
          <w:bCs/>
          <w:szCs w:val="22"/>
        </w:rPr>
        <w:t>declining to respond to the request.</w:t>
      </w:r>
      <w:r w:rsidRPr="00392504">
        <w:rPr>
          <w:rStyle w:val="FootnoteReference"/>
          <w:bCs/>
          <w:szCs w:val="22"/>
        </w:rPr>
        <w:footnoteReference w:id="28"/>
      </w:r>
      <w:r w:rsidRPr="00392504">
        <w:rPr>
          <w:bCs/>
          <w:szCs w:val="22"/>
        </w:rPr>
        <w:t xml:space="preserve">  </w:t>
      </w:r>
    </w:p>
    <w:p w:rsidR="007C47EA" w:rsidRPr="00392504" w:rsidRDefault="007C47EA" w:rsidP="007C47EA">
      <w:pPr>
        <w:pStyle w:val="NormalWeb"/>
        <w:keepNext/>
        <w:shd w:val="clear" w:color="auto" w:fill="FFFFFF"/>
        <w:spacing w:before="0" w:beforeAutospacing="0" w:after="240" w:afterAutospacing="0" w:line="276" w:lineRule="auto"/>
        <w:rPr>
          <w:color w:val="003366"/>
          <w:sz w:val="22"/>
          <w:szCs w:val="22"/>
        </w:rPr>
      </w:pPr>
      <w:r w:rsidRPr="00392504">
        <w:rPr>
          <w:b/>
          <w:color w:val="003366"/>
          <w:sz w:val="22"/>
          <w:szCs w:val="22"/>
        </w:rPr>
        <w:t>How long will it take for the Enforcement Bureau to issue an advisory opinion?</w:t>
      </w:r>
    </w:p>
    <w:p w:rsidR="007C47EA" w:rsidRPr="00392504" w:rsidRDefault="007C47EA" w:rsidP="007C47EA">
      <w:pPr>
        <w:spacing w:after="240" w:line="276" w:lineRule="auto"/>
        <w:rPr>
          <w:b/>
          <w:color w:val="003366"/>
          <w:szCs w:val="22"/>
        </w:rPr>
      </w:pPr>
      <w:r w:rsidRPr="00392504">
        <w:rPr>
          <w:szCs w:val="22"/>
        </w:rPr>
        <w:t xml:space="preserve">The Bureau will attempt to respond to requests for advisory opinions expeditiously, but </w:t>
      </w:r>
      <w:r>
        <w:rPr>
          <w:szCs w:val="22"/>
        </w:rPr>
        <w:t>there are no</w:t>
      </w:r>
      <w:r w:rsidRPr="00392504">
        <w:rPr>
          <w:szCs w:val="22"/>
        </w:rPr>
        <w:t xml:space="preserve"> firm deadlines to </w:t>
      </w:r>
      <w:r w:rsidRPr="00392504">
        <w:rPr>
          <w:bCs/>
          <w:szCs w:val="22"/>
        </w:rPr>
        <w:t>rule</w:t>
      </w:r>
      <w:r w:rsidRPr="00392504">
        <w:rPr>
          <w:szCs w:val="22"/>
        </w:rPr>
        <w:t xml:space="preserve"> on them or issue response letters.</w:t>
      </w:r>
      <w:r w:rsidRPr="00392504">
        <w:rPr>
          <w:rStyle w:val="FootnoteReference"/>
          <w:szCs w:val="22"/>
        </w:rPr>
        <w:footnoteReference w:id="29"/>
      </w:r>
      <w:r w:rsidRPr="00392504">
        <w:rPr>
          <w:szCs w:val="22"/>
        </w:rPr>
        <w:t xml:space="preserve">  </w:t>
      </w:r>
      <w:r>
        <w:rPr>
          <w:szCs w:val="22"/>
        </w:rPr>
        <w:t>R</w:t>
      </w:r>
      <w:r w:rsidRPr="00392504">
        <w:rPr>
          <w:szCs w:val="22"/>
        </w:rPr>
        <w:t xml:space="preserve">esponse times will likely vary based on numerous factors, including the nature and complexity of the issues, the magnitude and sufficiency of the request and the supporting information, and the time it takes for the requester to respond to </w:t>
      </w:r>
      <w:r>
        <w:rPr>
          <w:szCs w:val="22"/>
        </w:rPr>
        <w:t>any</w:t>
      </w:r>
      <w:r w:rsidRPr="00392504">
        <w:rPr>
          <w:szCs w:val="22"/>
        </w:rPr>
        <w:t xml:space="preserve"> requests for additional information.</w:t>
      </w:r>
      <w:r w:rsidRPr="00392504">
        <w:rPr>
          <w:rStyle w:val="FootnoteReference"/>
          <w:szCs w:val="22"/>
        </w:rPr>
        <w:footnoteReference w:id="30"/>
      </w:r>
      <w:r w:rsidRPr="00392504">
        <w:rPr>
          <w:szCs w:val="22"/>
        </w:rPr>
        <w:t xml:space="preserve">  </w:t>
      </w:r>
    </w:p>
    <w:p w:rsidR="007C47EA" w:rsidRPr="00392504" w:rsidRDefault="007C47EA" w:rsidP="007C47EA">
      <w:pPr>
        <w:pStyle w:val="NormalWeb"/>
        <w:shd w:val="clear" w:color="auto" w:fill="FFFFFF"/>
        <w:spacing w:before="0" w:beforeAutospacing="0" w:after="240" w:afterAutospacing="0" w:line="276" w:lineRule="auto"/>
        <w:rPr>
          <w:b/>
          <w:color w:val="003366"/>
          <w:sz w:val="22"/>
          <w:szCs w:val="22"/>
        </w:rPr>
      </w:pPr>
      <w:r>
        <w:rPr>
          <w:b/>
          <w:color w:val="003366"/>
          <w:sz w:val="22"/>
          <w:szCs w:val="22"/>
        </w:rPr>
        <w:t>Are advisory opinions binding</w:t>
      </w:r>
      <w:r w:rsidRPr="00392504">
        <w:rPr>
          <w:b/>
          <w:color w:val="003366"/>
          <w:sz w:val="22"/>
          <w:szCs w:val="22"/>
        </w:rPr>
        <w:t>?</w:t>
      </w:r>
      <w:r>
        <w:rPr>
          <w:b/>
          <w:color w:val="003366"/>
          <w:sz w:val="22"/>
          <w:szCs w:val="22"/>
        </w:rPr>
        <w:t xml:space="preserve"> Can I rely on the findings of an advisory opinion?</w:t>
      </w:r>
    </w:p>
    <w:p w:rsidR="007C47EA" w:rsidRPr="00392504" w:rsidRDefault="007C47EA" w:rsidP="007C47EA">
      <w:pPr>
        <w:spacing w:after="240" w:line="276" w:lineRule="auto"/>
        <w:rPr>
          <w:bCs/>
          <w:szCs w:val="22"/>
        </w:rPr>
      </w:pPr>
      <w:r>
        <w:rPr>
          <w:szCs w:val="22"/>
        </w:rPr>
        <w:t>Although advisory opinions are not binding on any party, a</w:t>
      </w:r>
      <w:r w:rsidRPr="00392504">
        <w:rPr>
          <w:szCs w:val="22"/>
        </w:rPr>
        <w:t xml:space="preserve"> requesting party may rely on </w:t>
      </w:r>
      <w:r>
        <w:rPr>
          <w:szCs w:val="22"/>
        </w:rPr>
        <w:t>an</w:t>
      </w:r>
      <w:r w:rsidRPr="00392504">
        <w:rPr>
          <w:szCs w:val="22"/>
        </w:rPr>
        <w:t xml:space="preserve"> opinion </w:t>
      </w:r>
      <w:r>
        <w:rPr>
          <w:szCs w:val="22"/>
        </w:rPr>
        <w:t>if</w:t>
      </w:r>
      <w:r w:rsidRPr="00392504">
        <w:rPr>
          <w:szCs w:val="22"/>
        </w:rPr>
        <w:t xml:space="preserve"> the request fully and accurately contains all the material facts and representations necessary </w:t>
      </w:r>
      <w:r>
        <w:rPr>
          <w:szCs w:val="22"/>
        </w:rPr>
        <w:t>for</w:t>
      </w:r>
      <w:r w:rsidRPr="00392504">
        <w:rPr>
          <w:szCs w:val="22"/>
        </w:rPr>
        <w:t xml:space="preserve"> the opinion and the situation conforms to the situation described in the request for opinion.</w:t>
      </w:r>
      <w:r w:rsidRPr="00392504">
        <w:rPr>
          <w:rStyle w:val="FootnoteReference"/>
          <w:szCs w:val="22"/>
        </w:rPr>
        <w:footnoteReference w:id="31"/>
      </w:r>
      <w:r w:rsidRPr="00392504">
        <w:rPr>
          <w:szCs w:val="22"/>
        </w:rPr>
        <w:t xml:space="preserve">  </w:t>
      </w:r>
      <w:r>
        <w:rPr>
          <w:szCs w:val="22"/>
        </w:rPr>
        <w:t xml:space="preserve">This means that if the Bureau states in an opinion that it does not presently intend to take enforcement action with respect to proposed conduct, it will not take enforcement action with respect to that conduct if these conditions are met.  The Bureau or Commission may later rescind an advisory opinion, but any such rescission would apply only to future conduct and would not be retroactive. </w:t>
      </w:r>
    </w:p>
    <w:p w:rsidR="007C47EA" w:rsidRPr="00392504" w:rsidRDefault="007C47EA" w:rsidP="007C47EA">
      <w:pPr>
        <w:pStyle w:val="NormalWeb"/>
        <w:shd w:val="clear" w:color="auto" w:fill="FFFFFF"/>
        <w:spacing w:before="0" w:beforeAutospacing="0" w:after="240" w:afterAutospacing="0" w:line="276" w:lineRule="auto"/>
        <w:rPr>
          <w:b/>
          <w:color w:val="003366"/>
          <w:sz w:val="22"/>
          <w:szCs w:val="22"/>
        </w:rPr>
      </w:pPr>
      <w:r w:rsidRPr="00392504">
        <w:rPr>
          <w:b/>
          <w:color w:val="003366"/>
          <w:sz w:val="22"/>
          <w:szCs w:val="22"/>
        </w:rPr>
        <w:t xml:space="preserve">Will advisory opinions and requests be </w:t>
      </w:r>
      <w:r>
        <w:rPr>
          <w:b/>
          <w:color w:val="003366"/>
          <w:sz w:val="22"/>
          <w:szCs w:val="22"/>
        </w:rPr>
        <w:t>public</w:t>
      </w:r>
      <w:r w:rsidRPr="00392504">
        <w:rPr>
          <w:b/>
          <w:color w:val="003366"/>
          <w:sz w:val="22"/>
          <w:szCs w:val="22"/>
        </w:rPr>
        <w:t xml:space="preserve">?  </w:t>
      </w:r>
    </w:p>
    <w:p w:rsidR="007C47EA" w:rsidRPr="00392504" w:rsidRDefault="007C47EA" w:rsidP="007C47EA">
      <w:pPr>
        <w:spacing w:after="240" w:line="276" w:lineRule="auto"/>
        <w:rPr>
          <w:b/>
          <w:szCs w:val="22"/>
        </w:rPr>
      </w:pPr>
      <w:r>
        <w:rPr>
          <w:szCs w:val="22"/>
        </w:rPr>
        <w:t>Yes</w:t>
      </w:r>
      <w:r w:rsidRPr="00392504">
        <w:rPr>
          <w:szCs w:val="22"/>
        </w:rPr>
        <w:t xml:space="preserve">.  The Bureau will make advisory opinions available to the public on the </w:t>
      </w:r>
      <w:r>
        <w:rPr>
          <w:szCs w:val="22"/>
        </w:rPr>
        <w:t>FCC</w:t>
      </w:r>
      <w:r w:rsidRPr="00392504">
        <w:rPr>
          <w:szCs w:val="22"/>
        </w:rPr>
        <w:t>’s website.</w:t>
      </w:r>
      <w:r w:rsidRPr="00392504">
        <w:rPr>
          <w:rStyle w:val="FootnoteReference"/>
          <w:szCs w:val="22"/>
        </w:rPr>
        <w:footnoteReference w:id="32"/>
      </w:r>
      <w:r w:rsidRPr="00392504">
        <w:rPr>
          <w:szCs w:val="22"/>
        </w:rPr>
        <w:t xml:space="preserve">  </w:t>
      </w:r>
      <w:r>
        <w:rPr>
          <w:szCs w:val="22"/>
        </w:rPr>
        <w:t>T</w:t>
      </w:r>
      <w:r w:rsidRPr="00392504">
        <w:rPr>
          <w:szCs w:val="22"/>
        </w:rPr>
        <w:t xml:space="preserve">he Bureau </w:t>
      </w:r>
      <w:r>
        <w:rPr>
          <w:szCs w:val="22"/>
        </w:rPr>
        <w:t xml:space="preserve">also </w:t>
      </w:r>
      <w:r w:rsidRPr="00392504">
        <w:rPr>
          <w:szCs w:val="22"/>
        </w:rPr>
        <w:t>will publish the initial request for guidance and any associated materials.</w:t>
      </w:r>
      <w:r w:rsidRPr="00392504">
        <w:rPr>
          <w:rStyle w:val="FootnoteReference"/>
          <w:szCs w:val="22"/>
        </w:rPr>
        <w:footnoteReference w:id="33"/>
      </w:r>
      <w:r w:rsidRPr="00392504">
        <w:rPr>
          <w:szCs w:val="22"/>
        </w:rPr>
        <w:t xml:space="preserve">  </w:t>
      </w:r>
      <w:r>
        <w:rPr>
          <w:bCs/>
          <w:szCs w:val="22"/>
        </w:rPr>
        <w:t>However, p</w:t>
      </w:r>
      <w:r w:rsidRPr="00392504">
        <w:rPr>
          <w:bCs/>
          <w:szCs w:val="22"/>
        </w:rPr>
        <w:t xml:space="preserve">arties soliciting advisory opinions may request confidential treatment of information submitted in connection with a request for an advisory opinion pursuant to the </w:t>
      </w:r>
      <w:r>
        <w:rPr>
          <w:bCs/>
          <w:szCs w:val="22"/>
        </w:rPr>
        <w:t>FCC</w:t>
      </w:r>
      <w:r w:rsidRPr="00392504">
        <w:rPr>
          <w:bCs/>
          <w:szCs w:val="22"/>
        </w:rPr>
        <w:t>’s rules</w:t>
      </w:r>
      <w:r w:rsidRPr="00392504">
        <w:rPr>
          <w:szCs w:val="22"/>
        </w:rPr>
        <w:t>.</w:t>
      </w:r>
      <w:r w:rsidRPr="00392504">
        <w:rPr>
          <w:rStyle w:val="FootnoteReference"/>
          <w:szCs w:val="22"/>
        </w:rPr>
        <w:footnoteReference w:id="34"/>
      </w:r>
      <w:r w:rsidRPr="00392504">
        <w:rPr>
          <w:szCs w:val="22"/>
        </w:rPr>
        <w:t xml:space="preserve">  </w:t>
      </w:r>
    </w:p>
    <w:p w:rsidR="007C47EA" w:rsidRPr="00392504" w:rsidRDefault="007C47EA" w:rsidP="007C47EA">
      <w:pPr>
        <w:pStyle w:val="NormalWeb"/>
        <w:keepNext/>
        <w:shd w:val="clear" w:color="auto" w:fill="FFFFFF"/>
        <w:spacing w:before="0" w:beforeAutospacing="0" w:after="240" w:afterAutospacing="0" w:line="276" w:lineRule="auto"/>
        <w:rPr>
          <w:b/>
          <w:color w:val="003366"/>
          <w:sz w:val="22"/>
          <w:szCs w:val="22"/>
        </w:rPr>
      </w:pPr>
      <w:r w:rsidRPr="00392504">
        <w:rPr>
          <w:b/>
          <w:color w:val="003366"/>
          <w:sz w:val="22"/>
          <w:szCs w:val="22"/>
        </w:rPr>
        <w:t>Can I withdraw my request for an advisory opinion?</w:t>
      </w:r>
    </w:p>
    <w:p w:rsidR="007C47EA" w:rsidRPr="00392504" w:rsidRDefault="007C47EA" w:rsidP="007C47EA">
      <w:pPr>
        <w:spacing w:after="240" w:line="276" w:lineRule="auto"/>
        <w:rPr>
          <w:bCs/>
          <w:szCs w:val="22"/>
        </w:rPr>
      </w:pPr>
      <w:r w:rsidRPr="00392504">
        <w:rPr>
          <w:szCs w:val="22"/>
        </w:rPr>
        <w:t xml:space="preserve">Yes.  </w:t>
      </w:r>
      <w:r w:rsidRPr="00392504">
        <w:rPr>
          <w:bCs/>
          <w:szCs w:val="22"/>
        </w:rPr>
        <w:t xml:space="preserve">Any requesting party may withdraw a request for review at any time </w:t>
      </w:r>
      <w:r>
        <w:rPr>
          <w:bCs/>
          <w:szCs w:val="22"/>
        </w:rPr>
        <w:t xml:space="preserve">before the Bureau issues an opinion or before the party receives notice from the Bureau that it </w:t>
      </w:r>
      <w:r w:rsidRPr="00392504">
        <w:rPr>
          <w:bCs/>
          <w:szCs w:val="22"/>
        </w:rPr>
        <w:t>intends to issue an adverse opinion.</w:t>
      </w:r>
      <w:r>
        <w:rPr>
          <w:rStyle w:val="FootnoteReference"/>
          <w:bCs/>
          <w:szCs w:val="22"/>
        </w:rPr>
        <w:footnoteReference w:id="35"/>
      </w:r>
      <w:r w:rsidRPr="00392504">
        <w:rPr>
          <w:bCs/>
          <w:szCs w:val="22"/>
        </w:rPr>
        <w:t xml:space="preserve">  </w:t>
      </w:r>
    </w:p>
    <w:p w:rsidR="007C47EA" w:rsidRPr="00392504" w:rsidRDefault="007C47EA" w:rsidP="007C47EA">
      <w:pPr>
        <w:keepNext/>
        <w:spacing w:after="240" w:line="276" w:lineRule="auto"/>
        <w:rPr>
          <w:b/>
          <w:color w:val="003366"/>
          <w:szCs w:val="22"/>
        </w:rPr>
      </w:pPr>
      <w:r>
        <w:rPr>
          <w:b/>
          <w:color w:val="003366"/>
          <w:szCs w:val="22"/>
        </w:rPr>
        <w:t xml:space="preserve">Do any other government agencies issue </w:t>
      </w:r>
      <w:r w:rsidRPr="00392504">
        <w:rPr>
          <w:b/>
          <w:color w:val="003366"/>
          <w:szCs w:val="22"/>
        </w:rPr>
        <w:t>advisory opinions?</w:t>
      </w:r>
    </w:p>
    <w:p w:rsidR="007C47EA" w:rsidRDefault="007C47EA" w:rsidP="007C47EA">
      <w:pPr>
        <w:spacing w:after="240" w:line="276" w:lineRule="auto"/>
        <w:rPr>
          <w:color w:val="003366"/>
          <w:szCs w:val="22"/>
        </w:rPr>
      </w:pPr>
      <w:r w:rsidRPr="00254F35">
        <w:rPr>
          <w:szCs w:val="22"/>
        </w:rPr>
        <w:t>Yes.  Among other agencies, both the Federal Trade Commission and the Department of Justice Antitrust Division issue similar types of guidance.</w:t>
      </w:r>
      <w:r w:rsidRPr="00254F35">
        <w:rPr>
          <w:rStyle w:val="FootnoteReference"/>
          <w:szCs w:val="22"/>
        </w:rPr>
        <w:footnoteReference w:id="36"/>
      </w:r>
      <w:r w:rsidRPr="00254F35">
        <w:rPr>
          <w:szCs w:val="22"/>
        </w:rPr>
        <w:t xml:space="preserve">  Review of the requesting letters and opinions from these other agencies may provide guidance to requesters as they consider asking the FCC for an opinion.  Information about the FTC opinions can be found here</w:t>
      </w:r>
      <w:r>
        <w:rPr>
          <w:color w:val="003366"/>
          <w:szCs w:val="22"/>
        </w:rPr>
        <w:t xml:space="preserve">: </w:t>
      </w:r>
      <w:r w:rsidRPr="005C5CA5">
        <w:rPr>
          <w:szCs w:val="22"/>
        </w:rPr>
        <w:t>https://www.ftc.gov/policy/advisory-opinions</w:t>
      </w:r>
      <w:r>
        <w:rPr>
          <w:color w:val="003366"/>
          <w:szCs w:val="22"/>
        </w:rPr>
        <w:t xml:space="preserve">.  </w:t>
      </w:r>
      <w:r w:rsidRPr="00254F35">
        <w:rPr>
          <w:szCs w:val="22"/>
        </w:rPr>
        <w:t xml:space="preserve">Information about Antitrust Division opinions, called business review letters, can be found here: </w:t>
      </w:r>
      <w:r w:rsidRPr="005C5CA5">
        <w:rPr>
          <w:szCs w:val="22"/>
        </w:rPr>
        <w:t>http://www.justice.gov/atr/public/busreview/letters.html#page=page-0</w:t>
      </w:r>
      <w:r>
        <w:rPr>
          <w:color w:val="003366"/>
          <w:szCs w:val="22"/>
        </w:rPr>
        <w:t>.</w:t>
      </w:r>
    </w:p>
    <w:p w:rsidR="007C47EA" w:rsidRPr="00392504" w:rsidRDefault="007C47EA" w:rsidP="007C47EA">
      <w:pPr>
        <w:spacing w:after="240" w:line="276" w:lineRule="auto"/>
        <w:rPr>
          <w:b/>
          <w:color w:val="003366"/>
          <w:szCs w:val="22"/>
        </w:rPr>
      </w:pPr>
      <w:r w:rsidRPr="00392504">
        <w:rPr>
          <w:b/>
          <w:color w:val="003366"/>
          <w:szCs w:val="22"/>
        </w:rPr>
        <w:t>Where can I find the Commission’s rules governing advisory opinions?</w:t>
      </w:r>
    </w:p>
    <w:p w:rsidR="007C47EA" w:rsidRPr="00392504" w:rsidRDefault="007C47EA" w:rsidP="007C47EA">
      <w:pPr>
        <w:spacing w:after="240" w:line="276" w:lineRule="auto"/>
        <w:rPr>
          <w:b/>
          <w:szCs w:val="22"/>
        </w:rPr>
      </w:pPr>
      <w:r w:rsidRPr="00392504">
        <w:rPr>
          <w:szCs w:val="22"/>
        </w:rPr>
        <w:t xml:space="preserve">The rules governing </w:t>
      </w:r>
      <w:r>
        <w:rPr>
          <w:szCs w:val="22"/>
        </w:rPr>
        <w:t>Open</w:t>
      </w:r>
      <w:r w:rsidRPr="00392504">
        <w:rPr>
          <w:szCs w:val="22"/>
        </w:rPr>
        <w:t xml:space="preserve"> Internet advisory opinions are set forth in Section 8.18 of the Commission’s rules, 47 C.F.R. § 8.18.  </w:t>
      </w:r>
    </w:p>
    <w:p w:rsidR="007C47EA" w:rsidRPr="00392504" w:rsidRDefault="007C47EA" w:rsidP="007C47EA">
      <w:pPr>
        <w:pStyle w:val="factsbody"/>
        <w:spacing w:before="0" w:beforeAutospacing="0" w:after="240" w:afterAutospacing="0" w:line="276" w:lineRule="auto"/>
        <w:rPr>
          <w:rFonts w:ascii="Times New Roman" w:hAnsi="Times New Roman" w:cs="Times New Roman"/>
          <w:b/>
          <w:color w:val="003366"/>
        </w:rPr>
      </w:pPr>
      <w:r w:rsidRPr="00392504">
        <w:rPr>
          <w:rFonts w:ascii="Times New Roman" w:hAnsi="Times New Roman" w:cs="Times New Roman"/>
          <w:b/>
          <w:color w:val="003366"/>
        </w:rPr>
        <w:t xml:space="preserve">Where can I find more information about </w:t>
      </w:r>
      <w:r>
        <w:rPr>
          <w:rFonts w:ascii="Times New Roman" w:hAnsi="Times New Roman" w:cs="Times New Roman"/>
          <w:b/>
          <w:color w:val="003366"/>
        </w:rPr>
        <w:t>Open</w:t>
      </w:r>
      <w:r w:rsidRPr="00392504">
        <w:rPr>
          <w:rFonts w:ascii="Times New Roman" w:hAnsi="Times New Roman" w:cs="Times New Roman"/>
          <w:b/>
          <w:color w:val="003366"/>
        </w:rPr>
        <w:t xml:space="preserve"> Internet advisory opinions?</w:t>
      </w:r>
    </w:p>
    <w:p w:rsidR="007C47EA" w:rsidRPr="00392504" w:rsidRDefault="007C47EA" w:rsidP="007C47EA">
      <w:pPr>
        <w:spacing w:after="240" w:line="276" w:lineRule="auto"/>
        <w:rPr>
          <w:szCs w:val="22"/>
        </w:rPr>
      </w:pPr>
      <w:r w:rsidRPr="00392504">
        <w:rPr>
          <w:szCs w:val="22"/>
        </w:rPr>
        <w:t xml:space="preserve">For additional information regarding this Public Notice, please contact </w:t>
      </w:r>
      <w:r w:rsidRPr="00106D54">
        <w:rPr>
          <w:szCs w:val="22"/>
        </w:rPr>
        <w:t>Gregory Simon, Attorney Advisor</w:t>
      </w:r>
      <w:r w:rsidRPr="00392504">
        <w:rPr>
          <w:szCs w:val="22"/>
        </w:rPr>
        <w:t xml:space="preserve">, </w:t>
      </w:r>
      <w:r>
        <w:rPr>
          <w:szCs w:val="22"/>
        </w:rPr>
        <w:t xml:space="preserve">Investigations and Hearings Division, </w:t>
      </w:r>
      <w:r w:rsidRPr="00392504">
        <w:rPr>
          <w:szCs w:val="22"/>
        </w:rPr>
        <w:t>Enforcement Bureau at 202-418-</w:t>
      </w:r>
      <w:r>
        <w:rPr>
          <w:szCs w:val="22"/>
        </w:rPr>
        <w:t>1764</w:t>
      </w:r>
      <w:r w:rsidRPr="00392504">
        <w:rPr>
          <w:szCs w:val="22"/>
        </w:rPr>
        <w:t xml:space="preserve"> or</w:t>
      </w:r>
      <w:r>
        <w:rPr>
          <w:szCs w:val="22"/>
        </w:rPr>
        <w:t xml:space="preserve"> </w:t>
      </w:r>
      <w:r w:rsidRPr="00B01173">
        <w:t>gregory.simon@fcc.gov</w:t>
      </w:r>
      <w:r>
        <w:rPr>
          <w:szCs w:val="22"/>
        </w:rPr>
        <w:t>, or Jennifer Epperson</w:t>
      </w:r>
      <w:r w:rsidRPr="00392504">
        <w:rPr>
          <w:szCs w:val="22"/>
        </w:rPr>
        <w:t>,</w:t>
      </w:r>
      <w:r>
        <w:rPr>
          <w:szCs w:val="22"/>
        </w:rPr>
        <w:t xml:space="preserve"> Deputy Chief, Investigations and Hearings Division, Enforcement Bureau at 202-418-1890 or jennifer.epperson@fcc.gov.</w:t>
      </w:r>
      <w:r w:rsidRPr="00392504">
        <w:rPr>
          <w:szCs w:val="22"/>
        </w:rPr>
        <w:t xml:space="preserve">  </w:t>
      </w:r>
    </w:p>
    <w:p w:rsidR="007C47EA" w:rsidRPr="00392504" w:rsidRDefault="007C47EA" w:rsidP="007C47EA">
      <w:pPr>
        <w:spacing w:after="240" w:line="276" w:lineRule="auto"/>
        <w:rPr>
          <w:szCs w:val="22"/>
        </w:rPr>
      </w:pPr>
      <w:r w:rsidRPr="00392504">
        <w:rPr>
          <w:szCs w:val="22"/>
        </w:rPr>
        <w:t xml:space="preserve">Please direct press </w:t>
      </w:r>
      <w:r w:rsidRPr="00392504">
        <w:rPr>
          <w:bCs/>
          <w:szCs w:val="22"/>
        </w:rPr>
        <w:t>inquiries</w:t>
      </w:r>
      <w:r w:rsidRPr="00392504">
        <w:rPr>
          <w:szCs w:val="22"/>
        </w:rPr>
        <w:t xml:space="preserve"> to </w:t>
      </w:r>
      <w:r w:rsidRPr="00106D54">
        <w:rPr>
          <w:szCs w:val="22"/>
        </w:rPr>
        <w:t>Morning Washburn at 202</w:t>
      </w:r>
      <w:r>
        <w:rPr>
          <w:szCs w:val="22"/>
        </w:rPr>
        <w:t>-</w:t>
      </w:r>
      <w:r w:rsidRPr="00106D54">
        <w:rPr>
          <w:szCs w:val="22"/>
        </w:rPr>
        <w:t>418-0067 or morning.washburn</w:t>
      </w:r>
      <w:r w:rsidRPr="00392504">
        <w:rPr>
          <w:szCs w:val="22"/>
        </w:rPr>
        <w:t>@fcc.gov.</w:t>
      </w:r>
    </w:p>
    <w:p w:rsidR="007C47EA" w:rsidRPr="00392504" w:rsidRDefault="007C47EA" w:rsidP="007C47EA">
      <w:pPr>
        <w:spacing w:after="120" w:line="276" w:lineRule="auto"/>
        <w:rPr>
          <w:szCs w:val="22"/>
        </w:rPr>
      </w:pPr>
      <w:r w:rsidRPr="00392504">
        <w:rPr>
          <w:b/>
          <w:szCs w:val="22"/>
          <w:u w:val="single"/>
        </w:rPr>
        <w:t>Links</w:t>
      </w:r>
      <w:r w:rsidRPr="00392504">
        <w:rPr>
          <w:szCs w:val="22"/>
        </w:rPr>
        <w:t>:</w:t>
      </w:r>
    </w:p>
    <w:p w:rsidR="007C47EA" w:rsidRPr="00392504" w:rsidRDefault="007C47EA" w:rsidP="007C47EA">
      <w:pPr>
        <w:pStyle w:val="ListParagraph"/>
        <w:numPr>
          <w:ilvl w:val="0"/>
          <w:numId w:val="13"/>
        </w:numPr>
        <w:spacing w:after="240" w:line="276" w:lineRule="auto"/>
        <w:contextualSpacing w:val="0"/>
        <w:rPr>
          <w:szCs w:val="22"/>
        </w:rPr>
      </w:pPr>
      <w:r w:rsidRPr="00392504">
        <w:rPr>
          <w:szCs w:val="22"/>
        </w:rPr>
        <w:t xml:space="preserve">FCC’s Open Internet Webpage:  </w:t>
      </w:r>
      <w:r w:rsidRPr="005C5CA5">
        <w:rPr>
          <w:szCs w:val="22"/>
        </w:rPr>
        <w:t>https://www.fcc.gov/openinternet</w:t>
      </w:r>
      <w:r w:rsidRPr="00392504">
        <w:rPr>
          <w:szCs w:val="22"/>
        </w:rPr>
        <w:t xml:space="preserve"> </w:t>
      </w:r>
      <w:r>
        <w:rPr>
          <w:szCs w:val="22"/>
        </w:rPr>
        <w:t xml:space="preserve"> </w:t>
      </w:r>
      <w:r w:rsidRPr="00392504">
        <w:rPr>
          <w:szCs w:val="22"/>
        </w:rPr>
        <w:t xml:space="preserve"> </w:t>
      </w:r>
    </w:p>
    <w:p w:rsidR="007C47EA" w:rsidRDefault="007C47EA" w:rsidP="007C47EA">
      <w:pPr>
        <w:pStyle w:val="ListParagraph"/>
        <w:numPr>
          <w:ilvl w:val="0"/>
          <w:numId w:val="13"/>
        </w:numPr>
        <w:spacing w:after="240" w:line="276" w:lineRule="auto"/>
        <w:contextualSpacing w:val="0"/>
        <w:rPr>
          <w:szCs w:val="22"/>
        </w:rPr>
      </w:pPr>
      <w:r w:rsidRPr="00392504">
        <w:rPr>
          <w:szCs w:val="22"/>
        </w:rPr>
        <w:t>Open Internet Rules and Order:</w:t>
      </w:r>
      <w:r>
        <w:rPr>
          <w:szCs w:val="22"/>
        </w:rPr>
        <w:t xml:space="preserve"> </w:t>
      </w:r>
      <w:r w:rsidRPr="00392504">
        <w:rPr>
          <w:szCs w:val="22"/>
        </w:rPr>
        <w:t xml:space="preserve"> </w:t>
      </w:r>
      <w:r w:rsidRPr="005C5CA5">
        <w:rPr>
          <w:szCs w:val="22"/>
        </w:rPr>
        <w:t>https://apps.fcc.gov/edocs_public/attachmatch/FCC-15-24A1.pdf</w:t>
      </w:r>
      <w:r w:rsidRPr="00392504">
        <w:rPr>
          <w:szCs w:val="22"/>
        </w:rPr>
        <w:t xml:space="preserve"> </w:t>
      </w:r>
    </w:p>
    <w:p w:rsidR="006A3D8F" w:rsidRPr="006A3D8F" w:rsidRDefault="007C47EA" w:rsidP="006A3D8F">
      <w:pPr>
        <w:pStyle w:val="ListParagraph"/>
        <w:numPr>
          <w:ilvl w:val="0"/>
          <w:numId w:val="13"/>
        </w:numPr>
        <w:spacing w:after="240" w:line="276" w:lineRule="auto"/>
        <w:contextualSpacing w:val="0"/>
        <w:rPr>
          <w:szCs w:val="22"/>
        </w:rPr>
      </w:pPr>
      <w:r w:rsidRPr="006A3D8F">
        <w:rPr>
          <w:szCs w:val="22"/>
        </w:rPr>
        <w:t xml:space="preserve">FCC Electronic Comment Filing System:  </w:t>
      </w:r>
      <w:r w:rsidR="006A3D8F" w:rsidRPr="006A3D8F">
        <w:rPr>
          <w:bCs/>
          <w:szCs w:val="22"/>
        </w:rPr>
        <w:t>http://apps.fcc.gov/ecfs/</w:t>
      </w:r>
    </w:p>
    <w:p w:rsidR="006A3D8F" w:rsidRPr="006A3D8F" w:rsidRDefault="006A3D8F" w:rsidP="006A3D8F">
      <w:pPr>
        <w:pStyle w:val="ListParagraph"/>
        <w:spacing w:after="240" w:line="276" w:lineRule="auto"/>
        <w:contextualSpacing w:val="0"/>
        <w:rPr>
          <w:szCs w:val="22"/>
        </w:rPr>
      </w:pPr>
    </w:p>
    <w:p w:rsidR="007C47EA" w:rsidRPr="00B80323" w:rsidRDefault="007C47EA" w:rsidP="006A3D8F">
      <w:pPr>
        <w:pStyle w:val="NormalWeb"/>
        <w:shd w:val="clear" w:color="auto" w:fill="FFFFFF"/>
        <w:spacing w:before="0" w:beforeAutospacing="0" w:after="240" w:afterAutospacing="0"/>
        <w:jc w:val="right"/>
        <w:rPr>
          <w:szCs w:val="22"/>
        </w:rPr>
      </w:pPr>
      <w:r w:rsidRPr="00392504">
        <w:rPr>
          <w:sz w:val="22"/>
          <w:szCs w:val="22"/>
          <w:lang w:val="en"/>
        </w:rPr>
        <w:t>Issued by:  Chief, Enforcement Bureau</w:t>
      </w:r>
    </w:p>
    <w:p w:rsidR="007C47EA" w:rsidRPr="00B80323" w:rsidRDefault="007C47EA" w:rsidP="007C47EA">
      <w:pPr>
        <w:spacing w:after="240"/>
        <w:jc w:val="center"/>
        <w:rPr>
          <w:b/>
          <w:szCs w:val="22"/>
        </w:rPr>
      </w:pPr>
      <w:r w:rsidRPr="00B80323">
        <w:rPr>
          <w:b/>
          <w:szCs w:val="22"/>
        </w:rPr>
        <w:t>-FCC-</w:t>
      </w:r>
    </w:p>
    <w:p w:rsidR="00602577" w:rsidRPr="003B38A4" w:rsidRDefault="00602577" w:rsidP="007C47EA">
      <w:pPr>
        <w:jc w:val="right"/>
        <w:rPr>
          <w:szCs w:val="22"/>
        </w:rPr>
      </w:pPr>
    </w:p>
    <w:sectPr w:rsidR="00602577" w:rsidRPr="003B38A4">
      <w:headerReference w:type="default" r:id="rId14"/>
      <w:footerReference w:type="default" r:id="rId15"/>
      <w:headerReference w:type="first" r:id="rId16"/>
      <w:foot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15" w:rsidRDefault="00C53115">
      <w:r>
        <w:separator/>
      </w:r>
    </w:p>
  </w:endnote>
  <w:endnote w:type="continuationSeparator" w:id="0">
    <w:p w:rsidR="00C53115" w:rsidRDefault="00C5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84" w:rsidRDefault="009A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77025"/>
      <w:docPartObj>
        <w:docPartGallery w:val="Page Numbers (Bottom of Page)"/>
        <w:docPartUnique/>
      </w:docPartObj>
    </w:sdtPr>
    <w:sdtEndPr>
      <w:rPr>
        <w:noProof/>
      </w:rPr>
    </w:sdtEndPr>
    <w:sdtContent>
      <w:p w:rsidR="00CD6B27" w:rsidRDefault="00CD6B27">
        <w:pPr>
          <w:pStyle w:val="Footer"/>
          <w:jc w:val="center"/>
        </w:pPr>
        <w:r>
          <w:fldChar w:fldCharType="begin"/>
        </w:r>
        <w:r>
          <w:instrText xml:space="preserve"> PAGE   \* MERGEFORMAT </w:instrText>
        </w:r>
        <w:r>
          <w:fldChar w:fldCharType="separate"/>
        </w:r>
        <w:r w:rsidR="007C47EA">
          <w:rPr>
            <w:noProof/>
          </w:rPr>
          <w:t>2</w:t>
        </w:r>
        <w:r>
          <w:rPr>
            <w:noProof/>
          </w:rPr>
          <w:fldChar w:fldCharType="end"/>
        </w:r>
      </w:p>
    </w:sdtContent>
  </w:sdt>
  <w:p w:rsidR="00CD6B27" w:rsidRDefault="00CD6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79273"/>
      <w:docPartObj>
        <w:docPartGallery w:val="Page Numbers (Bottom of Page)"/>
        <w:docPartUnique/>
      </w:docPartObj>
    </w:sdtPr>
    <w:sdtEndPr>
      <w:rPr>
        <w:noProof/>
      </w:rPr>
    </w:sdtEndPr>
    <w:sdtContent>
      <w:p w:rsidR="00E71EDE" w:rsidRDefault="00E71EDE">
        <w:pPr>
          <w:pStyle w:val="Footer"/>
          <w:jc w:val="center"/>
        </w:pPr>
        <w:r>
          <w:fldChar w:fldCharType="begin"/>
        </w:r>
        <w:r>
          <w:instrText xml:space="preserve"> PAGE   \* MERGEFORMAT </w:instrText>
        </w:r>
        <w:r>
          <w:fldChar w:fldCharType="separate"/>
        </w:r>
        <w:r w:rsidR="006173A0">
          <w:rPr>
            <w:noProof/>
          </w:rPr>
          <w:t>1</w:t>
        </w:r>
        <w:r>
          <w:rPr>
            <w:noProof/>
          </w:rPr>
          <w:fldChar w:fldCharType="end"/>
        </w:r>
      </w:p>
    </w:sdtContent>
  </w:sdt>
  <w:p w:rsidR="00E71EDE" w:rsidRDefault="00E71EDE" w:rsidP="00E71E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130698"/>
      <w:docPartObj>
        <w:docPartGallery w:val="Page Numbers (Bottom of Page)"/>
        <w:docPartUnique/>
      </w:docPartObj>
    </w:sdtPr>
    <w:sdtEndPr>
      <w:rPr>
        <w:noProof/>
      </w:rPr>
    </w:sdtEndPr>
    <w:sdtContent>
      <w:p w:rsidR="00A456B1" w:rsidRDefault="00EB5C7F">
        <w:pPr>
          <w:pStyle w:val="Footer"/>
          <w:jc w:val="center"/>
        </w:pPr>
        <w:r>
          <w:fldChar w:fldCharType="begin"/>
        </w:r>
        <w:r>
          <w:instrText xml:space="preserve"> PAGE   \* MERGEFORMAT </w:instrText>
        </w:r>
        <w:r>
          <w:fldChar w:fldCharType="separate"/>
        </w:r>
        <w:r w:rsidR="006173A0">
          <w:rPr>
            <w:noProof/>
          </w:rPr>
          <w:t>2</w:t>
        </w:r>
        <w:r>
          <w:rPr>
            <w:noProof/>
          </w:rPr>
          <w:fldChar w:fldCharType="end"/>
        </w:r>
      </w:p>
    </w:sdtContent>
  </w:sdt>
  <w:p w:rsidR="00A456B1" w:rsidRDefault="006173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7" w:rsidRDefault="00EB5C7F" w:rsidP="005D55C6">
    <w:pPr>
      <w:pStyle w:val="Footer"/>
      <w:jc w:val="center"/>
    </w:pPr>
    <w:r>
      <w:t>*** CONFIDENTIAL NON-PUBLIC INFORMATION – FOR INTERNAL USE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15" w:rsidRDefault="00C53115">
      <w:r>
        <w:separator/>
      </w:r>
    </w:p>
  </w:footnote>
  <w:footnote w:type="continuationSeparator" w:id="0">
    <w:p w:rsidR="00C53115" w:rsidRDefault="00C53115">
      <w:r>
        <w:continuationSeparator/>
      </w:r>
    </w:p>
  </w:footnote>
  <w:footnote w:id="1">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See Protecting and Promoting the Open Internet</w:t>
      </w:r>
      <w:r w:rsidRPr="00503C62">
        <w:rPr>
          <w:sz w:val="20"/>
        </w:rPr>
        <w:t>, GN Docket No. 14-28, Report and Order on Remand, Declaratory Ruling, and Order, FCC 15-24, at paras. 4–5 (rel. Mar. 12, 2015) (</w:t>
      </w:r>
      <w:r w:rsidRPr="00503C62">
        <w:rPr>
          <w:i/>
          <w:sz w:val="20"/>
        </w:rPr>
        <w:t>2015 Open Internet Order</w:t>
      </w:r>
      <w:r w:rsidRPr="00503C62">
        <w:rPr>
          <w:sz w:val="20"/>
        </w:rPr>
        <w:t>).</w:t>
      </w:r>
    </w:p>
  </w:footnote>
  <w:footnote w:id="2">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Id.</w:t>
      </w:r>
      <w:r w:rsidRPr="00503C62">
        <w:rPr>
          <w:sz w:val="20"/>
        </w:rPr>
        <w:t xml:space="preserve"> at paras. 14–19, 110–32. </w:t>
      </w:r>
    </w:p>
  </w:footnote>
  <w:footnote w:id="3">
    <w:p w:rsidR="007C47EA" w:rsidRPr="00503C62" w:rsidRDefault="007C47EA" w:rsidP="007C47EA">
      <w:pPr>
        <w:pStyle w:val="FootnoteText"/>
        <w:spacing w:after="120"/>
        <w:rPr>
          <w:sz w:val="20"/>
        </w:rPr>
      </w:pPr>
      <w:r w:rsidRPr="00773266">
        <w:rPr>
          <w:rStyle w:val="FootnoteReference"/>
          <w:sz w:val="20"/>
        </w:rPr>
        <w:footnoteRef/>
      </w:r>
      <w:r w:rsidRPr="00773266">
        <w:rPr>
          <w:sz w:val="20"/>
        </w:rPr>
        <w:t xml:space="preserve"> An </w:t>
      </w:r>
      <w:r w:rsidRPr="00503C62">
        <w:rPr>
          <w:sz w:val="20"/>
        </w:rPr>
        <w:t xml:space="preserve">“edge provider” is defined in the rules adopted in the </w:t>
      </w:r>
      <w:r w:rsidRPr="00503C62">
        <w:rPr>
          <w:i/>
          <w:sz w:val="20"/>
        </w:rPr>
        <w:t>2015 Open Internet Order</w:t>
      </w:r>
      <w:r w:rsidRPr="00503C62">
        <w:rPr>
          <w:sz w:val="20"/>
        </w:rPr>
        <w:t xml:space="preserve"> as “any individual or entity that provides content, a</w:t>
      </w:r>
      <w:r w:rsidR="00942ED8">
        <w:rPr>
          <w:sz w:val="20"/>
        </w:rPr>
        <w:t>pplication or service over the I</w:t>
      </w:r>
      <w:r w:rsidRPr="00503C62">
        <w:rPr>
          <w:sz w:val="20"/>
        </w:rPr>
        <w:t xml:space="preserve">nternet, and any individual or entity that provides a device used for accessing any content, application or service over the Internet.”  47 C.F.R. § 8.2(b) (2015).   </w:t>
      </w:r>
    </w:p>
  </w:footnote>
  <w:footnote w:id="4">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Id.</w:t>
      </w:r>
      <w:r w:rsidRPr="00503C62">
        <w:rPr>
          <w:sz w:val="20"/>
        </w:rPr>
        <w:t xml:space="preserve"> at paras. 20–22, 133–37. </w:t>
      </w:r>
    </w:p>
  </w:footnote>
  <w:footnote w:id="5">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Id.</w:t>
      </w:r>
      <w:r w:rsidRPr="00503C62">
        <w:rPr>
          <w:sz w:val="20"/>
        </w:rPr>
        <w:t xml:space="preserve"> at paras. 23–24, 162–81. </w:t>
      </w:r>
    </w:p>
  </w:footnote>
  <w:footnote w:id="6">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 xml:space="preserve">See </w:t>
      </w:r>
      <w:r w:rsidRPr="00503C62">
        <w:rPr>
          <w:sz w:val="20"/>
        </w:rPr>
        <w:t xml:space="preserve">47 C.F.R. § 8.18 (Advisory Opinions); </w:t>
      </w:r>
      <w:r w:rsidRPr="00503C62">
        <w:rPr>
          <w:i/>
          <w:sz w:val="20"/>
        </w:rPr>
        <w:t>2015 Open Internet Order</w:t>
      </w:r>
      <w:r w:rsidRPr="00503C62">
        <w:rPr>
          <w:sz w:val="20"/>
        </w:rPr>
        <w:t xml:space="preserve"> at paras. 36, 229–39.</w:t>
      </w:r>
    </w:p>
  </w:footnote>
  <w:footnote w:id="7">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 </w:t>
      </w:r>
      <w:r w:rsidRPr="00503C62">
        <w:rPr>
          <w:i/>
          <w:sz w:val="20"/>
        </w:rPr>
        <w:t>2015 Open Internet Order</w:t>
      </w:r>
      <w:r w:rsidRPr="00503C62">
        <w:rPr>
          <w:sz w:val="20"/>
        </w:rPr>
        <w:t xml:space="preserve"> at paras. 228–29, 234.</w:t>
      </w:r>
    </w:p>
  </w:footnote>
  <w:footnote w:id="8">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8.18(a)(1); </w:t>
      </w:r>
      <w:r w:rsidRPr="00503C62">
        <w:rPr>
          <w:i/>
          <w:sz w:val="20"/>
        </w:rPr>
        <w:t>2015 Open Internet Order</w:t>
      </w:r>
      <w:r w:rsidRPr="00503C62">
        <w:rPr>
          <w:sz w:val="20"/>
        </w:rPr>
        <w:t xml:space="preserve"> at para. 227.</w:t>
      </w:r>
    </w:p>
  </w:footnote>
  <w:footnote w:id="9">
    <w:p w:rsidR="007C47EA" w:rsidRDefault="007C47EA" w:rsidP="007C47EA">
      <w:pPr>
        <w:pStyle w:val="FootnoteText"/>
      </w:pPr>
      <w:r>
        <w:rPr>
          <w:rStyle w:val="FootnoteReference"/>
        </w:rPr>
        <w:footnoteRef/>
      </w:r>
      <w:r>
        <w:t xml:space="preserve"> 47 C.F.R. §8.18(a)(1).</w:t>
      </w:r>
    </w:p>
  </w:footnote>
  <w:footnote w:id="10">
    <w:p w:rsidR="007C47EA" w:rsidRPr="00503C62" w:rsidRDefault="007C47EA" w:rsidP="007C47EA">
      <w:pPr>
        <w:pStyle w:val="FootnoteText"/>
        <w:spacing w:after="120"/>
        <w:rPr>
          <w:b/>
          <w:sz w:val="20"/>
        </w:rPr>
      </w:pPr>
      <w:r w:rsidRPr="00503C62">
        <w:rPr>
          <w:rStyle w:val="FootnoteReference"/>
          <w:sz w:val="20"/>
        </w:rPr>
        <w:footnoteRef/>
      </w:r>
      <w:r w:rsidRPr="00503C62">
        <w:rPr>
          <w:sz w:val="20"/>
        </w:rPr>
        <w:t xml:space="preserve"> </w:t>
      </w:r>
      <w:r w:rsidRPr="00503C62">
        <w:rPr>
          <w:i/>
          <w:sz w:val="20"/>
        </w:rPr>
        <w:t>2015 Open Internet Order</w:t>
      </w:r>
      <w:r w:rsidRPr="00503C62">
        <w:rPr>
          <w:sz w:val="20"/>
        </w:rPr>
        <w:t xml:space="preserve"> at para. 229.</w:t>
      </w:r>
    </w:p>
  </w:footnote>
  <w:footnote w:id="11">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Id</w:t>
      </w:r>
      <w:r w:rsidRPr="00503C62">
        <w:rPr>
          <w:sz w:val="20"/>
        </w:rPr>
        <w:t>.</w:t>
      </w:r>
    </w:p>
  </w:footnote>
  <w:footnote w:id="12">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Id</w:t>
      </w:r>
      <w:r w:rsidRPr="00503C62">
        <w:rPr>
          <w:sz w:val="20"/>
        </w:rPr>
        <w:t xml:space="preserve">.  </w:t>
      </w:r>
      <w:r w:rsidRPr="00503C62">
        <w:rPr>
          <w:i/>
          <w:sz w:val="20"/>
        </w:rPr>
        <w:t xml:space="preserve">See also </w:t>
      </w:r>
      <w:r w:rsidRPr="00503C62">
        <w:rPr>
          <w:sz w:val="20"/>
        </w:rPr>
        <w:t>47 C.F.R. § 8.18(d).</w:t>
      </w:r>
    </w:p>
  </w:footnote>
  <w:footnote w:id="13">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8.18(a)(1); </w:t>
      </w:r>
      <w:r w:rsidRPr="00503C62">
        <w:rPr>
          <w:i/>
          <w:sz w:val="20"/>
        </w:rPr>
        <w:t>2015 Open Internet Order</w:t>
      </w:r>
      <w:r w:rsidRPr="00503C62">
        <w:rPr>
          <w:sz w:val="20"/>
        </w:rPr>
        <w:t xml:space="preserve"> at para. 230.</w:t>
      </w:r>
    </w:p>
  </w:footnote>
  <w:footnote w:id="14">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2015 Open Internet Order</w:t>
      </w:r>
      <w:r w:rsidRPr="00503C62">
        <w:rPr>
          <w:sz w:val="20"/>
        </w:rPr>
        <w:t xml:space="preserve"> at para. 237.</w:t>
      </w:r>
    </w:p>
  </w:footnote>
  <w:footnote w:id="15">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8.18(a)(1), (3); </w:t>
      </w:r>
      <w:r w:rsidRPr="00503C62">
        <w:rPr>
          <w:i/>
          <w:sz w:val="20"/>
        </w:rPr>
        <w:t>2015 Open Internet Order</w:t>
      </w:r>
      <w:r w:rsidRPr="00503C62">
        <w:rPr>
          <w:sz w:val="20"/>
        </w:rPr>
        <w:t xml:space="preserve"> at paras. 230–32.</w:t>
      </w:r>
    </w:p>
  </w:footnote>
  <w:footnote w:id="16">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See 2015 Open Internet Order</w:t>
      </w:r>
      <w:r w:rsidRPr="00503C62">
        <w:rPr>
          <w:sz w:val="20"/>
        </w:rPr>
        <w:t xml:space="preserve"> at para. 232.</w:t>
      </w:r>
    </w:p>
  </w:footnote>
  <w:footnote w:id="17">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8.18(a)(3); </w:t>
      </w:r>
      <w:r w:rsidRPr="00503C62">
        <w:rPr>
          <w:i/>
          <w:sz w:val="20"/>
        </w:rPr>
        <w:t>2015 Open Internet Order</w:t>
      </w:r>
      <w:r w:rsidRPr="00503C62">
        <w:rPr>
          <w:sz w:val="20"/>
        </w:rPr>
        <w:t xml:space="preserve"> at para. 232.</w:t>
      </w:r>
    </w:p>
  </w:footnote>
  <w:footnote w:id="18">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8.18(a)(3); </w:t>
      </w:r>
      <w:r w:rsidRPr="00503C62">
        <w:rPr>
          <w:i/>
          <w:sz w:val="20"/>
        </w:rPr>
        <w:t>2015 Open Internet Order</w:t>
      </w:r>
      <w:r w:rsidRPr="00503C62">
        <w:rPr>
          <w:sz w:val="20"/>
        </w:rPr>
        <w:t xml:space="preserve"> at para. 231.  This does not include any ongoing litigation or potential appeals challenging the </w:t>
      </w:r>
      <w:r w:rsidRPr="00503C62">
        <w:rPr>
          <w:i/>
          <w:iCs/>
          <w:sz w:val="20"/>
        </w:rPr>
        <w:t>2015 Open Internet Order</w:t>
      </w:r>
      <w:r w:rsidRPr="00503C62">
        <w:rPr>
          <w:sz w:val="20"/>
        </w:rPr>
        <w:t>.</w:t>
      </w:r>
    </w:p>
  </w:footnote>
  <w:footnote w:id="19">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8.18(a)(1); </w:t>
      </w:r>
      <w:r w:rsidRPr="00503C62">
        <w:rPr>
          <w:i/>
          <w:sz w:val="20"/>
        </w:rPr>
        <w:t>2015 Open Internet Order</w:t>
      </w:r>
      <w:r w:rsidRPr="00503C62">
        <w:rPr>
          <w:sz w:val="20"/>
        </w:rPr>
        <w:t xml:space="preserve"> at para. 231.   </w:t>
      </w:r>
    </w:p>
  </w:footnote>
  <w:footnote w:id="20">
    <w:p w:rsidR="007C47EA" w:rsidRPr="00773266" w:rsidRDefault="007C47EA" w:rsidP="007C47EA">
      <w:pPr>
        <w:pStyle w:val="FootnoteText"/>
        <w:spacing w:after="120"/>
        <w:rPr>
          <w:sz w:val="20"/>
        </w:rPr>
      </w:pPr>
      <w:r w:rsidRPr="00773266">
        <w:rPr>
          <w:rStyle w:val="FootnoteReference"/>
          <w:sz w:val="20"/>
        </w:rPr>
        <w:footnoteRef/>
      </w:r>
      <w:r w:rsidRPr="00773266">
        <w:rPr>
          <w:sz w:val="20"/>
        </w:rPr>
        <w:t xml:space="preserve"> 47 C.F.R. § 0.459.</w:t>
      </w:r>
    </w:p>
  </w:footnote>
  <w:footnote w:id="21">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8.18(a)(4); </w:t>
      </w:r>
      <w:r w:rsidRPr="00503C62">
        <w:rPr>
          <w:i/>
          <w:sz w:val="20"/>
        </w:rPr>
        <w:t>2015 Open Internet Order</w:t>
      </w:r>
      <w:r w:rsidRPr="00503C62">
        <w:rPr>
          <w:sz w:val="20"/>
        </w:rPr>
        <w:t xml:space="preserve"> at para. 233.</w:t>
      </w:r>
    </w:p>
  </w:footnote>
  <w:footnote w:id="22">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8.18(a)(5); </w:t>
      </w:r>
      <w:r w:rsidRPr="00503C62">
        <w:rPr>
          <w:i/>
          <w:sz w:val="20"/>
        </w:rPr>
        <w:t>2015 Open Internet Order</w:t>
      </w:r>
      <w:r w:rsidRPr="00503C62">
        <w:rPr>
          <w:sz w:val="20"/>
        </w:rPr>
        <w:t xml:space="preserve"> at para. 233.</w:t>
      </w:r>
    </w:p>
  </w:footnote>
  <w:footnote w:id="23">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8.18(a)(4)–(5); </w:t>
      </w:r>
      <w:r w:rsidRPr="00503C62">
        <w:rPr>
          <w:i/>
          <w:sz w:val="20"/>
        </w:rPr>
        <w:t>2015 Open Internet Order</w:t>
      </w:r>
      <w:r w:rsidRPr="00503C62">
        <w:rPr>
          <w:sz w:val="20"/>
        </w:rPr>
        <w:t xml:space="preserve"> at para. 233.  </w:t>
      </w:r>
      <w:r w:rsidRPr="00503C62">
        <w:rPr>
          <w:i/>
          <w:sz w:val="20"/>
        </w:rPr>
        <w:t>See</w:t>
      </w:r>
      <w:r w:rsidRPr="00503C62">
        <w:rPr>
          <w:sz w:val="20"/>
        </w:rPr>
        <w:t xml:space="preserve"> </w:t>
      </w:r>
      <w:r w:rsidRPr="00503C62">
        <w:rPr>
          <w:i/>
          <w:sz w:val="20"/>
        </w:rPr>
        <w:t xml:space="preserve">also </w:t>
      </w:r>
      <w:r w:rsidRPr="00503C62">
        <w:rPr>
          <w:sz w:val="20"/>
        </w:rPr>
        <w:t xml:space="preserve">18 U.S.C. § 1001; 47 C.F.R. § 1.17.  </w:t>
      </w:r>
    </w:p>
  </w:footnote>
  <w:footnote w:id="24">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8.18(a)(2); </w:t>
      </w:r>
      <w:r w:rsidRPr="00503C62">
        <w:rPr>
          <w:i/>
          <w:sz w:val="20"/>
        </w:rPr>
        <w:t>2015 Open Internet Order</w:t>
      </w:r>
      <w:r w:rsidRPr="00503C62">
        <w:rPr>
          <w:sz w:val="20"/>
        </w:rPr>
        <w:t xml:space="preserve"> at para. 231.</w:t>
      </w:r>
    </w:p>
  </w:footnote>
  <w:footnote w:id="25">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8.18(a)(2), (b)(2); </w:t>
      </w:r>
      <w:r w:rsidRPr="00503C62">
        <w:rPr>
          <w:i/>
          <w:sz w:val="20"/>
        </w:rPr>
        <w:t>2015 Open Internet Order</w:t>
      </w:r>
      <w:r w:rsidRPr="00503C62">
        <w:rPr>
          <w:sz w:val="20"/>
        </w:rPr>
        <w:t xml:space="preserve"> at para. 231.</w:t>
      </w:r>
    </w:p>
  </w:footnote>
  <w:footnote w:id="26">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2015 Open Internet Order</w:t>
      </w:r>
      <w:r w:rsidRPr="00503C62">
        <w:rPr>
          <w:sz w:val="20"/>
        </w:rPr>
        <w:t xml:space="preserve"> at para. 231.</w:t>
      </w:r>
    </w:p>
  </w:footnote>
  <w:footnote w:id="27">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Pr>
          <w:i/>
          <w:sz w:val="20"/>
        </w:rPr>
        <w:t>Id</w:t>
      </w:r>
      <w:r w:rsidRPr="00503C62">
        <w:rPr>
          <w:sz w:val="20"/>
        </w:rPr>
        <w:t>.</w:t>
      </w:r>
    </w:p>
  </w:footnote>
  <w:footnote w:id="28">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8.18(a)(2), (b)(2); </w:t>
      </w:r>
      <w:r w:rsidRPr="00503C62">
        <w:rPr>
          <w:i/>
          <w:sz w:val="20"/>
        </w:rPr>
        <w:t>2015 Open Internet Order</w:t>
      </w:r>
      <w:r w:rsidRPr="00503C62">
        <w:rPr>
          <w:sz w:val="20"/>
        </w:rPr>
        <w:t xml:space="preserve"> at paras. 232–36.</w:t>
      </w:r>
    </w:p>
  </w:footnote>
  <w:footnote w:id="29">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2015 Open Internet Order</w:t>
      </w:r>
      <w:r w:rsidRPr="00503C62">
        <w:rPr>
          <w:sz w:val="20"/>
        </w:rPr>
        <w:t xml:space="preserve"> at para. 234.</w:t>
      </w:r>
    </w:p>
  </w:footnote>
  <w:footnote w:id="30">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w:t>
      </w:r>
      <w:r w:rsidRPr="00503C62">
        <w:rPr>
          <w:i/>
          <w:sz w:val="20"/>
        </w:rPr>
        <w:t>Id</w:t>
      </w:r>
      <w:r w:rsidRPr="00503C62">
        <w:rPr>
          <w:sz w:val="20"/>
        </w:rPr>
        <w:t>.</w:t>
      </w:r>
    </w:p>
  </w:footnote>
  <w:footnote w:id="31">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w:t>
      </w:r>
      <w:r>
        <w:rPr>
          <w:sz w:val="20"/>
        </w:rPr>
        <w:t>(b)–</w:t>
      </w:r>
      <w:r w:rsidRPr="00503C62">
        <w:rPr>
          <w:sz w:val="20"/>
        </w:rPr>
        <w:t xml:space="preserve">(c); </w:t>
      </w:r>
      <w:r w:rsidRPr="00503C62">
        <w:rPr>
          <w:i/>
          <w:sz w:val="20"/>
        </w:rPr>
        <w:t>2015 Open Internet Order</w:t>
      </w:r>
      <w:r w:rsidRPr="00503C62">
        <w:rPr>
          <w:sz w:val="20"/>
        </w:rPr>
        <w:t xml:space="preserve"> at para. 234.</w:t>
      </w:r>
    </w:p>
  </w:footnote>
  <w:footnote w:id="32">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8.18(d); </w:t>
      </w:r>
      <w:r w:rsidRPr="00503C62">
        <w:rPr>
          <w:i/>
          <w:sz w:val="20"/>
        </w:rPr>
        <w:t>2015 Open Internet Order</w:t>
      </w:r>
      <w:r w:rsidRPr="00503C62">
        <w:rPr>
          <w:sz w:val="20"/>
        </w:rPr>
        <w:t xml:space="preserve"> at para. 236.</w:t>
      </w:r>
    </w:p>
  </w:footnote>
  <w:footnote w:id="33">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8.18(d); </w:t>
      </w:r>
      <w:r w:rsidRPr="00503C62">
        <w:rPr>
          <w:i/>
          <w:sz w:val="20"/>
        </w:rPr>
        <w:t>2015 Open Internet Order</w:t>
      </w:r>
      <w:r w:rsidRPr="00503C62">
        <w:rPr>
          <w:sz w:val="20"/>
        </w:rPr>
        <w:t xml:space="preserve"> at para. 236.</w:t>
      </w:r>
    </w:p>
  </w:footnote>
  <w:footnote w:id="34">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8.18(d); </w:t>
      </w:r>
      <w:r w:rsidRPr="00503C62">
        <w:rPr>
          <w:i/>
          <w:sz w:val="20"/>
        </w:rPr>
        <w:t>2015 Open Internet Order</w:t>
      </w:r>
      <w:r w:rsidRPr="00503C62">
        <w:rPr>
          <w:sz w:val="20"/>
        </w:rPr>
        <w:t xml:space="preserve"> at para. 236.  For example, trade secrets or commercial and financial information typically merit confidential treatment.  </w:t>
      </w:r>
      <w:r w:rsidRPr="00503C62">
        <w:rPr>
          <w:i/>
          <w:sz w:val="20"/>
        </w:rPr>
        <w:t xml:space="preserve">See </w:t>
      </w:r>
      <w:r w:rsidRPr="00503C62">
        <w:rPr>
          <w:sz w:val="20"/>
        </w:rPr>
        <w:t xml:space="preserve">47 C.F.R. §§ 0.457, 0.459.  </w:t>
      </w:r>
    </w:p>
  </w:footnote>
  <w:footnote w:id="35">
    <w:p w:rsidR="007C47EA" w:rsidRPr="00503C62" w:rsidRDefault="007C47EA" w:rsidP="007C47EA">
      <w:pPr>
        <w:pStyle w:val="FootnoteText"/>
        <w:spacing w:after="120"/>
        <w:rPr>
          <w:sz w:val="20"/>
        </w:rPr>
      </w:pPr>
      <w:r w:rsidRPr="00503C62">
        <w:rPr>
          <w:rStyle w:val="FootnoteReference"/>
          <w:sz w:val="20"/>
        </w:rPr>
        <w:footnoteRef/>
      </w:r>
      <w:r w:rsidRPr="00503C62">
        <w:rPr>
          <w:sz w:val="20"/>
        </w:rPr>
        <w:t xml:space="preserve"> 47 C.F.R. § 8.18(e).</w:t>
      </w:r>
    </w:p>
  </w:footnote>
  <w:footnote w:id="36">
    <w:p w:rsidR="007C47EA" w:rsidRPr="00503C62" w:rsidRDefault="007C47EA" w:rsidP="007C47EA">
      <w:pPr>
        <w:spacing w:after="120"/>
        <w:rPr>
          <w:sz w:val="20"/>
        </w:rPr>
      </w:pPr>
      <w:r w:rsidRPr="00773266">
        <w:rPr>
          <w:rStyle w:val="FootnoteReference"/>
          <w:sz w:val="20"/>
        </w:rPr>
        <w:footnoteRef/>
      </w:r>
      <w:r w:rsidRPr="00773266">
        <w:rPr>
          <w:sz w:val="20"/>
        </w:rPr>
        <w:t xml:space="preserve"> </w:t>
      </w:r>
      <w:r w:rsidRPr="00503C62">
        <w:rPr>
          <w:rStyle w:val="Emphasis"/>
          <w:sz w:val="20"/>
        </w:rPr>
        <w:t>See</w:t>
      </w:r>
      <w:r w:rsidRPr="00503C62">
        <w:rPr>
          <w:rStyle w:val="apple-converted-space"/>
          <w:sz w:val="20"/>
        </w:rPr>
        <w:t> </w:t>
      </w:r>
      <w:r w:rsidRPr="00503C62">
        <w:rPr>
          <w:sz w:val="20"/>
        </w:rPr>
        <w:t>28 C.F.R. § 50.6 (Dep’t of Justice Business Review Procedure); 16 C.F.R. §§ 1.1–1.4 (Fed. Trade Comm'n Advisory Opinions).</w:t>
      </w:r>
    </w:p>
    <w:p w:rsidR="007C47EA" w:rsidRPr="00773266" w:rsidRDefault="007C47EA" w:rsidP="007C47EA">
      <w:pPr>
        <w:pStyle w:val="FootnoteText"/>
        <w:spacing w:after="1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84" w:rsidRDefault="009A7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84" w:rsidRDefault="009A7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BF4DE5" w:rsidRDefault="0025044B">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25535DB9" wp14:editId="0A3F413A">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BF4DE5">
      <w:rPr>
        <w:rFonts w:ascii="Arial" w:hAnsi="Arial" w:cs="Arial"/>
        <w:b/>
        <w:kern w:val="28"/>
        <w:sz w:val="96"/>
      </w:rPr>
      <w:t>PUBLIC NOTICE</w:t>
    </w:r>
  </w:p>
  <w:p w:rsidR="00602577" w:rsidRDefault="0025044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B5705D6" wp14:editId="5487E68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C8821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CA42973" wp14:editId="40D7218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A42973"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82D2E1A" wp14:editId="184E65E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D2E1A"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AA" w:rsidRDefault="006173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B5C7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7B1B1145" wp14:editId="58728E9C">
          <wp:simplePos x="0" y="0"/>
          <wp:positionH relativeFrom="column">
            <wp:posOffset>443865</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B5C7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2336" behindDoc="0" locked="0" layoutInCell="0" allowOverlap="1" wp14:anchorId="3DD5CAF7" wp14:editId="4DD84CD5">
              <wp:simplePos x="0" y="0"/>
              <wp:positionH relativeFrom="column">
                <wp:posOffset>477520</wp:posOffset>
              </wp:positionH>
              <wp:positionV relativeFrom="paragraph">
                <wp:posOffset>697865</wp:posOffset>
              </wp:positionV>
              <wp:extent cx="5886450" cy="25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D269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K/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5Ror0&#10;INFGKI7y0JnBuBICarW1oTZ6Ui9mo+l3h5SuO6L2PDJ8PRtIy0JG8iYlbJwB/N3wRTOIIQevY5tO&#10;re0DJDQAnaIa57sa/OQRhcNiNpvmB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yvx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7E085ED1" wp14:editId="222A7728">
              <wp:simplePos x="0" y="0"/>
              <wp:positionH relativeFrom="column">
                <wp:posOffset>381000</wp:posOffset>
              </wp:positionH>
              <wp:positionV relativeFrom="paragraph">
                <wp:posOffset>5080</wp:posOffset>
              </wp:positionV>
              <wp:extent cx="3108960" cy="6400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085ED1" id="_x0000_t202" coordsize="21600,21600" o:spt="202" path="m,l,21600r21600,l21600,xe">
              <v:stroke joinstyle="miter"/>
              <v:path gradientshapeok="t" o:connecttype="rect"/>
            </v:shapetype>
            <v:shape id="_x0000_s1028"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s5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Aei1s5&#10;hQIAABYFAAAOAAAAAAAAAAAAAAAAAC4CAABkcnMvZTJvRG9jLnhtbFBLAQItABQABgAIAAAAIQBp&#10;Zt702wAAAAcBAAAPAAAAAAAAAAAAAAAAAN8EAABkcnMvZG93bnJldi54bWxQSwUGAAAAAAQABADz&#10;AAAA5w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14:anchorId="5229FD7E" wp14:editId="2FEE9AF3">
              <wp:simplePos x="0" y="0"/>
              <wp:positionH relativeFrom="column">
                <wp:posOffset>3829050</wp:posOffset>
              </wp:positionH>
              <wp:positionV relativeFrom="paragraph">
                <wp:posOffset>130175</wp:posOffset>
              </wp:positionV>
              <wp:extent cx="2640965" cy="548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rsidP="00E82CDD">
                          <w:pPr>
                            <w:spacing w:after="60"/>
                            <w:jc w:val="right"/>
                            <w:rPr>
                              <w:rFonts w:ascii="Arial" w:hAnsi="Arial"/>
                              <w:b/>
                              <w:sz w:val="16"/>
                            </w:rPr>
                          </w:pPr>
                          <w:r>
                            <w:rPr>
                              <w:rFonts w:ascii="Arial" w:hAnsi="Arial"/>
                              <w:b/>
                              <w:sz w:val="16"/>
                            </w:rPr>
                            <w:t>News Media Information 202 / 418-0500</w:t>
                          </w:r>
                        </w:p>
                        <w:p w:rsidR="00602577" w:rsidRDefault="00602577" w:rsidP="00E82CDD">
                          <w:pPr>
                            <w:spacing w:after="60"/>
                            <w:jc w:val="right"/>
                            <w:rPr>
                              <w:rFonts w:ascii="Arial" w:hAnsi="Arial"/>
                              <w:b/>
                              <w:sz w:val="16"/>
                            </w:rPr>
                          </w:pPr>
                          <w:r>
                            <w:rPr>
                              <w:rFonts w:ascii="Arial" w:hAnsi="Arial"/>
                              <w:b/>
                              <w:sz w:val="16"/>
                            </w:rPr>
                            <w:tab/>
                            <w:t>Internet: http://www.fcc.gov</w:t>
                          </w:r>
                        </w:p>
                        <w:p w:rsidR="00602577" w:rsidRDefault="00602577" w:rsidP="00E82CDD">
                          <w:pPr>
                            <w:spacing w:after="60"/>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29FD7E" id="_x0000_s1029"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jgQIAAA4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1AC7&#10;I4ECAAAOBQAADgAAAAAAAAAAAAAAAAAuAgAAZHJzL2Uyb0RvYy54bWxQSwECLQAUAAYACAAAACEA&#10;NRR2SeAAAAALAQAADwAAAAAAAAAAAAAAAADbBAAAZHJzL2Rvd25yZXYueG1sUEsFBgAAAAAEAAQA&#10;8wAAAOgFAAAAAA==&#10;" o:allowincell="f" stroked="f">
              <v:textbox inset=",0,,0">
                <w:txbxContent>
                  <w:p w:rsidR="00602577" w:rsidRDefault="00602577" w:rsidP="00E82CDD">
                    <w:pPr>
                      <w:spacing w:after="60"/>
                      <w:jc w:val="right"/>
                      <w:rPr>
                        <w:rFonts w:ascii="Arial" w:hAnsi="Arial"/>
                        <w:b/>
                        <w:sz w:val="16"/>
                      </w:rPr>
                    </w:pPr>
                    <w:r>
                      <w:rPr>
                        <w:rFonts w:ascii="Arial" w:hAnsi="Arial"/>
                        <w:b/>
                        <w:sz w:val="16"/>
                      </w:rPr>
                      <w:t>News Media Information 202 / 418-0500</w:t>
                    </w:r>
                  </w:p>
                  <w:p w:rsidR="00602577" w:rsidRDefault="00602577" w:rsidP="00E82CDD">
                    <w:pPr>
                      <w:spacing w:after="60"/>
                      <w:jc w:val="right"/>
                      <w:rPr>
                        <w:rFonts w:ascii="Arial" w:hAnsi="Arial"/>
                        <w:b/>
                        <w:sz w:val="16"/>
                      </w:rPr>
                    </w:pPr>
                    <w:r>
                      <w:rPr>
                        <w:rFonts w:ascii="Arial" w:hAnsi="Arial"/>
                        <w:b/>
                        <w:sz w:val="16"/>
                      </w:rPr>
                      <w:tab/>
                      <w:t>Internet: http://www.fcc.gov</w:t>
                    </w:r>
                  </w:p>
                  <w:p w:rsidR="00602577" w:rsidRDefault="00602577" w:rsidP="00E82CDD">
                    <w:pPr>
                      <w:spacing w:after="60"/>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12A22ED"/>
    <w:multiLevelType w:val="hybridMultilevel"/>
    <w:tmpl w:val="0D40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FD"/>
    <w:rsid w:val="000265AE"/>
    <w:rsid w:val="00065D46"/>
    <w:rsid w:val="000C58D8"/>
    <w:rsid w:val="000F77FB"/>
    <w:rsid w:val="001302B5"/>
    <w:rsid w:val="001576A8"/>
    <w:rsid w:val="0016668B"/>
    <w:rsid w:val="0019352A"/>
    <w:rsid w:val="001F57FC"/>
    <w:rsid w:val="001F6FE0"/>
    <w:rsid w:val="002031C5"/>
    <w:rsid w:val="0020449B"/>
    <w:rsid w:val="0020467B"/>
    <w:rsid w:val="0022497C"/>
    <w:rsid w:val="0025044B"/>
    <w:rsid w:val="00271969"/>
    <w:rsid w:val="00294171"/>
    <w:rsid w:val="002D26ED"/>
    <w:rsid w:val="00366859"/>
    <w:rsid w:val="00396550"/>
    <w:rsid w:val="003B38A4"/>
    <w:rsid w:val="003C6052"/>
    <w:rsid w:val="003D67A2"/>
    <w:rsid w:val="003E404A"/>
    <w:rsid w:val="003F27FF"/>
    <w:rsid w:val="0042692F"/>
    <w:rsid w:val="00440FB1"/>
    <w:rsid w:val="00457E92"/>
    <w:rsid w:val="00494762"/>
    <w:rsid w:val="00495E73"/>
    <w:rsid w:val="004B6FDB"/>
    <w:rsid w:val="004C2913"/>
    <w:rsid w:val="004C7620"/>
    <w:rsid w:val="00530C16"/>
    <w:rsid w:val="00571E59"/>
    <w:rsid w:val="0058339D"/>
    <w:rsid w:val="005C3D54"/>
    <w:rsid w:val="005C5CA5"/>
    <w:rsid w:val="005E3A1A"/>
    <w:rsid w:val="005E55D4"/>
    <w:rsid w:val="00602577"/>
    <w:rsid w:val="006173A0"/>
    <w:rsid w:val="0063003F"/>
    <w:rsid w:val="00644E11"/>
    <w:rsid w:val="00666DB5"/>
    <w:rsid w:val="0067471F"/>
    <w:rsid w:val="006A3D8F"/>
    <w:rsid w:val="006F2C74"/>
    <w:rsid w:val="00744FF1"/>
    <w:rsid w:val="00754B8B"/>
    <w:rsid w:val="00764E41"/>
    <w:rsid w:val="00775F50"/>
    <w:rsid w:val="00781835"/>
    <w:rsid w:val="007C47EA"/>
    <w:rsid w:val="007D3AEF"/>
    <w:rsid w:val="007D5184"/>
    <w:rsid w:val="007D6E05"/>
    <w:rsid w:val="007E1042"/>
    <w:rsid w:val="0080162E"/>
    <w:rsid w:val="0081746A"/>
    <w:rsid w:val="00847439"/>
    <w:rsid w:val="00863CE6"/>
    <w:rsid w:val="008961FA"/>
    <w:rsid w:val="008979B1"/>
    <w:rsid w:val="008B709D"/>
    <w:rsid w:val="008E40F0"/>
    <w:rsid w:val="009074C1"/>
    <w:rsid w:val="00916A07"/>
    <w:rsid w:val="00942ED8"/>
    <w:rsid w:val="0096739C"/>
    <w:rsid w:val="009909E1"/>
    <w:rsid w:val="009A7384"/>
    <w:rsid w:val="009F2A2D"/>
    <w:rsid w:val="00A30867"/>
    <w:rsid w:val="00A30E65"/>
    <w:rsid w:val="00A3152F"/>
    <w:rsid w:val="00A432AC"/>
    <w:rsid w:val="00A87818"/>
    <w:rsid w:val="00A87F68"/>
    <w:rsid w:val="00AC3227"/>
    <w:rsid w:val="00AE16FD"/>
    <w:rsid w:val="00AE1EB8"/>
    <w:rsid w:val="00B11B2A"/>
    <w:rsid w:val="00B34609"/>
    <w:rsid w:val="00B51708"/>
    <w:rsid w:val="00B66B38"/>
    <w:rsid w:val="00B71C80"/>
    <w:rsid w:val="00BA3B6B"/>
    <w:rsid w:val="00BB50AE"/>
    <w:rsid w:val="00BC5FBB"/>
    <w:rsid w:val="00BC7859"/>
    <w:rsid w:val="00BE625A"/>
    <w:rsid w:val="00BF4DE5"/>
    <w:rsid w:val="00C41D2F"/>
    <w:rsid w:val="00C44983"/>
    <w:rsid w:val="00C53115"/>
    <w:rsid w:val="00C77FBC"/>
    <w:rsid w:val="00CD6B27"/>
    <w:rsid w:val="00CE2D68"/>
    <w:rsid w:val="00D17DC0"/>
    <w:rsid w:val="00D60EFF"/>
    <w:rsid w:val="00D6113A"/>
    <w:rsid w:val="00DC7F57"/>
    <w:rsid w:val="00DE69C8"/>
    <w:rsid w:val="00E17A47"/>
    <w:rsid w:val="00E60806"/>
    <w:rsid w:val="00E71EDE"/>
    <w:rsid w:val="00E861B4"/>
    <w:rsid w:val="00EB5C7F"/>
    <w:rsid w:val="00EC77F6"/>
    <w:rsid w:val="00EC7D19"/>
    <w:rsid w:val="00EE63A8"/>
    <w:rsid w:val="00EF05CE"/>
    <w:rsid w:val="00F1473D"/>
    <w:rsid w:val="00F3066A"/>
    <w:rsid w:val="00F86907"/>
    <w:rsid w:val="00F875C8"/>
    <w:rsid w:val="00F92337"/>
    <w:rsid w:val="00FB5B58"/>
    <w:rsid w:val="00FC2B70"/>
    <w:rsid w:val="00FC687C"/>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Style 4,Footnote Reference1,Style 7,Style 34,Style 9"/>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E71EDE"/>
    <w:rPr>
      <w:sz w:val="22"/>
    </w:rPr>
  </w:style>
  <w:style w:type="character" w:styleId="CommentReference">
    <w:name w:val="annotation reference"/>
    <w:basedOn w:val="DefaultParagraphFont"/>
    <w:uiPriority w:val="99"/>
    <w:semiHidden/>
    <w:unhideWhenUsed/>
    <w:rsid w:val="00571E59"/>
    <w:rPr>
      <w:sz w:val="16"/>
      <w:szCs w:val="16"/>
    </w:rPr>
  </w:style>
  <w:style w:type="paragraph" w:styleId="CommentText">
    <w:name w:val="annotation text"/>
    <w:basedOn w:val="Normal"/>
    <w:link w:val="CommentTextChar"/>
    <w:uiPriority w:val="99"/>
    <w:semiHidden/>
    <w:unhideWhenUsed/>
    <w:rsid w:val="00571E59"/>
    <w:rPr>
      <w:sz w:val="20"/>
    </w:rPr>
  </w:style>
  <w:style w:type="character" w:customStyle="1" w:styleId="CommentTextChar">
    <w:name w:val="Comment Text Char"/>
    <w:basedOn w:val="DefaultParagraphFont"/>
    <w:link w:val="CommentText"/>
    <w:uiPriority w:val="99"/>
    <w:semiHidden/>
    <w:rsid w:val="00571E59"/>
  </w:style>
  <w:style w:type="paragraph" w:styleId="CommentSubject">
    <w:name w:val="annotation subject"/>
    <w:basedOn w:val="CommentText"/>
    <w:next w:val="CommentText"/>
    <w:link w:val="CommentSubjectChar"/>
    <w:uiPriority w:val="99"/>
    <w:semiHidden/>
    <w:unhideWhenUsed/>
    <w:rsid w:val="00571E59"/>
    <w:rPr>
      <w:b/>
      <w:bCs/>
    </w:rPr>
  </w:style>
  <w:style w:type="character" w:customStyle="1" w:styleId="CommentSubjectChar">
    <w:name w:val="Comment Subject Char"/>
    <w:basedOn w:val="CommentTextChar"/>
    <w:link w:val="CommentSubject"/>
    <w:uiPriority w:val="99"/>
    <w:semiHidden/>
    <w:rsid w:val="00571E59"/>
    <w:rPr>
      <w:b/>
      <w:bCs/>
    </w:rPr>
  </w:style>
  <w:style w:type="paragraph" w:styleId="Revision">
    <w:name w:val="Revision"/>
    <w:hidden/>
    <w:uiPriority w:val="99"/>
    <w:semiHidden/>
    <w:rsid w:val="00571E59"/>
    <w:rPr>
      <w:sz w:val="22"/>
    </w:rPr>
  </w:style>
  <w:style w:type="paragraph" w:styleId="BalloonText">
    <w:name w:val="Balloon Text"/>
    <w:basedOn w:val="Normal"/>
    <w:link w:val="BalloonTextChar"/>
    <w:uiPriority w:val="99"/>
    <w:semiHidden/>
    <w:unhideWhenUsed/>
    <w:rsid w:val="00571E59"/>
    <w:rPr>
      <w:rFonts w:ascii="Tahoma" w:hAnsi="Tahoma" w:cs="Tahoma"/>
      <w:sz w:val="16"/>
      <w:szCs w:val="16"/>
    </w:rPr>
  </w:style>
  <w:style w:type="character" w:customStyle="1" w:styleId="BalloonTextChar">
    <w:name w:val="Balloon Text Char"/>
    <w:basedOn w:val="DefaultParagraphFont"/>
    <w:link w:val="BalloonText"/>
    <w:uiPriority w:val="99"/>
    <w:semiHidden/>
    <w:rsid w:val="00571E59"/>
    <w:rPr>
      <w:rFonts w:ascii="Tahoma" w:hAnsi="Tahoma" w:cs="Tahoma"/>
      <w:sz w:val="16"/>
      <w:szCs w:val="16"/>
    </w:rPr>
  </w:style>
  <w:style w:type="paragraph" w:customStyle="1" w:styleId="paranum0">
    <w:name w:val="paranum"/>
    <w:basedOn w:val="Normal"/>
    <w:uiPriority w:val="99"/>
    <w:rsid w:val="00D6113A"/>
    <w:pPr>
      <w:spacing w:before="100" w:beforeAutospacing="1" w:after="100" w:afterAutospacing="1"/>
    </w:pPr>
    <w:rPr>
      <w:sz w:val="24"/>
      <w:szCs w:val="24"/>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7C47EA"/>
    <w:rPr>
      <w:sz w:val="22"/>
    </w:rPr>
  </w:style>
  <w:style w:type="paragraph" w:styleId="ListParagraph">
    <w:name w:val="List Paragraph"/>
    <w:basedOn w:val="Normal"/>
    <w:uiPriority w:val="34"/>
    <w:qFormat/>
    <w:rsid w:val="007C47EA"/>
    <w:pPr>
      <w:ind w:left="720"/>
      <w:contextualSpacing/>
    </w:pPr>
  </w:style>
  <w:style w:type="paragraph" w:styleId="NormalWeb">
    <w:name w:val="Normal (Web)"/>
    <w:basedOn w:val="Normal"/>
    <w:uiPriority w:val="99"/>
    <w:rsid w:val="007C47EA"/>
    <w:pPr>
      <w:spacing w:before="100" w:beforeAutospacing="1" w:after="100" w:afterAutospacing="1"/>
    </w:pPr>
    <w:rPr>
      <w:sz w:val="24"/>
      <w:szCs w:val="24"/>
    </w:rPr>
  </w:style>
  <w:style w:type="paragraph" w:customStyle="1" w:styleId="factsbody">
    <w:name w:val="factsbody"/>
    <w:basedOn w:val="Normal"/>
    <w:rsid w:val="007C47EA"/>
    <w:pPr>
      <w:spacing w:before="100" w:beforeAutospacing="1" w:after="100" w:afterAutospacing="1"/>
    </w:pPr>
    <w:rPr>
      <w:rFonts w:ascii="Arial" w:hAnsi="Arial" w:cs="Arial"/>
      <w:color w:val="000000"/>
      <w:szCs w:val="22"/>
    </w:rPr>
  </w:style>
  <w:style w:type="character" w:customStyle="1" w:styleId="apple-converted-space">
    <w:name w:val="apple-converted-space"/>
    <w:basedOn w:val="DefaultParagraphFont"/>
    <w:rsid w:val="007C47EA"/>
  </w:style>
  <w:style w:type="character" w:styleId="Emphasis">
    <w:name w:val="Emphasis"/>
    <w:basedOn w:val="DefaultParagraphFont"/>
    <w:uiPriority w:val="20"/>
    <w:qFormat/>
    <w:rsid w:val="007C47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Style 4,Footnote Reference1,Style 7,Style 34,Style 9"/>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E71EDE"/>
    <w:rPr>
      <w:sz w:val="22"/>
    </w:rPr>
  </w:style>
  <w:style w:type="character" w:styleId="CommentReference">
    <w:name w:val="annotation reference"/>
    <w:basedOn w:val="DefaultParagraphFont"/>
    <w:uiPriority w:val="99"/>
    <w:semiHidden/>
    <w:unhideWhenUsed/>
    <w:rsid w:val="00571E59"/>
    <w:rPr>
      <w:sz w:val="16"/>
      <w:szCs w:val="16"/>
    </w:rPr>
  </w:style>
  <w:style w:type="paragraph" w:styleId="CommentText">
    <w:name w:val="annotation text"/>
    <w:basedOn w:val="Normal"/>
    <w:link w:val="CommentTextChar"/>
    <w:uiPriority w:val="99"/>
    <w:semiHidden/>
    <w:unhideWhenUsed/>
    <w:rsid w:val="00571E59"/>
    <w:rPr>
      <w:sz w:val="20"/>
    </w:rPr>
  </w:style>
  <w:style w:type="character" w:customStyle="1" w:styleId="CommentTextChar">
    <w:name w:val="Comment Text Char"/>
    <w:basedOn w:val="DefaultParagraphFont"/>
    <w:link w:val="CommentText"/>
    <w:uiPriority w:val="99"/>
    <w:semiHidden/>
    <w:rsid w:val="00571E59"/>
  </w:style>
  <w:style w:type="paragraph" w:styleId="CommentSubject">
    <w:name w:val="annotation subject"/>
    <w:basedOn w:val="CommentText"/>
    <w:next w:val="CommentText"/>
    <w:link w:val="CommentSubjectChar"/>
    <w:uiPriority w:val="99"/>
    <w:semiHidden/>
    <w:unhideWhenUsed/>
    <w:rsid w:val="00571E59"/>
    <w:rPr>
      <w:b/>
      <w:bCs/>
    </w:rPr>
  </w:style>
  <w:style w:type="character" w:customStyle="1" w:styleId="CommentSubjectChar">
    <w:name w:val="Comment Subject Char"/>
    <w:basedOn w:val="CommentTextChar"/>
    <w:link w:val="CommentSubject"/>
    <w:uiPriority w:val="99"/>
    <w:semiHidden/>
    <w:rsid w:val="00571E59"/>
    <w:rPr>
      <w:b/>
      <w:bCs/>
    </w:rPr>
  </w:style>
  <w:style w:type="paragraph" w:styleId="Revision">
    <w:name w:val="Revision"/>
    <w:hidden/>
    <w:uiPriority w:val="99"/>
    <w:semiHidden/>
    <w:rsid w:val="00571E59"/>
    <w:rPr>
      <w:sz w:val="22"/>
    </w:rPr>
  </w:style>
  <w:style w:type="paragraph" w:styleId="BalloonText">
    <w:name w:val="Balloon Text"/>
    <w:basedOn w:val="Normal"/>
    <w:link w:val="BalloonTextChar"/>
    <w:uiPriority w:val="99"/>
    <w:semiHidden/>
    <w:unhideWhenUsed/>
    <w:rsid w:val="00571E59"/>
    <w:rPr>
      <w:rFonts w:ascii="Tahoma" w:hAnsi="Tahoma" w:cs="Tahoma"/>
      <w:sz w:val="16"/>
      <w:szCs w:val="16"/>
    </w:rPr>
  </w:style>
  <w:style w:type="character" w:customStyle="1" w:styleId="BalloonTextChar">
    <w:name w:val="Balloon Text Char"/>
    <w:basedOn w:val="DefaultParagraphFont"/>
    <w:link w:val="BalloonText"/>
    <w:uiPriority w:val="99"/>
    <w:semiHidden/>
    <w:rsid w:val="00571E59"/>
    <w:rPr>
      <w:rFonts w:ascii="Tahoma" w:hAnsi="Tahoma" w:cs="Tahoma"/>
      <w:sz w:val="16"/>
      <w:szCs w:val="16"/>
    </w:rPr>
  </w:style>
  <w:style w:type="paragraph" w:customStyle="1" w:styleId="paranum0">
    <w:name w:val="paranum"/>
    <w:basedOn w:val="Normal"/>
    <w:uiPriority w:val="99"/>
    <w:rsid w:val="00D6113A"/>
    <w:pPr>
      <w:spacing w:before="100" w:beforeAutospacing="1" w:after="100" w:afterAutospacing="1"/>
    </w:pPr>
    <w:rPr>
      <w:sz w:val="24"/>
      <w:szCs w:val="24"/>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7C47EA"/>
    <w:rPr>
      <w:sz w:val="22"/>
    </w:rPr>
  </w:style>
  <w:style w:type="paragraph" w:styleId="ListParagraph">
    <w:name w:val="List Paragraph"/>
    <w:basedOn w:val="Normal"/>
    <w:uiPriority w:val="34"/>
    <w:qFormat/>
    <w:rsid w:val="007C47EA"/>
    <w:pPr>
      <w:ind w:left="720"/>
      <w:contextualSpacing/>
    </w:pPr>
  </w:style>
  <w:style w:type="paragraph" w:styleId="NormalWeb">
    <w:name w:val="Normal (Web)"/>
    <w:basedOn w:val="Normal"/>
    <w:uiPriority w:val="99"/>
    <w:rsid w:val="007C47EA"/>
    <w:pPr>
      <w:spacing w:before="100" w:beforeAutospacing="1" w:after="100" w:afterAutospacing="1"/>
    </w:pPr>
    <w:rPr>
      <w:sz w:val="24"/>
      <w:szCs w:val="24"/>
    </w:rPr>
  </w:style>
  <w:style w:type="paragraph" w:customStyle="1" w:styleId="factsbody">
    <w:name w:val="factsbody"/>
    <w:basedOn w:val="Normal"/>
    <w:rsid w:val="007C47EA"/>
    <w:pPr>
      <w:spacing w:before="100" w:beforeAutospacing="1" w:after="100" w:afterAutospacing="1"/>
    </w:pPr>
    <w:rPr>
      <w:rFonts w:ascii="Arial" w:hAnsi="Arial" w:cs="Arial"/>
      <w:color w:val="000000"/>
      <w:szCs w:val="22"/>
    </w:rPr>
  </w:style>
  <w:style w:type="character" w:customStyle="1" w:styleId="apple-converted-space">
    <w:name w:val="apple-converted-space"/>
    <w:basedOn w:val="DefaultParagraphFont"/>
    <w:rsid w:val="007C47EA"/>
  </w:style>
  <w:style w:type="character" w:styleId="Emphasis">
    <w:name w:val="Emphasis"/>
    <w:basedOn w:val="DefaultParagraphFont"/>
    <w:uiPriority w:val="20"/>
    <w:qFormat/>
    <w:rsid w:val="007C4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37889">
      <w:bodyDiv w:val="1"/>
      <w:marLeft w:val="0"/>
      <w:marRight w:val="0"/>
      <w:marTop w:val="0"/>
      <w:marBottom w:val="0"/>
      <w:divBdr>
        <w:top w:val="none" w:sz="0" w:space="0" w:color="auto"/>
        <w:left w:val="none" w:sz="0" w:space="0" w:color="auto"/>
        <w:bottom w:val="none" w:sz="0" w:space="0" w:color="auto"/>
        <w:right w:val="none" w:sz="0" w:space="0" w:color="auto"/>
      </w:divBdr>
    </w:div>
    <w:div w:id="862086709">
      <w:bodyDiv w:val="1"/>
      <w:marLeft w:val="0"/>
      <w:marRight w:val="0"/>
      <w:marTop w:val="0"/>
      <w:marBottom w:val="0"/>
      <w:divBdr>
        <w:top w:val="none" w:sz="0" w:space="0" w:color="auto"/>
        <w:left w:val="none" w:sz="0" w:space="0" w:color="auto"/>
        <w:bottom w:val="none" w:sz="0" w:space="0" w:color="auto"/>
        <w:right w:val="none" w:sz="0" w:space="0" w:color="auto"/>
      </w:divBdr>
    </w:div>
    <w:div w:id="14490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tha.Heller\AppData\Local\Microsoft\Windows\Temporary%20Internet%20Files\Content.MSO\6BA45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6BA45102</Template>
  <TotalTime>0</TotalTime>
  <Pages>3</Pages>
  <Words>1742</Words>
  <Characters>9791</Characters>
  <Application>Microsoft Office Word</Application>
  <DocSecurity>0</DocSecurity>
  <Lines>136</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2015-07-02T14:02:00Z</dcterms:created>
  <dcterms:modified xsi:type="dcterms:W3CDTF">2015-07-02T14:02:00Z</dcterms:modified>
  <cp:category> </cp:category>
  <cp:contentStatus> </cp:contentStatus>
</cp:coreProperties>
</file>