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790B4B" w:rsidRDefault="00E273E3" w:rsidP="002659F3">
      <w:pPr>
        <w:jc w:val="center"/>
        <w:rPr>
          <w:b/>
        </w:rPr>
      </w:pPr>
      <w:bookmarkStart w:id="0" w:name="_GoBack"/>
      <w:bookmarkEnd w:id="0"/>
      <w:r w:rsidRPr="00790B4B">
        <w:rPr>
          <w:b/>
        </w:rPr>
        <w:t>Before the</w:t>
      </w:r>
    </w:p>
    <w:p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RDefault="00E273E3" w:rsidP="002659F3"/>
    <w:tbl>
      <w:tblPr>
        <w:tblW w:w="0" w:type="auto"/>
        <w:tblLayout w:type="fixed"/>
        <w:tblLook w:val="0000" w:firstRow="0" w:lastRow="0" w:firstColumn="0" w:lastColumn="0" w:noHBand="0" w:noVBand="0"/>
      </w:tblPr>
      <w:tblGrid>
        <w:gridCol w:w="4698"/>
        <w:gridCol w:w="630"/>
        <w:gridCol w:w="4248"/>
      </w:tblGrid>
      <w:tr w:rsidR="00E273E3" w:rsidRPr="00344C0B">
        <w:tc>
          <w:tcPr>
            <w:tcW w:w="4698" w:type="dxa"/>
          </w:tcPr>
          <w:p w:rsidR="00E273E3" w:rsidRPr="00790B4B" w:rsidRDefault="00E273E3" w:rsidP="002659F3">
            <w:pPr>
              <w:suppressAutoHyphens/>
              <w:rPr>
                <w:spacing w:val="-2"/>
              </w:rPr>
            </w:pPr>
            <w:r w:rsidRPr="00790B4B">
              <w:rPr>
                <w:spacing w:val="-2"/>
              </w:rPr>
              <w:t>In the Matter of</w:t>
            </w:r>
          </w:p>
          <w:p w:rsidR="00E273E3" w:rsidRPr="00790B4B" w:rsidRDefault="00E273E3" w:rsidP="002659F3">
            <w:pPr>
              <w:suppressAutoHyphens/>
              <w:rPr>
                <w:spacing w:val="-2"/>
              </w:rPr>
            </w:pPr>
          </w:p>
          <w:p w:rsidR="009A73C4" w:rsidRPr="005A3BCB" w:rsidRDefault="009A73C4" w:rsidP="009A73C4">
            <w:r w:rsidRPr="005A3BCB">
              <w:rPr>
                <w:spacing w:val="-2"/>
              </w:rPr>
              <w:t>Sound Communications, LLC</w:t>
            </w:r>
          </w:p>
          <w:p w:rsidR="009A73C4" w:rsidRPr="005A3BCB" w:rsidRDefault="009A73C4" w:rsidP="009A73C4">
            <w:r w:rsidRPr="005A3BCB">
              <w:t>Owner of Antenna Structure Number 1053420</w:t>
            </w:r>
          </w:p>
          <w:p w:rsidR="009A73C4" w:rsidRPr="005A3BCB" w:rsidRDefault="009A73C4" w:rsidP="009A73C4">
            <w:r w:rsidRPr="005A3BCB">
              <w:t>Licensee of AM Station WENY</w:t>
            </w:r>
          </w:p>
          <w:p w:rsidR="00E273E3" w:rsidRPr="004755A2" w:rsidRDefault="009A73C4" w:rsidP="004755A2">
            <w:r w:rsidRPr="005A3BCB">
              <w:t>Southport, New York</w:t>
            </w:r>
          </w:p>
        </w:tc>
        <w:tc>
          <w:tcPr>
            <w:tcW w:w="630" w:type="dxa"/>
          </w:tcPr>
          <w:p w:rsidR="00E273E3" w:rsidRPr="00344C0B" w:rsidRDefault="00E273E3" w:rsidP="002659F3">
            <w:pPr>
              <w:suppressAutoHyphens/>
              <w:rPr>
                <w:spacing w:val="-2"/>
              </w:rPr>
            </w:pPr>
            <w:r w:rsidRPr="00344C0B">
              <w:rPr>
                <w:spacing w:val="-2"/>
              </w:rPr>
              <w:t>)</w:t>
            </w:r>
          </w:p>
          <w:p w:rsidR="00E273E3" w:rsidRPr="00344C0B" w:rsidRDefault="00E273E3" w:rsidP="002659F3">
            <w:pPr>
              <w:suppressAutoHyphens/>
              <w:rPr>
                <w:spacing w:val="-2"/>
              </w:rPr>
            </w:pPr>
            <w:r w:rsidRPr="00344C0B">
              <w:rPr>
                <w:spacing w:val="-2"/>
              </w:rPr>
              <w:t>)</w:t>
            </w:r>
          </w:p>
          <w:p w:rsidR="00E273E3" w:rsidRPr="00344C0B" w:rsidRDefault="00E273E3" w:rsidP="002659F3">
            <w:pPr>
              <w:suppressAutoHyphens/>
              <w:rPr>
                <w:spacing w:val="-2"/>
              </w:rPr>
            </w:pPr>
            <w:r w:rsidRPr="00344C0B">
              <w:rPr>
                <w:spacing w:val="-2"/>
              </w:rPr>
              <w:t>)</w:t>
            </w:r>
          </w:p>
          <w:p w:rsidR="00E273E3" w:rsidRPr="00344C0B" w:rsidRDefault="00E273E3" w:rsidP="002659F3">
            <w:pPr>
              <w:suppressAutoHyphens/>
              <w:rPr>
                <w:spacing w:val="-2"/>
              </w:rPr>
            </w:pPr>
            <w:r w:rsidRPr="00344C0B">
              <w:rPr>
                <w:spacing w:val="-2"/>
              </w:rPr>
              <w:t>)</w:t>
            </w:r>
          </w:p>
          <w:p w:rsidR="00E273E3" w:rsidRDefault="00E273E3" w:rsidP="002659F3">
            <w:pPr>
              <w:suppressAutoHyphens/>
              <w:rPr>
                <w:spacing w:val="-2"/>
              </w:rPr>
            </w:pPr>
            <w:r w:rsidRPr="00344C0B">
              <w:rPr>
                <w:spacing w:val="-2"/>
              </w:rPr>
              <w:t>)</w:t>
            </w:r>
          </w:p>
          <w:p w:rsidR="004755A2" w:rsidRPr="00344C0B" w:rsidRDefault="004755A2" w:rsidP="002659F3">
            <w:pPr>
              <w:suppressAutoHyphens/>
              <w:rPr>
                <w:spacing w:val="-2"/>
              </w:rPr>
            </w:pPr>
            <w:r>
              <w:rPr>
                <w:spacing w:val="-2"/>
              </w:rPr>
              <w:t>)</w:t>
            </w:r>
          </w:p>
        </w:tc>
        <w:tc>
          <w:tcPr>
            <w:tcW w:w="4248" w:type="dxa"/>
          </w:tcPr>
          <w:p w:rsidR="00E273E3" w:rsidRPr="00344C0B" w:rsidRDefault="00E273E3" w:rsidP="002659F3">
            <w:pPr>
              <w:suppressAutoHyphens/>
              <w:rPr>
                <w:spacing w:val="-2"/>
              </w:rPr>
            </w:pPr>
          </w:p>
          <w:p w:rsidR="00E273E3" w:rsidRPr="00344C0B" w:rsidRDefault="00E273E3" w:rsidP="002659F3">
            <w:pPr>
              <w:suppressAutoHyphens/>
              <w:rPr>
                <w:spacing w:val="-2"/>
              </w:rPr>
            </w:pPr>
          </w:p>
          <w:p w:rsidR="00E273E3" w:rsidRPr="0007571D" w:rsidRDefault="00E273E3" w:rsidP="00EE05DB">
            <w:pPr>
              <w:suppressAutoHyphens/>
              <w:ind w:left="432"/>
              <w:rPr>
                <w:spacing w:val="-2"/>
              </w:rPr>
            </w:pPr>
            <w:r w:rsidRPr="00344C0B">
              <w:rPr>
                <w:spacing w:val="-2"/>
              </w:rPr>
              <w:t xml:space="preserve">File No.:  </w:t>
            </w:r>
            <w:r w:rsidR="009A73C4" w:rsidRPr="005A3BCB">
              <w:t>EB-FIELD</w:t>
            </w:r>
            <w:r w:rsidR="009A73C4">
              <w:t>NER</w:t>
            </w:r>
            <w:r w:rsidR="009A73C4" w:rsidRPr="005A3BCB">
              <w:t>-13-00009899</w:t>
            </w:r>
          </w:p>
          <w:p w:rsidR="00E273E3" w:rsidRPr="0007571D" w:rsidRDefault="00E273E3" w:rsidP="00EE05DB">
            <w:pPr>
              <w:suppressAutoHyphens/>
              <w:ind w:left="432"/>
              <w:rPr>
                <w:spacing w:val="-2"/>
              </w:rPr>
            </w:pPr>
            <w:r w:rsidRPr="00344C0B">
              <w:rPr>
                <w:spacing w:val="-2"/>
              </w:rPr>
              <w:t xml:space="preserve">NAL/Acct. No.:  </w:t>
            </w:r>
            <w:r w:rsidR="00023089" w:rsidRPr="00D33088">
              <w:t>201</w:t>
            </w:r>
            <w:r w:rsidR="00023089">
              <w:t>43</w:t>
            </w:r>
            <w:r w:rsidR="00023089" w:rsidRPr="00D33088">
              <w:t>240</w:t>
            </w:r>
            <w:r w:rsidR="00023089">
              <w:t>0005</w:t>
            </w:r>
          </w:p>
          <w:p w:rsidR="00E273E3" w:rsidRDefault="00E273E3" w:rsidP="00023089">
            <w:pPr>
              <w:suppressAutoHyphens/>
              <w:ind w:left="432"/>
            </w:pPr>
            <w:r w:rsidRPr="00344C0B">
              <w:rPr>
                <w:spacing w:val="-2"/>
              </w:rPr>
              <w:t xml:space="preserve">FRN:  </w:t>
            </w:r>
            <w:r w:rsidR="00023089" w:rsidRPr="005A3BCB">
              <w:t>0019815109</w:t>
            </w:r>
          </w:p>
          <w:p w:rsidR="00147460" w:rsidRPr="0007571D" w:rsidRDefault="00147460" w:rsidP="00023089">
            <w:pPr>
              <w:suppressAutoHyphens/>
              <w:ind w:left="432"/>
              <w:rPr>
                <w:spacing w:val="-2"/>
              </w:rPr>
            </w:pPr>
            <w:r>
              <w:t>Facility ID No.</w:t>
            </w:r>
            <w:r w:rsidR="00CB3AC4">
              <w:t>:</w:t>
            </w:r>
            <w:r>
              <w:t xml:space="preserve"> </w:t>
            </w:r>
            <w:r w:rsidR="00CB3AC4">
              <w:t xml:space="preserve"> </w:t>
            </w:r>
            <w:r>
              <w:t>71510</w:t>
            </w:r>
          </w:p>
        </w:tc>
      </w:tr>
    </w:tbl>
    <w:p w:rsidR="00E273E3" w:rsidRPr="00344C0B" w:rsidRDefault="00E273E3" w:rsidP="002659F3"/>
    <w:p w:rsidR="00E273E3" w:rsidRPr="00344C0B" w:rsidRDefault="00E273E3" w:rsidP="002659F3">
      <w:pPr>
        <w:pStyle w:val="StyleBoldCentered"/>
        <w:widowControl/>
        <w:spacing w:after="220"/>
      </w:pPr>
      <w:r w:rsidRPr="00344C0B">
        <w:t>forfeiture ORDER</w:t>
      </w:r>
    </w:p>
    <w:p w:rsidR="00E273E3" w:rsidRPr="0007571D" w:rsidRDefault="00E273E3" w:rsidP="00226191">
      <w:pPr>
        <w:tabs>
          <w:tab w:val="right" w:pos="9360"/>
        </w:tabs>
        <w:suppressAutoHyphens/>
        <w:rPr>
          <w:spacing w:val="-2"/>
        </w:rPr>
      </w:pPr>
      <w:r w:rsidRPr="00344C0B">
        <w:rPr>
          <w:b/>
          <w:spacing w:val="-2"/>
        </w:rPr>
        <w:t xml:space="preserve">Adopted:  </w:t>
      </w:r>
      <w:r w:rsidR="003D1963">
        <w:rPr>
          <w:b/>
          <w:spacing w:val="-2"/>
        </w:rPr>
        <w:t>June 16</w:t>
      </w:r>
      <w:r w:rsidR="00023089">
        <w:rPr>
          <w:b/>
          <w:spacing w:val="-2"/>
        </w:rPr>
        <w:t>, 2015</w:t>
      </w:r>
      <w:r w:rsidR="006D2212" w:rsidRPr="0007571D">
        <w:rPr>
          <w:b/>
          <w:spacing w:val="-2"/>
        </w:rPr>
        <w:tab/>
        <w:t xml:space="preserve">Released:  </w:t>
      </w:r>
      <w:r w:rsidR="003D1963">
        <w:rPr>
          <w:b/>
          <w:spacing w:val="-2"/>
        </w:rPr>
        <w:t>June 16</w:t>
      </w:r>
      <w:r w:rsidR="00023089">
        <w:rPr>
          <w:b/>
          <w:spacing w:val="-2"/>
        </w:rPr>
        <w:t>, 2015</w:t>
      </w:r>
    </w:p>
    <w:p w:rsidR="00E273E3" w:rsidRPr="00344C0B" w:rsidRDefault="00E273E3" w:rsidP="00EE05DB">
      <w:pPr>
        <w:jc w:val="center"/>
      </w:pPr>
    </w:p>
    <w:p w:rsidR="00E273E3" w:rsidRPr="00344C0B" w:rsidRDefault="00E273E3" w:rsidP="002659F3">
      <w:pPr>
        <w:rPr>
          <w:spacing w:val="-2"/>
        </w:rPr>
      </w:pPr>
      <w:r w:rsidRPr="00344C0B">
        <w:t>By the</w:t>
      </w:r>
      <w:r w:rsidR="00147460">
        <w:t xml:space="preserve"> </w:t>
      </w:r>
      <w:r w:rsidR="00147460">
        <w:rPr>
          <w:spacing w:val="-2"/>
        </w:rPr>
        <w:t>Regional Director</w:t>
      </w:r>
      <w:r w:rsidR="00023089" w:rsidRPr="005A3BCB">
        <w:rPr>
          <w:spacing w:val="-2"/>
        </w:rPr>
        <w:t>, Northeast Region, Enforcement Bureau</w:t>
      </w:r>
      <w:r w:rsidRPr="0007571D">
        <w:rPr>
          <w:spacing w:val="-2"/>
        </w:rPr>
        <w:t>:</w:t>
      </w:r>
    </w:p>
    <w:p w:rsidR="00E273E3" w:rsidRPr="00344C0B" w:rsidRDefault="00E273E3" w:rsidP="002659F3">
      <w:pPr>
        <w:rPr>
          <w:spacing w:val="-2"/>
        </w:rPr>
      </w:pPr>
    </w:p>
    <w:p w:rsidR="00E273E3" w:rsidRPr="00344C0B" w:rsidRDefault="00E273E3" w:rsidP="004755A2">
      <w:pPr>
        <w:pStyle w:val="Heading1"/>
      </w:pPr>
      <w:bookmarkStart w:id="1" w:name="_Toc379288998"/>
      <w:bookmarkStart w:id="2" w:name="_Toc379365499"/>
      <w:r w:rsidRPr="00344C0B">
        <w:t>INTRODUCTION</w:t>
      </w:r>
      <w:bookmarkEnd w:id="1"/>
      <w:bookmarkEnd w:id="2"/>
    </w:p>
    <w:p w:rsidR="009A73C4" w:rsidRDefault="00E273E3" w:rsidP="00971CD5">
      <w:pPr>
        <w:pStyle w:val="ParaNum"/>
      </w:pPr>
      <w:r w:rsidRPr="0007571D">
        <w:t xml:space="preserve"> </w:t>
      </w:r>
      <w:r w:rsidR="009A73C4" w:rsidRPr="009A73C4">
        <w:t>We impose a penalty of $7,000 against Sound Communications, LLC</w:t>
      </w:r>
      <w:r w:rsidR="009A73C4">
        <w:t xml:space="preserve"> </w:t>
      </w:r>
      <w:r w:rsidR="00147460">
        <w:t>(Sound Communications</w:t>
      </w:r>
      <w:r w:rsidR="00971CD5">
        <w:t xml:space="preserve">) for failing to enclose its </w:t>
      </w:r>
      <w:r w:rsidR="00147460">
        <w:t xml:space="preserve">antenna structure for </w:t>
      </w:r>
      <w:r w:rsidR="00971CD5">
        <w:t xml:space="preserve">AM </w:t>
      </w:r>
      <w:r w:rsidR="00147460">
        <w:t>Station WENY</w:t>
      </w:r>
      <w:r w:rsidR="009A73C4" w:rsidRPr="009A73C4">
        <w:t xml:space="preserve"> within an effective locked fence.</w:t>
      </w:r>
      <w:r w:rsidR="00DF7C28">
        <w:t xml:space="preserve">  The Commission’s fencing rules protect the public by limiting access to areas with a high potential for radio frequency exposure.  Sound Communications does not deny that </w:t>
      </w:r>
      <w:r w:rsidR="003D3D4B">
        <w:t>its antenna structure was not properly enclosed,</w:t>
      </w:r>
      <w:r w:rsidR="008C29A7">
        <w:t xml:space="preserve"> but argues that the proposed penalty must be cancelled because its vio</w:t>
      </w:r>
      <w:r w:rsidR="00215EE5">
        <w:t>lation was</w:t>
      </w:r>
      <w:r w:rsidR="008C29A7">
        <w:t xml:space="preserve"> neither willful nor repeated.  However, Sound Communications admits that </w:t>
      </w:r>
      <w:r w:rsidR="003D1963">
        <w:t xml:space="preserve">it </w:t>
      </w:r>
      <w:r w:rsidR="004A471C">
        <w:t xml:space="preserve">left its </w:t>
      </w:r>
      <w:r w:rsidR="00971CD5">
        <w:t xml:space="preserve">antenna structure </w:t>
      </w:r>
      <w:r w:rsidR="004A471C">
        <w:t>fencing gate unlocked and the gate remained unlocked for several days.</w:t>
      </w:r>
      <w:r w:rsidR="00971CD5">
        <w:t xml:space="preserve">  As a result, we </w:t>
      </w:r>
      <w:r w:rsidR="009A73C4" w:rsidRPr="009A73C4">
        <w:t xml:space="preserve">find no reason to cancel, withdraw, or reduce the proposed penalty, and we therefore assess the $7,000 forfeiture the </w:t>
      </w:r>
      <w:r w:rsidR="003D1963">
        <w:t xml:space="preserve">Enforcement </w:t>
      </w:r>
      <w:r w:rsidR="009A73C4" w:rsidRPr="009A73C4">
        <w:t>Bureau previously proposed.</w:t>
      </w:r>
    </w:p>
    <w:p w:rsidR="0085610B" w:rsidRDefault="0085610B" w:rsidP="004755A2">
      <w:pPr>
        <w:pStyle w:val="Heading1"/>
      </w:pPr>
      <w:r>
        <w:t>BACKGROUND</w:t>
      </w:r>
    </w:p>
    <w:p w:rsidR="00B86AE7" w:rsidRDefault="00971CD5" w:rsidP="00B86AE7">
      <w:pPr>
        <w:pStyle w:val="ParaNum"/>
      </w:pPr>
      <w:r>
        <w:t>O</w:t>
      </w:r>
      <w:r>
        <w:rPr>
          <w:spacing w:val="-2"/>
          <w:szCs w:val="22"/>
        </w:rPr>
        <w:t>n July 11, 2013, an agent from</w:t>
      </w:r>
      <w:r w:rsidR="005A0706">
        <w:rPr>
          <w:spacing w:val="-2"/>
          <w:szCs w:val="22"/>
        </w:rPr>
        <w:t xml:space="preserve"> the </w:t>
      </w:r>
      <w:r w:rsidR="000C3732" w:rsidRPr="0085610B">
        <w:rPr>
          <w:spacing w:val="-2"/>
          <w:szCs w:val="22"/>
        </w:rPr>
        <w:t xml:space="preserve">Philadelphia Office </w:t>
      </w:r>
      <w:r w:rsidR="005A0706">
        <w:rPr>
          <w:spacing w:val="-2"/>
          <w:szCs w:val="22"/>
        </w:rPr>
        <w:t xml:space="preserve">of the Enforcement Bureau (Bureau) </w:t>
      </w:r>
      <w:r>
        <w:rPr>
          <w:spacing w:val="-2"/>
          <w:szCs w:val="22"/>
        </w:rPr>
        <w:t xml:space="preserve">observed that the </w:t>
      </w:r>
      <w:r w:rsidR="0023263F">
        <w:t>padlock for the antenna fencing gate for AM Station WENY was unlocked, allowing unrestricted access to the antenna structure.</w:t>
      </w:r>
      <w:r w:rsidR="0023263F">
        <w:rPr>
          <w:rStyle w:val="FootnoteReference"/>
        </w:rPr>
        <w:footnoteReference w:id="2"/>
      </w:r>
      <w:r w:rsidR="00B86AE7">
        <w:t xml:space="preserve">  In response to a Notice of Violation,</w:t>
      </w:r>
      <w:r w:rsidR="00B86AE7">
        <w:rPr>
          <w:rStyle w:val="FootnoteReference"/>
        </w:rPr>
        <w:footnoteReference w:id="3"/>
      </w:r>
      <w:r w:rsidR="00334AEC">
        <w:t xml:space="preserve"> Sound Communications stated</w:t>
      </w:r>
      <w:r w:rsidR="00B86AE7">
        <w:t xml:space="preserve"> that its station engineer </w:t>
      </w:r>
      <w:r w:rsidR="00905C8D">
        <w:t xml:space="preserve">deliberately </w:t>
      </w:r>
      <w:r w:rsidR="00B86AE7">
        <w:t xml:space="preserve">left the </w:t>
      </w:r>
      <w:r w:rsidR="00844A42">
        <w:t xml:space="preserve">fencing </w:t>
      </w:r>
      <w:r w:rsidR="00B86AE7">
        <w:t xml:space="preserve">gate unlocked on July 5, 2013, to allow personnel from a tower repair company to access the site </w:t>
      </w:r>
      <w:r w:rsidR="00334AEC">
        <w:t xml:space="preserve">in order to finalize a </w:t>
      </w:r>
      <w:r w:rsidR="00B86AE7">
        <w:t>bid for a tower repair project.</w:t>
      </w:r>
      <w:r w:rsidR="00B86AE7">
        <w:rPr>
          <w:rStyle w:val="FootnoteReference"/>
        </w:rPr>
        <w:footnoteReference w:id="4"/>
      </w:r>
      <w:r>
        <w:t xml:space="preserve"> </w:t>
      </w:r>
    </w:p>
    <w:p w:rsidR="000B29ED" w:rsidRDefault="00E273E3" w:rsidP="005A0706">
      <w:pPr>
        <w:pStyle w:val="ParaNum"/>
        <w:widowControl/>
      </w:pPr>
      <w:r w:rsidRPr="0007571D">
        <w:t xml:space="preserve">On </w:t>
      </w:r>
      <w:r w:rsidR="001A16A9">
        <w:t>June 2, 2014</w:t>
      </w:r>
      <w:r w:rsidRPr="0007571D">
        <w:t xml:space="preserve">, the </w:t>
      </w:r>
      <w:r w:rsidR="004912E1">
        <w:t>Bureau</w:t>
      </w:r>
      <w:r w:rsidR="00CB6E37" w:rsidRPr="0007571D">
        <w:t xml:space="preserve"> </w:t>
      </w:r>
      <w:r w:rsidRPr="0007571D">
        <w:t xml:space="preserve">issued </w:t>
      </w:r>
      <w:r w:rsidR="00B86AE7">
        <w:t xml:space="preserve">the </w:t>
      </w:r>
      <w:r w:rsidRPr="00B86AE7">
        <w:rPr>
          <w:i/>
        </w:rPr>
        <w:t xml:space="preserve">NAL </w:t>
      </w:r>
      <w:r w:rsidR="00CB6E37" w:rsidRPr="0007571D">
        <w:t xml:space="preserve">proposing a </w:t>
      </w:r>
      <w:r w:rsidRPr="00344C0B">
        <w:t>$</w:t>
      </w:r>
      <w:r w:rsidR="004912E1">
        <w:t>7,000</w:t>
      </w:r>
      <w:r w:rsidRPr="0007571D">
        <w:t xml:space="preserve"> </w:t>
      </w:r>
      <w:r w:rsidR="00CB6E37" w:rsidRPr="00344C0B">
        <w:t xml:space="preserve">forfeiture </w:t>
      </w:r>
      <w:r w:rsidR="004912E1">
        <w:t xml:space="preserve">against Sound Communications </w:t>
      </w:r>
      <w:r w:rsidRPr="0007571D">
        <w:t xml:space="preserve">for </w:t>
      </w:r>
      <w:r w:rsidR="00B86AE7">
        <w:t>apparently</w:t>
      </w:r>
      <w:r w:rsidRPr="0007571D">
        <w:t xml:space="preserve"> willful</w:t>
      </w:r>
      <w:r w:rsidR="00B86AE7">
        <w:t>ly</w:t>
      </w:r>
      <w:r w:rsidRPr="0007571D">
        <w:t xml:space="preserve"> and</w:t>
      </w:r>
      <w:r w:rsidRPr="00344C0B">
        <w:t xml:space="preserve"> repeated</w:t>
      </w:r>
      <w:r w:rsidR="00B86AE7">
        <w:t xml:space="preserve">ly violating </w:t>
      </w:r>
      <w:r w:rsidR="004912E1" w:rsidRPr="00023089">
        <w:t xml:space="preserve">Section 73.49 of the </w:t>
      </w:r>
      <w:r w:rsidR="00844A42">
        <w:t>Commission’</w:t>
      </w:r>
      <w:r w:rsidR="004912E1" w:rsidRPr="00023089">
        <w:t xml:space="preserve">s rules (Rules) by failing </w:t>
      </w:r>
      <w:r w:rsidR="00334AEC">
        <w:t xml:space="preserve">to enclose </w:t>
      </w:r>
      <w:r w:rsidR="00844A42">
        <w:t>its antenna structure for AM Station WENY</w:t>
      </w:r>
      <w:r w:rsidR="00844A42" w:rsidRPr="009A73C4">
        <w:t xml:space="preserve"> within an effective locked fence</w:t>
      </w:r>
      <w:r w:rsidR="00844A42">
        <w:t xml:space="preserve"> or other enclosure</w:t>
      </w:r>
      <w:r w:rsidR="004912E1">
        <w:t>.</w:t>
      </w:r>
      <w:r w:rsidR="00844A42">
        <w:rPr>
          <w:rStyle w:val="FootnoteReference"/>
        </w:rPr>
        <w:footnoteReference w:id="5"/>
      </w:r>
      <w:r w:rsidR="00844A42">
        <w:t xml:space="preserve">  In its </w:t>
      </w:r>
      <w:r w:rsidR="00844A42">
        <w:rPr>
          <w:i/>
        </w:rPr>
        <w:t>NAL Response</w:t>
      </w:r>
      <w:r w:rsidR="00844A42">
        <w:t>, Sou</w:t>
      </w:r>
      <w:r w:rsidR="00334AEC">
        <w:t>nd Communications again admits</w:t>
      </w:r>
      <w:r w:rsidR="00844A42">
        <w:t xml:space="preserve"> that it left the </w:t>
      </w:r>
      <w:r w:rsidR="00844A42">
        <w:lastRenderedPageBreak/>
        <w:t xml:space="preserve">fencing gate unlocked on July 5, 2013 to permit a repair company to access the site and did not relock the gate until after </w:t>
      </w:r>
      <w:r w:rsidR="00334AEC">
        <w:t xml:space="preserve">being </w:t>
      </w:r>
      <w:r w:rsidR="005A0706">
        <w:t xml:space="preserve">contacted by a </w:t>
      </w:r>
      <w:r w:rsidR="00844A42">
        <w:t>Bureau agent on July 12, 2013.</w:t>
      </w:r>
      <w:r w:rsidR="00844A42">
        <w:rPr>
          <w:rStyle w:val="FootnoteReference"/>
        </w:rPr>
        <w:footnoteReference w:id="6"/>
      </w:r>
      <w:r w:rsidR="00844A42">
        <w:t xml:space="preserve">  However, Sound Communications argues that the </w:t>
      </w:r>
      <w:r w:rsidR="005A0706">
        <w:t>proposed forfeiture should be vacated because its failure to lock the gate was not “willful,” but rather the result of its “inadvertent error to have incorrectly assumed that the tower crew would lock the fence around the Tower following departure.”</w:t>
      </w:r>
      <w:r w:rsidR="005A0706">
        <w:rPr>
          <w:rStyle w:val="FootnoteReference"/>
        </w:rPr>
        <w:footnoteReference w:id="7"/>
      </w:r>
      <w:r w:rsidR="00334AEC">
        <w:t xml:space="preserve">  Sound Communications also</w:t>
      </w:r>
      <w:r w:rsidR="005A0706">
        <w:t xml:space="preserve"> argues that its failure to lock the fencing gate was not</w:t>
      </w:r>
      <w:r w:rsidR="00405D58">
        <w:t xml:space="preserve"> “repeated” </w:t>
      </w:r>
      <w:r w:rsidR="000C3732">
        <w:t xml:space="preserve">because </w:t>
      </w:r>
      <w:r w:rsidR="005A0706">
        <w:t>it took immediate action to lock the fencing gate after receiving notice from the Bureau agent on July 12, 2013</w:t>
      </w:r>
      <w:r w:rsidR="000F2C1F">
        <w:t>.</w:t>
      </w:r>
      <w:r w:rsidR="005A0706">
        <w:rPr>
          <w:rStyle w:val="FootnoteReference"/>
        </w:rPr>
        <w:footnoteReference w:id="8"/>
      </w:r>
      <w:r w:rsidR="000F2C1F">
        <w:t xml:space="preserve"> </w:t>
      </w:r>
    </w:p>
    <w:p w:rsidR="00E273E3" w:rsidRPr="00344C0B" w:rsidRDefault="00E273E3" w:rsidP="004755A2">
      <w:pPr>
        <w:pStyle w:val="Heading1"/>
      </w:pPr>
      <w:bookmarkStart w:id="3" w:name="_Toc379289000"/>
      <w:bookmarkStart w:id="4" w:name="_Toc379365501"/>
      <w:r w:rsidRPr="00344C0B">
        <w:t>DISCUSSION</w:t>
      </w:r>
      <w:bookmarkEnd w:id="3"/>
      <w:bookmarkEnd w:id="4"/>
    </w:p>
    <w:p w:rsidR="008E69B3" w:rsidRDefault="00B707A0" w:rsidP="008E69B3">
      <w:pPr>
        <w:pStyle w:val="ParaNum"/>
      </w:pPr>
      <w:r w:rsidRPr="00D80D7A">
        <w:t>The Bureau proposed a forfeiture in this case in accordanc</w:t>
      </w:r>
      <w:r w:rsidR="00334AEC">
        <w:t>e with Section 503(b) of the Communications Act of 1934, as amended (Act)</w:t>
      </w:r>
      <w:r w:rsidRPr="00D80D7A">
        <w:t>,</w:t>
      </w:r>
      <w:r w:rsidRPr="00D80D7A">
        <w:rPr>
          <w:rStyle w:val="FootnoteReference"/>
        </w:rPr>
        <w:footnoteReference w:id="9"/>
      </w:r>
      <w:r w:rsidRPr="00D80D7A">
        <w:t xml:space="preserve"> Section 1.80 of the Rules,</w:t>
      </w:r>
      <w:r w:rsidRPr="00D80D7A">
        <w:rPr>
          <w:vertAlign w:val="superscript"/>
        </w:rPr>
        <w:footnoteReference w:id="10"/>
      </w:r>
      <w:r w:rsidRPr="00D80D7A">
        <w:t xml:space="preserve"> and the Commission’s </w:t>
      </w:r>
      <w:r w:rsidRPr="00B707A0">
        <w:rPr>
          <w:i/>
        </w:rPr>
        <w:t xml:space="preserve">Forfeiture Policy </w:t>
      </w:r>
      <w:r w:rsidRPr="00B707A0">
        <w:rPr>
          <w:rFonts w:eastAsia="MS Mincho"/>
          <w:i/>
        </w:rPr>
        <w:t>Statement</w:t>
      </w:r>
      <w:r w:rsidRPr="00D80D7A">
        <w:t>.</w:t>
      </w:r>
      <w:r w:rsidRPr="00D80D7A">
        <w:rPr>
          <w:rStyle w:val="FootnoteReference"/>
        </w:rPr>
        <w:footnoteReference w:id="11"/>
      </w:r>
      <w:r w:rsidRPr="00D80D7A">
        <w:t xml:space="preserve">  When we assess forfeitures, Section 503(b)(2)(E) </w:t>
      </w:r>
      <w:r>
        <w:t xml:space="preserve">of the </w:t>
      </w:r>
      <w:r w:rsidR="00334AEC">
        <w:t>Act</w:t>
      </w:r>
      <w:r w:rsidR="00694A6E">
        <w:t xml:space="preserve"> </w:t>
      </w:r>
      <w:r w:rsidRPr="00D80D7A">
        <w:t>requires that we take into account the “nature, circumstances, extent, and gravity of the violation and, with respect to the violator, the degree of culpability, any history of prior offenses, ability to pay, and such other matters as justice may require.”</w:t>
      </w:r>
      <w:r w:rsidRPr="00D80D7A">
        <w:rPr>
          <w:vertAlign w:val="superscript"/>
        </w:rPr>
        <w:footnoteReference w:id="12"/>
      </w:r>
      <w:r w:rsidRPr="00D80D7A">
        <w:t xml:space="preserve">  As discussed below, we have fully considered </w:t>
      </w:r>
      <w:r>
        <w:t>Sound Communication</w:t>
      </w:r>
      <w:r w:rsidRPr="00D80D7A">
        <w:t xml:space="preserve">’s </w:t>
      </w:r>
      <w:r w:rsidRPr="00B707A0">
        <w:rPr>
          <w:i/>
        </w:rPr>
        <w:t>NAL Response</w:t>
      </w:r>
      <w:r w:rsidR="00334AEC">
        <w:t xml:space="preserve">, but </w:t>
      </w:r>
      <w:r w:rsidRPr="00D80D7A">
        <w:t>find none of its arguments persuasive.  We therefore affirm the $</w:t>
      </w:r>
      <w:r>
        <w:t>7</w:t>
      </w:r>
      <w:r w:rsidRPr="00D80D7A">
        <w:t xml:space="preserve">,000 forfeiture proposed in the </w:t>
      </w:r>
      <w:r w:rsidRPr="00B707A0">
        <w:rPr>
          <w:i/>
        </w:rPr>
        <w:t>NAL.</w:t>
      </w:r>
    </w:p>
    <w:p w:rsidR="008E69B3" w:rsidRDefault="00D162B4" w:rsidP="00905C8D">
      <w:pPr>
        <w:pStyle w:val="ParaNum"/>
        <w:widowControl/>
      </w:pPr>
      <w:r w:rsidRPr="008E69B3">
        <w:rPr>
          <w:rStyle w:val="apple-converted-space"/>
          <w:szCs w:val="22"/>
        </w:rPr>
        <w:t xml:space="preserve">We affirm the </w:t>
      </w:r>
      <w:r w:rsidRPr="008E69B3">
        <w:rPr>
          <w:rStyle w:val="apple-converted-space"/>
          <w:i/>
          <w:szCs w:val="22"/>
        </w:rPr>
        <w:t>NAL</w:t>
      </w:r>
      <w:r w:rsidRPr="008E69B3">
        <w:rPr>
          <w:rStyle w:val="apple-converted-space"/>
          <w:szCs w:val="22"/>
        </w:rPr>
        <w:t xml:space="preserve">’s finding that Sound Communications failure to </w:t>
      </w:r>
      <w:r w:rsidRPr="008E69B3">
        <w:rPr>
          <w:szCs w:val="22"/>
        </w:rPr>
        <w:t>enclose its antenna structure within an effective locked fence was willful.</w:t>
      </w:r>
      <w:r w:rsidRPr="00842C0A">
        <w:rPr>
          <w:rStyle w:val="FootnoteReference"/>
          <w:sz w:val="22"/>
          <w:szCs w:val="22"/>
        </w:rPr>
        <w:footnoteReference w:id="13"/>
      </w:r>
      <w:r w:rsidRPr="008E69B3">
        <w:rPr>
          <w:szCs w:val="22"/>
        </w:rPr>
        <w:t xml:space="preserve">  As Sound Communication’s acknowledges in its </w:t>
      </w:r>
      <w:r w:rsidRPr="008E69B3">
        <w:rPr>
          <w:i/>
          <w:szCs w:val="22"/>
        </w:rPr>
        <w:t>NAL Response</w:t>
      </w:r>
      <w:r w:rsidRPr="008E69B3">
        <w:rPr>
          <w:szCs w:val="22"/>
        </w:rPr>
        <w:t>,</w:t>
      </w:r>
      <w:r w:rsidRPr="008E69B3">
        <w:rPr>
          <w:i/>
          <w:szCs w:val="22"/>
        </w:rPr>
        <w:t xml:space="preserve"> </w:t>
      </w:r>
      <w:r w:rsidRPr="008E69B3">
        <w:rPr>
          <w:szCs w:val="22"/>
        </w:rPr>
        <w:t xml:space="preserve">the Act defines “willful” as the “conscious </w:t>
      </w:r>
      <w:r w:rsidR="00842C0A" w:rsidRPr="008E69B3">
        <w:rPr>
          <w:szCs w:val="22"/>
        </w:rPr>
        <w:t xml:space="preserve">and deliberate commission </w:t>
      </w:r>
      <w:r w:rsidRPr="008E69B3">
        <w:rPr>
          <w:szCs w:val="22"/>
        </w:rPr>
        <w:t>or omission of [any] act, irrespective of any intent to violate” the law.</w:t>
      </w:r>
      <w:r w:rsidRPr="00842C0A">
        <w:rPr>
          <w:rStyle w:val="FootnoteReference"/>
          <w:sz w:val="22"/>
          <w:szCs w:val="22"/>
        </w:rPr>
        <w:footnoteReference w:id="14"/>
      </w:r>
      <w:r w:rsidR="00842C0A" w:rsidRPr="008E69B3">
        <w:rPr>
          <w:szCs w:val="22"/>
        </w:rPr>
        <w:t xml:space="preserve">  Consequently, “[i]</w:t>
      </w:r>
      <w:r w:rsidR="00842C0A" w:rsidRPr="008E69B3">
        <w:rPr>
          <w:snapToGrid/>
          <w:kern w:val="0"/>
          <w:szCs w:val="22"/>
        </w:rPr>
        <w:t>t is not necessary that the violation be intentional.  All that is necessary is that the licensee knew it was doing the act in question.”</w:t>
      </w:r>
      <w:r w:rsidR="00842C0A" w:rsidRPr="00842C0A">
        <w:rPr>
          <w:rStyle w:val="FootnoteReference"/>
          <w:snapToGrid/>
          <w:kern w:val="0"/>
          <w:sz w:val="22"/>
          <w:szCs w:val="22"/>
        </w:rPr>
        <w:footnoteReference w:id="15"/>
      </w:r>
      <w:r w:rsidR="00E7660D" w:rsidRPr="008E69B3">
        <w:rPr>
          <w:snapToGrid/>
          <w:kern w:val="0"/>
          <w:szCs w:val="22"/>
        </w:rPr>
        <w:t xml:space="preserve">  Sound Communications does not dispute that it consciously and deliberately left its fencing gate unlocked </w:t>
      </w:r>
      <w:r w:rsidR="00E7660D" w:rsidRPr="008E69B3">
        <w:rPr>
          <w:snapToGrid/>
          <w:kern w:val="0"/>
          <w:szCs w:val="22"/>
        </w:rPr>
        <w:lastRenderedPageBreak/>
        <w:t>on July 5, 2013.</w:t>
      </w:r>
      <w:r w:rsidR="00E7660D">
        <w:rPr>
          <w:rStyle w:val="FootnoteReference"/>
          <w:snapToGrid/>
          <w:kern w:val="0"/>
          <w:szCs w:val="22"/>
        </w:rPr>
        <w:footnoteReference w:id="16"/>
      </w:r>
      <w:r w:rsidR="00905C8D">
        <w:rPr>
          <w:snapToGrid/>
          <w:kern w:val="0"/>
          <w:szCs w:val="22"/>
        </w:rPr>
        <w:t xml:space="preserve">  Such a f</w:t>
      </w:r>
      <w:r w:rsidR="00CC44D6" w:rsidRPr="008E69B3">
        <w:rPr>
          <w:snapToGrid/>
          <w:kern w:val="0"/>
          <w:szCs w:val="22"/>
        </w:rPr>
        <w:t xml:space="preserve">ailure to lock the fencing gate for an antenna structure violates Section </w:t>
      </w:r>
      <w:r w:rsidR="00CC44D6" w:rsidRPr="00023089">
        <w:t>73.49</w:t>
      </w:r>
      <w:r w:rsidR="00CC44D6">
        <w:t xml:space="preserve"> of the Rules.</w:t>
      </w:r>
      <w:r w:rsidR="00CC44D6">
        <w:rPr>
          <w:rStyle w:val="FootnoteReference"/>
        </w:rPr>
        <w:footnoteReference w:id="17"/>
      </w:r>
      <w:r w:rsidR="00CC44D6">
        <w:t xml:space="preserve">  </w:t>
      </w:r>
    </w:p>
    <w:p w:rsidR="0085610B" w:rsidRPr="008E69B3" w:rsidRDefault="007D1838" w:rsidP="008E69B3">
      <w:pPr>
        <w:pStyle w:val="ParaNum"/>
      </w:pPr>
      <w:r>
        <w:t xml:space="preserve">Although </w:t>
      </w:r>
      <w:r w:rsidR="00CC44D6">
        <w:t>Sound Communications states that the unlocked fence resulted from its “inadvertent error” in assuming that the repair crew would lock the fencing gate after completing its work,</w:t>
      </w:r>
      <w:r w:rsidR="00CC44D6">
        <w:rPr>
          <w:rStyle w:val="FootnoteReference"/>
        </w:rPr>
        <w:footnoteReference w:id="18"/>
      </w:r>
      <w:r>
        <w:t xml:space="preserve"> </w:t>
      </w:r>
      <w:r w:rsidR="004B4CC6">
        <w:t>we have repeatedly held that “[i]nadvertent mistakes are not mitigating circumstances that can serve to justify a forfeiture reduction.”</w:t>
      </w:r>
      <w:r w:rsidR="004B4CC6">
        <w:rPr>
          <w:rStyle w:val="FootnoteReference"/>
        </w:rPr>
        <w:footnoteReference w:id="19"/>
      </w:r>
      <w:r>
        <w:t xml:space="preserve">  The fact that Sound Commun</w:t>
      </w:r>
      <w:r w:rsidR="00671D28">
        <w:t xml:space="preserve">ication </w:t>
      </w:r>
      <w:r w:rsidR="00695FDF">
        <w:t>incorrectly concluded that the repair crew would lock the fencing gate does not absolve it</w:t>
      </w:r>
      <w:r w:rsidR="00905C8D">
        <w:t xml:space="preserve"> of liability for its</w:t>
      </w:r>
      <w:r w:rsidR="00215EE5">
        <w:t xml:space="preserve"> violation</w:t>
      </w:r>
      <w:r w:rsidR="00695FDF">
        <w:t>.</w:t>
      </w:r>
      <w:r w:rsidR="00695FDF">
        <w:rPr>
          <w:rStyle w:val="FootnoteReference"/>
        </w:rPr>
        <w:footnoteReference w:id="20"/>
      </w:r>
      <w:r w:rsidR="00905C8D">
        <w:t xml:space="preserve">  Similarly</w:t>
      </w:r>
      <w:r w:rsidR="00671D28">
        <w:t>, the fact that the fencing gate was left unlo</w:t>
      </w:r>
      <w:r w:rsidR="00905C8D">
        <w:t>cked by a third party does not diminish Sound Communications’s liability for the violation</w:t>
      </w:r>
      <w:r w:rsidR="00671D28">
        <w:t>.</w:t>
      </w:r>
      <w:r w:rsidR="00671D28">
        <w:rPr>
          <w:rStyle w:val="FootnoteReference"/>
        </w:rPr>
        <w:footnoteReference w:id="21"/>
      </w:r>
      <w:r w:rsidR="008616FD">
        <w:t xml:space="preserve">  </w:t>
      </w:r>
      <w:r w:rsidR="008616FD" w:rsidRPr="008E69B3">
        <w:rPr>
          <w:szCs w:val="22"/>
        </w:rPr>
        <w:t xml:space="preserve">Even in cases where </w:t>
      </w:r>
      <w:r w:rsidR="00215EE5">
        <w:rPr>
          <w:szCs w:val="22"/>
        </w:rPr>
        <w:t>an an</w:t>
      </w:r>
      <w:r w:rsidR="00215EE5" w:rsidRPr="008E69B3">
        <w:rPr>
          <w:szCs w:val="22"/>
        </w:rPr>
        <w:t>tenna</w:t>
      </w:r>
      <w:r w:rsidR="008616FD" w:rsidRPr="008E69B3">
        <w:rPr>
          <w:szCs w:val="22"/>
        </w:rPr>
        <w:t xml:space="preserve"> structure fencing </w:t>
      </w:r>
      <w:r w:rsidR="00215EE5">
        <w:rPr>
          <w:szCs w:val="22"/>
        </w:rPr>
        <w:t>violation</w:t>
      </w:r>
      <w:r w:rsidR="008616FD" w:rsidRPr="008E69B3">
        <w:rPr>
          <w:szCs w:val="22"/>
        </w:rPr>
        <w:t xml:space="preserve"> resulted from extreme weather and other “acts of God” outside </w:t>
      </w:r>
      <w:r w:rsidR="00905C8D">
        <w:rPr>
          <w:szCs w:val="22"/>
        </w:rPr>
        <w:t xml:space="preserve">of </w:t>
      </w:r>
      <w:r w:rsidR="008616FD" w:rsidRPr="008E69B3">
        <w:rPr>
          <w:szCs w:val="22"/>
        </w:rPr>
        <w:t xml:space="preserve">the </w:t>
      </w:r>
      <w:r w:rsidR="00905C8D">
        <w:rPr>
          <w:szCs w:val="22"/>
        </w:rPr>
        <w:t xml:space="preserve">tower </w:t>
      </w:r>
      <w:r w:rsidR="008616FD" w:rsidRPr="008E69B3">
        <w:rPr>
          <w:szCs w:val="22"/>
        </w:rPr>
        <w:t>owner’s co</w:t>
      </w:r>
      <w:r w:rsidR="00905C8D">
        <w:rPr>
          <w:szCs w:val="22"/>
        </w:rPr>
        <w:t>ntrol, we have still assessed penalties</w:t>
      </w:r>
      <w:r w:rsidR="008616FD" w:rsidRPr="008E69B3">
        <w:rPr>
          <w:szCs w:val="22"/>
        </w:rPr>
        <w:t>.</w:t>
      </w:r>
      <w:r w:rsidR="008616FD">
        <w:rPr>
          <w:rStyle w:val="FootnoteReference"/>
          <w:szCs w:val="22"/>
        </w:rPr>
        <w:footnoteReference w:id="22"/>
      </w:r>
      <w:r w:rsidR="008616FD" w:rsidRPr="008E69B3">
        <w:rPr>
          <w:szCs w:val="22"/>
        </w:rPr>
        <w:t xml:space="preserve">  The Commission may cancel a proposed penalty shows that antenna fencing was </w:t>
      </w:r>
      <w:r w:rsidR="008E69B3" w:rsidRPr="008E69B3">
        <w:rPr>
          <w:szCs w:val="22"/>
        </w:rPr>
        <w:t xml:space="preserve">unlocked or </w:t>
      </w:r>
      <w:r w:rsidR="008616FD" w:rsidRPr="008E69B3">
        <w:rPr>
          <w:szCs w:val="22"/>
        </w:rPr>
        <w:t xml:space="preserve">damaged </w:t>
      </w:r>
      <w:r w:rsidR="008E69B3">
        <w:rPr>
          <w:szCs w:val="22"/>
        </w:rPr>
        <w:t>“</w:t>
      </w:r>
      <w:r w:rsidR="008616FD" w:rsidRPr="008E69B3">
        <w:rPr>
          <w:szCs w:val="22"/>
        </w:rPr>
        <w:t>just prior</w:t>
      </w:r>
      <w:r w:rsidR="008E69B3">
        <w:rPr>
          <w:szCs w:val="22"/>
        </w:rPr>
        <w:t>”</w:t>
      </w:r>
      <w:r w:rsidR="008616FD" w:rsidRPr="008E69B3">
        <w:rPr>
          <w:szCs w:val="22"/>
        </w:rPr>
        <w:t xml:space="preserve"> to the Commission</w:t>
      </w:r>
      <w:r w:rsidR="008E69B3" w:rsidRPr="008E69B3">
        <w:rPr>
          <w:szCs w:val="22"/>
        </w:rPr>
        <w:t xml:space="preserve"> inspection, </w:t>
      </w:r>
      <w:r w:rsidR="004D2E89">
        <w:rPr>
          <w:szCs w:val="22"/>
        </w:rPr>
        <w:t xml:space="preserve">but </w:t>
      </w:r>
      <w:r w:rsidR="008E69B3" w:rsidRPr="008E69B3">
        <w:rPr>
          <w:szCs w:val="22"/>
        </w:rPr>
        <w:t>Sound Communications concedes that it left the fence unlocked and did not check to see if the gate was relocked following the repair crew’s visit</w:t>
      </w:r>
      <w:r w:rsidR="004D2E89">
        <w:rPr>
          <w:szCs w:val="22"/>
        </w:rPr>
        <w:t xml:space="preserve"> for approximately a week</w:t>
      </w:r>
      <w:r w:rsidR="0082121C" w:rsidRPr="008E69B3">
        <w:rPr>
          <w:szCs w:val="22"/>
        </w:rPr>
        <w:t>.</w:t>
      </w:r>
      <w:r w:rsidR="0082121C">
        <w:rPr>
          <w:rStyle w:val="FootnoteReference"/>
          <w:szCs w:val="22"/>
        </w:rPr>
        <w:footnoteReference w:id="23"/>
      </w:r>
      <w:r w:rsidR="0082121C" w:rsidRPr="008E69B3">
        <w:rPr>
          <w:szCs w:val="22"/>
        </w:rPr>
        <w:t xml:space="preserve"> </w:t>
      </w:r>
    </w:p>
    <w:p w:rsidR="008E69B3" w:rsidRDefault="00025B57" w:rsidP="00694A6E">
      <w:pPr>
        <w:pStyle w:val="ParaNum"/>
      </w:pPr>
      <w:r>
        <w:t>Even if we were to accept Sound Communication’s arg</w:t>
      </w:r>
      <w:r w:rsidR="008E69B3">
        <w:t>ument that its conduct was not willful, it was nevertheless repeated, which provides an independent basis for assessing the forfeiture.</w:t>
      </w:r>
      <w:r w:rsidR="008E69B3">
        <w:rPr>
          <w:rStyle w:val="FootnoteReference"/>
        </w:rPr>
        <w:footnoteReference w:id="24"/>
      </w:r>
      <w:r w:rsidR="00215EE5">
        <w:t xml:space="preserve">  The Act defines the term “repeated” as the commission or omission an act “more than once or, if such commission or omission is continuous, for more than one day.”</w:t>
      </w:r>
      <w:r w:rsidR="00215EE5">
        <w:rPr>
          <w:rStyle w:val="FootnoteReference"/>
        </w:rPr>
        <w:footnoteReference w:id="25"/>
      </w:r>
      <w:r w:rsidR="00215EE5">
        <w:t xml:space="preserve"> </w:t>
      </w:r>
      <w:r w:rsidR="008E69B3">
        <w:t xml:space="preserve">  As Sound Communication’s recognizes in its </w:t>
      </w:r>
      <w:r w:rsidR="008E69B3">
        <w:rPr>
          <w:i/>
        </w:rPr>
        <w:t>NAL Response</w:t>
      </w:r>
      <w:r w:rsidR="008E69B3">
        <w:t xml:space="preserve">, </w:t>
      </w:r>
      <w:r w:rsidR="00E43F93">
        <w:t xml:space="preserve">it unlocked </w:t>
      </w:r>
      <w:r w:rsidR="008E69B3">
        <w:t xml:space="preserve">the fencing gate on July 5, 2013, and </w:t>
      </w:r>
      <w:r w:rsidR="00E43F93">
        <w:t xml:space="preserve">it </w:t>
      </w:r>
      <w:r w:rsidR="008E69B3">
        <w:t>remained unlocked until July 12, 2013.</w:t>
      </w:r>
      <w:r w:rsidR="008E69B3">
        <w:rPr>
          <w:rStyle w:val="FootnoteReference"/>
        </w:rPr>
        <w:footnoteReference w:id="26"/>
      </w:r>
      <w:r w:rsidR="00215EE5">
        <w:t xml:space="preserve">  </w:t>
      </w:r>
      <w:r w:rsidR="004D2E89">
        <w:t>A</w:t>
      </w:r>
      <w:r w:rsidR="009120F8">
        <w:t xml:space="preserve"> violator does not need to be aware of a violation in order to find the violation repeated.</w:t>
      </w:r>
      <w:r w:rsidR="009120F8">
        <w:rPr>
          <w:rStyle w:val="FootnoteReference"/>
        </w:rPr>
        <w:footnoteReference w:id="27"/>
      </w:r>
      <w:r w:rsidR="009120F8">
        <w:t xml:space="preserve">  To the extent Sound Communications is suggesting that it deserves a forfeiture reduction in light of its timely efforts to correct the violation, we note that t</w:t>
      </w:r>
      <w:r w:rsidR="009120F8" w:rsidRPr="00D80D7A">
        <w:t>he Commission will generally reduce an assessed forfeiture based on the good faith c</w:t>
      </w:r>
      <w:r w:rsidR="009120F8">
        <w:t>orrective efforts of a violator only</w:t>
      </w:r>
      <w:r w:rsidR="009120F8" w:rsidRPr="00D80D7A">
        <w:t xml:space="preserve"> </w:t>
      </w:r>
      <w:r w:rsidR="009120F8">
        <w:t xml:space="preserve">when </w:t>
      </w:r>
      <w:r w:rsidR="009120F8" w:rsidRPr="00D80D7A">
        <w:t xml:space="preserve">those corrective efforts </w:t>
      </w:r>
      <w:r w:rsidR="004D2E89">
        <w:t>are</w:t>
      </w:r>
      <w:r w:rsidR="009120F8">
        <w:t xml:space="preserve"> taken </w:t>
      </w:r>
      <w:r w:rsidR="009120F8" w:rsidRPr="00D80D7A">
        <w:rPr>
          <w:rStyle w:val="Emphasis"/>
        </w:rPr>
        <w:t>prior</w:t>
      </w:r>
      <w:r w:rsidR="009120F8" w:rsidRPr="00D80D7A">
        <w:rPr>
          <w:rStyle w:val="apple-converted-space"/>
        </w:rPr>
        <w:t> </w:t>
      </w:r>
      <w:r w:rsidR="009120F8" w:rsidRPr="00D80D7A">
        <w:t>to Commission notification of the violation.</w:t>
      </w:r>
      <w:r w:rsidR="009120F8" w:rsidRPr="00D80D7A">
        <w:rPr>
          <w:rStyle w:val="FootnoteReference"/>
        </w:rPr>
        <w:footnoteReference w:id="28"/>
      </w:r>
      <w:r w:rsidR="009120F8" w:rsidRPr="00D80D7A">
        <w:t xml:space="preserve">  The Commission has made it clear that “corrective action taken to come into compliance with Commission rules or policy is expected, and does not nullify or mitigate any prior forfeitures or violations.”</w:t>
      </w:r>
      <w:r w:rsidR="009120F8" w:rsidRPr="00D80D7A">
        <w:rPr>
          <w:rStyle w:val="FootnoteReference"/>
        </w:rPr>
        <w:footnoteReference w:id="29"/>
      </w:r>
      <w:r w:rsidR="004D2E89">
        <w:t xml:space="preserve">  As a result, </w:t>
      </w:r>
      <w:r w:rsidR="004D2E89">
        <w:rPr>
          <w:rStyle w:val="apple-converted-space"/>
          <w:szCs w:val="22"/>
        </w:rPr>
        <w:t>w</w:t>
      </w:r>
      <w:r w:rsidR="004D2E89" w:rsidRPr="008E69B3">
        <w:rPr>
          <w:rStyle w:val="apple-converted-space"/>
          <w:szCs w:val="22"/>
        </w:rPr>
        <w:t xml:space="preserve">e affirm the </w:t>
      </w:r>
      <w:r w:rsidR="004D2E89" w:rsidRPr="008E69B3">
        <w:rPr>
          <w:rStyle w:val="apple-converted-space"/>
          <w:i/>
          <w:szCs w:val="22"/>
        </w:rPr>
        <w:t>NAL</w:t>
      </w:r>
      <w:r w:rsidR="004D2E89" w:rsidRPr="008E69B3">
        <w:rPr>
          <w:rStyle w:val="apple-converted-space"/>
          <w:szCs w:val="22"/>
        </w:rPr>
        <w:t xml:space="preserve">’s finding that Sound Communications failure to </w:t>
      </w:r>
      <w:r w:rsidR="004D2E89" w:rsidRPr="008E69B3">
        <w:rPr>
          <w:szCs w:val="22"/>
        </w:rPr>
        <w:t>enclose its antenna structure within an ef</w:t>
      </w:r>
      <w:r w:rsidR="004D2E89">
        <w:rPr>
          <w:szCs w:val="22"/>
        </w:rPr>
        <w:t>fective locked fence was repeated.</w:t>
      </w:r>
      <w:r w:rsidR="004D2E89">
        <w:rPr>
          <w:rStyle w:val="FootnoteReference"/>
          <w:szCs w:val="22"/>
        </w:rPr>
        <w:footnoteReference w:id="30"/>
      </w:r>
    </w:p>
    <w:p w:rsidR="005B4CEA" w:rsidRPr="00A020A9" w:rsidRDefault="005B4CEA" w:rsidP="004755A2">
      <w:pPr>
        <w:pStyle w:val="ParaNum"/>
      </w:pPr>
      <w:r w:rsidRPr="00344C0B">
        <w:t>Based on the reco</w:t>
      </w:r>
      <w:r w:rsidR="00AD0E22">
        <w:t>rd before us and taking into account</w:t>
      </w:r>
      <w:r w:rsidRPr="00344C0B">
        <w:t xml:space="preserve"> applicable statutory factors</w:t>
      </w:r>
      <w:r w:rsidR="00694A6E">
        <w:t xml:space="preserve"> and the Commission’s </w:t>
      </w:r>
      <w:r w:rsidR="00694A6E">
        <w:rPr>
          <w:i/>
        </w:rPr>
        <w:t>Forfeiture Policy Statement</w:t>
      </w:r>
      <w:r w:rsidRPr="00344C0B">
        <w:t xml:space="preserve">, we </w:t>
      </w:r>
      <w:r w:rsidR="00694A6E">
        <w:t xml:space="preserve">find that Sound Communications is liable for a total forfeiture of </w:t>
      </w:r>
      <w:r w:rsidR="00C962DD">
        <w:t>$7,000</w:t>
      </w:r>
      <w:r w:rsidRPr="00A020A9">
        <w:t xml:space="preserve">.  </w:t>
      </w:r>
      <w:r w:rsidR="003343CA" w:rsidRPr="00A020A9">
        <w:t xml:space="preserve"> </w:t>
      </w:r>
    </w:p>
    <w:p w:rsidR="003343CA" w:rsidRPr="00344C0B" w:rsidRDefault="003343CA" w:rsidP="004755A2">
      <w:pPr>
        <w:pStyle w:val="Heading1"/>
      </w:pPr>
      <w:r w:rsidRPr="00344C0B">
        <w:t>ORDERING CLAUSES</w:t>
      </w:r>
    </w:p>
    <w:p w:rsidR="003343CA" w:rsidRPr="009A2403" w:rsidRDefault="003343CA" w:rsidP="004755A2">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31"/>
      </w:r>
      <w:r w:rsidRPr="0007571D">
        <w:t xml:space="preserve"> and Section 1.80 of the Rules,</w:t>
      </w:r>
      <w:r w:rsidRPr="0007571D">
        <w:rPr>
          <w:rStyle w:val="FootnoteReference"/>
        </w:rPr>
        <w:footnoteReference w:id="32"/>
      </w:r>
      <w:r w:rsidRPr="0007571D">
        <w:t xml:space="preserve"> </w:t>
      </w:r>
      <w:r w:rsidR="00C962DD">
        <w:t xml:space="preserve">Sound Communications </w:t>
      </w:r>
      <w:r w:rsidRPr="0007571D">
        <w:rPr>
          <w:b/>
        </w:rPr>
        <w:t>IS LIABLE FOR A MONETARY FORFEITURE</w:t>
      </w:r>
      <w:r w:rsidR="00C962DD">
        <w:t xml:space="preserve"> in the amount of seven thousand</w:t>
      </w:r>
      <w:r w:rsidRPr="0007571D">
        <w:t xml:space="preserve"> dollars ($</w:t>
      </w:r>
      <w:r w:rsidR="00C962DD">
        <w:t>7,000</w:t>
      </w:r>
      <w:r w:rsidRPr="0007571D">
        <w:t xml:space="preserve">) for willfully </w:t>
      </w:r>
      <w:r w:rsidR="00C962DD">
        <w:t xml:space="preserve">and repeatedly </w:t>
      </w:r>
      <w:r w:rsidR="00694A6E">
        <w:t>violating Section</w:t>
      </w:r>
      <w:r w:rsidRPr="0007571D">
        <w:t xml:space="preserve"> </w:t>
      </w:r>
      <w:r w:rsidR="00C962DD" w:rsidRPr="00023089">
        <w:t xml:space="preserve">73.49 </w:t>
      </w:r>
      <w:r w:rsidRPr="0007571D">
        <w:t>of the R</w:t>
      </w:r>
      <w:r w:rsidRPr="009A2403">
        <w:t>ules.</w:t>
      </w:r>
      <w:r w:rsidR="00694A6E">
        <w:rPr>
          <w:rStyle w:val="FootnoteReference"/>
        </w:rPr>
        <w:footnoteReference w:id="33"/>
      </w:r>
    </w:p>
    <w:p w:rsidR="003343CA" w:rsidRPr="00344C0B" w:rsidRDefault="003343CA" w:rsidP="004755A2">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34"/>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35"/>
      </w:r>
      <w:r w:rsidRPr="0007571D">
        <w:t xml:space="preserve">  </w:t>
      </w:r>
    </w:p>
    <w:p w:rsidR="003343CA" w:rsidRPr="00344C0B" w:rsidRDefault="00F23F1E" w:rsidP="004755A2">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00246E35">
        <w:rPr>
          <w:szCs w:val="22"/>
        </w:rPr>
        <w:t xml:space="preserve">. </w:t>
      </w:r>
      <w:r w:rsidR="00694A6E">
        <w:rPr>
          <w:szCs w:val="22"/>
        </w:rPr>
        <w:t xml:space="preserve"> </w:t>
      </w:r>
      <w:r w:rsidR="00E7391D">
        <w:rPr>
          <w:szCs w:val="22"/>
        </w:rPr>
        <w:t>Sound Communications, LLC,</w:t>
      </w:r>
      <w:r w:rsidRPr="006D73F2">
        <w:rPr>
          <w:szCs w:val="22"/>
        </w:rPr>
        <w:t xml:space="preserve"> shall send electronic notification </w:t>
      </w:r>
      <w:r>
        <w:rPr>
          <w:szCs w:val="22"/>
        </w:rPr>
        <w:t xml:space="preserve">of </w:t>
      </w:r>
      <w:r w:rsidR="00E077BE">
        <w:rPr>
          <w:szCs w:val="22"/>
        </w:rPr>
        <w:t>payment to NER-Response</w:t>
      </w:r>
      <w:r w:rsidRPr="006D73F2">
        <w:rPr>
          <w:szCs w:val="22"/>
        </w:rPr>
        <w:t>@fcc.gov 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36"/>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3343CA" w:rsidRPr="00344C0B" w:rsidRDefault="003343CA" w:rsidP="001D41D4">
      <w:pPr>
        <w:pStyle w:val="par1"/>
        <w:numPr>
          <w:ilvl w:val="0"/>
          <w:numId w:val="4"/>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3343CA" w:rsidRPr="00344C0B" w:rsidRDefault="003343CA" w:rsidP="001D41D4">
      <w:pPr>
        <w:pStyle w:val="par1"/>
        <w:numPr>
          <w:ilvl w:val="0"/>
          <w:numId w:val="4"/>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rsidR="003343CA" w:rsidRPr="00344C0B" w:rsidRDefault="003343CA" w:rsidP="001D41D4">
      <w:pPr>
        <w:pStyle w:val="par1"/>
        <w:widowControl/>
        <w:numPr>
          <w:ilvl w:val="0"/>
          <w:numId w:val="4"/>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816F70" w:rsidRDefault="00F23F1E" w:rsidP="00C9020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37"/>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rsidR="003343CA" w:rsidRDefault="003343CA" w:rsidP="00C90207">
      <w:pPr>
        <w:pStyle w:val="ParaNum"/>
      </w:pPr>
      <w:r w:rsidRPr="00344C0B">
        <w:rPr>
          <w:b/>
        </w:rPr>
        <w:t>IT IS FURTHER ORDERED</w:t>
      </w:r>
      <w:r w:rsidRPr="00344C0B">
        <w:t xml:space="preserve"> that a copy of this Forfeiture Order </w:t>
      </w:r>
      <w:r w:rsidR="00F23F1E" w:rsidRPr="004749BE">
        <w:t>shall be sent by first class mail and certified mail</w:t>
      </w:r>
      <w:r w:rsidR="00085024">
        <w:t xml:space="preserve">, return receipt requested, to </w:t>
      </w:r>
      <w:r w:rsidR="00085024" w:rsidRPr="005A3BCB">
        <w:rPr>
          <w:spacing w:val="-2"/>
          <w:szCs w:val="22"/>
        </w:rPr>
        <w:t xml:space="preserve">Sound </w:t>
      </w:r>
      <w:r w:rsidR="00085024">
        <w:rPr>
          <w:spacing w:val="-2"/>
          <w:szCs w:val="22"/>
        </w:rPr>
        <w:t>C</w:t>
      </w:r>
      <w:r w:rsidR="00085024" w:rsidRPr="005A3BCB">
        <w:rPr>
          <w:spacing w:val="-2"/>
          <w:szCs w:val="22"/>
        </w:rPr>
        <w:t>ommunications</w:t>
      </w:r>
      <w:r w:rsidR="00694A6E">
        <w:rPr>
          <w:spacing w:val="-2"/>
          <w:szCs w:val="22"/>
        </w:rPr>
        <w:t>,</w:t>
      </w:r>
      <w:r w:rsidR="00085024" w:rsidRPr="005A3BCB">
        <w:rPr>
          <w:spacing w:val="-2"/>
          <w:szCs w:val="22"/>
        </w:rPr>
        <w:t xml:space="preserve"> LLC at </w:t>
      </w:r>
      <w:r w:rsidR="00085024">
        <w:rPr>
          <w:spacing w:val="-2"/>
          <w:szCs w:val="22"/>
        </w:rPr>
        <w:t xml:space="preserve">15 Woodland Way, Painted Post, New York 14870 </w:t>
      </w:r>
      <w:r w:rsidR="00085024">
        <w:t xml:space="preserve">and to Mark B. Denbo, Esq., </w:t>
      </w:r>
      <w:r w:rsidR="00694A6E">
        <w:t xml:space="preserve">Counsel for Sound Communications, LLC, at </w:t>
      </w:r>
      <w:r w:rsidR="00085024">
        <w:t>Smithwick &amp; Belenduik, P.C., 5028 Wisconsin Avenue,</w:t>
      </w:r>
      <w:r w:rsidR="00694A6E">
        <w:t xml:space="preserve"> N.W., Suite 301, Washington, DC </w:t>
      </w:r>
      <w:r w:rsidR="00085024">
        <w:t xml:space="preserve">20016. </w:t>
      </w:r>
    </w:p>
    <w:p w:rsidR="00085024" w:rsidRPr="005A3BCB" w:rsidRDefault="00085024" w:rsidP="00085024">
      <w:pPr>
        <w:tabs>
          <w:tab w:val="left" w:pos="0"/>
          <w:tab w:val="num" w:pos="1440"/>
        </w:tabs>
        <w:suppressAutoHyphens/>
        <w:spacing w:line="240" w:lineRule="atLeast"/>
        <w:jc w:val="both"/>
        <w:rPr>
          <w:spacing w:val="-2"/>
        </w:rPr>
      </w:pPr>
    </w:p>
    <w:p w:rsidR="00085024" w:rsidRPr="005A3BCB" w:rsidRDefault="00085024" w:rsidP="00085024">
      <w:pPr>
        <w:tabs>
          <w:tab w:val="left" w:pos="0"/>
          <w:tab w:val="num" w:pos="1440"/>
        </w:tabs>
        <w:suppressAutoHyphens/>
        <w:spacing w:line="240" w:lineRule="atLeast"/>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t>FEDERAL COMMUNICATIONS COMMISSION</w:t>
      </w:r>
    </w:p>
    <w:p w:rsidR="00085024" w:rsidRPr="005A3BCB" w:rsidRDefault="00085024" w:rsidP="00085024">
      <w:pPr>
        <w:tabs>
          <w:tab w:val="left" w:pos="0"/>
          <w:tab w:val="num" w:pos="1440"/>
        </w:tabs>
        <w:suppressAutoHyphens/>
        <w:spacing w:line="240" w:lineRule="atLeast"/>
        <w:jc w:val="both"/>
        <w:rPr>
          <w:spacing w:val="-2"/>
        </w:rPr>
      </w:pPr>
    </w:p>
    <w:p w:rsidR="00085024" w:rsidRDefault="00085024" w:rsidP="00085024">
      <w:pPr>
        <w:tabs>
          <w:tab w:val="left" w:pos="0"/>
          <w:tab w:val="num" w:pos="1440"/>
        </w:tabs>
        <w:suppressAutoHyphens/>
        <w:spacing w:line="240" w:lineRule="atLeast"/>
        <w:jc w:val="both"/>
        <w:rPr>
          <w:spacing w:val="-2"/>
        </w:rPr>
      </w:pPr>
    </w:p>
    <w:p w:rsidR="00085024" w:rsidRPr="005A3BCB" w:rsidRDefault="00085024" w:rsidP="00085024">
      <w:pPr>
        <w:tabs>
          <w:tab w:val="left" w:pos="0"/>
          <w:tab w:val="num" w:pos="1440"/>
        </w:tabs>
        <w:suppressAutoHyphens/>
        <w:spacing w:line="240" w:lineRule="atLeast"/>
        <w:jc w:val="both"/>
        <w:rPr>
          <w:spacing w:val="-2"/>
        </w:rPr>
      </w:pPr>
    </w:p>
    <w:p w:rsidR="004755A2" w:rsidRDefault="00085024" w:rsidP="00085024">
      <w:pPr>
        <w:tabs>
          <w:tab w:val="left" w:pos="0"/>
          <w:tab w:val="num" w:pos="1440"/>
        </w:tabs>
        <w:suppressAutoHyphens/>
        <w:spacing w:line="240" w:lineRule="atLeast"/>
        <w:jc w:val="both"/>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r>
    </w:p>
    <w:p w:rsidR="00085024" w:rsidRDefault="004755A2" w:rsidP="004755A2">
      <w:pPr>
        <w:tabs>
          <w:tab w:val="left" w:pos="0"/>
          <w:tab w:val="num" w:pos="1440"/>
        </w:tabs>
        <w:suppressAutoHyphens/>
        <w:spacing w:line="240" w:lineRule="atLeast"/>
        <w:jc w:val="both"/>
        <w:rPr>
          <w:spacing w:val="-2"/>
        </w:rPr>
      </w:pPr>
      <w:r>
        <w:rPr>
          <w:spacing w:val="-2"/>
        </w:rPr>
        <w:tab/>
      </w:r>
      <w:r>
        <w:rPr>
          <w:spacing w:val="-2"/>
        </w:rPr>
        <w:tab/>
      </w:r>
      <w:r>
        <w:rPr>
          <w:spacing w:val="-2"/>
        </w:rPr>
        <w:tab/>
      </w:r>
      <w:r>
        <w:rPr>
          <w:spacing w:val="-2"/>
        </w:rPr>
        <w:tab/>
      </w:r>
      <w:r>
        <w:rPr>
          <w:spacing w:val="-2"/>
        </w:rPr>
        <w:tab/>
        <w:t>G. Michael Moffitt</w:t>
      </w:r>
    </w:p>
    <w:p w:rsidR="004755A2" w:rsidRPr="005A3BCB" w:rsidRDefault="004755A2" w:rsidP="004755A2">
      <w:pPr>
        <w:tabs>
          <w:tab w:val="left" w:pos="0"/>
          <w:tab w:val="num" w:pos="1440"/>
        </w:tabs>
        <w:suppressAutoHyphens/>
        <w:spacing w:line="240" w:lineRule="atLeast"/>
        <w:jc w:val="both"/>
        <w:rPr>
          <w:spacing w:val="-2"/>
        </w:rPr>
      </w:pPr>
      <w:r>
        <w:rPr>
          <w:spacing w:val="-2"/>
        </w:rPr>
        <w:tab/>
      </w:r>
      <w:r>
        <w:rPr>
          <w:spacing w:val="-2"/>
        </w:rPr>
        <w:tab/>
      </w:r>
      <w:r>
        <w:rPr>
          <w:spacing w:val="-2"/>
        </w:rPr>
        <w:tab/>
      </w:r>
      <w:r>
        <w:rPr>
          <w:spacing w:val="-2"/>
        </w:rPr>
        <w:tab/>
      </w:r>
      <w:r>
        <w:rPr>
          <w:spacing w:val="-2"/>
        </w:rPr>
        <w:tab/>
        <w:t>Regional Director</w:t>
      </w:r>
    </w:p>
    <w:p w:rsidR="00085024" w:rsidRPr="005A3BCB" w:rsidRDefault="00085024" w:rsidP="00085024">
      <w:pPr>
        <w:tabs>
          <w:tab w:val="left" w:pos="0"/>
          <w:tab w:val="num" w:pos="1440"/>
        </w:tabs>
        <w:suppressAutoHyphens/>
        <w:spacing w:line="240" w:lineRule="atLeast"/>
        <w:jc w:val="both"/>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t>Northeast Region</w:t>
      </w:r>
    </w:p>
    <w:p w:rsidR="00085024" w:rsidRPr="005A3BCB" w:rsidRDefault="00085024" w:rsidP="00085024">
      <w:pPr>
        <w:tabs>
          <w:tab w:val="left" w:pos="0"/>
          <w:tab w:val="num" w:pos="1440"/>
        </w:tabs>
        <w:suppressAutoHyphens/>
        <w:spacing w:line="240" w:lineRule="atLeast"/>
        <w:jc w:val="both"/>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t>Enforcement Bureau</w:t>
      </w:r>
    </w:p>
    <w:p w:rsidR="00E273E3" w:rsidRDefault="00E273E3" w:rsidP="00085024">
      <w:pPr>
        <w:pStyle w:val="ParaNum"/>
        <w:numPr>
          <w:ilvl w:val="0"/>
          <w:numId w:val="0"/>
        </w:numPr>
        <w:ind w:firstLine="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31" w:rsidRDefault="00756B31">
      <w:pPr>
        <w:spacing w:line="20" w:lineRule="exact"/>
      </w:pPr>
    </w:p>
  </w:endnote>
  <w:endnote w:type="continuationSeparator" w:id="0">
    <w:p w:rsidR="00756B31" w:rsidRDefault="00756B31">
      <w:r>
        <w:t xml:space="preserve"> </w:t>
      </w:r>
    </w:p>
  </w:endnote>
  <w:endnote w:type="continuationNotice" w:id="1">
    <w:p w:rsidR="00756B31" w:rsidRDefault="00756B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CD79E8">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4A" w:rsidRDefault="00B9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31" w:rsidRDefault="00756B31">
      <w:r>
        <w:separator/>
      </w:r>
    </w:p>
  </w:footnote>
  <w:footnote w:type="continuationSeparator" w:id="0">
    <w:p w:rsidR="00756B31" w:rsidRDefault="00756B31">
      <w:pPr>
        <w:rPr>
          <w:sz w:val="20"/>
        </w:rPr>
      </w:pPr>
      <w:r>
        <w:rPr>
          <w:sz w:val="20"/>
        </w:rPr>
        <w:t xml:space="preserve">(Continued from previous page)  </w:t>
      </w:r>
      <w:r>
        <w:rPr>
          <w:sz w:val="20"/>
        </w:rPr>
        <w:separator/>
      </w:r>
    </w:p>
  </w:footnote>
  <w:footnote w:type="continuationNotice" w:id="1">
    <w:p w:rsidR="00756B31" w:rsidRDefault="00756B31">
      <w:pPr>
        <w:rPr>
          <w:sz w:val="20"/>
        </w:rPr>
      </w:pPr>
      <w:r>
        <w:rPr>
          <w:sz w:val="20"/>
        </w:rPr>
        <w:t>(continued….)</w:t>
      </w:r>
    </w:p>
  </w:footnote>
  <w:footnote w:id="2">
    <w:p w:rsidR="0023263F" w:rsidRPr="00E355D6" w:rsidRDefault="0023263F" w:rsidP="00E355D6">
      <w:pPr>
        <w:pStyle w:val="FootnoteText"/>
      </w:pPr>
      <w:r w:rsidRPr="00E355D6">
        <w:rPr>
          <w:rStyle w:val="FootnoteReference"/>
        </w:rPr>
        <w:footnoteRef/>
      </w:r>
      <w:r w:rsidRPr="00E355D6">
        <w:t xml:space="preserve"> </w:t>
      </w:r>
      <w:r w:rsidRPr="00E355D6">
        <w:rPr>
          <w:i/>
        </w:rPr>
        <w:t>Sound Commc</w:t>
      </w:r>
      <w:r w:rsidR="00B86AE7" w:rsidRPr="00E355D6">
        <w:rPr>
          <w:i/>
        </w:rPr>
        <w:t>’ns, LLC</w:t>
      </w:r>
      <w:r w:rsidR="00B86AE7" w:rsidRPr="00E355D6">
        <w:t>, Notice of Apparent Liability for Forfeiture, 29 FCC Rcd 5840, 5840, para. 3 (Enf. Bur. 2014) (</w:t>
      </w:r>
      <w:r w:rsidR="00B86AE7" w:rsidRPr="00E355D6">
        <w:rPr>
          <w:i/>
        </w:rPr>
        <w:t>NAL</w:t>
      </w:r>
      <w:r w:rsidR="00B86AE7" w:rsidRPr="00E355D6">
        <w:t xml:space="preserve">).  </w:t>
      </w:r>
      <w:r w:rsidR="00334AEC">
        <w:t xml:space="preserve">In addition, there was no perimeter fence around the property where the antenna structure was located.  </w:t>
      </w:r>
      <w:r w:rsidR="00334AEC">
        <w:rPr>
          <w:i/>
        </w:rPr>
        <w:t xml:space="preserve">Id.  </w:t>
      </w:r>
      <w:r w:rsidR="00B86AE7" w:rsidRPr="00E355D6">
        <w:rPr>
          <w:iCs/>
          <w:color w:val="000000"/>
        </w:rPr>
        <w:t xml:space="preserve">The </w:t>
      </w:r>
      <w:r w:rsidR="00B86AE7" w:rsidRPr="00E355D6">
        <w:rPr>
          <w:i/>
          <w:iCs/>
          <w:color w:val="000000"/>
        </w:rPr>
        <w:t>NAL</w:t>
      </w:r>
      <w:r w:rsidR="00B86AE7" w:rsidRPr="00E355D6">
        <w:rPr>
          <w:iCs/>
          <w:color w:val="000000"/>
        </w:rPr>
        <w:t xml:space="preserve"> includes a more complete discussion of the facts and history of this case and is incorporated herein by reference.</w:t>
      </w:r>
      <w:r w:rsidR="00B86AE7" w:rsidRPr="00E355D6">
        <w:t xml:space="preserve">  </w:t>
      </w:r>
    </w:p>
  </w:footnote>
  <w:footnote w:id="3">
    <w:p w:rsidR="00B86AE7" w:rsidRPr="00E355D6" w:rsidRDefault="00B86AE7" w:rsidP="00E355D6">
      <w:pPr>
        <w:pStyle w:val="FootnoteText"/>
      </w:pPr>
      <w:r w:rsidRPr="00E355D6">
        <w:rPr>
          <w:rStyle w:val="FootnoteReference"/>
        </w:rPr>
        <w:footnoteRef/>
      </w:r>
      <w:r w:rsidRPr="00E355D6">
        <w:t xml:space="preserve"> </w:t>
      </w:r>
      <w:r w:rsidR="00334AEC">
        <w:rPr>
          <w:i/>
          <w:iCs/>
        </w:rPr>
        <w:t xml:space="preserve">See Sound </w:t>
      </w:r>
      <w:r w:rsidR="00334AEC" w:rsidRPr="00E355D6">
        <w:rPr>
          <w:i/>
        </w:rPr>
        <w:t>Commc’ns</w:t>
      </w:r>
      <w:r w:rsidRPr="00E355D6">
        <w:rPr>
          <w:i/>
          <w:iCs/>
        </w:rPr>
        <w:t>, LLC,</w:t>
      </w:r>
      <w:r w:rsidRPr="00E355D6">
        <w:t xml:space="preserve"> Notice of Violation, V201332400035 (July 30, 2013) (on file in EB-FIELDNER-13-00009899).</w:t>
      </w:r>
    </w:p>
  </w:footnote>
  <w:footnote w:id="4">
    <w:p w:rsidR="00B86AE7" w:rsidRPr="00E355D6" w:rsidRDefault="00B86AE7" w:rsidP="00E355D6">
      <w:pPr>
        <w:pStyle w:val="FootnoteText"/>
      </w:pPr>
      <w:r w:rsidRPr="00E355D6">
        <w:rPr>
          <w:rStyle w:val="FootnoteReference"/>
        </w:rPr>
        <w:footnoteRef/>
      </w:r>
      <w:r w:rsidRPr="00E355D6">
        <w:t xml:space="preserve"> </w:t>
      </w:r>
      <w:r w:rsidRPr="00E355D6">
        <w:rPr>
          <w:i/>
        </w:rPr>
        <w:t>NAL</w:t>
      </w:r>
      <w:r w:rsidRPr="00E355D6">
        <w:t>, 29 FCC Rcd</w:t>
      </w:r>
      <w:r w:rsidRPr="00E355D6">
        <w:rPr>
          <w:i/>
        </w:rPr>
        <w:t xml:space="preserve"> </w:t>
      </w:r>
      <w:r w:rsidRPr="00E355D6">
        <w:t>at 5841, para. 5 (citing Letter from Alisa R. Lahey, Drinker Biddle &amp; Reath LLP, Counsel for Sound Communications LLC, to Philadelphia Office, Northeast Re</w:t>
      </w:r>
      <w:r w:rsidR="00334AEC">
        <w:t>gion, Enforcement Bureau (Aug.</w:t>
      </w:r>
      <w:r w:rsidRPr="00E355D6">
        <w:t xml:space="preserve"> 16, 2013) (on file in EB-FIELDNER-13-00009899)).</w:t>
      </w:r>
    </w:p>
  </w:footnote>
  <w:footnote w:id="5">
    <w:p w:rsidR="00844A42" w:rsidRPr="00E355D6" w:rsidRDefault="00844A42" w:rsidP="00E355D6">
      <w:pPr>
        <w:pStyle w:val="FootnoteText"/>
      </w:pPr>
      <w:r w:rsidRPr="00E355D6">
        <w:rPr>
          <w:rStyle w:val="FootnoteReference"/>
        </w:rPr>
        <w:footnoteRef/>
      </w:r>
      <w:r w:rsidRPr="00E355D6">
        <w:t xml:space="preserve"> </w:t>
      </w:r>
      <w:r w:rsidRPr="00E355D6">
        <w:rPr>
          <w:i/>
        </w:rPr>
        <w:t xml:space="preserve">Id. </w:t>
      </w:r>
      <w:r w:rsidRPr="00E355D6">
        <w:t>at 5842, paras. 7–8; 47 C.F.R. § 73.49.</w:t>
      </w:r>
    </w:p>
  </w:footnote>
  <w:footnote w:id="6">
    <w:p w:rsidR="00844A42" w:rsidRPr="00E355D6" w:rsidRDefault="00844A42" w:rsidP="00E355D6">
      <w:pPr>
        <w:pStyle w:val="FootnoteText"/>
      </w:pPr>
      <w:r w:rsidRPr="00E355D6">
        <w:rPr>
          <w:rStyle w:val="FootnoteReference"/>
        </w:rPr>
        <w:footnoteRef/>
      </w:r>
      <w:r w:rsidRPr="00E355D6">
        <w:t xml:space="preserve"> Sound Communications, LLC, Response to Notice of Apparent Liability for Forfeiture at 1–2 (July 1, 2014) (on file in EB-FIELDNER-13-00009899) (</w:t>
      </w:r>
      <w:r w:rsidRPr="00E355D6">
        <w:rPr>
          <w:i/>
        </w:rPr>
        <w:t>NAL Response</w:t>
      </w:r>
      <w:r w:rsidRPr="00E355D6">
        <w:t xml:space="preserve">).    </w:t>
      </w:r>
    </w:p>
  </w:footnote>
  <w:footnote w:id="7">
    <w:p w:rsidR="005A0706" w:rsidRPr="00E355D6" w:rsidRDefault="005A0706" w:rsidP="00E355D6">
      <w:pPr>
        <w:pStyle w:val="FootnoteText"/>
      </w:pPr>
      <w:r w:rsidRPr="00E355D6">
        <w:rPr>
          <w:rStyle w:val="FootnoteReference"/>
        </w:rPr>
        <w:footnoteRef/>
      </w:r>
      <w:r w:rsidRPr="00E355D6">
        <w:t xml:space="preserve"> </w:t>
      </w:r>
      <w:r w:rsidRPr="00E355D6">
        <w:rPr>
          <w:i/>
        </w:rPr>
        <w:t>Id.</w:t>
      </w:r>
    </w:p>
  </w:footnote>
  <w:footnote w:id="8">
    <w:p w:rsidR="005A0706" w:rsidRPr="00E355D6" w:rsidRDefault="005A0706" w:rsidP="00E355D6">
      <w:pPr>
        <w:pStyle w:val="FootnoteText"/>
      </w:pPr>
      <w:r w:rsidRPr="00E355D6">
        <w:rPr>
          <w:rStyle w:val="FootnoteReference"/>
        </w:rPr>
        <w:footnoteRef/>
      </w:r>
      <w:r w:rsidRPr="00E355D6">
        <w:t xml:space="preserve"> </w:t>
      </w:r>
      <w:r w:rsidRPr="00E355D6">
        <w:rPr>
          <w:i/>
        </w:rPr>
        <w:t xml:space="preserve">Id. </w:t>
      </w:r>
      <w:r w:rsidRPr="00E355D6">
        <w:t>at 3.</w:t>
      </w:r>
    </w:p>
  </w:footnote>
  <w:footnote w:id="9">
    <w:p w:rsidR="00B707A0" w:rsidRPr="00E355D6" w:rsidRDefault="00B707A0" w:rsidP="00E355D6">
      <w:pPr>
        <w:pStyle w:val="FootnoteText"/>
      </w:pPr>
      <w:r w:rsidRPr="00E355D6">
        <w:rPr>
          <w:rStyle w:val="FootnoteReference"/>
        </w:rPr>
        <w:footnoteRef/>
      </w:r>
      <w:r w:rsidRPr="00E355D6">
        <w:t xml:space="preserve"> 47 U.S.C. § 503(b).</w:t>
      </w:r>
    </w:p>
  </w:footnote>
  <w:footnote w:id="10">
    <w:p w:rsidR="00B707A0" w:rsidRPr="00E355D6" w:rsidRDefault="00B707A0" w:rsidP="00E355D6">
      <w:pPr>
        <w:pStyle w:val="FootnoteText"/>
      </w:pPr>
      <w:r w:rsidRPr="00E355D6">
        <w:rPr>
          <w:rStyle w:val="FootnoteReference"/>
        </w:rPr>
        <w:footnoteRef/>
      </w:r>
      <w:r w:rsidRPr="00E355D6">
        <w:t xml:space="preserve"> 47 C.F.R. § 1.80.</w:t>
      </w:r>
    </w:p>
  </w:footnote>
  <w:footnote w:id="11">
    <w:p w:rsidR="00B707A0" w:rsidRPr="00E355D6" w:rsidRDefault="00B707A0" w:rsidP="00E355D6">
      <w:pPr>
        <w:pStyle w:val="FootnoteText"/>
      </w:pPr>
      <w:r w:rsidRPr="00E355D6">
        <w:rPr>
          <w:rStyle w:val="FootnoteReference"/>
        </w:rPr>
        <w:footnoteRef/>
      </w:r>
      <w:r w:rsidRPr="00E355D6">
        <w:rPr>
          <w:i/>
        </w:rPr>
        <w:t xml:space="preserve"> The Commission’s Forfeiture Policy Statement and Amendment of Section 1.80 of the Rules to Incorporate the Forfeiture Guidelines</w:t>
      </w:r>
      <w:r w:rsidRPr="00E355D6">
        <w:t>, Report and Order, 12 FCC Rcd 17087 (1997) (</w:t>
      </w:r>
      <w:r w:rsidRPr="00E355D6">
        <w:rPr>
          <w:i/>
        </w:rPr>
        <w:t>Forfeiture Policy Statement</w:t>
      </w:r>
      <w:r w:rsidRPr="00E355D6">
        <w:t xml:space="preserve">), </w:t>
      </w:r>
      <w:r w:rsidRPr="00E355D6">
        <w:rPr>
          <w:i/>
        </w:rPr>
        <w:t>recons. denied</w:t>
      </w:r>
      <w:r w:rsidRPr="00E355D6">
        <w:t xml:space="preserve">, Memorandum Opinion and Order, 15 FCC Rcd 303 (1999). </w:t>
      </w:r>
    </w:p>
  </w:footnote>
  <w:footnote w:id="12">
    <w:p w:rsidR="00B707A0" w:rsidRPr="00E355D6" w:rsidRDefault="00B707A0" w:rsidP="00E355D6">
      <w:pPr>
        <w:pStyle w:val="FootnoteText"/>
      </w:pPr>
      <w:r w:rsidRPr="00E355D6">
        <w:rPr>
          <w:rStyle w:val="FootnoteReference"/>
        </w:rPr>
        <w:footnoteRef/>
      </w:r>
      <w:r w:rsidRPr="00E355D6">
        <w:t xml:space="preserve"> 47 U.S.C. § 503(b)(2)(E).</w:t>
      </w:r>
    </w:p>
  </w:footnote>
  <w:footnote w:id="13">
    <w:p w:rsidR="00D162B4" w:rsidRPr="00E355D6" w:rsidRDefault="00D162B4" w:rsidP="00E355D6">
      <w:pPr>
        <w:pStyle w:val="FootnoteText"/>
      </w:pPr>
      <w:r w:rsidRPr="00E355D6">
        <w:rPr>
          <w:rStyle w:val="FootnoteReference"/>
        </w:rPr>
        <w:footnoteRef/>
      </w:r>
      <w:r w:rsidRPr="00E355D6">
        <w:t xml:space="preserve"> </w:t>
      </w:r>
      <w:r w:rsidRPr="00E355D6">
        <w:rPr>
          <w:i/>
        </w:rPr>
        <w:t>NAL</w:t>
      </w:r>
      <w:r w:rsidRPr="00E355D6">
        <w:t>, 29 FCC Rcd at 5842, para. 7.</w:t>
      </w:r>
    </w:p>
  </w:footnote>
  <w:footnote w:id="14">
    <w:p w:rsidR="00D162B4" w:rsidRPr="00E355D6" w:rsidRDefault="00D162B4" w:rsidP="00E355D6">
      <w:pPr>
        <w:pStyle w:val="FootnoteText"/>
      </w:pPr>
      <w:r w:rsidRPr="00E355D6">
        <w:rPr>
          <w:rStyle w:val="FootnoteReference"/>
        </w:rPr>
        <w:footnoteRef/>
      </w:r>
      <w:r w:rsidRPr="00E355D6">
        <w:t xml:space="preserve"> </w:t>
      </w:r>
      <w:r w:rsidRPr="00E355D6">
        <w:rPr>
          <w:i/>
        </w:rPr>
        <w:t xml:space="preserve">NAL Response </w:t>
      </w:r>
      <w:r w:rsidRPr="00E355D6">
        <w:t>at 2; 47 U.S.C. § 312(f)(1).</w:t>
      </w:r>
    </w:p>
  </w:footnote>
  <w:footnote w:id="15">
    <w:p w:rsidR="00842C0A" w:rsidRPr="00E355D6" w:rsidRDefault="00842C0A" w:rsidP="00E355D6">
      <w:pPr>
        <w:pStyle w:val="FootnoteText"/>
      </w:pPr>
      <w:r w:rsidRPr="00E355D6">
        <w:rPr>
          <w:rStyle w:val="FootnoteReference"/>
        </w:rPr>
        <w:footnoteRef/>
      </w:r>
      <w:r w:rsidRPr="00E355D6">
        <w:t xml:space="preserve"> </w:t>
      </w:r>
      <w:r w:rsidRPr="00E355D6">
        <w:rPr>
          <w:i/>
        </w:rPr>
        <w:t>PJB Commc’ns of Va., Inc.</w:t>
      </w:r>
      <w:r w:rsidRPr="00E355D6">
        <w:t xml:space="preserve">, Memorandum Opinion and Order, 7 FCC Rcd 2088, 2088, para. 5 (1992).  </w:t>
      </w:r>
      <w:r w:rsidRPr="00E355D6">
        <w:rPr>
          <w:i/>
        </w:rPr>
        <w:t>See, e.g.</w:t>
      </w:r>
      <w:r w:rsidR="007F34FF" w:rsidRPr="00E355D6">
        <w:t xml:space="preserve">, </w:t>
      </w:r>
      <w:r w:rsidR="007F34FF" w:rsidRPr="00E355D6">
        <w:rPr>
          <w:i/>
        </w:rPr>
        <w:t>Tidewater Commc’ns, LLC</w:t>
      </w:r>
      <w:r w:rsidR="007F34FF" w:rsidRPr="00E355D6">
        <w:t xml:space="preserve">, Order on Review, 25 FCC Rcd 1675, 1676, para. 5 </w:t>
      </w:r>
      <w:r w:rsidR="00905C8D">
        <w:t xml:space="preserve">(2010) </w:t>
      </w:r>
      <w:r w:rsidR="007F34FF" w:rsidRPr="00E355D6">
        <w:t xml:space="preserve">(“To be willful, the violator must consciously commit or omit certain actions and need not be aware that such actions violate the Rules.”); </w:t>
      </w:r>
      <w:r w:rsidR="007F34FF" w:rsidRPr="00E355D6">
        <w:rPr>
          <w:i/>
        </w:rPr>
        <w:t>Assist Wireless, LLC</w:t>
      </w:r>
      <w:r w:rsidR="007F34FF" w:rsidRPr="00E355D6">
        <w:t>, Forfeiture Order, DA 15-650, para. 7 (Enf. Bur. June 2, 2015) (“In the context of a forfeiture action, the term ‘willful’ means that the violator knew it was taking (or not taking) the action in question, irrespective of any intent to violate the law.  Thus, a willfulness determination does not require a finding that the rule violation was intentional.”);</w:t>
      </w:r>
      <w:r w:rsidR="007F34FF" w:rsidRPr="00E355D6">
        <w:rPr>
          <w:i/>
        </w:rPr>
        <w:t xml:space="preserve"> </w:t>
      </w:r>
      <w:r w:rsidR="00E7660D" w:rsidRPr="00E355D6">
        <w:rPr>
          <w:i/>
        </w:rPr>
        <w:t>Am. Samoa Telecomms. Auth.</w:t>
      </w:r>
      <w:r w:rsidR="00E7660D" w:rsidRPr="00E355D6">
        <w:t xml:space="preserve">, Forfeiture Order, 27 FCC Rcd 13174, 13180, para. 8 (Enf. Bur. 2012) (same); </w:t>
      </w:r>
      <w:r w:rsidR="007F34FF" w:rsidRPr="00E355D6">
        <w:rPr>
          <w:i/>
        </w:rPr>
        <w:t>Princess K Fishing Corp.</w:t>
      </w:r>
      <w:r w:rsidR="007F34FF" w:rsidRPr="00E355D6">
        <w:t>, Forfeiture Order, 24 FCC Rcd 2606, 2608–09, para. 9 (Enf. Bur. 2009)</w:t>
      </w:r>
      <w:r w:rsidR="00E7660D" w:rsidRPr="00E355D6">
        <w:t xml:space="preserve"> (finding licensee does not need to demonstrate a </w:t>
      </w:r>
      <w:r w:rsidR="00E7660D" w:rsidRPr="00E355D6">
        <w:rPr>
          <w:i/>
        </w:rPr>
        <w:t xml:space="preserve">mens rea </w:t>
      </w:r>
      <w:r w:rsidR="00E7660D" w:rsidRPr="00E355D6">
        <w:t>to commit a violation in order to find such violation willful).</w:t>
      </w:r>
    </w:p>
  </w:footnote>
  <w:footnote w:id="16">
    <w:p w:rsidR="00E7660D" w:rsidRPr="00E355D6" w:rsidRDefault="00E7660D" w:rsidP="00E355D6">
      <w:pPr>
        <w:pStyle w:val="FootnoteText"/>
      </w:pPr>
      <w:r w:rsidRPr="00E355D6">
        <w:rPr>
          <w:rStyle w:val="FootnoteReference"/>
        </w:rPr>
        <w:footnoteRef/>
      </w:r>
      <w:r w:rsidRPr="00E355D6">
        <w:t xml:space="preserve"> </w:t>
      </w:r>
      <w:r w:rsidRPr="00E355D6">
        <w:rPr>
          <w:i/>
        </w:rPr>
        <w:t xml:space="preserve">NAL Response </w:t>
      </w:r>
      <w:r w:rsidRPr="00E355D6">
        <w:t>at 1–2 (“On July 5, Station personnel left the padlocked gate around the Tower unlocked so as to allow the repair company</w:t>
      </w:r>
      <w:r w:rsidR="00CC44D6" w:rsidRPr="00E355D6">
        <w:t xml:space="preserve"> access to the site during their visit.”).</w:t>
      </w:r>
    </w:p>
  </w:footnote>
  <w:footnote w:id="17">
    <w:p w:rsidR="00CC44D6" w:rsidRPr="00E355D6" w:rsidRDefault="00CC44D6" w:rsidP="00E355D6">
      <w:pPr>
        <w:pStyle w:val="FootnoteText"/>
      </w:pPr>
      <w:r w:rsidRPr="00E355D6">
        <w:rPr>
          <w:rStyle w:val="FootnoteReference"/>
        </w:rPr>
        <w:footnoteRef/>
      </w:r>
      <w:r w:rsidRPr="00E355D6">
        <w:t xml:space="preserve"> </w:t>
      </w:r>
      <w:r w:rsidRPr="00E355D6">
        <w:rPr>
          <w:i/>
        </w:rPr>
        <w:t>E.g.</w:t>
      </w:r>
      <w:r w:rsidRPr="00E355D6">
        <w:t xml:space="preserve">, </w:t>
      </w:r>
      <w:r w:rsidRPr="00E355D6">
        <w:rPr>
          <w:i/>
        </w:rPr>
        <w:t>Equity Commc’ns LP</w:t>
      </w:r>
      <w:r w:rsidRPr="00E355D6">
        <w:t>, Forfeiture Order, 29 FCC Rcd 11124, 11126, para. 11 (Enf. Bur. 2014)</w:t>
      </w:r>
      <w:r w:rsidR="00905C8D">
        <w:t xml:space="preserve"> (imposing forfeiture where unlocked fencing gate allowed unrestricted access to antenna structure).</w:t>
      </w:r>
    </w:p>
  </w:footnote>
  <w:footnote w:id="18">
    <w:p w:rsidR="00CC44D6" w:rsidRPr="00E355D6" w:rsidRDefault="00CC44D6" w:rsidP="00E355D6">
      <w:pPr>
        <w:pStyle w:val="FootnoteText"/>
      </w:pPr>
      <w:r w:rsidRPr="00E355D6">
        <w:rPr>
          <w:rStyle w:val="FootnoteReference"/>
        </w:rPr>
        <w:footnoteRef/>
      </w:r>
      <w:r w:rsidRPr="00E355D6">
        <w:t xml:space="preserve"> </w:t>
      </w:r>
      <w:r w:rsidR="00905C8D" w:rsidRPr="00E355D6">
        <w:rPr>
          <w:i/>
        </w:rPr>
        <w:t xml:space="preserve">NAL Response </w:t>
      </w:r>
      <w:r w:rsidR="00905C8D" w:rsidRPr="00E355D6">
        <w:t>at 1–2</w:t>
      </w:r>
      <w:r w:rsidR="00905C8D">
        <w:t>.</w:t>
      </w:r>
    </w:p>
  </w:footnote>
  <w:footnote w:id="19">
    <w:p w:rsidR="004B4CC6" w:rsidRPr="00E355D6" w:rsidRDefault="004B4CC6" w:rsidP="00E355D6">
      <w:pPr>
        <w:spacing w:after="120"/>
        <w:rPr>
          <w:sz w:val="20"/>
        </w:rPr>
      </w:pPr>
      <w:r w:rsidRPr="00E355D6">
        <w:rPr>
          <w:rStyle w:val="FootnoteReference"/>
        </w:rPr>
        <w:footnoteRef/>
      </w:r>
      <w:r w:rsidRPr="00E355D6">
        <w:rPr>
          <w:sz w:val="20"/>
        </w:rPr>
        <w:t xml:space="preserve"> </w:t>
      </w:r>
      <w:r w:rsidRPr="00E355D6">
        <w:rPr>
          <w:i/>
          <w:sz w:val="20"/>
        </w:rPr>
        <w:t>W. Slope Commc’ns, LLC</w:t>
      </w:r>
      <w:r w:rsidRPr="00E355D6">
        <w:rPr>
          <w:sz w:val="20"/>
        </w:rPr>
        <w:t xml:space="preserve">, Forfeiture Order, 29 FCC Rcd 10470, 10471, para. 6 (Enf. Bur. 2014).  </w:t>
      </w:r>
      <w:r w:rsidRPr="00E355D6">
        <w:rPr>
          <w:i/>
          <w:sz w:val="20"/>
        </w:rPr>
        <w:t>See, e.g.</w:t>
      </w:r>
      <w:r w:rsidRPr="00E355D6">
        <w:rPr>
          <w:sz w:val="20"/>
        </w:rPr>
        <w:t xml:space="preserve">, </w:t>
      </w:r>
      <w:r w:rsidRPr="00E355D6">
        <w:rPr>
          <w:i/>
          <w:sz w:val="20"/>
        </w:rPr>
        <w:t>Steckline Commc’ns, Inc.</w:t>
      </w:r>
      <w:r w:rsidRPr="00E355D6">
        <w:rPr>
          <w:sz w:val="20"/>
        </w:rPr>
        <w:t>, Forfeiture Order, 29 FCC Rcd 1082, 1084, para. 5 (Enf. Bur. 2014) (“[I]nadvertent mistakes neither excuse a rule violation nor mitigate a forfeiture liability.”</w:t>
      </w:r>
      <w:r w:rsidR="00527191" w:rsidRPr="00E355D6">
        <w:rPr>
          <w:sz w:val="20"/>
        </w:rPr>
        <w:t xml:space="preserve">); </w:t>
      </w:r>
      <w:r w:rsidR="00527191" w:rsidRPr="00E355D6">
        <w:rPr>
          <w:i/>
          <w:sz w:val="20"/>
        </w:rPr>
        <w:t xml:space="preserve">Emigrant </w:t>
      </w:r>
      <w:r w:rsidR="00E355D6" w:rsidRPr="00E355D6">
        <w:rPr>
          <w:i/>
          <w:sz w:val="20"/>
        </w:rPr>
        <w:t>Storage LLC</w:t>
      </w:r>
      <w:r w:rsidR="00E355D6" w:rsidRPr="00E355D6">
        <w:rPr>
          <w:sz w:val="20"/>
        </w:rPr>
        <w:t>, Forfeiture Order, 27 FCC Rcd 8917, 8919, para. 6 (Enf. Bur. 2012) (“[I]</w:t>
      </w:r>
      <w:r w:rsidR="00E355D6" w:rsidRPr="00053892">
        <w:rPr>
          <w:sz w:val="20"/>
        </w:rPr>
        <w:t>t is well established that administrative oversight or inadvertence is not a mitigating factor</w:t>
      </w:r>
      <w:r w:rsidR="00E355D6" w:rsidRPr="00E355D6">
        <w:rPr>
          <w:sz w:val="20"/>
        </w:rPr>
        <w:t>.”).</w:t>
      </w:r>
      <w:r w:rsidR="00527191" w:rsidRPr="00E355D6">
        <w:rPr>
          <w:sz w:val="20"/>
        </w:rPr>
        <w:t xml:space="preserve"> </w:t>
      </w:r>
    </w:p>
  </w:footnote>
  <w:footnote w:id="20">
    <w:p w:rsidR="00695FDF" w:rsidRPr="00671D28" w:rsidRDefault="00695FDF">
      <w:pPr>
        <w:pStyle w:val="FootnoteText"/>
      </w:pPr>
      <w:r>
        <w:rPr>
          <w:rStyle w:val="FootnoteReference"/>
        </w:rPr>
        <w:footnoteRef/>
      </w:r>
      <w:r>
        <w:t xml:space="preserve"> </w:t>
      </w:r>
      <w:r w:rsidR="00671D28">
        <w:rPr>
          <w:i/>
        </w:rPr>
        <w:t>See Tidewater Commc’ns</w:t>
      </w:r>
      <w:r w:rsidR="00671D28">
        <w:t>, 25 FCC Rcd at 1676, para. 5 (finding fact that employee came to an incorrect conclusion regarding the lighting status of an antenna structure did not excuse the violation and that even a “mistake” can be willful if a party “consciously and deliberately made a determination” resulting in a violation).</w:t>
      </w:r>
    </w:p>
  </w:footnote>
  <w:footnote w:id="21">
    <w:p w:rsidR="00671D28" w:rsidRPr="00671D28" w:rsidRDefault="00671D28">
      <w:pPr>
        <w:pStyle w:val="FootnoteText"/>
      </w:pPr>
      <w:r>
        <w:rPr>
          <w:rStyle w:val="FootnoteReference"/>
        </w:rPr>
        <w:footnoteRef/>
      </w:r>
      <w:r>
        <w:t xml:space="preserve"> </w:t>
      </w:r>
      <w:r>
        <w:rPr>
          <w:i/>
        </w:rPr>
        <w:t>See Steckline Commc’ns</w:t>
      </w:r>
      <w:r>
        <w:t>, 29 FCC Rcd at 1084</w:t>
      </w:r>
      <w:r w:rsidR="008616FD">
        <w:t>, para. 5 (finding violations willful even in the event of third-party tampering with station equipment because the party continu</w:t>
      </w:r>
      <w:r w:rsidR="00905C8D">
        <w:t>ed to operate the station at variance from</w:t>
      </w:r>
      <w:r w:rsidR="008616FD">
        <w:t xml:space="preserve"> authorized parameters).</w:t>
      </w:r>
    </w:p>
  </w:footnote>
  <w:footnote w:id="22">
    <w:p w:rsidR="008616FD" w:rsidRPr="00E355D6" w:rsidRDefault="008616FD" w:rsidP="008616FD">
      <w:pPr>
        <w:pStyle w:val="FootnoteText"/>
      </w:pPr>
      <w:r w:rsidRPr="00E355D6">
        <w:rPr>
          <w:rStyle w:val="FootnoteReference"/>
        </w:rPr>
        <w:footnoteRef/>
      </w:r>
      <w:r w:rsidRPr="00E355D6">
        <w:t xml:space="preserve"> </w:t>
      </w:r>
      <w:r>
        <w:rPr>
          <w:rStyle w:val="Emphasis"/>
        </w:rPr>
        <w:t>See, e.g.</w:t>
      </w:r>
      <w:r>
        <w:rPr>
          <w:rStyle w:val="Emphasis"/>
          <w:i w:val="0"/>
        </w:rPr>
        <w:t>,</w:t>
      </w:r>
      <w:r w:rsidRPr="00E355D6">
        <w:rPr>
          <w:rStyle w:val="apple-converted-space"/>
          <w:i/>
          <w:iCs/>
        </w:rPr>
        <w:t> </w:t>
      </w:r>
      <w:r w:rsidR="00905C8D">
        <w:rPr>
          <w:rStyle w:val="Emphasis"/>
        </w:rPr>
        <w:t>Steckline Commc'ns, Inc.</w:t>
      </w:r>
      <w:r w:rsidR="00905C8D">
        <w:rPr>
          <w:rStyle w:val="Emphasis"/>
          <w:i w:val="0"/>
        </w:rPr>
        <w:t>,</w:t>
      </w:r>
      <w:r w:rsidRPr="00E355D6">
        <w:rPr>
          <w:rStyle w:val="Emphasis"/>
        </w:rPr>
        <w:t xml:space="preserve"> </w:t>
      </w:r>
      <w:r w:rsidRPr="00E355D6">
        <w:rPr>
          <w:rStyle w:val="Emphasis"/>
          <w:i w:val="0"/>
        </w:rPr>
        <w:t xml:space="preserve">Forfeiture Order, </w:t>
      </w:r>
      <w:r>
        <w:rPr>
          <w:rStyle w:val="Emphasis"/>
          <w:i w:val="0"/>
        </w:rPr>
        <w:t>29 FCC Rcd</w:t>
      </w:r>
      <w:r w:rsidRPr="00E355D6">
        <w:rPr>
          <w:rStyle w:val="Emphasis"/>
          <w:i w:val="0"/>
        </w:rPr>
        <w:t xml:space="preserve"> 11625</w:t>
      </w:r>
      <w:r>
        <w:rPr>
          <w:rStyle w:val="Emphasis"/>
          <w:i w:val="0"/>
        </w:rPr>
        <w:t>, 11626–27, para. 5.</w:t>
      </w:r>
      <w:r w:rsidRPr="00E355D6">
        <w:rPr>
          <w:rStyle w:val="Emphasis"/>
          <w:i w:val="0"/>
        </w:rPr>
        <w:t xml:space="preserve"> (Enf. Bur. 2014) (imposing $5,600 forfeiture for antenna structure fencing violations allegedly caused by “wind storms”</w:t>
      </w:r>
      <w:r w:rsidR="00E43F93">
        <w:rPr>
          <w:rStyle w:val="Emphasis"/>
          <w:i w:val="0"/>
        </w:rPr>
        <w:t>);</w:t>
      </w:r>
      <w:r w:rsidR="00905C8D">
        <w:rPr>
          <w:rStyle w:val="Emphasis"/>
        </w:rPr>
        <w:t xml:space="preserve"> Alaska Integrated Media, Inc.</w:t>
      </w:r>
      <w:r w:rsidR="00905C8D">
        <w:rPr>
          <w:rStyle w:val="Emphasis"/>
          <w:i w:val="0"/>
        </w:rPr>
        <w:t>,</w:t>
      </w:r>
      <w:r w:rsidRPr="00E355D6">
        <w:rPr>
          <w:rStyle w:val="Emphasis"/>
        </w:rPr>
        <w:t xml:space="preserve"> </w:t>
      </w:r>
      <w:r w:rsidR="00E43F93">
        <w:rPr>
          <w:rStyle w:val="Emphasis"/>
          <w:i w:val="0"/>
        </w:rPr>
        <w:t>Forfeiture Order, 29 FCC Rcd. 13578, 13579–80, para. 6 (Enf. Bur. 2014</w:t>
      </w:r>
      <w:r w:rsidRPr="00E355D6">
        <w:rPr>
          <w:rStyle w:val="Emphasis"/>
          <w:i w:val="0"/>
        </w:rPr>
        <w:t>) (imposing $5,600 forfeiture for antenna structure fencing violations allegedly caused by weather damage)</w:t>
      </w:r>
      <w:r w:rsidR="00E43F93">
        <w:rPr>
          <w:rStyle w:val="Emphasis"/>
          <w:i w:val="0"/>
        </w:rPr>
        <w:t xml:space="preserve">; </w:t>
      </w:r>
      <w:r w:rsidRPr="00E355D6">
        <w:rPr>
          <w:rStyle w:val="Emphasis"/>
        </w:rPr>
        <w:t>JMK Commc'ns, Inc.</w:t>
      </w:r>
      <w:r w:rsidRPr="00E355D6">
        <w:t>, Forfeiture Order, 28 FCC Rcd 6215</w:t>
      </w:r>
      <w:r>
        <w:t>, 6216–17, para. 6</w:t>
      </w:r>
      <w:r w:rsidRPr="00E355D6">
        <w:t xml:space="preserve"> (Enf. Bur. 2013) (imposing $7,000 forfeiture for antenna structure fencing violations that purportedly resulted from an “unforeseeable natural disaster” tha</w:t>
      </w:r>
      <w:r w:rsidR="00E43F93">
        <w:t>t caused “</w:t>
      </w:r>
      <w:r>
        <w:t>extensive flooding”)</w:t>
      </w:r>
      <w:r w:rsidRPr="00E355D6">
        <w:rPr>
          <w:rStyle w:val="Emphasis"/>
          <w:i w:val="0"/>
        </w:rPr>
        <w:t>;</w:t>
      </w:r>
      <w:r w:rsidRPr="00E355D6">
        <w:rPr>
          <w:rStyle w:val="Emphasis"/>
        </w:rPr>
        <w:t xml:space="preserve"> see also Catholic, Apostolic &amp;</w:t>
      </w:r>
      <w:r w:rsidRPr="00E355D6">
        <w:rPr>
          <w:rStyle w:val="apple-converted-space"/>
          <w:i/>
          <w:iCs/>
        </w:rPr>
        <w:t> </w:t>
      </w:r>
      <w:r w:rsidRPr="00E355D6">
        <w:rPr>
          <w:rStyle w:val="Emphasis"/>
        </w:rPr>
        <w:t>Roman Catholic Church in Puerto Rico</w:t>
      </w:r>
      <w:r w:rsidRPr="00E355D6">
        <w:t>, Notice of Apparent Liability for Forfeiture, 29 FCC Rcd 342</w:t>
      </w:r>
      <w:r>
        <w:t>, 343–44, para. 5</w:t>
      </w:r>
      <w:r w:rsidRPr="00E355D6">
        <w:t xml:space="preserve"> (Enf. Bur. 2014) (proposing $7,000 forfeiture for antenna structure fencing violations that purportedly resulted from “heavy storms”).</w:t>
      </w:r>
      <w:r>
        <w:t xml:space="preserve"> </w:t>
      </w:r>
      <w:r w:rsidRPr="00E355D6">
        <w:t xml:space="preserve"> </w:t>
      </w:r>
    </w:p>
  </w:footnote>
  <w:footnote w:id="23">
    <w:p w:rsidR="0082121C" w:rsidRPr="00E355D6" w:rsidRDefault="0082121C" w:rsidP="00E355D6">
      <w:pPr>
        <w:pStyle w:val="FootnoteText"/>
      </w:pPr>
      <w:r w:rsidRPr="00E355D6">
        <w:rPr>
          <w:rStyle w:val="FootnoteReference"/>
        </w:rPr>
        <w:footnoteRef/>
      </w:r>
      <w:r w:rsidRPr="00E355D6">
        <w:t xml:space="preserve"> </w:t>
      </w:r>
      <w:r w:rsidRPr="00E355D6">
        <w:rPr>
          <w:rStyle w:val="Emphasis"/>
        </w:rPr>
        <w:t>See, e.g.,</w:t>
      </w:r>
      <w:r w:rsidRPr="00E355D6">
        <w:rPr>
          <w:rStyle w:val="apple-converted-space"/>
          <w:i/>
          <w:iCs/>
        </w:rPr>
        <w:t> </w:t>
      </w:r>
      <w:r w:rsidRPr="00E355D6">
        <w:rPr>
          <w:rStyle w:val="Emphasis"/>
        </w:rPr>
        <w:t>Vernon Broad., Inc.</w:t>
      </w:r>
      <w:r w:rsidRPr="00E355D6">
        <w:t>, Memorandum Opinion and Order, 60 Rad. Reg. 2d 1275 (1986)</w:t>
      </w:r>
      <w:r w:rsidRPr="00E355D6">
        <w:rPr>
          <w:rStyle w:val="apple-converted-space"/>
        </w:rPr>
        <w:t> </w:t>
      </w:r>
      <w:r w:rsidRPr="00E355D6">
        <w:t xml:space="preserve">(cancelling a $1,000 AM tower fencing violation where the evidence indicated that the fencing was vandalized just prior to inspection). </w:t>
      </w:r>
    </w:p>
  </w:footnote>
  <w:footnote w:id="24">
    <w:p w:rsidR="008E69B3" w:rsidRDefault="008E69B3">
      <w:pPr>
        <w:pStyle w:val="FootnoteText"/>
      </w:pPr>
      <w:r>
        <w:rPr>
          <w:rStyle w:val="FootnoteReference"/>
        </w:rPr>
        <w:footnoteRef/>
      </w:r>
      <w:r>
        <w:t xml:space="preserve"> </w:t>
      </w:r>
      <w:r>
        <w:rPr>
          <w:i/>
        </w:rPr>
        <w:t>See Infinity Broad. Corp. of Fla.</w:t>
      </w:r>
      <w:r>
        <w:t>,</w:t>
      </w:r>
      <w:r>
        <w:rPr>
          <w:i/>
        </w:rPr>
        <w:t xml:space="preserve"> </w:t>
      </w:r>
      <w:r>
        <w:t xml:space="preserve">Order on Review, 24 FCC Rcd 4270, 4279, para. 25 (2009) (where there is no dispute that a licensee has repeatedly violated the Rules, the imposition of a forfeiture does not require a showing of willfulness).  </w:t>
      </w:r>
      <w:r>
        <w:rPr>
          <w:i/>
        </w:rPr>
        <w:t xml:space="preserve">See </w:t>
      </w:r>
      <w:r w:rsidRPr="00011503">
        <w:t>47 U.S.C. § 503(b)</w:t>
      </w:r>
      <w:r>
        <w:t xml:space="preserve"> (“Any person who is determined by the Commission . . . to have willfully </w:t>
      </w:r>
      <w:r>
        <w:rPr>
          <w:i/>
        </w:rPr>
        <w:t>or</w:t>
      </w:r>
      <w:r>
        <w:t xml:space="preserve"> </w:t>
      </w:r>
      <w:r w:rsidRPr="00F34010">
        <w:rPr>
          <w:i/>
        </w:rPr>
        <w:t>repeatedly</w:t>
      </w:r>
      <w:r>
        <w:t xml:space="preserve"> failed to comply . . . shall be liable to the United States for a forfeiture penalty.”) (emphasis added).</w:t>
      </w:r>
    </w:p>
  </w:footnote>
  <w:footnote w:id="25">
    <w:p w:rsidR="00215EE5" w:rsidRPr="00215EE5" w:rsidRDefault="00215EE5">
      <w:pPr>
        <w:pStyle w:val="FootnoteText"/>
      </w:pPr>
      <w:r>
        <w:rPr>
          <w:rStyle w:val="FootnoteReference"/>
        </w:rPr>
        <w:footnoteRef/>
      </w:r>
      <w:r>
        <w:t xml:space="preserve"> 47 U.S.C. § 312(f)(2). </w:t>
      </w:r>
      <w:r w:rsidR="004D2E89">
        <w:t xml:space="preserve"> </w:t>
      </w:r>
      <w:r>
        <w:rPr>
          <w:i/>
        </w:rPr>
        <w:t>See, e.g.,</w:t>
      </w:r>
      <w:r>
        <w:t xml:space="preserve"> </w:t>
      </w:r>
      <w:r>
        <w:rPr>
          <w:i/>
        </w:rPr>
        <w:t>Callais Cablevision, Inc.</w:t>
      </w:r>
      <w:r>
        <w:t>, Notice of Apparent Liability for Monetary Forfeiture, 16 FCC R</w:t>
      </w:r>
      <w:r w:rsidR="004D2E89">
        <w:t xml:space="preserve">cd 1359, 1362, para. 10 (2001) </w:t>
      </w:r>
      <w:r>
        <w:t xml:space="preserve">(proposing a forfeiture for, </w:t>
      </w:r>
      <w:r>
        <w:rPr>
          <w:i/>
        </w:rPr>
        <w:t>inter alia</w:t>
      </w:r>
      <w:r>
        <w:t>, a cable television operator’s repeated signal leakage).</w:t>
      </w:r>
    </w:p>
  </w:footnote>
  <w:footnote w:id="26">
    <w:p w:rsidR="008E69B3" w:rsidRPr="008E69B3" w:rsidRDefault="008E69B3">
      <w:pPr>
        <w:pStyle w:val="FootnoteText"/>
      </w:pPr>
      <w:r>
        <w:rPr>
          <w:rStyle w:val="FootnoteReference"/>
        </w:rPr>
        <w:footnoteRef/>
      </w:r>
      <w:r>
        <w:t xml:space="preserve"> </w:t>
      </w:r>
      <w:r>
        <w:rPr>
          <w:i/>
        </w:rPr>
        <w:t xml:space="preserve">NAL Response </w:t>
      </w:r>
      <w:r>
        <w:t>at 1–2.</w:t>
      </w:r>
    </w:p>
  </w:footnote>
  <w:footnote w:id="27">
    <w:p w:rsidR="009120F8" w:rsidRPr="009120F8" w:rsidRDefault="009120F8">
      <w:pPr>
        <w:pStyle w:val="FootnoteText"/>
      </w:pPr>
      <w:r>
        <w:rPr>
          <w:rStyle w:val="FootnoteReference"/>
        </w:rPr>
        <w:footnoteRef/>
      </w:r>
      <w:r>
        <w:t xml:space="preserve"> </w:t>
      </w:r>
      <w:r>
        <w:rPr>
          <w:i/>
        </w:rPr>
        <w:t>See, e.g.</w:t>
      </w:r>
      <w:r>
        <w:t xml:space="preserve">, </w:t>
      </w:r>
      <w:r w:rsidRPr="007E785D">
        <w:rPr>
          <w:i/>
        </w:rPr>
        <w:t>Catholic Radio Network of Loveland, Inc.</w:t>
      </w:r>
      <w:r w:rsidRPr="007E785D">
        <w:t>, Memorandum Opinion and Order, 30 FCC Rcd 988</w:t>
      </w:r>
      <w:r>
        <w:t>, 989, para. 4</w:t>
      </w:r>
      <w:r w:rsidRPr="007E785D">
        <w:t xml:space="preserve"> (Enf. Bur. 2015)</w:t>
      </w:r>
      <w:r>
        <w:t xml:space="preserve"> (finding violation repeated even when party was purportedly unaware of overpower </w:t>
      </w:r>
      <w:r w:rsidR="004D2E89">
        <w:t xml:space="preserve">station </w:t>
      </w:r>
      <w:r>
        <w:t>operation due to faulty equipment).</w:t>
      </w:r>
    </w:p>
  </w:footnote>
  <w:footnote w:id="28">
    <w:p w:rsidR="009120F8" w:rsidRPr="00430530" w:rsidRDefault="009120F8" w:rsidP="009120F8">
      <w:pPr>
        <w:pStyle w:val="FootnoteText"/>
      </w:pPr>
      <w:r w:rsidRPr="00430530">
        <w:rPr>
          <w:rStyle w:val="FootnoteReference"/>
        </w:rPr>
        <w:footnoteRef/>
      </w:r>
      <w:r w:rsidRPr="00430530">
        <w:t xml:space="preserve"> </w:t>
      </w:r>
      <w:r w:rsidR="004D2E89">
        <w:rPr>
          <w:rStyle w:val="Emphasis"/>
        </w:rPr>
        <w:t>See, e.g.</w:t>
      </w:r>
      <w:r w:rsidR="004D2E89">
        <w:rPr>
          <w:rStyle w:val="Emphasis"/>
          <w:i w:val="0"/>
        </w:rPr>
        <w:t>,</w:t>
      </w:r>
      <w:r w:rsidRPr="00430530">
        <w:rPr>
          <w:rStyle w:val="apple-converted-space"/>
        </w:rPr>
        <w:t> </w:t>
      </w:r>
      <w:r w:rsidRPr="00430530">
        <w:rPr>
          <w:rStyle w:val="Emphasis"/>
        </w:rPr>
        <w:t>Catholic Radio Network of Loveland, Inc.</w:t>
      </w:r>
      <w:r w:rsidRPr="00430530">
        <w:t>, Forfei</w:t>
      </w:r>
      <w:r>
        <w:t>ture Order, 29 FCC Rcd 121, 122–</w:t>
      </w:r>
      <w:r w:rsidRPr="00430530">
        <w:t>23, para. 5 (Enf. Bur. 2014)</w:t>
      </w:r>
      <w:r>
        <w:t xml:space="preserve"> (“The Commission will generally reduce an assessed forfeiture based on the good faith corrective efforts of a violator when those corrective efforts were taken </w:t>
      </w:r>
      <w:r>
        <w:rPr>
          <w:rStyle w:val="Emphasis"/>
        </w:rPr>
        <w:t>prior</w:t>
      </w:r>
      <w:r>
        <w:t xml:space="preserve"> to Commission notification of the violation.”) (emphasis in original)</w:t>
      </w:r>
      <w:r w:rsidRPr="00430530">
        <w:t>;</w:t>
      </w:r>
      <w:r w:rsidRPr="00430530">
        <w:rPr>
          <w:rStyle w:val="apple-converted-space"/>
        </w:rPr>
        <w:t> </w:t>
      </w:r>
      <w:r w:rsidRPr="00430530">
        <w:rPr>
          <w:rStyle w:val="Emphasis"/>
        </w:rPr>
        <w:t>Argos Net, Inc.</w:t>
      </w:r>
      <w:r w:rsidRPr="00430530">
        <w:t>, Forfeiture Order, 28 FCC Rcd 1126, 1127, para. 4 (Enf. Bur. 2013) (“[C]orrective action taken after notification or inspection by the Commission does</w:t>
      </w:r>
      <w:r>
        <w:t xml:space="preserve"> not mitigate the violation . . . .</w:t>
      </w:r>
      <w:r w:rsidRPr="00430530">
        <w:t>”).</w:t>
      </w:r>
    </w:p>
  </w:footnote>
  <w:footnote w:id="29">
    <w:p w:rsidR="009120F8" w:rsidRPr="00430530" w:rsidRDefault="009120F8" w:rsidP="009120F8">
      <w:pPr>
        <w:spacing w:after="120"/>
        <w:rPr>
          <w:sz w:val="20"/>
        </w:rPr>
      </w:pPr>
      <w:r w:rsidRPr="00430530">
        <w:rPr>
          <w:rStyle w:val="FootnoteReference"/>
        </w:rPr>
        <w:footnoteRef/>
      </w:r>
      <w:r w:rsidRPr="00430530">
        <w:t xml:space="preserve"> </w:t>
      </w:r>
      <w:r w:rsidRPr="00430530">
        <w:rPr>
          <w:rStyle w:val="Emphasis"/>
          <w:sz w:val="20"/>
        </w:rPr>
        <w:t>See, e.g.,</w:t>
      </w:r>
      <w:r w:rsidRPr="00430530">
        <w:rPr>
          <w:rStyle w:val="apple-converted-space"/>
          <w:sz w:val="20"/>
        </w:rPr>
        <w:t> </w:t>
      </w:r>
      <w:hyperlink r:id="rId1" w:history="1">
        <w:r w:rsidRPr="00430530">
          <w:rPr>
            <w:rStyle w:val="Emphasis"/>
            <w:sz w:val="20"/>
          </w:rPr>
          <w:t>Seawest Yacht Brokers</w:t>
        </w:r>
        <w:r w:rsidRPr="00430530">
          <w:rPr>
            <w:rStyle w:val="Hyperlink"/>
            <w:color w:val="auto"/>
            <w:sz w:val="20"/>
            <w:u w:val="none"/>
          </w:rPr>
          <w:t>, Notice of Forfeiture, 9 FCC Rcd 6099, 6099, para. 7 (1994)</w:t>
        </w:r>
      </w:hyperlink>
      <w:r w:rsidRPr="00430530">
        <w:rPr>
          <w:sz w:val="20"/>
        </w:rPr>
        <w:t>.</w:t>
      </w:r>
    </w:p>
  </w:footnote>
  <w:footnote w:id="30">
    <w:p w:rsidR="004D2E89" w:rsidRPr="004D2E89" w:rsidRDefault="004D2E89">
      <w:pPr>
        <w:pStyle w:val="FootnoteText"/>
      </w:pPr>
      <w:r>
        <w:rPr>
          <w:rStyle w:val="FootnoteReference"/>
        </w:rPr>
        <w:footnoteRef/>
      </w:r>
      <w:r>
        <w:t xml:space="preserve"> </w:t>
      </w:r>
      <w:r>
        <w:rPr>
          <w:i/>
        </w:rPr>
        <w:t>NAL</w:t>
      </w:r>
      <w:r>
        <w:t>, 29 FCC Rcd at 5842, para. 7.</w:t>
      </w:r>
    </w:p>
  </w:footnote>
  <w:footnote w:id="31">
    <w:p w:rsidR="003343CA" w:rsidRPr="00E355D6" w:rsidRDefault="003343CA" w:rsidP="00E355D6">
      <w:pPr>
        <w:pStyle w:val="FootnoteText"/>
      </w:pPr>
      <w:r w:rsidRPr="00E355D6">
        <w:rPr>
          <w:rStyle w:val="FootnoteReference"/>
        </w:rPr>
        <w:footnoteRef/>
      </w:r>
      <w:r w:rsidRPr="00E355D6">
        <w:t xml:space="preserve"> 47 U.S.C. § 503(b).</w:t>
      </w:r>
    </w:p>
  </w:footnote>
  <w:footnote w:id="32">
    <w:p w:rsidR="003343CA" w:rsidRPr="00E355D6" w:rsidRDefault="003343CA" w:rsidP="00E355D6">
      <w:pPr>
        <w:pStyle w:val="FootnoteText"/>
      </w:pPr>
      <w:r w:rsidRPr="00E355D6">
        <w:rPr>
          <w:rStyle w:val="FootnoteReference"/>
        </w:rPr>
        <w:footnoteRef/>
      </w:r>
      <w:r w:rsidRPr="00E355D6">
        <w:t xml:space="preserve"> 47 C.F.R. § 1.80.</w:t>
      </w:r>
    </w:p>
  </w:footnote>
  <w:footnote w:id="33">
    <w:p w:rsidR="00694A6E" w:rsidRDefault="00694A6E">
      <w:pPr>
        <w:pStyle w:val="FootnoteText"/>
      </w:pPr>
      <w:r>
        <w:rPr>
          <w:rStyle w:val="FootnoteReference"/>
        </w:rPr>
        <w:footnoteRef/>
      </w:r>
      <w:r>
        <w:t xml:space="preserve"> 47 C.F.R. § 73.49.</w:t>
      </w:r>
    </w:p>
  </w:footnote>
  <w:footnote w:id="34">
    <w:p w:rsidR="003343CA" w:rsidRPr="00E355D6" w:rsidRDefault="003343CA" w:rsidP="00E355D6">
      <w:pPr>
        <w:pStyle w:val="FootnoteText"/>
      </w:pPr>
      <w:r w:rsidRPr="00E355D6">
        <w:rPr>
          <w:rStyle w:val="FootnoteReference"/>
        </w:rPr>
        <w:footnoteRef/>
      </w:r>
      <w:r w:rsidRPr="00E355D6">
        <w:t xml:space="preserve"> </w:t>
      </w:r>
      <w:r w:rsidR="00694A6E" w:rsidRPr="00E355D6">
        <w:t>47 C.F.R. § 1.80.</w:t>
      </w:r>
    </w:p>
  </w:footnote>
  <w:footnote w:id="35">
    <w:p w:rsidR="003343CA" w:rsidRPr="00E355D6" w:rsidRDefault="003343CA" w:rsidP="00E355D6">
      <w:pPr>
        <w:pStyle w:val="FootnoteText"/>
      </w:pPr>
      <w:r w:rsidRPr="00E355D6">
        <w:rPr>
          <w:rStyle w:val="FootnoteReference"/>
        </w:rPr>
        <w:footnoteRef/>
      </w:r>
      <w:r w:rsidRPr="00E355D6">
        <w:t xml:space="preserve"> 47 U.S.C. § 504(a).</w:t>
      </w:r>
    </w:p>
  </w:footnote>
  <w:footnote w:id="36">
    <w:p w:rsidR="003343CA" w:rsidRPr="00E355D6" w:rsidRDefault="003343CA" w:rsidP="00E355D6">
      <w:pPr>
        <w:pStyle w:val="FootnoteText"/>
      </w:pPr>
      <w:r w:rsidRPr="00E355D6">
        <w:rPr>
          <w:rStyle w:val="FootnoteReference"/>
        </w:rPr>
        <w:footnoteRef/>
      </w:r>
      <w:r w:rsidRPr="00E355D6">
        <w:t xml:space="preserve"> </w:t>
      </w:r>
      <w:r w:rsidRPr="00E355D6">
        <w:rPr>
          <w:rStyle w:val="FootnoteTextChar2"/>
        </w:rPr>
        <w:t xml:space="preserve">An FCC Form 159 and detailed instructions for completing the form may be obtained at </w:t>
      </w:r>
      <w:r w:rsidRPr="00E355D6">
        <w:t>http://www.fcc.gov/Forms/Form159/159.pdf</w:t>
      </w:r>
      <w:r w:rsidRPr="00E355D6">
        <w:rPr>
          <w:rStyle w:val="FootnoteTextChar2"/>
        </w:rPr>
        <w:t>.</w:t>
      </w:r>
    </w:p>
  </w:footnote>
  <w:footnote w:id="37">
    <w:p w:rsidR="00F23F1E" w:rsidRPr="00E355D6" w:rsidRDefault="00F23F1E" w:rsidP="00E355D6">
      <w:pPr>
        <w:pStyle w:val="FootnoteText"/>
      </w:pPr>
      <w:r w:rsidRPr="00E355D6">
        <w:rPr>
          <w:rStyle w:val="FootnoteReference"/>
        </w:rPr>
        <w:footnoteRef/>
      </w:r>
      <w:r w:rsidRPr="00E355D6">
        <w:t xml:space="preserve"> </w:t>
      </w:r>
      <w:r w:rsidRPr="00E355D6">
        <w:rPr>
          <w:i/>
        </w:rPr>
        <w:t>See</w:t>
      </w:r>
      <w:r w:rsidRPr="00E355D6">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4A" w:rsidRDefault="00B96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222B7635" wp14:editId="7862872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3D1963">
      <w:t>DA 15-697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3D1963">
      <w:t>DA 15-697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2"/>
  </w:num>
  <w:num w:numId="6">
    <w:abstractNumId w:val="5"/>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3089"/>
    <w:rsid w:val="00025B57"/>
    <w:rsid w:val="000264B4"/>
    <w:rsid w:val="00031AE8"/>
    <w:rsid w:val="00036D58"/>
    <w:rsid w:val="00042282"/>
    <w:rsid w:val="00043C9B"/>
    <w:rsid w:val="00046801"/>
    <w:rsid w:val="000604EB"/>
    <w:rsid w:val="00062C44"/>
    <w:rsid w:val="000649FE"/>
    <w:rsid w:val="00071E3F"/>
    <w:rsid w:val="00072D7D"/>
    <w:rsid w:val="00074717"/>
    <w:rsid w:val="0007571D"/>
    <w:rsid w:val="00080535"/>
    <w:rsid w:val="00085024"/>
    <w:rsid w:val="000853AD"/>
    <w:rsid w:val="00086824"/>
    <w:rsid w:val="00091AE4"/>
    <w:rsid w:val="00092506"/>
    <w:rsid w:val="000962DF"/>
    <w:rsid w:val="00097F82"/>
    <w:rsid w:val="000A3E68"/>
    <w:rsid w:val="000A4776"/>
    <w:rsid w:val="000B14C3"/>
    <w:rsid w:val="000B1C2B"/>
    <w:rsid w:val="000B29ED"/>
    <w:rsid w:val="000B7657"/>
    <w:rsid w:val="000C092B"/>
    <w:rsid w:val="000C3732"/>
    <w:rsid w:val="000C6050"/>
    <w:rsid w:val="000D03AE"/>
    <w:rsid w:val="000D1391"/>
    <w:rsid w:val="000E1951"/>
    <w:rsid w:val="000E2707"/>
    <w:rsid w:val="000F1155"/>
    <w:rsid w:val="000F2C1F"/>
    <w:rsid w:val="00100646"/>
    <w:rsid w:val="00101CD4"/>
    <w:rsid w:val="001050D1"/>
    <w:rsid w:val="00105A35"/>
    <w:rsid w:val="001067B6"/>
    <w:rsid w:val="00110DF6"/>
    <w:rsid w:val="0011337B"/>
    <w:rsid w:val="0011687C"/>
    <w:rsid w:val="001205FE"/>
    <w:rsid w:val="00120ECD"/>
    <w:rsid w:val="0012427E"/>
    <w:rsid w:val="00126C88"/>
    <w:rsid w:val="00135F7F"/>
    <w:rsid w:val="00136476"/>
    <w:rsid w:val="00140ABB"/>
    <w:rsid w:val="001426F0"/>
    <w:rsid w:val="00145E08"/>
    <w:rsid w:val="00147460"/>
    <w:rsid w:val="001532B1"/>
    <w:rsid w:val="00153904"/>
    <w:rsid w:val="00153CE0"/>
    <w:rsid w:val="00154A5C"/>
    <w:rsid w:val="00162161"/>
    <w:rsid w:val="00164D9B"/>
    <w:rsid w:val="001715BD"/>
    <w:rsid w:val="00172581"/>
    <w:rsid w:val="001740BB"/>
    <w:rsid w:val="00180026"/>
    <w:rsid w:val="001819AF"/>
    <w:rsid w:val="00195525"/>
    <w:rsid w:val="00196E93"/>
    <w:rsid w:val="001A16A9"/>
    <w:rsid w:val="001A29EF"/>
    <w:rsid w:val="001A2F40"/>
    <w:rsid w:val="001A69BA"/>
    <w:rsid w:val="001A79FB"/>
    <w:rsid w:val="001B048F"/>
    <w:rsid w:val="001C3156"/>
    <w:rsid w:val="001C3B35"/>
    <w:rsid w:val="001C42B3"/>
    <w:rsid w:val="001D1CEF"/>
    <w:rsid w:val="001D41D4"/>
    <w:rsid w:val="001E135C"/>
    <w:rsid w:val="001E1906"/>
    <w:rsid w:val="001E401B"/>
    <w:rsid w:val="001F2B76"/>
    <w:rsid w:val="001F5AA4"/>
    <w:rsid w:val="001F7EE0"/>
    <w:rsid w:val="002037C2"/>
    <w:rsid w:val="0021315C"/>
    <w:rsid w:val="002146E2"/>
    <w:rsid w:val="00215EE5"/>
    <w:rsid w:val="00217613"/>
    <w:rsid w:val="0022288D"/>
    <w:rsid w:val="00223173"/>
    <w:rsid w:val="00225854"/>
    <w:rsid w:val="00226191"/>
    <w:rsid w:val="0022665A"/>
    <w:rsid w:val="0023263F"/>
    <w:rsid w:val="00236820"/>
    <w:rsid w:val="00246222"/>
    <w:rsid w:val="00246E35"/>
    <w:rsid w:val="00250EDF"/>
    <w:rsid w:val="002523B2"/>
    <w:rsid w:val="00252799"/>
    <w:rsid w:val="00256904"/>
    <w:rsid w:val="00256B42"/>
    <w:rsid w:val="002659F3"/>
    <w:rsid w:val="00265FC9"/>
    <w:rsid w:val="00270CD1"/>
    <w:rsid w:val="002710C5"/>
    <w:rsid w:val="002718D7"/>
    <w:rsid w:val="00280AE8"/>
    <w:rsid w:val="00283E59"/>
    <w:rsid w:val="00287564"/>
    <w:rsid w:val="00293ACC"/>
    <w:rsid w:val="002966A1"/>
    <w:rsid w:val="00297424"/>
    <w:rsid w:val="002A1963"/>
    <w:rsid w:val="002B17E2"/>
    <w:rsid w:val="002B7493"/>
    <w:rsid w:val="002C079C"/>
    <w:rsid w:val="002C12AD"/>
    <w:rsid w:val="002C66A2"/>
    <w:rsid w:val="002D353F"/>
    <w:rsid w:val="002D3A88"/>
    <w:rsid w:val="002D4CD9"/>
    <w:rsid w:val="002D6A81"/>
    <w:rsid w:val="002D74C4"/>
    <w:rsid w:val="002E046E"/>
    <w:rsid w:val="002E1671"/>
    <w:rsid w:val="002E43B6"/>
    <w:rsid w:val="002E54FE"/>
    <w:rsid w:val="002E6027"/>
    <w:rsid w:val="002F2ACB"/>
    <w:rsid w:val="00306C34"/>
    <w:rsid w:val="00306C50"/>
    <w:rsid w:val="00307EF6"/>
    <w:rsid w:val="0032053D"/>
    <w:rsid w:val="0032244D"/>
    <w:rsid w:val="00325463"/>
    <w:rsid w:val="00331B47"/>
    <w:rsid w:val="00331D4E"/>
    <w:rsid w:val="003343CA"/>
    <w:rsid w:val="00334AEC"/>
    <w:rsid w:val="00335814"/>
    <w:rsid w:val="003368A3"/>
    <w:rsid w:val="003368E2"/>
    <w:rsid w:val="003400E9"/>
    <w:rsid w:val="00340246"/>
    <w:rsid w:val="00344871"/>
    <w:rsid w:val="00344C0B"/>
    <w:rsid w:val="00345F40"/>
    <w:rsid w:val="00346DCB"/>
    <w:rsid w:val="003472A7"/>
    <w:rsid w:val="00347397"/>
    <w:rsid w:val="00353E9D"/>
    <w:rsid w:val="003563C1"/>
    <w:rsid w:val="00361B43"/>
    <w:rsid w:val="003623B1"/>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1963"/>
    <w:rsid w:val="003D3D4B"/>
    <w:rsid w:val="003D5B63"/>
    <w:rsid w:val="003D5BD6"/>
    <w:rsid w:val="003E36EC"/>
    <w:rsid w:val="003E4BA1"/>
    <w:rsid w:val="003E5CB1"/>
    <w:rsid w:val="003E7003"/>
    <w:rsid w:val="003F2F66"/>
    <w:rsid w:val="004016AD"/>
    <w:rsid w:val="00403291"/>
    <w:rsid w:val="00403B86"/>
    <w:rsid w:val="00405D58"/>
    <w:rsid w:val="00416F51"/>
    <w:rsid w:val="004200CE"/>
    <w:rsid w:val="0042056B"/>
    <w:rsid w:val="00431572"/>
    <w:rsid w:val="00432014"/>
    <w:rsid w:val="00436A9E"/>
    <w:rsid w:val="00441CED"/>
    <w:rsid w:val="00452C14"/>
    <w:rsid w:val="00454EFD"/>
    <w:rsid w:val="00457AE7"/>
    <w:rsid w:val="00466CC6"/>
    <w:rsid w:val="004736A1"/>
    <w:rsid w:val="004755A2"/>
    <w:rsid w:val="004912E1"/>
    <w:rsid w:val="00493B9B"/>
    <w:rsid w:val="00493EB0"/>
    <w:rsid w:val="004A471C"/>
    <w:rsid w:val="004B4CC6"/>
    <w:rsid w:val="004C0831"/>
    <w:rsid w:val="004C1903"/>
    <w:rsid w:val="004C3EDB"/>
    <w:rsid w:val="004C4957"/>
    <w:rsid w:val="004C7C5C"/>
    <w:rsid w:val="004D2E89"/>
    <w:rsid w:val="004E218D"/>
    <w:rsid w:val="004E4FD9"/>
    <w:rsid w:val="004E5D01"/>
    <w:rsid w:val="004F0990"/>
    <w:rsid w:val="00505616"/>
    <w:rsid w:val="00512A5C"/>
    <w:rsid w:val="00514466"/>
    <w:rsid w:val="00514B5F"/>
    <w:rsid w:val="005214C9"/>
    <w:rsid w:val="00522727"/>
    <w:rsid w:val="00526086"/>
    <w:rsid w:val="00526174"/>
    <w:rsid w:val="00527191"/>
    <w:rsid w:val="00535D18"/>
    <w:rsid w:val="00537EE6"/>
    <w:rsid w:val="005415C8"/>
    <w:rsid w:val="0054220C"/>
    <w:rsid w:val="005440C1"/>
    <w:rsid w:val="00545EF8"/>
    <w:rsid w:val="00547654"/>
    <w:rsid w:val="00552923"/>
    <w:rsid w:val="00557BF1"/>
    <w:rsid w:val="00560703"/>
    <w:rsid w:val="0056704D"/>
    <w:rsid w:val="00567C95"/>
    <w:rsid w:val="00567D8D"/>
    <w:rsid w:val="0059732E"/>
    <w:rsid w:val="005A0706"/>
    <w:rsid w:val="005A72DD"/>
    <w:rsid w:val="005B3158"/>
    <w:rsid w:val="005B4CEA"/>
    <w:rsid w:val="005B67ED"/>
    <w:rsid w:val="005B74F5"/>
    <w:rsid w:val="005C2A5A"/>
    <w:rsid w:val="005C30D4"/>
    <w:rsid w:val="005D250F"/>
    <w:rsid w:val="005D364B"/>
    <w:rsid w:val="005D4F7D"/>
    <w:rsid w:val="005E3D9F"/>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1D28"/>
    <w:rsid w:val="00672014"/>
    <w:rsid w:val="006733A8"/>
    <w:rsid w:val="00673674"/>
    <w:rsid w:val="00674B18"/>
    <w:rsid w:val="00683E53"/>
    <w:rsid w:val="00686968"/>
    <w:rsid w:val="006877E7"/>
    <w:rsid w:val="00694A6E"/>
    <w:rsid w:val="00695FDF"/>
    <w:rsid w:val="006A3B8F"/>
    <w:rsid w:val="006A6FD0"/>
    <w:rsid w:val="006B080E"/>
    <w:rsid w:val="006B685D"/>
    <w:rsid w:val="006D2212"/>
    <w:rsid w:val="006D49C0"/>
    <w:rsid w:val="006D550A"/>
    <w:rsid w:val="006D7FF3"/>
    <w:rsid w:val="006E3B0D"/>
    <w:rsid w:val="006E6868"/>
    <w:rsid w:val="006E728E"/>
    <w:rsid w:val="006F04A7"/>
    <w:rsid w:val="00704843"/>
    <w:rsid w:val="007112FE"/>
    <w:rsid w:val="007115F7"/>
    <w:rsid w:val="00714FD7"/>
    <w:rsid w:val="00715666"/>
    <w:rsid w:val="0072776E"/>
    <w:rsid w:val="00731211"/>
    <w:rsid w:val="007325C3"/>
    <w:rsid w:val="0073326F"/>
    <w:rsid w:val="00743885"/>
    <w:rsid w:val="00743CDB"/>
    <w:rsid w:val="00745AB4"/>
    <w:rsid w:val="007470E1"/>
    <w:rsid w:val="007479D6"/>
    <w:rsid w:val="00752D0E"/>
    <w:rsid w:val="00755564"/>
    <w:rsid w:val="00756B31"/>
    <w:rsid w:val="00757E63"/>
    <w:rsid w:val="00765619"/>
    <w:rsid w:val="0077103F"/>
    <w:rsid w:val="00775FD5"/>
    <w:rsid w:val="00776433"/>
    <w:rsid w:val="00781BFC"/>
    <w:rsid w:val="00782257"/>
    <w:rsid w:val="00785772"/>
    <w:rsid w:val="0078649E"/>
    <w:rsid w:val="00786EED"/>
    <w:rsid w:val="00787DBC"/>
    <w:rsid w:val="00790B4B"/>
    <w:rsid w:val="00791577"/>
    <w:rsid w:val="00792AD9"/>
    <w:rsid w:val="0079689E"/>
    <w:rsid w:val="007A2AF2"/>
    <w:rsid w:val="007A400F"/>
    <w:rsid w:val="007B1B20"/>
    <w:rsid w:val="007B25BE"/>
    <w:rsid w:val="007C197B"/>
    <w:rsid w:val="007C3802"/>
    <w:rsid w:val="007C3FB4"/>
    <w:rsid w:val="007C416C"/>
    <w:rsid w:val="007D1838"/>
    <w:rsid w:val="007D5BA0"/>
    <w:rsid w:val="007E10B6"/>
    <w:rsid w:val="007E39BB"/>
    <w:rsid w:val="007F29BF"/>
    <w:rsid w:val="007F34FF"/>
    <w:rsid w:val="007F3C22"/>
    <w:rsid w:val="0080144D"/>
    <w:rsid w:val="00804932"/>
    <w:rsid w:val="00804AA7"/>
    <w:rsid w:val="00806AEF"/>
    <w:rsid w:val="00810432"/>
    <w:rsid w:val="00812515"/>
    <w:rsid w:val="00813F43"/>
    <w:rsid w:val="00817123"/>
    <w:rsid w:val="0082121C"/>
    <w:rsid w:val="008218CC"/>
    <w:rsid w:val="00823395"/>
    <w:rsid w:val="00836DF6"/>
    <w:rsid w:val="00842C0A"/>
    <w:rsid w:val="00844A42"/>
    <w:rsid w:val="00854197"/>
    <w:rsid w:val="0085610B"/>
    <w:rsid w:val="0086145E"/>
    <w:rsid w:val="008616FD"/>
    <w:rsid w:val="00862B6D"/>
    <w:rsid w:val="008635E6"/>
    <w:rsid w:val="008666BC"/>
    <w:rsid w:val="00867A33"/>
    <w:rsid w:val="008742A5"/>
    <w:rsid w:val="00874CFC"/>
    <w:rsid w:val="00890DC3"/>
    <w:rsid w:val="008A0B16"/>
    <w:rsid w:val="008A1A2C"/>
    <w:rsid w:val="008B1964"/>
    <w:rsid w:val="008C29A7"/>
    <w:rsid w:val="008D1BE7"/>
    <w:rsid w:val="008D6AFE"/>
    <w:rsid w:val="008E0D87"/>
    <w:rsid w:val="008E49D8"/>
    <w:rsid w:val="008E69B3"/>
    <w:rsid w:val="008F0F79"/>
    <w:rsid w:val="008F6695"/>
    <w:rsid w:val="009012DC"/>
    <w:rsid w:val="00901EA9"/>
    <w:rsid w:val="00905C8D"/>
    <w:rsid w:val="00907428"/>
    <w:rsid w:val="00910008"/>
    <w:rsid w:val="009120F8"/>
    <w:rsid w:val="00913674"/>
    <w:rsid w:val="009150E9"/>
    <w:rsid w:val="00920FB9"/>
    <w:rsid w:val="00922BC7"/>
    <w:rsid w:val="00924198"/>
    <w:rsid w:val="009244F0"/>
    <w:rsid w:val="00932FF9"/>
    <w:rsid w:val="0093638C"/>
    <w:rsid w:val="00937A4E"/>
    <w:rsid w:val="00955661"/>
    <w:rsid w:val="009574DE"/>
    <w:rsid w:val="00957948"/>
    <w:rsid w:val="00966093"/>
    <w:rsid w:val="00966328"/>
    <w:rsid w:val="009708B5"/>
    <w:rsid w:val="009714F0"/>
    <w:rsid w:val="00971CD5"/>
    <w:rsid w:val="00974A8A"/>
    <w:rsid w:val="0097633D"/>
    <w:rsid w:val="00980AA0"/>
    <w:rsid w:val="00981A39"/>
    <w:rsid w:val="009847FB"/>
    <w:rsid w:val="00985084"/>
    <w:rsid w:val="00990196"/>
    <w:rsid w:val="00992A29"/>
    <w:rsid w:val="009A09C6"/>
    <w:rsid w:val="009A2403"/>
    <w:rsid w:val="009A323D"/>
    <w:rsid w:val="009A3AE5"/>
    <w:rsid w:val="009A4C09"/>
    <w:rsid w:val="009A73C4"/>
    <w:rsid w:val="009B0223"/>
    <w:rsid w:val="009B1061"/>
    <w:rsid w:val="009B2C59"/>
    <w:rsid w:val="009B3E58"/>
    <w:rsid w:val="009B6F55"/>
    <w:rsid w:val="009C18A1"/>
    <w:rsid w:val="009C2411"/>
    <w:rsid w:val="009C3321"/>
    <w:rsid w:val="009C46AB"/>
    <w:rsid w:val="009C6AD9"/>
    <w:rsid w:val="009D0C63"/>
    <w:rsid w:val="009D5355"/>
    <w:rsid w:val="009E44EE"/>
    <w:rsid w:val="009E708F"/>
    <w:rsid w:val="00A002F4"/>
    <w:rsid w:val="00A00AE0"/>
    <w:rsid w:val="00A01D1A"/>
    <w:rsid w:val="00A020A9"/>
    <w:rsid w:val="00A02148"/>
    <w:rsid w:val="00A047AF"/>
    <w:rsid w:val="00A0567A"/>
    <w:rsid w:val="00A10460"/>
    <w:rsid w:val="00A14E35"/>
    <w:rsid w:val="00A174D4"/>
    <w:rsid w:val="00A204BA"/>
    <w:rsid w:val="00A20570"/>
    <w:rsid w:val="00A223C9"/>
    <w:rsid w:val="00A230E1"/>
    <w:rsid w:val="00A24336"/>
    <w:rsid w:val="00A24CD1"/>
    <w:rsid w:val="00A26C54"/>
    <w:rsid w:val="00A35EDC"/>
    <w:rsid w:val="00A3796D"/>
    <w:rsid w:val="00A41565"/>
    <w:rsid w:val="00A42341"/>
    <w:rsid w:val="00A45420"/>
    <w:rsid w:val="00A52CEE"/>
    <w:rsid w:val="00A6130B"/>
    <w:rsid w:val="00A8761F"/>
    <w:rsid w:val="00A95983"/>
    <w:rsid w:val="00AA19E7"/>
    <w:rsid w:val="00AA1C42"/>
    <w:rsid w:val="00AA614F"/>
    <w:rsid w:val="00AB2A81"/>
    <w:rsid w:val="00AB3FF0"/>
    <w:rsid w:val="00AC08EF"/>
    <w:rsid w:val="00AC0A30"/>
    <w:rsid w:val="00AC7682"/>
    <w:rsid w:val="00AC7905"/>
    <w:rsid w:val="00AD0E22"/>
    <w:rsid w:val="00AD35D3"/>
    <w:rsid w:val="00AD525D"/>
    <w:rsid w:val="00AD6FE1"/>
    <w:rsid w:val="00AE4E71"/>
    <w:rsid w:val="00AE6CDF"/>
    <w:rsid w:val="00AF2483"/>
    <w:rsid w:val="00AF6122"/>
    <w:rsid w:val="00B0328F"/>
    <w:rsid w:val="00B046DF"/>
    <w:rsid w:val="00B0601B"/>
    <w:rsid w:val="00B102D9"/>
    <w:rsid w:val="00B106C6"/>
    <w:rsid w:val="00B20811"/>
    <w:rsid w:val="00B21753"/>
    <w:rsid w:val="00B246DD"/>
    <w:rsid w:val="00B26603"/>
    <w:rsid w:val="00B307A4"/>
    <w:rsid w:val="00B5182F"/>
    <w:rsid w:val="00B52F5E"/>
    <w:rsid w:val="00B661C1"/>
    <w:rsid w:val="00B707A0"/>
    <w:rsid w:val="00B70A0B"/>
    <w:rsid w:val="00B7385F"/>
    <w:rsid w:val="00B84DAA"/>
    <w:rsid w:val="00B86AE7"/>
    <w:rsid w:val="00B86B94"/>
    <w:rsid w:val="00B96C4A"/>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183C"/>
    <w:rsid w:val="00C5575E"/>
    <w:rsid w:val="00C61CBA"/>
    <w:rsid w:val="00C710A4"/>
    <w:rsid w:val="00C7583B"/>
    <w:rsid w:val="00C7593B"/>
    <w:rsid w:val="00C771F0"/>
    <w:rsid w:val="00C80AB7"/>
    <w:rsid w:val="00C81248"/>
    <w:rsid w:val="00C81DFC"/>
    <w:rsid w:val="00C82A24"/>
    <w:rsid w:val="00C835A2"/>
    <w:rsid w:val="00C855E5"/>
    <w:rsid w:val="00C90207"/>
    <w:rsid w:val="00C9559E"/>
    <w:rsid w:val="00C962DD"/>
    <w:rsid w:val="00C9673A"/>
    <w:rsid w:val="00C97F25"/>
    <w:rsid w:val="00CA60E2"/>
    <w:rsid w:val="00CA74A0"/>
    <w:rsid w:val="00CB00BB"/>
    <w:rsid w:val="00CB3AC4"/>
    <w:rsid w:val="00CB6E37"/>
    <w:rsid w:val="00CC3E7E"/>
    <w:rsid w:val="00CC44D6"/>
    <w:rsid w:val="00CC48B6"/>
    <w:rsid w:val="00CC660D"/>
    <w:rsid w:val="00CC6B2D"/>
    <w:rsid w:val="00CD01AA"/>
    <w:rsid w:val="00CD79E8"/>
    <w:rsid w:val="00CD7A1B"/>
    <w:rsid w:val="00CE57A9"/>
    <w:rsid w:val="00CF0BCD"/>
    <w:rsid w:val="00CF2340"/>
    <w:rsid w:val="00CF537E"/>
    <w:rsid w:val="00CF6B67"/>
    <w:rsid w:val="00D137D5"/>
    <w:rsid w:val="00D15C2F"/>
    <w:rsid w:val="00D162B4"/>
    <w:rsid w:val="00D23943"/>
    <w:rsid w:val="00D249F3"/>
    <w:rsid w:val="00D417DA"/>
    <w:rsid w:val="00D55192"/>
    <w:rsid w:val="00D60550"/>
    <w:rsid w:val="00D70FC6"/>
    <w:rsid w:val="00D75D1C"/>
    <w:rsid w:val="00D77881"/>
    <w:rsid w:val="00D86D17"/>
    <w:rsid w:val="00DA4A80"/>
    <w:rsid w:val="00DA67BE"/>
    <w:rsid w:val="00DB04B0"/>
    <w:rsid w:val="00DB110F"/>
    <w:rsid w:val="00DB209B"/>
    <w:rsid w:val="00DC68F5"/>
    <w:rsid w:val="00DD066D"/>
    <w:rsid w:val="00DD17B4"/>
    <w:rsid w:val="00DD355E"/>
    <w:rsid w:val="00DD7B34"/>
    <w:rsid w:val="00DF2FC3"/>
    <w:rsid w:val="00DF3333"/>
    <w:rsid w:val="00DF49C5"/>
    <w:rsid w:val="00DF7C28"/>
    <w:rsid w:val="00E03C5E"/>
    <w:rsid w:val="00E03D76"/>
    <w:rsid w:val="00E0401A"/>
    <w:rsid w:val="00E077BE"/>
    <w:rsid w:val="00E136B4"/>
    <w:rsid w:val="00E20614"/>
    <w:rsid w:val="00E216B3"/>
    <w:rsid w:val="00E273E3"/>
    <w:rsid w:val="00E309DA"/>
    <w:rsid w:val="00E32B89"/>
    <w:rsid w:val="00E355D6"/>
    <w:rsid w:val="00E40344"/>
    <w:rsid w:val="00E41348"/>
    <w:rsid w:val="00E43F93"/>
    <w:rsid w:val="00E44BA5"/>
    <w:rsid w:val="00E51553"/>
    <w:rsid w:val="00E51F9F"/>
    <w:rsid w:val="00E57ED1"/>
    <w:rsid w:val="00E6009E"/>
    <w:rsid w:val="00E61780"/>
    <w:rsid w:val="00E650AE"/>
    <w:rsid w:val="00E6792A"/>
    <w:rsid w:val="00E7391D"/>
    <w:rsid w:val="00E74600"/>
    <w:rsid w:val="00E7660D"/>
    <w:rsid w:val="00E8023B"/>
    <w:rsid w:val="00E85E97"/>
    <w:rsid w:val="00E9402D"/>
    <w:rsid w:val="00E95342"/>
    <w:rsid w:val="00EA1318"/>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3F1E"/>
    <w:rsid w:val="00F35991"/>
    <w:rsid w:val="00F368C8"/>
    <w:rsid w:val="00F51AF3"/>
    <w:rsid w:val="00F75ED8"/>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E74AF"/>
    <w:rsid w:val="00FF0865"/>
    <w:rsid w:val="00FF10F5"/>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9E8"/>
    <w:pPr>
      <w:widowControl w:val="0"/>
    </w:pPr>
    <w:rPr>
      <w:snapToGrid w:val="0"/>
      <w:kern w:val="28"/>
      <w:szCs w:val="20"/>
    </w:rPr>
  </w:style>
  <w:style w:type="paragraph" w:styleId="Heading1">
    <w:name w:val="heading 1"/>
    <w:basedOn w:val="Normal"/>
    <w:next w:val="ParaNum"/>
    <w:link w:val="Heading1Char"/>
    <w:qFormat/>
    <w:rsid w:val="00CD79E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D79E8"/>
    <w:pPr>
      <w:keepNext/>
      <w:numPr>
        <w:ilvl w:val="1"/>
        <w:numId w:val="2"/>
      </w:numPr>
      <w:spacing w:after="120"/>
      <w:outlineLvl w:val="1"/>
    </w:pPr>
    <w:rPr>
      <w:b/>
    </w:rPr>
  </w:style>
  <w:style w:type="paragraph" w:styleId="Heading3">
    <w:name w:val="heading 3"/>
    <w:basedOn w:val="Normal"/>
    <w:next w:val="ParaNum"/>
    <w:link w:val="Heading3Char"/>
    <w:qFormat/>
    <w:rsid w:val="00CD79E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D79E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D79E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D79E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D79E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D79E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D79E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79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9E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D79E8"/>
    <w:pPr>
      <w:numPr>
        <w:numId w:val="1"/>
      </w:numPr>
      <w:tabs>
        <w:tab w:val="clear" w:pos="1080"/>
        <w:tab w:val="num" w:pos="1440"/>
      </w:tabs>
      <w:spacing w:after="120"/>
    </w:pPr>
  </w:style>
  <w:style w:type="paragraph" w:styleId="EndnoteText">
    <w:name w:val="endnote text"/>
    <w:basedOn w:val="Normal"/>
    <w:link w:val="EndnoteTextChar"/>
    <w:semiHidden/>
    <w:rsid w:val="00CD79E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CD79E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CD79E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CD79E8"/>
    <w:rPr>
      <w:rFonts w:ascii="Times New Roman" w:hAnsi="Times New Roman"/>
      <w:dstrike w:val="0"/>
      <w:color w:val="auto"/>
      <w:sz w:val="20"/>
      <w:vertAlign w:val="superscript"/>
    </w:rPr>
  </w:style>
  <w:style w:type="paragraph" w:styleId="TOC1">
    <w:name w:val="toc 1"/>
    <w:basedOn w:val="Normal"/>
    <w:next w:val="Normal"/>
    <w:rsid w:val="00CD79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79E8"/>
    <w:pPr>
      <w:tabs>
        <w:tab w:val="left" w:pos="720"/>
        <w:tab w:val="right" w:leader="dot" w:pos="9360"/>
      </w:tabs>
      <w:suppressAutoHyphens/>
      <w:ind w:left="720" w:right="720" w:hanging="360"/>
    </w:pPr>
    <w:rPr>
      <w:noProof/>
    </w:rPr>
  </w:style>
  <w:style w:type="paragraph" w:styleId="TOC3">
    <w:name w:val="toc 3"/>
    <w:basedOn w:val="Normal"/>
    <w:next w:val="Normal"/>
    <w:semiHidden/>
    <w:rsid w:val="00CD79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79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79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79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79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79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79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79E8"/>
    <w:pPr>
      <w:tabs>
        <w:tab w:val="right" w:pos="9360"/>
      </w:tabs>
      <w:suppressAutoHyphens/>
    </w:pPr>
  </w:style>
  <w:style w:type="character" w:customStyle="1" w:styleId="EquationCaption">
    <w:name w:val="_Equation Caption"/>
    <w:rsid w:val="00CD79E8"/>
  </w:style>
  <w:style w:type="paragraph" w:styleId="Header">
    <w:name w:val="header"/>
    <w:basedOn w:val="Normal"/>
    <w:link w:val="HeaderChar"/>
    <w:autoRedefine/>
    <w:rsid w:val="00CD79E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CD79E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CD79E8"/>
  </w:style>
  <w:style w:type="paragraph" w:styleId="BlockText">
    <w:name w:val="Block Text"/>
    <w:basedOn w:val="Normal"/>
    <w:rsid w:val="00CD79E8"/>
    <w:pPr>
      <w:spacing w:after="240"/>
      <w:ind w:left="1440" w:right="1440"/>
    </w:pPr>
  </w:style>
  <w:style w:type="paragraph" w:customStyle="1" w:styleId="Paratitle">
    <w:name w:val="Para title"/>
    <w:basedOn w:val="Normal"/>
    <w:rsid w:val="00CD79E8"/>
    <w:pPr>
      <w:tabs>
        <w:tab w:val="center" w:pos="9270"/>
      </w:tabs>
      <w:spacing w:after="240"/>
    </w:pPr>
    <w:rPr>
      <w:spacing w:val="-2"/>
    </w:rPr>
  </w:style>
  <w:style w:type="paragraph" w:customStyle="1" w:styleId="Bullet">
    <w:name w:val="Bullet"/>
    <w:basedOn w:val="Normal"/>
    <w:rsid w:val="00CD79E8"/>
    <w:pPr>
      <w:tabs>
        <w:tab w:val="left" w:pos="2160"/>
      </w:tabs>
      <w:spacing w:after="220"/>
      <w:ind w:left="2160" w:hanging="720"/>
    </w:pPr>
  </w:style>
  <w:style w:type="paragraph" w:customStyle="1" w:styleId="TableFormat">
    <w:name w:val="TableFormat"/>
    <w:basedOn w:val="Bullet"/>
    <w:rsid w:val="00CD79E8"/>
    <w:pPr>
      <w:tabs>
        <w:tab w:val="clear" w:pos="2160"/>
        <w:tab w:val="left" w:pos="5040"/>
      </w:tabs>
      <w:ind w:left="5040" w:hanging="3600"/>
    </w:pPr>
  </w:style>
  <w:style w:type="paragraph" w:customStyle="1" w:styleId="TOCTitle">
    <w:name w:val="TOC Title"/>
    <w:basedOn w:val="Normal"/>
    <w:rsid w:val="00CD79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79E8"/>
    <w:pPr>
      <w:jc w:val="center"/>
    </w:pPr>
    <w:rPr>
      <w:rFonts w:ascii="Times New Roman Bold" w:hAnsi="Times New Roman Bold"/>
      <w:b/>
      <w:bCs/>
      <w:caps/>
      <w:szCs w:val="22"/>
    </w:rPr>
  </w:style>
  <w:style w:type="character" w:styleId="Hyperlink">
    <w:name w:val="Hyperlink"/>
    <w:rsid w:val="00CD79E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9E8"/>
    <w:pPr>
      <w:widowControl w:val="0"/>
    </w:pPr>
    <w:rPr>
      <w:snapToGrid w:val="0"/>
      <w:kern w:val="28"/>
      <w:szCs w:val="20"/>
    </w:rPr>
  </w:style>
  <w:style w:type="paragraph" w:styleId="Heading1">
    <w:name w:val="heading 1"/>
    <w:basedOn w:val="Normal"/>
    <w:next w:val="ParaNum"/>
    <w:link w:val="Heading1Char"/>
    <w:qFormat/>
    <w:rsid w:val="00CD79E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D79E8"/>
    <w:pPr>
      <w:keepNext/>
      <w:numPr>
        <w:ilvl w:val="1"/>
        <w:numId w:val="2"/>
      </w:numPr>
      <w:spacing w:after="120"/>
      <w:outlineLvl w:val="1"/>
    </w:pPr>
    <w:rPr>
      <w:b/>
    </w:rPr>
  </w:style>
  <w:style w:type="paragraph" w:styleId="Heading3">
    <w:name w:val="heading 3"/>
    <w:basedOn w:val="Normal"/>
    <w:next w:val="ParaNum"/>
    <w:link w:val="Heading3Char"/>
    <w:qFormat/>
    <w:rsid w:val="00CD79E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D79E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D79E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D79E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D79E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D79E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D79E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79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9E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D79E8"/>
    <w:pPr>
      <w:numPr>
        <w:numId w:val="1"/>
      </w:numPr>
      <w:tabs>
        <w:tab w:val="clear" w:pos="1080"/>
        <w:tab w:val="num" w:pos="1440"/>
      </w:tabs>
      <w:spacing w:after="120"/>
    </w:pPr>
  </w:style>
  <w:style w:type="paragraph" w:styleId="EndnoteText">
    <w:name w:val="endnote text"/>
    <w:basedOn w:val="Normal"/>
    <w:link w:val="EndnoteTextChar"/>
    <w:semiHidden/>
    <w:rsid w:val="00CD79E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CD79E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CD79E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CD79E8"/>
    <w:rPr>
      <w:rFonts w:ascii="Times New Roman" w:hAnsi="Times New Roman"/>
      <w:dstrike w:val="0"/>
      <w:color w:val="auto"/>
      <w:sz w:val="20"/>
      <w:vertAlign w:val="superscript"/>
    </w:rPr>
  </w:style>
  <w:style w:type="paragraph" w:styleId="TOC1">
    <w:name w:val="toc 1"/>
    <w:basedOn w:val="Normal"/>
    <w:next w:val="Normal"/>
    <w:rsid w:val="00CD79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79E8"/>
    <w:pPr>
      <w:tabs>
        <w:tab w:val="left" w:pos="720"/>
        <w:tab w:val="right" w:leader="dot" w:pos="9360"/>
      </w:tabs>
      <w:suppressAutoHyphens/>
      <w:ind w:left="720" w:right="720" w:hanging="360"/>
    </w:pPr>
    <w:rPr>
      <w:noProof/>
    </w:rPr>
  </w:style>
  <w:style w:type="paragraph" w:styleId="TOC3">
    <w:name w:val="toc 3"/>
    <w:basedOn w:val="Normal"/>
    <w:next w:val="Normal"/>
    <w:semiHidden/>
    <w:rsid w:val="00CD79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79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79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79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79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79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79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79E8"/>
    <w:pPr>
      <w:tabs>
        <w:tab w:val="right" w:pos="9360"/>
      </w:tabs>
      <w:suppressAutoHyphens/>
    </w:pPr>
  </w:style>
  <w:style w:type="character" w:customStyle="1" w:styleId="EquationCaption">
    <w:name w:val="_Equation Caption"/>
    <w:rsid w:val="00CD79E8"/>
  </w:style>
  <w:style w:type="paragraph" w:styleId="Header">
    <w:name w:val="header"/>
    <w:basedOn w:val="Normal"/>
    <w:link w:val="HeaderChar"/>
    <w:autoRedefine/>
    <w:rsid w:val="00CD79E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CD79E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CD79E8"/>
  </w:style>
  <w:style w:type="paragraph" w:styleId="BlockText">
    <w:name w:val="Block Text"/>
    <w:basedOn w:val="Normal"/>
    <w:rsid w:val="00CD79E8"/>
    <w:pPr>
      <w:spacing w:after="240"/>
      <w:ind w:left="1440" w:right="1440"/>
    </w:pPr>
  </w:style>
  <w:style w:type="paragraph" w:customStyle="1" w:styleId="Paratitle">
    <w:name w:val="Para title"/>
    <w:basedOn w:val="Normal"/>
    <w:rsid w:val="00CD79E8"/>
    <w:pPr>
      <w:tabs>
        <w:tab w:val="center" w:pos="9270"/>
      </w:tabs>
      <w:spacing w:after="240"/>
    </w:pPr>
    <w:rPr>
      <w:spacing w:val="-2"/>
    </w:rPr>
  </w:style>
  <w:style w:type="paragraph" w:customStyle="1" w:styleId="Bullet">
    <w:name w:val="Bullet"/>
    <w:basedOn w:val="Normal"/>
    <w:rsid w:val="00CD79E8"/>
    <w:pPr>
      <w:tabs>
        <w:tab w:val="left" w:pos="2160"/>
      </w:tabs>
      <w:spacing w:after="220"/>
      <w:ind w:left="2160" w:hanging="720"/>
    </w:pPr>
  </w:style>
  <w:style w:type="paragraph" w:customStyle="1" w:styleId="TableFormat">
    <w:name w:val="TableFormat"/>
    <w:basedOn w:val="Bullet"/>
    <w:rsid w:val="00CD79E8"/>
    <w:pPr>
      <w:tabs>
        <w:tab w:val="clear" w:pos="2160"/>
        <w:tab w:val="left" w:pos="5040"/>
      </w:tabs>
      <w:ind w:left="5040" w:hanging="3600"/>
    </w:pPr>
  </w:style>
  <w:style w:type="paragraph" w:customStyle="1" w:styleId="TOCTitle">
    <w:name w:val="TOC Title"/>
    <w:basedOn w:val="Normal"/>
    <w:rsid w:val="00CD79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79E8"/>
    <w:pPr>
      <w:jc w:val="center"/>
    </w:pPr>
    <w:rPr>
      <w:rFonts w:ascii="Times New Roman Bold" w:hAnsi="Times New Roman Bold"/>
      <w:b/>
      <w:bCs/>
      <w:caps/>
      <w:szCs w:val="22"/>
    </w:rPr>
  </w:style>
  <w:style w:type="character" w:styleId="Hyperlink">
    <w:name w:val="Hyperlink"/>
    <w:rsid w:val="00CD79E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239317961">
      <w:bodyDiv w:val="1"/>
      <w:marLeft w:val="0"/>
      <w:marRight w:val="0"/>
      <w:marTop w:val="0"/>
      <w:marBottom w:val="0"/>
      <w:divBdr>
        <w:top w:val="none" w:sz="0" w:space="0" w:color="auto"/>
        <w:left w:val="none" w:sz="0" w:space="0" w:color="auto"/>
        <w:bottom w:val="none" w:sz="0" w:space="0" w:color="auto"/>
        <w:right w:val="none" w:sz="0" w:space="0" w:color="auto"/>
      </w:divBdr>
      <w:divsChild>
        <w:div w:id="575288155">
          <w:marLeft w:val="0"/>
          <w:marRight w:val="0"/>
          <w:marTop w:val="0"/>
          <w:marBottom w:val="0"/>
          <w:divBdr>
            <w:top w:val="none" w:sz="0" w:space="0" w:color="auto"/>
            <w:left w:val="none" w:sz="0" w:space="0" w:color="auto"/>
            <w:bottom w:val="none" w:sz="0" w:space="0" w:color="auto"/>
            <w:right w:val="none" w:sz="0" w:space="0" w:color="auto"/>
          </w:divBdr>
        </w:div>
      </w:divsChild>
    </w:div>
    <w:div w:id="1575117093">
      <w:bodyDiv w:val="1"/>
      <w:marLeft w:val="0"/>
      <w:marRight w:val="0"/>
      <w:marTop w:val="0"/>
      <w:marBottom w:val="0"/>
      <w:divBdr>
        <w:top w:val="none" w:sz="0" w:space="0" w:color="auto"/>
        <w:left w:val="none" w:sz="0" w:space="0" w:color="auto"/>
        <w:bottom w:val="none" w:sz="0" w:space="0" w:color="auto"/>
        <w:right w:val="none" w:sz="0" w:space="0" w:color="auto"/>
      </w:divBdr>
      <w:divsChild>
        <w:div w:id="1679650035">
          <w:marLeft w:val="0"/>
          <w:marRight w:val="0"/>
          <w:marTop w:val="0"/>
          <w:marBottom w:val="0"/>
          <w:divBdr>
            <w:top w:val="none" w:sz="0" w:space="0" w:color="auto"/>
            <w:left w:val="none" w:sz="0" w:space="0" w:color="auto"/>
            <w:bottom w:val="none" w:sz="0" w:space="0" w:color="auto"/>
            <w:right w:val="none" w:sz="0" w:space="0" w:color="auto"/>
          </w:divBdr>
        </w:div>
      </w:divsChild>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serNum=1994265397&amp;pubNum=0004493&amp;originatingDoc=I907b8439b2c611e4b4bafa136b480ad2&amp;refType=CA&amp;originationContext=document&amp;transitionType=DocumentItem&amp;contextData=(sc.History*o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1641</Words>
  <Characters>8778</Characters>
  <Application>Microsoft Office Word</Application>
  <DocSecurity>0</DocSecurity>
  <Lines>153</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2015-06-15T16:24:00Z</dcterms:created>
  <dcterms:modified xsi:type="dcterms:W3CDTF">2015-06-15T16:24:00Z</dcterms:modified>
  <cp:category> </cp:category>
  <cp:contentStatus> </cp:contentStatus>
</cp:coreProperties>
</file>