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68F2" w:rsidRDefault="007668F2">
      <w:pPr>
        <w:ind w:left="5040" w:firstLine="720"/>
        <w:jc w:val="right"/>
        <w:rPr>
          <w:b/>
          <w:sz w:val="23"/>
          <w:szCs w:val="23"/>
        </w:rPr>
      </w:pPr>
      <w:bookmarkStart w:id="0" w:name="_GoBack"/>
      <w:bookmarkEnd w:id="0"/>
    </w:p>
    <w:p w:rsidR="007668F2" w:rsidRDefault="007668F2">
      <w:pPr>
        <w:ind w:left="5040" w:firstLine="720"/>
        <w:jc w:val="right"/>
        <w:rPr>
          <w:b/>
          <w:sz w:val="23"/>
          <w:szCs w:val="23"/>
        </w:rPr>
      </w:pPr>
      <w:r>
        <w:rPr>
          <w:b/>
          <w:sz w:val="23"/>
          <w:szCs w:val="23"/>
        </w:rPr>
        <w:t xml:space="preserve">DA </w:t>
      </w:r>
      <w:r w:rsidR="00716D3F">
        <w:rPr>
          <w:b/>
          <w:sz w:val="23"/>
          <w:szCs w:val="23"/>
        </w:rPr>
        <w:t>15-701</w:t>
      </w:r>
    </w:p>
    <w:p w:rsidR="007668F2" w:rsidRDefault="007668F2">
      <w:pPr>
        <w:jc w:val="right"/>
        <w:rPr>
          <w:b/>
          <w:sz w:val="23"/>
          <w:szCs w:val="23"/>
        </w:rPr>
      </w:pPr>
      <w:r>
        <w:rPr>
          <w:b/>
          <w:sz w:val="23"/>
          <w:szCs w:val="23"/>
        </w:rPr>
        <w:t>ET Docket No. 13-49</w:t>
      </w:r>
    </w:p>
    <w:p w:rsidR="007668F2" w:rsidRDefault="007668F2">
      <w:pPr>
        <w:jc w:val="right"/>
        <w:rPr>
          <w:b/>
          <w:sz w:val="23"/>
          <w:szCs w:val="23"/>
        </w:rPr>
      </w:pPr>
    </w:p>
    <w:p w:rsidR="007668F2" w:rsidRDefault="007668F2">
      <w:pPr>
        <w:jc w:val="right"/>
        <w:rPr>
          <w:b/>
          <w:sz w:val="23"/>
          <w:szCs w:val="23"/>
        </w:rPr>
      </w:pPr>
    </w:p>
    <w:p w:rsidR="007668F2" w:rsidRDefault="007668F2">
      <w:pPr>
        <w:rPr>
          <w:sz w:val="23"/>
          <w:szCs w:val="23"/>
        </w:rPr>
      </w:pPr>
      <w:r>
        <w:rPr>
          <w:sz w:val="23"/>
          <w:szCs w:val="23"/>
        </w:rPr>
        <w:t>Mr. David Don</w:t>
      </w:r>
    </w:p>
    <w:p w:rsidR="007668F2" w:rsidRDefault="007668F2">
      <w:pPr>
        <w:rPr>
          <w:sz w:val="23"/>
          <w:szCs w:val="23"/>
        </w:rPr>
      </w:pPr>
      <w:r>
        <w:rPr>
          <w:sz w:val="23"/>
          <w:szCs w:val="23"/>
        </w:rPr>
        <w:t>Comcast Corporation</w:t>
      </w:r>
    </w:p>
    <w:p w:rsidR="007668F2" w:rsidRDefault="007668F2">
      <w:pPr>
        <w:rPr>
          <w:sz w:val="23"/>
          <w:szCs w:val="23"/>
        </w:rPr>
      </w:pPr>
      <w:r>
        <w:rPr>
          <w:sz w:val="23"/>
          <w:szCs w:val="23"/>
        </w:rPr>
        <w:t xml:space="preserve">300 New Jersey Avenue, NW </w:t>
      </w:r>
      <w:r>
        <w:t>Suite 700</w:t>
      </w:r>
    </w:p>
    <w:p w:rsidR="007668F2" w:rsidRDefault="007668F2">
      <w:pPr>
        <w:rPr>
          <w:sz w:val="23"/>
          <w:szCs w:val="23"/>
        </w:rPr>
      </w:pPr>
      <w:r>
        <w:t>Washington, D.C. 20001</w:t>
      </w:r>
    </w:p>
    <w:p w:rsidR="007668F2" w:rsidRDefault="007668F2">
      <w:pPr>
        <w:rPr>
          <w:sz w:val="23"/>
          <w:szCs w:val="23"/>
        </w:rPr>
      </w:pPr>
    </w:p>
    <w:p w:rsidR="007668F2" w:rsidRDefault="007668F2">
      <w:pPr>
        <w:rPr>
          <w:sz w:val="23"/>
          <w:szCs w:val="23"/>
        </w:rPr>
      </w:pPr>
      <w:r>
        <w:rPr>
          <w:sz w:val="23"/>
          <w:szCs w:val="23"/>
        </w:rPr>
        <w:t>Dear Mr. Don:</w:t>
      </w:r>
    </w:p>
    <w:p w:rsidR="007668F2" w:rsidRDefault="007668F2">
      <w:pPr>
        <w:rPr>
          <w:sz w:val="23"/>
          <w:szCs w:val="23"/>
        </w:rPr>
      </w:pPr>
    </w:p>
    <w:p w:rsidR="007668F2" w:rsidRDefault="007668F2">
      <w:pPr>
        <w:rPr>
          <w:sz w:val="23"/>
          <w:szCs w:val="23"/>
        </w:rPr>
      </w:pPr>
      <w:r>
        <w:rPr>
          <w:sz w:val="23"/>
          <w:szCs w:val="23"/>
        </w:rPr>
        <w:t>The Office of Engineering and Technology (OET) is granting the request of Comcast Corporation (Comcast) for a waiver of Section 15.407(a)(1)(i)</w:t>
      </w:r>
      <w:r>
        <w:rPr>
          <w:rStyle w:val="FootnoteReference"/>
          <w:sz w:val="23"/>
          <w:szCs w:val="23"/>
        </w:rPr>
        <w:footnoteReference w:id="1"/>
      </w:r>
      <w:r>
        <w:rPr>
          <w:sz w:val="23"/>
          <w:szCs w:val="23"/>
        </w:rPr>
        <w:t xml:space="preserve"> of the Commission’s rules to allow its </w:t>
      </w:r>
      <w:r w:rsidRPr="007668F2">
        <w:rPr>
          <w:sz w:val="23"/>
          <w:szCs w:val="23"/>
        </w:rPr>
        <w:t xml:space="preserve">yet-to-be deployed </w:t>
      </w:r>
      <w:r>
        <w:rPr>
          <w:sz w:val="23"/>
          <w:szCs w:val="23"/>
        </w:rPr>
        <w:t xml:space="preserve">systems that were previously certified for operation in the 5725-5850 MHz (U-NII-3) band  to obtain FCC certification for operation in the 5150-5250 MHz (U-NII-1) band.  </w:t>
      </w:r>
    </w:p>
    <w:p w:rsidR="007668F2" w:rsidRDefault="007668F2">
      <w:pPr>
        <w:rPr>
          <w:sz w:val="23"/>
          <w:szCs w:val="23"/>
        </w:rPr>
      </w:pPr>
    </w:p>
    <w:p w:rsidR="007668F2" w:rsidRDefault="007668F2">
      <w:pPr>
        <w:rPr>
          <w:sz w:val="23"/>
          <w:szCs w:val="23"/>
        </w:rPr>
      </w:pPr>
      <w:r>
        <w:rPr>
          <w:sz w:val="23"/>
          <w:szCs w:val="23"/>
        </w:rPr>
        <w:t xml:space="preserve">In your letter filed July 29, 2014 you request that Comcast’s outdoor access points currently authorized to operate in the U-NII-3 band be permitted to operate outdoors in the U-NII-1 band with up to 250 mW of conducted power and a power spectral density of 11 dBm/MHz with a 6 dBi gain antenna, rather than limiting the maximum EIRP above 30 degrees elevation to 125 mW (21 dBm) EIRP as required by section 15.407(a)(1)(i).  </w:t>
      </w:r>
      <w:r w:rsidR="002F11BE" w:rsidRPr="00111EE0">
        <w:rPr>
          <w:sz w:val="23"/>
          <w:szCs w:val="23"/>
        </w:rPr>
        <w:t>You state</w:t>
      </w:r>
      <w:r w:rsidR="00111EE0" w:rsidRPr="00111EE0">
        <w:rPr>
          <w:sz w:val="23"/>
          <w:szCs w:val="23"/>
        </w:rPr>
        <w:t xml:space="preserve"> that Comcast seeks authorization to operate 3,583 yet-to-be deployed outdoor access points certified to operate in the U-NII-3 band.  </w:t>
      </w:r>
      <w:r>
        <w:rPr>
          <w:sz w:val="23"/>
          <w:szCs w:val="23"/>
        </w:rPr>
        <w:t xml:space="preserve">You </w:t>
      </w:r>
      <w:r w:rsidR="00D73311">
        <w:rPr>
          <w:sz w:val="23"/>
          <w:szCs w:val="23"/>
        </w:rPr>
        <w:t xml:space="preserve">further </w:t>
      </w:r>
      <w:r>
        <w:rPr>
          <w:sz w:val="23"/>
          <w:szCs w:val="23"/>
        </w:rPr>
        <w:t>state such a waiver would serve the public interest by providing Comcast with immediate flexibility to use the U-NII-1 band, in addition to the U-NII-3 band, to provide outdoor Wi-Fi access to its customers.</w:t>
      </w:r>
      <w:r>
        <w:rPr>
          <w:sz w:val="23"/>
          <w:szCs w:val="23"/>
          <w:vertAlign w:val="superscript"/>
        </w:rPr>
        <w:footnoteReference w:id="2"/>
      </w:r>
      <w:r>
        <w:rPr>
          <w:sz w:val="23"/>
          <w:szCs w:val="23"/>
          <w:vertAlign w:val="superscript"/>
        </w:rPr>
        <w:t xml:space="preserve">  </w:t>
      </w:r>
      <w:r>
        <w:rPr>
          <w:sz w:val="23"/>
          <w:szCs w:val="23"/>
        </w:rPr>
        <w:t>You also provide the general location of each of Comcast’s proposed deployments by state, and request confidential treatment for this information under separate cover.</w:t>
      </w:r>
      <w:r>
        <w:rPr>
          <w:rStyle w:val="FootnoteReference"/>
          <w:sz w:val="23"/>
          <w:szCs w:val="23"/>
        </w:rPr>
        <w:footnoteReference w:id="3"/>
      </w:r>
      <w:r>
        <w:rPr>
          <w:sz w:val="23"/>
          <w:szCs w:val="23"/>
        </w:rPr>
        <w:t xml:space="preserve">  You assert that the location, but not the total number, of deployments may change depending on the business needs in each region, and you request that Comcast be permitted to update OET when it makes a location change for these access points.</w:t>
      </w:r>
      <w:r>
        <w:rPr>
          <w:sz w:val="23"/>
          <w:szCs w:val="23"/>
          <w:vertAlign w:val="superscript"/>
        </w:rPr>
        <w:t xml:space="preserve"> </w:t>
      </w:r>
      <w:r>
        <w:rPr>
          <w:sz w:val="23"/>
          <w:szCs w:val="23"/>
          <w:vertAlign w:val="superscript"/>
        </w:rPr>
        <w:footnoteReference w:id="4"/>
      </w:r>
      <w:r>
        <w:rPr>
          <w:sz w:val="23"/>
          <w:szCs w:val="23"/>
        </w:rPr>
        <w:t xml:space="preserve">  You also confirm that Comcast has the </w:t>
      </w:r>
      <w:r>
        <w:rPr>
          <w:sz w:val="23"/>
          <w:szCs w:val="23"/>
        </w:rPr>
        <w:lastRenderedPageBreak/>
        <w:t>ability to configure attenuation settings, and therefore can cause the device to operate below its maximum authorized transmit power.</w:t>
      </w:r>
      <w:r>
        <w:rPr>
          <w:sz w:val="23"/>
          <w:szCs w:val="23"/>
          <w:vertAlign w:val="superscript"/>
        </w:rPr>
        <w:footnoteReference w:id="5"/>
      </w:r>
      <w:r>
        <w:rPr>
          <w:sz w:val="23"/>
          <w:szCs w:val="23"/>
        </w:rPr>
        <w:t xml:space="preserve">  Finally, you state Comcast could reduce the transmit power, disable the 5 GHz radio, or prevent access by client devices, all from its central network management system.</w:t>
      </w:r>
      <w:r>
        <w:rPr>
          <w:sz w:val="23"/>
          <w:szCs w:val="23"/>
          <w:vertAlign w:val="superscript"/>
        </w:rPr>
        <w:footnoteReference w:id="6"/>
      </w:r>
    </w:p>
    <w:p w:rsidR="007668F2" w:rsidRDefault="007668F2">
      <w:pPr>
        <w:rPr>
          <w:sz w:val="23"/>
          <w:szCs w:val="23"/>
          <w:highlight w:val="yellow"/>
        </w:rPr>
      </w:pPr>
    </w:p>
    <w:p w:rsidR="007668F2" w:rsidRDefault="007668F2">
      <w:pPr>
        <w:rPr>
          <w:rFonts w:eastAsia="Calibri"/>
          <w:kern w:val="28"/>
        </w:rPr>
      </w:pPr>
      <w:r>
        <w:rPr>
          <w:rFonts w:eastAsia="Calibri"/>
          <w:kern w:val="28"/>
          <w:sz w:val="23"/>
          <w:szCs w:val="23"/>
        </w:rPr>
        <w:t xml:space="preserve">In the </w:t>
      </w:r>
      <w:r>
        <w:rPr>
          <w:rFonts w:eastAsia="Calibri"/>
          <w:i/>
          <w:kern w:val="28"/>
          <w:sz w:val="23"/>
          <w:szCs w:val="23"/>
        </w:rPr>
        <w:t>First Report and Order</w:t>
      </w:r>
      <w:r>
        <w:rPr>
          <w:rFonts w:eastAsia="Calibri"/>
          <w:kern w:val="28"/>
          <w:sz w:val="23"/>
          <w:szCs w:val="23"/>
        </w:rPr>
        <w:t xml:space="preserve"> (</w:t>
      </w:r>
      <w:r>
        <w:rPr>
          <w:rFonts w:eastAsia="Calibri"/>
          <w:i/>
          <w:kern w:val="28"/>
          <w:sz w:val="23"/>
          <w:szCs w:val="23"/>
        </w:rPr>
        <w:t>First R&amp;O</w:t>
      </w:r>
      <w:r>
        <w:rPr>
          <w:rFonts w:eastAsia="Calibri"/>
          <w:kern w:val="28"/>
          <w:sz w:val="23"/>
          <w:szCs w:val="23"/>
        </w:rPr>
        <w:t>) in U-NII 5 GHz proceeding, the Commission adopted rule Section 15.407(a)(1)(a) which allows fixed outdoor access points in the U-NII-1 band at a maximum conducted output power level not to exceed 1 W and a PSD not to exceed 17 dBm/MHz with an allowance for a 6 dBi antenna gain; the rule limits the maximum EIRP to 125 mW (21 dBm) at any elevation angle above 30 degrees measured from the horizon.</w:t>
      </w:r>
      <w:r>
        <w:rPr>
          <w:rStyle w:val="FootnoteReference"/>
          <w:rFonts w:eastAsia="Calibri"/>
          <w:kern w:val="28"/>
          <w:sz w:val="23"/>
          <w:szCs w:val="23"/>
        </w:rPr>
        <w:footnoteReference w:id="7"/>
      </w:r>
      <w:r>
        <w:rPr>
          <w:rFonts w:eastAsia="Calibri"/>
          <w:kern w:val="28"/>
          <w:sz w:val="23"/>
          <w:szCs w:val="23"/>
        </w:rPr>
        <w:t xml:space="preserve">  In other words, each outdoor access point must limit the energy directed upward so that, in the aggregate, they would avoid causing interference to satellites operating in the U-NII-1 band.</w:t>
      </w:r>
      <w:r>
        <w:rPr>
          <w:rStyle w:val="FootnoteReference"/>
          <w:rFonts w:eastAsia="Calibri"/>
          <w:kern w:val="28"/>
          <w:sz w:val="23"/>
          <w:szCs w:val="23"/>
        </w:rPr>
        <w:footnoteReference w:id="8"/>
      </w:r>
      <w:r>
        <w:rPr>
          <w:rFonts w:eastAsia="Calibri"/>
          <w:kern w:val="28"/>
          <w:sz w:val="23"/>
          <w:szCs w:val="23"/>
        </w:rPr>
        <w:t xml:space="preserve">  The Commission recognized that some U-NII-3 fixed access points already deployed could potentially be reprogrammed to meet the new U-NII-1 power limits and thus quickly begin more flexible operation in the U-NII-1 band using this exiting equipment.</w:t>
      </w:r>
      <w:r>
        <w:rPr>
          <w:rStyle w:val="FootnoteReference"/>
          <w:rFonts w:eastAsia="Calibri"/>
          <w:kern w:val="28"/>
          <w:sz w:val="23"/>
          <w:szCs w:val="23"/>
        </w:rPr>
        <w:footnoteReference w:id="9"/>
      </w:r>
      <w:r>
        <w:rPr>
          <w:rFonts w:eastAsia="Calibri"/>
          <w:kern w:val="28"/>
          <w:sz w:val="23"/>
          <w:szCs w:val="23"/>
        </w:rPr>
        <w:t xml:space="preserve">  The Commission stated that, if outdoor U-NII-3 band systems installed prior to the effective date of the new rules were not able to comply with the 125 mW EIRP requirements of </w:t>
      </w:r>
      <w:r>
        <w:rPr>
          <w:sz w:val="23"/>
          <w:szCs w:val="23"/>
        </w:rPr>
        <w:t>Section 15.407(a)(1)(i) to limit energy directed upward</w:t>
      </w:r>
      <w:r>
        <w:rPr>
          <w:rFonts w:eastAsia="Calibri"/>
          <w:kern w:val="28"/>
          <w:sz w:val="23"/>
          <w:szCs w:val="23"/>
        </w:rPr>
        <w:t>, manufacturers or equipment operators could file for a waiver of this provision for operation in the U-NII-1 band,</w:t>
      </w:r>
      <w:r>
        <w:rPr>
          <w:rFonts w:eastAsia="Calibri"/>
          <w:kern w:val="28"/>
          <w:sz w:val="23"/>
          <w:szCs w:val="23"/>
          <w:vertAlign w:val="superscript"/>
        </w:rPr>
        <w:footnoteReference w:id="10"/>
      </w:r>
      <w:r>
        <w:rPr>
          <w:rFonts w:eastAsia="Calibri"/>
          <w:kern w:val="28"/>
          <w:sz w:val="23"/>
          <w:szCs w:val="23"/>
        </w:rPr>
        <w:t xml:space="preserve"> no later than 30 days after of the effective date of the new rules.  The Commission stated that if the waiver is designed to enable existing deployments to operate with up</w:t>
      </w:r>
      <w:r>
        <w:rPr>
          <w:rFonts w:eastAsia="Calibri"/>
          <w:snapToGrid w:val="0"/>
          <w:kern w:val="28"/>
          <w:sz w:val="23"/>
          <w:szCs w:val="23"/>
        </w:rPr>
        <w:t xml:space="preserve"> to </w:t>
      </w:r>
      <w:r>
        <w:rPr>
          <w:rFonts w:eastAsia="Calibri"/>
          <w:kern w:val="28"/>
          <w:sz w:val="23"/>
          <w:szCs w:val="23"/>
        </w:rPr>
        <w:t xml:space="preserve">250 mW of conducted power and a PSD of 11 dBm/MHz with a 6 dBi gain antenna, the Commission could make a </w:t>
      </w:r>
      <w:r w:rsidR="009378FE">
        <w:rPr>
          <w:rFonts w:eastAsia="Calibri"/>
          <w:kern w:val="28"/>
          <w:sz w:val="23"/>
          <w:szCs w:val="23"/>
        </w:rPr>
        <w:t>quick and likely favorable good-</w:t>
      </w:r>
      <w:r>
        <w:rPr>
          <w:rFonts w:eastAsia="Calibri"/>
          <w:kern w:val="28"/>
          <w:sz w:val="23"/>
          <w:szCs w:val="23"/>
        </w:rPr>
        <w:t>cause determination sufficient to grant the waiver request.</w:t>
      </w:r>
    </w:p>
    <w:p w:rsidR="007668F2" w:rsidRDefault="007668F2">
      <w:pPr>
        <w:rPr>
          <w:rFonts w:eastAsia="Calibri"/>
          <w:kern w:val="28"/>
        </w:rPr>
      </w:pPr>
    </w:p>
    <w:p w:rsidR="007668F2" w:rsidRDefault="007668F2" w:rsidP="007668F2">
      <w:pPr>
        <w:rPr>
          <w:rFonts w:eastAsia="Calibri"/>
          <w:kern w:val="28"/>
          <w:sz w:val="23"/>
          <w:szCs w:val="23"/>
        </w:rPr>
      </w:pPr>
      <w:r>
        <w:rPr>
          <w:rFonts w:eastAsia="Calibri"/>
          <w:kern w:val="28"/>
          <w:sz w:val="23"/>
          <w:szCs w:val="23"/>
        </w:rPr>
        <w:t xml:space="preserve">The Commission asked for the following information about the petitioner’s existing deployments to assess the waiver requests: the number of devices installed, general location of each deployment, ability to reprogram the devices, and ability to adjust operating power from a central network management system.  The Commission concluded that waiver requests meeting these parameters and made within a short period of time are likely to serve the public interest because granting them is highly unlikely to create any risk of harmful interference, given the small numbers involved and the limited departure from the new </w:t>
      </w:r>
      <w:r>
        <w:rPr>
          <w:rFonts w:eastAsia="Calibri"/>
          <w:kern w:val="28"/>
          <w:sz w:val="23"/>
          <w:szCs w:val="23"/>
        </w:rPr>
        <w:lastRenderedPageBreak/>
        <w:t>technical requirements for the U-NII-1 band.</w:t>
      </w:r>
      <w:r>
        <w:rPr>
          <w:rStyle w:val="FootnoteReference"/>
          <w:rFonts w:eastAsia="Calibri"/>
          <w:kern w:val="28"/>
          <w:sz w:val="23"/>
          <w:szCs w:val="23"/>
        </w:rPr>
        <w:footnoteReference w:id="11"/>
      </w:r>
      <w:r>
        <w:rPr>
          <w:rFonts w:eastAsia="Calibri"/>
          <w:kern w:val="28"/>
          <w:sz w:val="23"/>
          <w:szCs w:val="23"/>
        </w:rPr>
        <w:t xml:space="preserve">  </w:t>
      </w:r>
      <w:r w:rsidR="0003241E">
        <w:rPr>
          <w:rFonts w:eastAsia="Calibri"/>
          <w:kern w:val="28"/>
          <w:sz w:val="23"/>
          <w:szCs w:val="23"/>
        </w:rPr>
        <w:t xml:space="preserve">While posing only </w:t>
      </w:r>
      <w:r>
        <w:rPr>
          <w:rFonts w:eastAsia="Calibri"/>
          <w:kern w:val="28"/>
          <w:sz w:val="23"/>
          <w:szCs w:val="23"/>
        </w:rPr>
        <w:t>a negligible risk of harmful interference</w:t>
      </w:r>
      <w:r w:rsidR="0003241E">
        <w:rPr>
          <w:rFonts w:eastAsia="Calibri"/>
          <w:kern w:val="28"/>
          <w:sz w:val="23"/>
          <w:szCs w:val="23"/>
        </w:rPr>
        <w:t xml:space="preserve">, </w:t>
      </w:r>
      <w:r>
        <w:rPr>
          <w:rFonts w:eastAsia="Calibri"/>
          <w:kern w:val="28"/>
          <w:sz w:val="23"/>
          <w:szCs w:val="23"/>
        </w:rPr>
        <w:t>the expedient approval of such waivers would benefit the public by promptly and efficiently expanding broadband use in this band.</w:t>
      </w:r>
      <w:r>
        <w:rPr>
          <w:rStyle w:val="FootnoteReference"/>
          <w:rFonts w:eastAsia="Calibri"/>
          <w:kern w:val="28"/>
          <w:sz w:val="23"/>
          <w:szCs w:val="23"/>
        </w:rPr>
        <w:footnoteReference w:id="12"/>
      </w:r>
      <w:r>
        <w:rPr>
          <w:rFonts w:eastAsia="Calibri"/>
          <w:kern w:val="28"/>
          <w:sz w:val="23"/>
          <w:szCs w:val="23"/>
        </w:rPr>
        <w:t xml:space="preserve">  </w:t>
      </w:r>
      <w:r w:rsidR="008C4862" w:rsidRPr="008C4862">
        <w:rPr>
          <w:rFonts w:eastAsia="Calibri"/>
          <w:kern w:val="28"/>
          <w:sz w:val="23"/>
          <w:szCs w:val="23"/>
        </w:rPr>
        <w:t>The Commission delegated authority to the Office of Engineering and Technology to consider and act on all such waiver petitions received</w:t>
      </w:r>
      <w:r w:rsidR="00F91B48">
        <w:rPr>
          <w:rFonts w:eastAsia="Calibri"/>
          <w:kern w:val="28"/>
          <w:sz w:val="23"/>
          <w:szCs w:val="23"/>
        </w:rPr>
        <w:t xml:space="preserve"> within 30 days of the effective date of the new rules, which period expired on</w:t>
      </w:r>
      <w:r w:rsidR="008C4862" w:rsidRPr="008C4862">
        <w:rPr>
          <w:rFonts w:eastAsia="Calibri"/>
          <w:kern w:val="28"/>
          <w:sz w:val="23"/>
          <w:szCs w:val="23"/>
        </w:rPr>
        <w:t xml:space="preserve"> </w:t>
      </w:r>
      <w:r w:rsidR="008C4862">
        <w:rPr>
          <w:rFonts w:eastAsia="Calibri"/>
          <w:kern w:val="28"/>
          <w:sz w:val="23"/>
          <w:szCs w:val="23"/>
        </w:rPr>
        <w:t>July 2, 2014</w:t>
      </w:r>
      <w:r w:rsidR="008C4862" w:rsidRPr="008C4862">
        <w:rPr>
          <w:rFonts w:eastAsia="Calibri"/>
          <w:kern w:val="28"/>
          <w:sz w:val="23"/>
          <w:szCs w:val="23"/>
        </w:rPr>
        <w:t>.</w:t>
      </w:r>
      <w:r w:rsidR="008C4862" w:rsidRPr="008C4862">
        <w:rPr>
          <w:rFonts w:eastAsia="Calibri"/>
          <w:kern w:val="28"/>
          <w:sz w:val="23"/>
          <w:szCs w:val="23"/>
          <w:vertAlign w:val="superscript"/>
        </w:rPr>
        <w:footnoteReference w:id="13"/>
      </w:r>
      <w:r w:rsidR="00F91B48">
        <w:rPr>
          <w:rFonts w:eastAsia="Calibri"/>
          <w:kern w:val="28"/>
          <w:sz w:val="23"/>
          <w:szCs w:val="23"/>
        </w:rPr>
        <w:t xml:space="preserve">  </w:t>
      </w:r>
      <w:r>
        <w:rPr>
          <w:rFonts w:eastAsia="Calibri"/>
          <w:kern w:val="28"/>
          <w:sz w:val="23"/>
          <w:szCs w:val="23"/>
        </w:rPr>
        <w:t xml:space="preserve">OET subsequently </w:t>
      </w:r>
      <w:r>
        <w:t xml:space="preserve">granted Comcast a waiver </w:t>
      </w:r>
      <w:r w:rsidRPr="00F60ACF">
        <w:rPr>
          <w:rFonts w:eastAsia="Calibri"/>
          <w:kern w:val="28"/>
          <w:sz w:val="23"/>
          <w:szCs w:val="23"/>
        </w:rPr>
        <w:t>under the streamlined provisions described above to allow already deployed U-NII-3</w:t>
      </w:r>
      <w:r>
        <w:rPr>
          <w:rFonts w:eastAsia="Calibri"/>
          <w:kern w:val="28"/>
          <w:sz w:val="23"/>
          <w:szCs w:val="23"/>
        </w:rPr>
        <w:t xml:space="preserve"> </w:t>
      </w:r>
      <w:r w:rsidRPr="00F60ACF">
        <w:rPr>
          <w:rFonts w:eastAsia="Calibri"/>
          <w:kern w:val="28"/>
          <w:sz w:val="23"/>
          <w:szCs w:val="23"/>
        </w:rPr>
        <w:t>systems to obtain certification for operation in the U-NII-1 band.</w:t>
      </w:r>
      <w:r w:rsidRPr="005E289B">
        <w:rPr>
          <w:rStyle w:val="FootnoteReference"/>
          <w:rFonts w:eastAsia="Calibri"/>
          <w:kern w:val="28"/>
          <w:sz w:val="23"/>
          <w:szCs w:val="23"/>
        </w:rPr>
        <w:t xml:space="preserve"> </w:t>
      </w:r>
      <w:r>
        <w:rPr>
          <w:rStyle w:val="FootnoteReference"/>
          <w:rFonts w:eastAsia="Calibri"/>
          <w:kern w:val="28"/>
          <w:sz w:val="23"/>
          <w:szCs w:val="23"/>
        </w:rPr>
        <w:footnoteReference w:id="14"/>
      </w:r>
    </w:p>
    <w:p w:rsidR="007668F2" w:rsidRDefault="007668F2" w:rsidP="007668F2">
      <w:pPr>
        <w:rPr>
          <w:rFonts w:eastAsia="Calibri"/>
          <w:kern w:val="28"/>
          <w:sz w:val="23"/>
          <w:szCs w:val="23"/>
        </w:rPr>
      </w:pPr>
    </w:p>
    <w:p w:rsidR="007668F2" w:rsidRDefault="007668F2" w:rsidP="007668F2">
      <w:pPr>
        <w:rPr>
          <w:rFonts w:eastAsia="Calibri"/>
          <w:kern w:val="28"/>
          <w:sz w:val="23"/>
          <w:szCs w:val="23"/>
        </w:rPr>
      </w:pPr>
      <w:r>
        <w:rPr>
          <w:rFonts w:eastAsia="Calibri"/>
          <w:kern w:val="28"/>
          <w:sz w:val="23"/>
          <w:szCs w:val="23"/>
        </w:rPr>
        <w:t>On December 11, 2014 the Commission issued a Public Notice seeking comment regarding your request for a waiver of yet-to-be deployed devices.</w:t>
      </w:r>
      <w:r>
        <w:rPr>
          <w:rStyle w:val="FootnoteReference"/>
          <w:rFonts w:eastAsia="Calibri"/>
          <w:kern w:val="28"/>
          <w:sz w:val="23"/>
          <w:szCs w:val="23"/>
        </w:rPr>
        <w:footnoteReference w:id="15"/>
      </w:r>
      <w:r>
        <w:rPr>
          <w:rFonts w:eastAsia="Calibri"/>
          <w:kern w:val="28"/>
          <w:sz w:val="23"/>
          <w:szCs w:val="23"/>
        </w:rPr>
        <w:t xml:space="preserve">  The sole commenter, Globalstar,</w:t>
      </w:r>
      <w:r w:rsidR="00E739FD">
        <w:rPr>
          <w:rFonts w:eastAsia="Calibri"/>
          <w:kern w:val="28"/>
          <w:sz w:val="23"/>
          <w:szCs w:val="23"/>
        </w:rPr>
        <w:t>Inc</w:t>
      </w:r>
      <w:r w:rsidR="009378FE">
        <w:rPr>
          <w:rFonts w:eastAsia="Calibri"/>
          <w:kern w:val="28"/>
          <w:sz w:val="23"/>
          <w:szCs w:val="23"/>
        </w:rPr>
        <w:t>.,</w:t>
      </w:r>
      <w:r w:rsidR="00E739FD">
        <w:rPr>
          <w:rFonts w:eastAsia="Calibri"/>
          <w:kern w:val="28"/>
          <w:sz w:val="23"/>
          <w:szCs w:val="23"/>
        </w:rPr>
        <w:t xml:space="preserve"> </w:t>
      </w:r>
      <w:r>
        <w:rPr>
          <w:rFonts w:eastAsia="Calibri"/>
          <w:kern w:val="28"/>
          <w:sz w:val="23"/>
          <w:szCs w:val="23"/>
        </w:rPr>
        <w:t>stated that it did not object to a waiver grant for this limited number of compliant outdoor U-NII-1 devices given the narrow scope of this waiver request.</w:t>
      </w:r>
      <w:r>
        <w:rPr>
          <w:rStyle w:val="FootnoteReference"/>
          <w:rFonts w:eastAsia="Calibri"/>
          <w:kern w:val="28"/>
          <w:sz w:val="23"/>
          <w:szCs w:val="23"/>
        </w:rPr>
        <w:footnoteReference w:id="16"/>
      </w:r>
    </w:p>
    <w:p w:rsidR="007668F2" w:rsidRDefault="007668F2">
      <w:pPr>
        <w:rPr>
          <w:rFonts w:eastAsia="Calibri"/>
          <w:kern w:val="28"/>
        </w:rPr>
      </w:pPr>
    </w:p>
    <w:p w:rsidR="007668F2" w:rsidRDefault="007668F2">
      <w:pPr>
        <w:rPr>
          <w:rFonts w:eastAsia="Calibri"/>
          <w:kern w:val="28"/>
          <w:sz w:val="22"/>
          <w:szCs w:val="20"/>
        </w:rPr>
      </w:pPr>
      <w:r>
        <w:rPr>
          <w:sz w:val="23"/>
          <w:szCs w:val="23"/>
        </w:rPr>
        <w:t xml:space="preserve">We find that the information you provide  regarding the </w:t>
      </w:r>
      <w:r w:rsidR="00E97192">
        <w:rPr>
          <w:sz w:val="23"/>
          <w:szCs w:val="23"/>
        </w:rPr>
        <w:t xml:space="preserve">yet-to-be </w:t>
      </w:r>
      <w:r>
        <w:rPr>
          <w:sz w:val="23"/>
          <w:szCs w:val="23"/>
        </w:rPr>
        <w:t xml:space="preserve">deployed systems satisfies the </w:t>
      </w:r>
      <w:r w:rsidR="00E97192">
        <w:rPr>
          <w:sz w:val="23"/>
          <w:szCs w:val="23"/>
        </w:rPr>
        <w:t xml:space="preserve">technical </w:t>
      </w:r>
      <w:r>
        <w:rPr>
          <w:sz w:val="23"/>
          <w:szCs w:val="23"/>
        </w:rPr>
        <w:t xml:space="preserve">requirements the Commission outlined in the </w:t>
      </w:r>
      <w:r>
        <w:rPr>
          <w:i/>
          <w:sz w:val="23"/>
          <w:szCs w:val="23"/>
        </w:rPr>
        <w:t>First R&amp;O</w:t>
      </w:r>
      <w:r>
        <w:rPr>
          <w:sz w:val="23"/>
          <w:szCs w:val="23"/>
        </w:rPr>
        <w:t xml:space="preserve"> for OET to act on your waiver request, and we conclude that a waiver of Section 15.407 (a)(1)(i) is in the public interest.  That is, these </w:t>
      </w:r>
      <w:r w:rsidR="00BC3F65">
        <w:rPr>
          <w:sz w:val="23"/>
          <w:szCs w:val="23"/>
        </w:rPr>
        <w:t>yet-to-be</w:t>
      </w:r>
      <w:r>
        <w:rPr>
          <w:sz w:val="23"/>
          <w:szCs w:val="23"/>
        </w:rPr>
        <w:t xml:space="preserve"> deployed systems </w:t>
      </w:r>
      <w:r w:rsidR="0003241E">
        <w:rPr>
          <w:sz w:val="23"/>
          <w:szCs w:val="23"/>
        </w:rPr>
        <w:t xml:space="preserve">are well under the volume anticipated in the Commission’s decision and </w:t>
      </w:r>
      <w:r>
        <w:rPr>
          <w:sz w:val="23"/>
          <w:szCs w:val="23"/>
        </w:rPr>
        <w:t>should not pose a threat of harmful interference to the incumbent services in the U-NII-1 band because, as you represent, these systems can be configured for operation in the U-NII-1 band at the 250 mW operational parameters and these systems can be configured to reduce the transmit power, disable the 5 GHz radio, or prevent access by client devices, from a central network management system</w:t>
      </w:r>
      <w:r w:rsidR="00D57CE6">
        <w:rPr>
          <w:sz w:val="23"/>
          <w:szCs w:val="23"/>
        </w:rPr>
        <w:t xml:space="preserve">.  </w:t>
      </w:r>
      <w:r>
        <w:rPr>
          <w:sz w:val="23"/>
          <w:szCs w:val="23"/>
        </w:rPr>
        <w:t xml:space="preserve">This waiver applies only to the </w:t>
      </w:r>
      <w:r w:rsidR="00E739FD">
        <w:rPr>
          <w:sz w:val="23"/>
          <w:szCs w:val="23"/>
        </w:rPr>
        <w:t>3,583</w:t>
      </w:r>
      <w:r>
        <w:rPr>
          <w:sz w:val="23"/>
          <w:szCs w:val="23"/>
        </w:rPr>
        <w:t xml:space="preserve"> outdoor access point systems at the locations that you identify </w:t>
      </w:r>
      <w:r w:rsidR="00E739FD">
        <w:rPr>
          <w:sz w:val="23"/>
          <w:szCs w:val="23"/>
        </w:rPr>
        <w:t>in your letter</w:t>
      </w:r>
      <w:r>
        <w:rPr>
          <w:sz w:val="23"/>
          <w:szCs w:val="23"/>
        </w:rPr>
        <w:t xml:space="preserve">, and does not apply to any future deployments.  If you need to change the location, but not the total number, of your deployments, </w:t>
      </w:r>
      <w:r w:rsidR="00F83015">
        <w:rPr>
          <w:sz w:val="23"/>
          <w:szCs w:val="23"/>
        </w:rPr>
        <w:t xml:space="preserve">you </w:t>
      </w:r>
      <w:r w:rsidR="00FB5095">
        <w:rPr>
          <w:sz w:val="23"/>
          <w:szCs w:val="23"/>
        </w:rPr>
        <w:t>must</w:t>
      </w:r>
      <w:r w:rsidR="00FB5095">
        <w:rPr>
          <w:rStyle w:val="CommentReference"/>
        </w:rPr>
        <w:t xml:space="preserve"> </w:t>
      </w:r>
      <w:r w:rsidR="00FB5095" w:rsidRPr="00D57CE6">
        <w:rPr>
          <w:rStyle w:val="CommentReference"/>
          <w:sz w:val="23"/>
          <w:szCs w:val="23"/>
        </w:rPr>
        <w:t>provide</w:t>
      </w:r>
      <w:r w:rsidRPr="00FB5095">
        <w:rPr>
          <w:sz w:val="23"/>
          <w:szCs w:val="23"/>
        </w:rPr>
        <w:t xml:space="preserve"> </w:t>
      </w:r>
      <w:r>
        <w:rPr>
          <w:sz w:val="23"/>
          <w:szCs w:val="23"/>
        </w:rPr>
        <w:t>OET with the modified deployment information.  You must demonstrate compliance with the technical requirements through the equipment certification process by filing a permissive change request along with a copy of the approved waiver.</w:t>
      </w:r>
    </w:p>
    <w:p w:rsidR="007668F2" w:rsidRDefault="007668F2">
      <w:pPr>
        <w:rPr>
          <w:rFonts w:eastAsia="Calibri"/>
          <w:kern w:val="28"/>
          <w:sz w:val="22"/>
          <w:szCs w:val="20"/>
        </w:rPr>
      </w:pPr>
    </w:p>
    <w:p w:rsidR="007668F2" w:rsidRDefault="007668F2">
      <w:pPr>
        <w:rPr>
          <w:sz w:val="23"/>
          <w:szCs w:val="23"/>
        </w:rPr>
      </w:pPr>
      <w:r>
        <w:rPr>
          <w:sz w:val="23"/>
          <w:szCs w:val="23"/>
        </w:rPr>
        <w:t>Accordingly, pursuant to the delegated authority in Sections 0.31 and  0.241 of the Commission’s rules and Section 1.3 of the Commission’s rules, 47 C.F.R. §§ 0.31, 0.241, 1.3, we waive the requirements of Section 15.407(a)(1)(i) of our rules to allow Comcast Corporation to obtain FCC certification, consistent with the terms of this waiver, for the U-NII-3 band outdoor access points you have identified to operate in the U-NII-1 band with up to 250 mW of conducted power and a PSD of 11 dBm/MHz with a 6 dBi antenna gain.</w:t>
      </w:r>
    </w:p>
    <w:p w:rsidR="007668F2" w:rsidRDefault="007668F2">
      <w:pPr>
        <w:rPr>
          <w:rFonts w:eastAsia="Calibri"/>
          <w:kern w:val="28"/>
          <w:sz w:val="22"/>
          <w:szCs w:val="20"/>
        </w:rPr>
      </w:pPr>
    </w:p>
    <w:p w:rsidR="007668F2" w:rsidRDefault="007668F2">
      <w:pPr>
        <w:rPr>
          <w:sz w:val="23"/>
          <w:szCs w:val="23"/>
        </w:rPr>
      </w:pPr>
    </w:p>
    <w:p w:rsidR="007668F2" w:rsidRDefault="007668F2">
      <w:pPr>
        <w:rPr>
          <w:sz w:val="23"/>
          <w:szCs w:val="23"/>
        </w:rPr>
      </w:pPr>
      <w:r>
        <w:rPr>
          <w:sz w:val="23"/>
          <w:szCs w:val="23"/>
        </w:rPr>
        <w:tab/>
      </w:r>
      <w:r>
        <w:rPr>
          <w:sz w:val="23"/>
          <w:szCs w:val="23"/>
        </w:rPr>
        <w:tab/>
      </w:r>
      <w:r>
        <w:rPr>
          <w:sz w:val="23"/>
          <w:szCs w:val="23"/>
        </w:rPr>
        <w:tab/>
      </w:r>
      <w:r>
        <w:rPr>
          <w:sz w:val="23"/>
          <w:szCs w:val="23"/>
        </w:rPr>
        <w:tab/>
      </w:r>
      <w:r>
        <w:rPr>
          <w:sz w:val="23"/>
          <w:szCs w:val="23"/>
        </w:rPr>
        <w:tab/>
        <w:t>Sincerely,</w:t>
      </w:r>
    </w:p>
    <w:p w:rsidR="007668F2" w:rsidRDefault="007668F2">
      <w:pPr>
        <w:rPr>
          <w:sz w:val="23"/>
          <w:szCs w:val="23"/>
        </w:rPr>
      </w:pPr>
    </w:p>
    <w:p w:rsidR="007668F2" w:rsidRDefault="007668F2">
      <w:pPr>
        <w:rPr>
          <w:sz w:val="23"/>
          <w:szCs w:val="23"/>
        </w:rPr>
      </w:pPr>
      <w:r>
        <w:rPr>
          <w:spacing w:val="-3"/>
          <w:sz w:val="23"/>
          <w:szCs w:val="23"/>
        </w:rPr>
        <w:tab/>
      </w:r>
      <w:r>
        <w:rPr>
          <w:spacing w:val="-3"/>
          <w:sz w:val="23"/>
          <w:szCs w:val="23"/>
        </w:rPr>
        <w:tab/>
      </w:r>
      <w:r>
        <w:rPr>
          <w:spacing w:val="-3"/>
          <w:sz w:val="23"/>
          <w:szCs w:val="23"/>
        </w:rPr>
        <w:tab/>
      </w:r>
      <w:r>
        <w:rPr>
          <w:spacing w:val="-3"/>
          <w:sz w:val="23"/>
          <w:szCs w:val="23"/>
        </w:rPr>
        <w:tab/>
      </w:r>
      <w:r>
        <w:rPr>
          <w:spacing w:val="-3"/>
          <w:sz w:val="23"/>
          <w:szCs w:val="23"/>
        </w:rPr>
        <w:tab/>
      </w:r>
    </w:p>
    <w:p w:rsidR="007668F2" w:rsidRDefault="007668F2">
      <w:pPr>
        <w:rPr>
          <w:sz w:val="23"/>
          <w:szCs w:val="23"/>
        </w:rPr>
      </w:pPr>
      <w:r>
        <w:rPr>
          <w:spacing w:val="-3"/>
          <w:sz w:val="23"/>
          <w:szCs w:val="23"/>
        </w:rPr>
        <w:tab/>
      </w:r>
      <w:r>
        <w:rPr>
          <w:spacing w:val="-3"/>
          <w:sz w:val="23"/>
          <w:szCs w:val="23"/>
        </w:rPr>
        <w:tab/>
      </w:r>
      <w:r>
        <w:rPr>
          <w:spacing w:val="-3"/>
          <w:sz w:val="23"/>
          <w:szCs w:val="23"/>
        </w:rPr>
        <w:tab/>
      </w:r>
      <w:r>
        <w:rPr>
          <w:spacing w:val="-3"/>
          <w:sz w:val="23"/>
          <w:szCs w:val="23"/>
        </w:rPr>
        <w:tab/>
      </w:r>
      <w:r>
        <w:rPr>
          <w:spacing w:val="-3"/>
          <w:sz w:val="23"/>
          <w:szCs w:val="23"/>
        </w:rPr>
        <w:tab/>
      </w:r>
    </w:p>
    <w:p w:rsidR="007668F2" w:rsidRDefault="007668F2">
      <w:pPr>
        <w:rPr>
          <w:sz w:val="23"/>
          <w:szCs w:val="23"/>
        </w:rPr>
      </w:pPr>
    </w:p>
    <w:p w:rsidR="007668F2" w:rsidRDefault="007668F2">
      <w:pPr>
        <w:ind w:left="2880" w:firstLine="720"/>
        <w:jc w:val="both"/>
        <w:rPr>
          <w:sz w:val="23"/>
          <w:szCs w:val="23"/>
        </w:rPr>
      </w:pPr>
      <w:r>
        <w:rPr>
          <w:sz w:val="23"/>
          <w:szCs w:val="23"/>
        </w:rPr>
        <w:t>Julius P. Knapp</w:t>
      </w:r>
    </w:p>
    <w:p w:rsidR="007668F2" w:rsidRDefault="007668F2">
      <w:pPr>
        <w:jc w:val="both"/>
        <w:rPr>
          <w:sz w:val="23"/>
          <w:szCs w:val="23"/>
        </w:rPr>
      </w:pPr>
      <w:r>
        <w:rPr>
          <w:spacing w:val="-3"/>
          <w:sz w:val="23"/>
          <w:szCs w:val="23"/>
        </w:rPr>
        <w:tab/>
      </w:r>
      <w:r>
        <w:rPr>
          <w:spacing w:val="-3"/>
          <w:sz w:val="23"/>
          <w:szCs w:val="23"/>
        </w:rPr>
        <w:tab/>
      </w:r>
      <w:r>
        <w:rPr>
          <w:spacing w:val="-3"/>
          <w:sz w:val="23"/>
          <w:szCs w:val="23"/>
        </w:rPr>
        <w:tab/>
      </w:r>
      <w:r>
        <w:rPr>
          <w:spacing w:val="-3"/>
          <w:sz w:val="23"/>
          <w:szCs w:val="23"/>
        </w:rPr>
        <w:tab/>
      </w:r>
      <w:r>
        <w:rPr>
          <w:spacing w:val="-3"/>
          <w:sz w:val="23"/>
          <w:szCs w:val="23"/>
        </w:rPr>
        <w:tab/>
      </w:r>
      <w:r>
        <w:rPr>
          <w:sz w:val="23"/>
          <w:szCs w:val="23"/>
        </w:rPr>
        <w:t>Chief</w:t>
      </w:r>
    </w:p>
    <w:p w:rsidR="007668F2" w:rsidRDefault="007668F2">
      <w:r>
        <w:rPr>
          <w:spacing w:val="-3"/>
          <w:sz w:val="23"/>
          <w:szCs w:val="23"/>
        </w:rPr>
        <w:tab/>
      </w:r>
      <w:r>
        <w:rPr>
          <w:spacing w:val="-3"/>
          <w:sz w:val="23"/>
          <w:szCs w:val="23"/>
        </w:rPr>
        <w:tab/>
      </w:r>
      <w:r>
        <w:rPr>
          <w:spacing w:val="-3"/>
          <w:sz w:val="23"/>
          <w:szCs w:val="23"/>
        </w:rPr>
        <w:tab/>
      </w:r>
      <w:r>
        <w:rPr>
          <w:spacing w:val="-3"/>
          <w:sz w:val="23"/>
          <w:szCs w:val="23"/>
        </w:rPr>
        <w:tab/>
      </w:r>
      <w:r>
        <w:rPr>
          <w:spacing w:val="-3"/>
          <w:sz w:val="23"/>
          <w:szCs w:val="23"/>
        </w:rPr>
        <w:tab/>
      </w:r>
      <w:r>
        <w:rPr>
          <w:sz w:val="23"/>
          <w:szCs w:val="23"/>
        </w:rPr>
        <w:t>Office of Engineering and Technology</w:t>
      </w:r>
    </w:p>
    <w:sectPr w:rsidR="007668F2">
      <w:headerReference w:type="even" r:id="rId8"/>
      <w:headerReference w:type="default" r:id="rId9"/>
      <w:footerReference w:type="even" r:id="rId10"/>
      <w:footerReference w:type="default" r:id="rId11"/>
      <w:headerReference w:type="first" r:id="rId12"/>
      <w:footerReference w:type="first" r:id="rId13"/>
      <w:pgSz w:w="12240" w:h="15840"/>
      <w:pgMar w:top="1440" w:right="1800" w:bottom="1440" w:left="180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7AC3" w:rsidRDefault="008E7AC3">
      <w:r>
        <w:separator/>
      </w:r>
    </w:p>
  </w:endnote>
  <w:endnote w:type="continuationSeparator" w:id="0">
    <w:p w:rsidR="008E7AC3" w:rsidRDefault="008E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21" w:rsidRDefault="00CD1F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21" w:rsidRDefault="00CD1F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21" w:rsidRDefault="00CD1F2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7AC3" w:rsidRDefault="008E7AC3">
      <w:r>
        <w:separator/>
      </w:r>
    </w:p>
  </w:footnote>
  <w:footnote w:type="continuationSeparator" w:id="0">
    <w:p w:rsidR="008E7AC3" w:rsidRDefault="008E7AC3">
      <w:r>
        <w:continuationSeparator/>
      </w:r>
    </w:p>
  </w:footnote>
  <w:footnote w:id="1">
    <w:p w:rsidR="00E97192" w:rsidRDefault="00E97192">
      <w:pPr>
        <w:pStyle w:val="FootnoteText"/>
      </w:pPr>
      <w:r>
        <w:rPr>
          <w:rStyle w:val="FootnoteReference"/>
        </w:rPr>
        <w:footnoteRef/>
      </w:r>
      <w:r>
        <w:t xml:space="preserve"> </w:t>
      </w:r>
      <w:r>
        <w:rPr>
          <w:i/>
        </w:rPr>
        <w:t>See</w:t>
      </w:r>
      <w:r>
        <w:t xml:space="preserve"> 47 C.F.R § 15.407 (a)(1)(i).</w:t>
      </w:r>
    </w:p>
  </w:footnote>
  <w:footnote w:id="2">
    <w:p w:rsidR="00E97192" w:rsidRDefault="00E97192">
      <w:pPr>
        <w:autoSpaceDE w:val="0"/>
        <w:autoSpaceDN w:val="0"/>
        <w:adjustRightInd w:val="0"/>
        <w:spacing w:after="200"/>
        <w:rPr>
          <w:bCs/>
          <w:iCs/>
          <w:sz w:val="20"/>
          <w:szCs w:val="20"/>
        </w:rPr>
      </w:pPr>
      <w:r>
        <w:rPr>
          <w:rStyle w:val="FootnoteReference"/>
        </w:rPr>
        <w:footnoteRef/>
      </w:r>
      <w:r>
        <w:t xml:space="preserve"> </w:t>
      </w:r>
      <w:r>
        <w:rPr>
          <w:i/>
          <w:sz w:val="20"/>
          <w:szCs w:val="20"/>
        </w:rPr>
        <w:t>See</w:t>
      </w:r>
      <w:r>
        <w:rPr>
          <w:sz w:val="20"/>
          <w:szCs w:val="20"/>
        </w:rPr>
        <w:t xml:space="preserve"> </w:t>
      </w:r>
      <w:r>
        <w:rPr>
          <w:bCs/>
          <w:iCs/>
          <w:sz w:val="20"/>
          <w:szCs w:val="20"/>
        </w:rPr>
        <w:t>Comcast Corporation Petition for Waiver of Section 15.407(a)(1)(i) of the FCC’s Rules for Outdoor Access Points Operating in the U-NII-1 Band-SUPPLEMENT(Supplemental Request) dated July 29, 2014, from David Don, Comcast Corporation.  On July, 2 2014, Comcast submitted a Petition for Waiver of Section 15.407(a)(1)(i) for currently deployed devices and yet-to-be deployed devices.  The Supplemental Request clarifies Comcast’s initial waiver request by specifying the number of devices that are currently deployed in the field.</w:t>
      </w:r>
    </w:p>
  </w:footnote>
  <w:footnote w:id="3">
    <w:p w:rsidR="00E97192" w:rsidRDefault="00E97192">
      <w:pPr>
        <w:pStyle w:val="FootnoteText"/>
      </w:pPr>
      <w:r>
        <w:rPr>
          <w:rStyle w:val="FootnoteReference"/>
        </w:rPr>
        <w:footnoteRef/>
      </w:r>
      <w:r>
        <w:t xml:space="preserve"> </w:t>
      </w:r>
      <w:r>
        <w:rPr>
          <w:i/>
        </w:rPr>
        <w:t>See</w:t>
      </w:r>
      <w:r>
        <w:t xml:space="preserve"> </w:t>
      </w:r>
      <w:r>
        <w:rPr>
          <w:bCs/>
          <w:iCs/>
        </w:rPr>
        <w:t>Comcast Corporation Petition for Waiver of Section 15.407(a)(1)(i) of the FCC’s Rules for Outdoor Access Points Operating in the U-NII-1 Band-Confidential Treatment Requested, dated July 29, 2014, from David Don, Comcast Corporation.</w:t>
      </w:r>
    </w:p>
  </w:footnote>
  <w:footnote w:id="4">
    <w:p w:rsidR="00E97192" w:rsidRDefault="00E97192">
      <w:pPr>
        <w:pStyle w:val="FootnoteText"/>
      </w:pPr>
      <w:r>
        <w:rPr>
          <w:rStyle w:val="FootnoteReference"/>
        </w:rPr>
        <w:footnoteRef/>
      </w:r>
      <w:r>
        <w:t xml:space="preserve"> </w:t>
      </w:r>
      <w:r>
        <w:rPr>
          <w:i/>
        </w:rPr>
        <w:t xml:space="preserve">See </w:t>
      </w:r>
      <w:r>
        <w:t>Supplemental Request at 3-4.</w:t>
      </w:r>
    </w:p>
  </w:footnote>
  <w:footnote w:id="5">
    <w:p w:rsidR="00E97192" w:rsidRDefault="00E97192">
      <w:pPr>
        <w:pStyle w:val="FootnoteText"/>
      </w:pPr>
      <w:r>
        <w:rPr>
          <w:rStyle w:val="FootnoteReference"/>
        </w:rPr>
        <w:footnoteRef/>
      </w:r>
      <w:r>
        <w:t xml:space="preserve"> </w:t>
      </w:r>
      <w:r>
        <w:rPr>
          <w:i/>
        </w:rPr>
        <w:t>Id. at 4-5</w:t>
      </w:r>
      <w:r>
        <w:t xml:space="preserve">. </w:t>
      </w:r>
    </w:p>
  </w:footnote>
  <w:footnote w:id="6">
    <w:p w:rsidR="00E97192" w:rsidRDefault="00E97192">
      <w:pPr>
        <w:pStyle w:val="FootnoteText"/>
      </w:pPr>
      <w:r>
        <w:rPr>
          <w:rStyle w:val="FootnoteReference"/>
        </w:rPr>
        <w:footnoteRef/>
      </w:r>
      <w:r>
        <w:t xml:space="preserve"> </w:t>
      </w:r>
      <w:r>
        <w:rPr>
          <w:i/>
        </w:rPr>
        <w:t>Id</w:t>
      </w:r>
      <w:r>
        <w:t xml:space="preserve">. at 5. </w:t>
      </w:r>
    </w:p>
  </w:footnote>
  <w:footnote w:id="7">
    <w:p w:rsidR="00E97192" w:rsidRDefault="00E97192">
      <w:pPr>
        <w:pStyle w:val="FootnoteText"/>
      </w:pPr>
      <w:r>
        <w:rPr>
          <w:rStyle w:val="FootnoteReference"/>
        </w:rPr>
        <w:footnoteRef/>
      </w:r>
      <w:r>
        <w:t xml:space="preserve"> </w:t>
      </w:r>
      <w:r>
        <w:rPr>
          <w:i/>
          <w:iCs/>
        </w:rPr>
        <w:t>See, Revision of Part 15 of the Commission’s Rules to Permit Unlicensed National Information Infrastructure (U-NII) Devices in the 5 GHz Band, First Report and Order</w:t>
      </w:r>
      <w:r>
        <w:t>, ET Docket No. 13-49 , 29 FCC Rcd. 4127 (2014) (</w:t>
      </w:r>
      <w:r>
        <w:rPr>
          <w:i/>
        </w:rPr>
        <w:t>First R&amp;O)</w:t>
      </w:r>
      <w:r>
        <w:t xml:space="preserve"> at 4138.</w:t>
      </w:r>
    </w:p>
  </w:footnote>
  <w:footnote w:id="8">
    <w:p w:rsidR="00E97192" w:rsidRDefault="00E97192">
      <w:pPr>
        <w:pStyle w:val="FootnoteText"/>
      </w:pPr>
      <w:r>
        <w:rPr>
          <w:rStyle w:val="FootnoteReference"/>
        </w:rPr>
        <w:footnoteRef/>
      </w:r>
      <w:r>
        <w:t xml:space="preserve"> </w:t>
      </w:r>
      <w:r>
        <w:rPr>
          <w:i/>
        </w:rPr>
        <w:t>Id</w:t>
      </w:r>
      <w:r>
        <w:t xml:space="preserve">. at 4138. </w:t>
      </w:r>
    </w:p>
  </w:footnote>
  <w:footnote w:id="9">
    <w:p w:rsidR="00E97192" w:rsidRDefault="00E97192">
      <w:pPr>
        <w:pStyle w:val="FootnoteText"/>
      </w:pPr>
      <w:r>
        <w:rPr>
          <w:rStyle w:val="FootnoteReference"/>
        </w:rPr>
        <w:footnoteRef/>
      </w:r>
      <w:r>
        <w:t xml:space="preserve"> </w:t>
      </w:r>
      <w:r>
        <w:rPr>
          <w:i/>
        </w:rPr>
        <w:t>Id</w:t>
      </w:r>
      <w:r>
        <w:t>. at 4139.</w:t>
      </w:r>
    </w:p>
  </w:footnote>
  <w:footnote w:id="10">
    <w:p w:rsidR="00E97192" w:rsidRDefault="00E97192">
      <w:pPr>
        <w:pStyle w:val="FootnoteText"/>
      </w:pPr>
      <w:r>
        <w:rPr>
          <w:rStyle w:val="FootnoteReference"/>
        </w:rPr>
        <w:footnoteRef/>
      </w:r>
      <w:r>
        <w:t xml:space="preserve"> </w:t>
      </w:r>
      <w:r>
        <w:rPr>
          <w:i/>
        </w:rPr>
        <w:t>Id</w:t>
      </w:r>
      <w:r>
        <w:t xml:space="preserve">. at 4139 – 4140.  </w:t>
      </w:r>
      <w:r>
        <w:rPr>
          <w:i/>
        </w:rPr>
        <w:t>See also</w:t>
      </w:r>
      <w:r>
        <w:t xml:space="preserve"> 47 C.F.R. § 1.3.  </w:t>
      </w:r>
      <w:r>
        <w:rPr>
          <w:i/>
        </w:rPr>
        <w:t>See</w:t>
      </w:r>
      <w:r>
        <w:t xml:space="preserve"> </w:t>
      </w:r>
      <w:r>
        <w:rPr>
          <w:i/>
        </w:rPr>
        <w:t>also</w:t>
      </w:r>
      <w:r>
        <w:t xml:space="preserve"> </w:t>
      </w:r>
      <w:r>
        <w:rPr>
          <w:i/>
          <w:iCs/>
        </w:rPr>
        <w:t>WAIT Radio</w:t>
      </w:r>
      <w:r>
        <w:t xml:space="preserve"> </w:t>
      </w:r>
      <w:r>
        <w:rPr>
          <w:i/>
          <w:iCs/>
        </w:rPr>
        <w:t>v. FCC</w:t>
      </w:r>
      <w:r>
        <w:t>, 418 F.2d 1153 (1969).</w:t>
      </w:r>
    </w:p>
  </w:footnote>
  <w:footnote w:id="11">
    <w:p w:rsidR="00E97192" w:rsidRDefault="00E97192">
      <w:pPr>
        <w:pStyle w:val="FootnoteText"/>
      </w:pPr>
      <w:r>
        <w:rPr>
          <w:rStyle w:val="FootnoteReference"/>
        </w:rPr>
        <w:footnoteRef/>
      </w:r>
      <w:r>
        <w:t xml:space="preserve"> </w:t>
      </w:r>
      <w:r>
        <w:rPr>
          <w:i/>
          <w:iCs/>
        </w:rPr>
        <w:t xml:space="preserve">See </w:t>
      </w:r>
      <w:r>
        <w:rPr>
          <w:i/>
        </w:rPr>
        <w:t xml:space="preserve">First R&amp;O </w:t>
      </w:r>
      <w:r>
        <w:t xml:space="preserve">at 4139. </w:t>
      </w:r>
    </w:p>
  </w:footnote>
  <w:footnote w:id="12">
    <w:p w:rsidR="00E97192" w:rsidRDefault="00E97192">
      <w:pPr>
        <w:pStyle w:val="FootnoteText"/>
      </w:pPr>
      <w:r>
        <w:rPr>
          <w:rStyle w:val="FootnoteReference"/>
        </w:rPr>
        <w:footnoteRef/>
      </w:r>
      <w:r>
        <w:t xml:space="preserve"> </w:t>
      </w:r>
      <w:r>
        <w:rPr>
          <w:i/>
        </w:rPr>
        <w:t>Id</w:t>
      </w:r>
      <w:r>
        <w:t xml:space="preserve">. at 4140. </w:t>
      </w:r>
    </w:p>
  </w:footnote>
  <w:footnote w:id="13">
    <w:p w:rsidR="008C4862" w:rsidRDefault="008C4862" w:rsidP="008C4862">
      <w:pPr>
        <w:pStyle w:val="FootnoteText"/>
      </w:pPr>
      <w:r>
        <w:rPr>
          <w:rStyle w:val="FootnoteReference"/>
        </w:rPr>
        <w:footnoteRef/>
      </w:r>
      <w:r>
        <w:t xml:space="preserve"> </w:t>
      </w:r>
      <w:r>
        <w:rPr>
          <w:i/>
        </w:rPr>
        <w:t>Id</w:t>
      </w:r>
      <w:r>
        <w:t xml:space="preserve">. </w:t>
      </w:r>
    </w:p>
  </w:footnote>
  <w:footnote w:id="14">
    <w:p w:rsidR="00E97192" w:rsidRDefault="00E97192" w:rsidP="007668F2">
      <w:pPr>
        <w:pStyle w:val="FootnoteText"/>
      </w:pPr>
      <w:r>
        <w:rPr>
          <w:rStyle w:val="FootnoteReference"/>
        </w:rPr>
        <w:footnoteRef/>
      </w:r>
      <w:r>
        <w:t xml:space="preserve"> </w:t>
      </w:r>
      <w:r w:rsidRPr="009D290E">
        <w:rPr>
          <w:i/>
        </w:rPr>
        <w:t>See</w:t>
      </w:r>
      <w:r>
        <w:t>, Letter from Julius P. Knapp, Chief, OET to Mr. David Don, Comcast Corporation</w:t>
      </w:r>
      <w:r w:rsidRPr="005E289B">
        <w:t xml:space="preserve"> </w:t>
      </w:r>
      <w:r>
        <w:t>dated August 20,2014, DA 14-1195, ET Docket No. 13-49, 29 FCC Rcd. 10002 (2014).</w:t>
      </w:r>
    </w:p>
  </w:footnote>
  <w:footnote w:id="15">
    <w:p w:rsidR="00E97192" w:rsidRDefault="00E97192" w:rsidP="007668F2">
      <w:pPr>
        <w:pStyle w:val="FootnoteText"/>
      </w:pPr>
      <w:r w:rsidRPr="009D290E">
        <w:rPr>
          <w:rStyle w:val="FootnoteReference"/>
          <w:i/>
        </w:rPr>
        <w:footnoteRef/>
      </w:r>
      <w:r w:rsidRPr="009D290E">
        <w:rPr>
          <w:i/>
        </w:rPr>
        <w:t xml:space="preserve"> See</w:t>
      </w:r>
      <w:r>
        <w:rPr>
          <w:i/>
        </w:rPr>
        <w:t>,</w:t>
      </w:r>
      <w:r w:rsidRPr="009D290E">
        <w:rPr>
          <w:i/>
        </w:rPr>
        <w:t xml:space="preserve"> Office of Engineering and Technology Declares the Time Warner Cable Inc. and the Comcast Corporation Requests for Waiver of Rules to be a “Permit-But-Disclose” Proceeding for Ex Parte” Purposes and Requests Comment</w:t>
      </w:r>
      <w:r>
        <w:rPr>
          <w:i/>
        </w:rPr>
        <w:t>, Public Notice,</w:t>
      </w:r>
      <w:r>
        <w:t xml:space="preserve"> ET Docket No. 13-49 , 29 FCC Rcd. 14792 (2014).</w:t>
      </w:r>
    </w:p>
  </w:footnote>
  <w:footnote w:id="16">
    <w:p w:rsidR="00E97192" w:rsidRDefault="00E97192" w:rsidP="007668F2">
      <w:pPr>
        <w:pStyle w:val="FootnoteText"/>
      </w:pPr>
      <w:r>
        <w:rPr>
          <w:rStyle w:val="FootnoteReference"/>
        </w:rPr>
        <w:footnoteRef/>
      </w:r>
      <w:r>
        <w:t xml:space="preserve"> </w:t>
      </w:r>
      <w:r w:rsidRPr="009D290E">
        <w:rPr>
          <w:i/>
        </w:rPr>
        <w:t>See</w:t>
      </w:r>
      <w:r>
        <w:t xml:space="preserve"> Globalstar, Inc Comments at 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1F21" w:rsidRDefault="00CD1F2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92" w:rsidRDefault="00E97192">
    <w:pPr>
      <w:pStyle w:val="Header"/>
      <w:rPr>
        <w:sz w:val="22"/>
        <w:szCs w:val="22"/>
      </w:rPr>
    </w:pPr>
    <w:r>
      <w:rPr>
        <w:sz w:val="22"/>
        <w:szCs w:val="22"/>
      </w:rPr>
      <w:t>David Don</w:t>
    </w:r>
  </w:p>
  <w:p w:rsidR="00E97192" w:rsidRDefault="006871C4">
    <w:pPr>
      <w:pStyle w:val="Header"/>
      <w:rPr>
        <w:sz w:val="22"/>
        <w:szCs w:val="22"/>
      </w:rPr>
    </w:pPr>
    <w:r>
      <w:rPr>
        <w:sz w:val="22"/>
        <w:szCs w:val="22"/>
      </w:rPr>
      <w:t xml:space="preserve">June </w:t>
    </w:r>
    <w:r w:rsidR="00716D3F">
      <w:rPr>
        <w:sz w:val="22"/>
        <w:szCs w:val="22"/>
      </w:rPr>
      <w:t>1</w:t>
    </w:r>
    <w:r w:rsidR="005C08B0">
      <w:rPr>
        <w:sz w:val="22"/>
        <w:szCs w:val="22"/>
      </w:rPr>
      <w:t>8</w:t>
    </w:r>
    <w:r w:rsidR="00E97192">
      <w:rPr>
        <w:sz w:val="22"/>
        <w:szCs w:val="22"/>
      </w:rPr>
      <w:t>, 201</w:t>
    </w:r>
    <w:r>
      <w:rPr>
        <w:sz w:val="22"/>
        <w:szCs w:val="22"/>
      </w:rPr>
      <w:t>5</w:t>
    </w:r>
  </w:p>
  <w:p w:rsidR="00E97192" w:rsidRDefault="00E97192">
    <w:pPr>
      <w:pStyle w:val="Header"/>
      <w:spacing w:after="120"/>
      <w:rPr>
        <w:sz w:val="22"/>
        <w:szCs w:val="22"/>
      </w:rPr>
    </w:pPr>
    <w:r>
      <w:rPr>
        <w:sz w:val="22"/>
        <w:szCs w:val="22"/>
      </w:rPr>
      <w:t xml:space="preserve">Page </w:t>
    </w:r>
    <w:r>
      <w:rPr>
        <w:sz w:val="22"/>
        <w:szCs w:val="22"/>
      </w:rPr>
      <w:fldChar w:fldCharType="begin"/>
    </w:r>
    <w:r>
      <w:rPr>
        <w:sz w:val="22"/>
        <w:szCs w:val="22"/>
      </w:rPr>
      <w:instrText xml:space="preserve"> PAGE </w:instrText>
    </w:r>
    <w:r>
      <w:rPr>
        <w:sz w:val="22"/>
        <w:szCs w:val="22"/>
      </w:rPr>
      <w:fldChar w:fldCharType="separate"/>
    </w:r>
    <w:r w:rsidR="007E7DF7">
      <w:rPr>
        <w:noProof/>
        <w:sz w:val="22"/>
        <w:szCs w:val="22"/>
      </w:rPr>
      <w:t>2</w:t>
    </w:r>
    <w:r>
      <w:rPr>
        <w:sz w:val="22"/>
        <w:szCs w:val="22"/>
      </w:rPr>
      <w:fldChar w:fldCharType="end"/>
    </w:r>
    <w:r>
      <w:rPr>
        <w:sz w:val="22"/>
        <w:szCs w:val="22"/>
      </w:rPr>
      <w:t xml:space="preserve"> of </w:t>
    </w:r>
    <w:r>
      <w:rPr>
        <w:sz w:val="22"/>
        <w:szCs w:val="22"/>
      </w:rPr>
      <w:fldChar w:fldCharType="begin"/>
    </w:r>
    <w:r>
      <w:rPr>
        <w:sz w:val="22"/>
        <w:szCs w:val="22"/>
      </w:rPr>
      <w:instrText xml:space="preserve"> NUMPAGES </w:instrText>
    </w:r>
    <w:r>
      <w:rPr>
        <w:sz w:val="22"/>
        <w:szCs w:val="22"/>
      </w:rPr>
      <w:fldChar w:fldCharType="separate"/>
    </w:r>
    <w:r w:rsidR="007E7DF7">
      <w:rPr>
        <w:noProof/>
        <w:sz w:val="22"/>
        <w:szCs w:val="22"/>
      </w:rPr>
      <w:t>2</w:t>
    </w:r>
    <w:r>
      <w:rPr>
        <w:sz w:val="22"/>
        <w:szCs w:val="22"/>
      </w:rPr>
      <w:fldChar w:fldCharType="end"/>
    </w:r>
  </w:p>
  <w:p w:rsidR="00E97192" w:rsidRDefault="00E97192">
    <w:pPr>
      <w:pStyle w:val="Header"/>
    </w:pPr>
  </w:p>
  <w:p w:rsidR="00E97192" w:rsidRDefault="00E97192"/>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7192" w:rsidRDefault="00716D3F">
    <w:pPr>
      <w:pStyle w:val="Header"/>
      <w:tabs>
        <w:tab w:val="clear" w:pos="4320"/>
        <w:tab w:val="clear" w:pos="8640"/>
      </w:tabs>
      <w:spacing w:before="360" w:line="228" w:lineRule="auto"/>
      <w:jc w:val="center"/>
    </w:pPr>
    <w:r>
      <w:rPr>
        <w:noProof/>
      </w:rPr>
      <w:drawing>
        <wp:anchor distT="0" distB="0" distL="114300" distR="114300" simplePos="0" relativeHeight="251657728" behindDoc="0" locked="0" layoutInCell="0" allowOverlap="1" wp14:anchorId="3E78ECFE" wp14:editId="4028A07E">
          <wp:simplePos x="0" y="0"/>
          <wp:positionH relativeFrom="column">
            <wp:posOffset>-451485</wp:posOffset>
          </wp:positionH>
          <wp:positionV relativeFrom="paragraph">
            <wp:posOffset>28575</wp:posOffset>
          </wp:positionV>
          <wp:extent cx="865505" cy="822960"/>
          <wp:effectExtent l="0" t="0" r="0" b="0"/>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865505" cy="822960"/>
                  </a:xfrm>
                  <a:prstGeom prst="rect">
                    <a:avLst/>
                  </a:prstGeom>
                  <a:solidFill>
                    <a:srgbClr val="33CCCC"/>
                  </a:solidFill>
                  <a:ln>
                    <a:noFill/>
                  </a:ln>
                  <a:effectLst/>
                </pic:spPr>
              </pic:pic>
            </a:graphicData>
          </a:graphic>
          <wp14:sizeRelH relativeFrom="page">
            <wp14:pctWidth>0</wp14:pctWidth>
          </wp14:sizeRelH>
          <wp14:sizeRelV relativeFrom="page">
            <wp14:pctHeight>0</wp14:pctHeight>
          </wp14:sizeRelV>
        </wp:anchor>
      </w:drawing>
    </w:r>
    <w:r w:rsidR="00E97192">
      <w:rPr>
        <w:sz w:val="28"/>
      </w:rPr>
      <w:t>Federal Communications Commission</w:t>
    </w:r>
  </w:p>
  <w:p w:rsidR="00E97192" w:rsidRDefault="00E97192">
    <w:pPr>
      <w:jc w:val="center"/>
      <w:rPr>
        <w:sz w:val="28"/>
      </w:rPr>
    </w:pPr>
    <w:r>
      <w:rPr>
        <w:sz w:val="28"/>
      </w:rPr>
      <w:t>Washington, D.C. 20554</w:t>
    </w:r>
  </w:p>
  <w:p w:rsidR="00E97192" w:rsidRDefault="00E97192">
    <w:pPr>
      <w:jc w:val="center"/>
      <w:rPr>
        <w:sz w:val="28"/>
      </w:rPr>
    </w:pPr>
  </w:p>
  <w:p w:rsidR="00E97192" w:rsidRDefault="00C719E9">
    <w:pPr>
      <w:pStyle w:val="Header"/>
      <w:jc w:val="center"/>
    </w:pPr>
    <w:r>
      <w:t>June</w:t>
    </w:r>
    <w:r w:rsidR="00E97192">
      <w:t xml:space="preserve"> </w:t>
    </w:r>
    <w:r w:rsidR="005C08B0">
      <w:t>18</w:t>
    </w:r>
    <w:r w:rsidR="00E97192">
      <w:t>,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5C4045"/>
    <w:multiLevelType w:val="hybridMultilevel"/>
    <w:tmpl w:val="DB8645D6"/>
    <w:lvl w:ilvl="0" w:tplc="D320F5B6">
      <w:start w:val="15"/>
      <w:numFmt w:val="bullet"/>
      <w:lvlText w:val="-"/>
      <w:lvlJc w:val="left"/>
      <w:pPr>
        <w:tabs>
          <w:tab w:val="num" w:pos="420"/>
        </w:tabs>
        <w:ind w:left="420" w:hanging="360"/>
      </w:pPr>
      <w:rPr>
        <w:rFonts w:ascii="Times New Roman" w:eastAsia="Times New Roman" w:hAnsi="Times New Roman" w:cs="Times New Roman" w:hint="default"/>
      </w:rPr>
    </w:lvl>
    <w:lvl w:ilvl="1" w:tplc="04090003" w:tentative="1">
      <w:start w:val="1"/>
      <w:numFmt w:val="bullet"/>
      <w:lvlText w:val="o"/>
      <w:lvlJc w:val="left"/>
      <w:pPr>
        <w:tabs>
          <w:tab w:val="num" w:pos="1140"/>
        </w:tabs>
        <w:ind w:left="1140" w:hanging="360"/>
      </w:pPr>
      <w:rPr>
        <w:rFonts w:ascii="Courier New" w:hAnsi="Courier New" w:cs="Arial"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Arial"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Arial"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126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668F2"/>
    <w:rsid w:val="000135FF"/>
    <w:rsid w:val="0003241E"/>
    <w:rsid w:val="000713A9"/>
    <w:rsid w:val="0009231F"/>
    <w:rsid w:val="00111EE0"/>
    <w:rsid w:val="00180905"/>
    <w:rsid w:val="00206139"/>
    <w:rsid w:val="002E3D13"/>
    <w:rsid w:val="002F11BE"/>
    <w:rsid w:val="00394412"/>
    <w:rsid w:val="003C5F9A"/>
    <w:rsid w:val="003D08D2"/>
    <w:rsid w:val="00445AC3"/>
    <w:rsid w:val="0054153C"/>
    <w:rsid w:val="005415B7"/>
    <w:rsid w:val="005524B0"/>
    <w:rsid w:val="00571B44"/>
    <w:rsid w:val="005C08B0"/>
    <w:rsid w:val="005C6A9B"/>
    <w:rsid w:val="00644082"/>
    <w:rsid w:val="00677BD6"/>
    <w:rsid w:val="006871C4"/>
    <w:rsid w:val="006918BC"/>
    <w:rsid w:val="006A7D02"/>
    <w:rsid w:val="00716D3F"/>
    <w:rsid w:val="007668F2"/>
    <w:rsid w:val="007758D5"/>
    <w:rsid w:val="007E6111"/>
    <w:rsid w:val="007E7DF7"/>
    <w:rsid w:val="00843245"/>
    <w:rsid w:val="008C4862"/>
    <w:rsid w:val="008E7AC3"/>
    <w:rsid w:val="0092508A"/>
    <w:rsid w:val="009378FE"/>
    <w:rsid w:val="009E5220"/>
    <w:rsid w:val="00A078DD"/>
    <w:rsid w:val="00A84A4F"/>
    <w:rsid w:val="00AB61FD"/>
    <w:rsid w:val="00B31432"/>
    <w:rsid w:val="00BC3F65"/>
    <w:rsid w:val="00C719E9"/>
    <w:rsid w:val="00CD1F21"/>
    <w:rsid w:val="00D57CE6"/>
    <w:rsid w:val="00D73311"/>
    <w:rsid w:val="00DF01BE"/>
    <w:rsid w:val="00E430F2"/>
    <w:rsid w:val="00E739FD"/>
    <w:rsid w:val="00E97192"/>
    <w:rsid w:val="00ED006D"/>
    <w:rsid w:val="00F34EDA"/>
    <w:rsid w:val="00F73341"/>
    <w:rsid w:val="00F83015"/>
    <w:rsid w:val="00F91B48"/>
    <w:rsid w:val="00FA4CFC"/>
    <w:rsid w:val="00FB50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r,Footnote Text Char1 Char2,Footnote Text Char Char2 Char,Footnote Text Char1 Char2 Char Char,Footnote Text Char Char2 Char Char Char,Footnote Text Char1 Char2 Char Char Char Char,fn"/>
    <w:basedOn w:val="Normal"/>
    <w:semiHidden/>
    <w:pPr>
      <w:tabs>
        <w:tab w:val="left" w:pos="720"/>
      </w:tabs>
      <w:spacing w:after="200"/>
    </w:pPr>
    <w:rPr>
      <w:sz w:val="20"/>
      <w:szCs w:val="20"/>
    </w:rPr>
  </w:style>
  <w:style w:type="character" w:styleId="FootnoteReference">
    <w:name w:val="footnote reference"/>
    <w:aliases w:val="Appel note de bas de p"/>
    <w:uiPriority w:val="99"/>
    <w:semiHidden/>
    <w:rPr>
      <w:vertAlign w:val="superscript"/>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FooterChar">
    <w:name w:val="Footer Char"/>
    <w:basedOn w:val="DefaultParagraphFont"/>
    <w:link w:val="Footer"/>
    <w:uiPriority w:val="99"/>
    <w:rsid w:val="00445AC3"/>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ALTS FOOTNOTE,Footnote Text Char,Footnote Text Char1 Char2,Footnote Text Char Char2 Char,Footnote Text Char1 Char2 Char Char,Footnote Text Char Char2 Char Char Char,Footnote Text Char1 Char2 Char Char Char Char,fn"/>
    <w:basedOn w:val="Normal"/>
    <w:semiHidden/>
    <w:pPr>
      <w:tabs>
        <w:tab w:val="left" w:pos="720"/>
      </w:tabs>
      <w:spacing w:after="200"/>
    </w:pPr>
    <w:rPr>
      <w:sz w:val="20"/>
      <w:szCs w:val="20"/>
    </w:rPr>
  </w:style>
  <w:style w:type="character" w:styleId="FootnoteReference">
    <w:name w:val="footnote reference"/>
    <w:aliases w:val="Appel note de bas de p"/>
    <w:uiPriority w:val="99"/>
    <w:semiHidden/>
    <w:rPr>
      <w:vertAlign w:val="superscript"/>
    </w:rPr>
  </w:style>
  <w:style w:type="character" w:styleId="Hyperlink">
    <w:name w:val="Hyperlink"/>
    <w:rPr>
      <w:color w:val="0000FF"/>
      <w:u w:val="single"/>
    </w:rPr>
  </w:style>
  <w:style w:type="character" w:customStyle="1" w:styleId="documentbody1">
    <w:name w:val="documentbody1"/>
    <w:rPr>
      <w:rFonts w:ascii="Verdana" w:hAnsi="Verdana" w:hint="default"/>
      <w:sz w:val="19"/>
      <w:szCs w:val="19"/>
    </w:rPr>
  </w:style>
  <w:style w:type="paragraph" w:styleId="BalloonText">
    <w:name w:val="Balloon Text"/>
    <w:basedOn w:val="Normal"/>
    <w:semiHidden/>
    <w:rPr>
      <w:rFonts w:ascii="Tahoma" w:hAnsi="Tahoma" w:cs="Tahoma"/>
      <w:sz w:val="16"/>
      <w:szCs w:val="16"/>
    </w:rPr>
  </w:style>
  <w:style w:type="paragraph" w:styleId="Footer">
    <w:name w:val="footer"/>
    <w:basedOn w:val="Normal"/>
    <w:link w:val="FooterChar"/>
    <w:uiPriority w:val="99"/>
    <w:pPr>
      <w:tabs>
        <w:tab w:val="center" w:pos="4320"/>
        <w:tab w:val="right" w:pos="8640"/>
      </w:tabs>
    </w:pPr>
  </w:style>
  <w:style w:type="character" w:styleId="PageNumber">
    <w:name w:val="page number"/>
    <w:rPr>
      <w:rFonts w:cs="Times New Roman"/>
    </w:rPr>
  </w:style>
  <w:style w:type="paragraph" w:styleId="Header">
    <w:name w:val="header"/>
    <w:basedOn w:val="Normal"/>
    <w:pPr>
      <w:tabs>
        <w:tab w:val="center" w:pos="4320"/>
        <w:tab w:val="right" w:pos="8640"/>
      </w:tabs>
    </w:pPr>
  </w:style>
  <w:style w:type="character" w:styleId="CommentReference">
    <w:name w:val="annotation reference"/>
    <w:semiHidden/>
    <w:rPr>
      <w:rFonts w:cs="Times New Roman"/>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FooterChar">
    <w:name w:val="Footer Char"/>
    <w:basedOn w:val="DefaultParagraphFont"/>
    <w:link w:val="Footer"/>
    <w:uiPriority w:val="99"/>
    <w:rsid w:val="00445AC3"/>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1151</Words>
  <Characters>6004</Characters>
  <Application>Microsoft Office Word</Application>
  <DocSecurity>0</DocSecurity>
  <Lines>110</Lines>
  <Paragraphs>18</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7188</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2014-08-20T14:52:00Z</cp:lastPrinted>
  <dcterms:created xsi:type="dcterms:W3CDTF">2015-06-17T20:59:00Z</dcterms:created>
  <dcterms:modified xsi:type="dcterms:W3CDTF">2015-06-17T20:59:00Z</dcterms:modified>
  <cp:category> </cp:category>
  <cp:contentStatus> </cp:contentStatus>
</cp:coreProperties>
</file>