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37371B">
        <w:rPr>
          <w:b/>
          <w:color w:val="000000"/>
          <w:szCs w:val="22"/>
        </w:rPr>
        <w:t xml:space="preserve"> </w:t>
      </w:r>
      <w:r w:rsidR="00E454D5">
        <w:rPr>
          <w:b/>
          <w:color w:val="000000"/>
          <w:szCs w:val="22"/>
        </w:rPr>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E454D5">
        <w:rPr>
          <w:b/>
          <w:color w:val="000000"/>
          <w:sz w:val="24"/>
          <w:szCs w:val="24"/>
        </w:rPr>
        <w:t>702</w:t>
      </w:r>
    </w:p>
    <w:p w:rsidR="00212CF5" w:rsidRPr="007356BA" w:rsidRDefault="00101A40">
      <w:pPr>
        <w:jc w:val="right"/>
        <w:rPr>
          <w:b/>
          <w:color w:val="000000"/>
          <w:sz w:val="24"/>
          <w:szCs w:val="24"/>
        </w:rPr>
      </w:pPr>
      <w:r>
        <w:rPr>
          <w:b/>
          <w:color w:val="000000"/>
          <w:sz w:val="24"/>
          <w:szCs w:val="24"/>
        </w:rPr>
        <w:t>June 15</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101A40">
        <w:rPr>
          <w:color w:val="000000"/>
        </w:rPr>
        <w:t>112</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E454D5" w:rsidRDefault="00101A40" w:rsidP="00101A40">
      <w:pPr>
        <w:autoSpaceDE w:val="0"/>
        <w:autoSpaceDN w:val="0"/>
        <w:adjustRightInd w:val="0"/>
        <w:ind w:left="720"/>
        <w:rPr>
          <w:szCs w:val="22"/>
        </w:rPr>
      </w:pPr>
      <w:r w:rsidRPr="005008B4">
        <w:rPr>
          <w:szCs w:val="22"/>
        </w:rPr>
        <w:t>Domestic Sec</w:t>
      </w:r>
      <w:r>
        <w:rPr>
          <w:szCs w:val="22"/>
        </w:rPr>
        <w:t>tion 214 Application Filed for the Transfer of</w:t>
      </w:r>
      <w:r w:rsidRPr="005008B4">
        <w:rPr>
          <w:szCs w:val="22"/>
        </w:rPr>
        <w:t xml:space="preserve"> </w:t>
      </w:r>
      <w:r>
        <w:rPr>
          <w:szCs w:val="22"/>
        </w:rPr>
        <w:t>Blue Casa Telephone, LLC t</w:t>
      </w:r>
      <w:r w:rsidRPr="006B6410">
        <w:rPr>
          <w:szCs w:val="22"/>
        </w:rPr>
        <w:t xml:space="preserve">o </w:t>
      </w:r>
    </w:p>
    <w:p w:rsidR="00101A40" w:rsidRPr="005008B4" w:rsidRDefault="00101A40" w:rsidP="00101A40">
      <w:pPr>
        <w:autoSpaceDE w:val="0"/>
        <w:autoSpaceDN w:val="0"/>
        <w:adjustRightInd w:val="0"/>
        <w:ind w:left="720"/>
        <w:rPr>
          <w:szCs w:val="22"/>
        </w:rPr>
      </w:pPr>
      <w:r w:rsidRPr="006B6410">
        <w:rPr>
          <w:szCs w:val="22"/>
        </w:rPr>
        <w:t xml:space="preserve">Jeff Compton </w:t>
      </w:r>
      <w:r>
        <w:rPr>
          <w:szCs w:val="22"/>
        </w:rPr>
        <w:t>a</w:t>
      </w:r>
      <w:r w:rsidRPr="006B6410">
        <w:rPr>
          <w:szCs w:val="22"/>
        </w:rPr>
        <w:t>nd Howard Brand</w:t>
      </w:r>
      <w:r>
        <w:rPr>
          <w:szCs w:val="22"/>
        </w:rPr>
        <w:t xml:space="preserve">, WC Docket No. 15-112 </w:t>
      </w:r>
      <w:r w:rsidRPr="005008B4">
        <w:rPr>
          <w:szCs w:val="22"/>
        </w:rPr>
        <w:t xml:space="preserve">(filed </w:t>
      </w:r>
      <w:r>
        <w:rPr>
          <w:szCs w:val="22"/>
        </w:rPr>
        <w:t>May 7</w:t>
      </w:r>
      <w:r w:rsidRPr="005008B4">
        <w:rPr>
          <w:szCs w:val="22"/>
        </w:rPr>
        <w:t xml:space="preserve">, 2015). </w:t>
      </w:r>
      <w:r>
        <w:rPr>
          <w:szCs w:val="22"/>
        </w:rPr>
        <w:t xml:space="preserve">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101A40">
        <w:rPr>
          <w:b/>
          <w:bCs/>
          <w:color w:val="000000"/>
          <w:szCs w:val="22"/>
          <w:lang w:eastAsia="ja-JP"/>
        </w:rPr>
        <w:t>June 15</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8F2767">
        <w:t>Margoux Brown</w:t>
      </w:r>
      <w:r w:rsidR="0038242E">
        <w:t xml:space="preserve"> at </w:t>
      </w:r>
      <w:hyperlink r:id="rId14" w:history="1">
        <w:r w:rsidR="00101A40" w:rsidRPr="00562870">
          <w:rPr>
            <w:rStyle w:val="Hyperlink"/>
          </w:rPr>
          <w:t>margoux.brown@fcc.gov</w:t>
        </w:r>
      </w:hyperlink>
      <w:r w:rsidR="00101A40">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4E" w:rsidRDefault="00C85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4E" w:rsidRDefault="00C850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4E" w:rsidRDefault="00C85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4E" w:rsidRDefault="00C85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4E" w:rsidRDefault="00C85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9AB77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B77F9"/>
    <w:rsid w:val="000D6713"/>
    <w:rsid w:val="000E51EE"/>
    <w:rsid w:val="000F3E71"/>
    <w:rsid w:val="00101A40"/>
    <w:rsid w:val="001314D5"/>
    <w:rsid w:val="001414FE"/>
    <w:rsid w:val="0015597D"/>
    <w:rsid w:val="0016142B"/>
    <w:rsid w:val="00212CF5"/>
    <w:rsid w:val="002937AB"/>
    <w:rsid w:val="002949AE"/>
    <w:rsid w:val="002A6AC9"/>
    <w:rsid w:val="00324C4A"/>
    <w:rsid w:val="00337F82"/>
    <w:rsid w:val="0037371B"/>
    <w:rsid w:val="0038242E"/>
    <w:rsid w:val="003D36AC"/>
    <w:rsid w:val="00412E8A"/>
    <w:rsid w:val="00466E2E"/>
    <w:rsid w:val="0048158D"/>
    <w:rsid w:val="004A5FAD"/>
    <w:rsid w:val="004B6456"/>
    <w:rsid w:val="004C4734"/>
    <w:rsid w:val="004D0C58"/>
    <w:rsid w:val="004D41FA"/>
    <w:rsid w:val="004E378C"/>
    <w:rsid w:val="005E584C"/>
    <w:rsid w:val="005F788C"/>
    <w:rsid w:val="0062222E"/>
    <w:rsid w:val="00635F8E"/>
    <w:rsid w:val="00642DF3"/>
    <w:rsid w:val="00645EF7"/>
    <w:rsid w:val="00646FD9"/>
    <w:rsid w:val="006607CA"/>
    <w:rsid w:val="0067502D"/>
    <w:rsid w:val="00687FA8"/>
    <w:rsid w:val="006C3BF5"/>
    <w:rsid w:val="006D3786"/>
    <w:rsid w:val="006F136F"/>
    <w:rsid w:val="007356BA"/>
    <w:rsid w:val="00744A15"/>
    <w:rsid w:val="007738A1"/>
    <w:rsid w:val="0077587F"/>
    <w:rsid w:val="007E570B"/>
    <w:rsid w:val="007E7248"/>
    <w:rsid w:val="00830E7E"/>
    <w:rsid w:val="00845722"/>
    <w:rsid w:val="008563C0"/>
    <w:rsid w:val="008F2767"/>
    <w:rsid w:val="00941FC6"/>
    <w:rsid w:val="009511B8"/>
    <w:rsid w:val="00A44645"/>
    <w:rsid w:val="00A613E4"/>
    <w:rsid w:val="00AC609E"/>
    <w:rsid w:val="00AF514F"/>
    <w:rsid w:val="00B43309"/>
    <w:rsid w:val="00B84291"/>
    <w:rsid w:val="00B94FF0"/>
    <w:rsid w:val="00BA7E71"/>
    <w:rsid w:val="00C8504E"/>
    <w:rsid w:val="00C90145"/>
    <w:rsid w:val="00C93905"/>
    <w:rsid w:val="00CB7A8B"/>
    <w:rsid w:val="00CC331C"/>
    <w:rsid w:val="00CD4BC7"/>
    <w:rsid w:val="00CE7268"/>
    <w:rsid w:val="00D06BC1"/>
    <w:rsid w:val="00D1322F"/>
    <w:rsid w:val="00D67997"/>
    <w:rsid w:val="00DD6B27"/>
    <w:rsid w:val="00DE29DB"/>
    <w:rsid w:val="00E02C7F"/>
    <w:rsid w:val="00E454D5"/>
    <w:rsid w:val="00E5320D"/>
    <w:rsid w:val="00E621CC"/>
    <w:rsid w:val="00E756E1"/>
    <w:rsid w:val="00EB23C7"/>
    <w:rsid w:val="00EB78A2"/>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rgoux.brow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859</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2015-06-15T20:29:00Z</dcterms:created>
  <dcterms:modified xsi:type="dcterms:W3CDTF">2015-06-15T20:29:00Z</dcterms:modified>
  <cp:category> </cp:category>
  <cp:contentStatus> </cp:contentStatus>
</cp:coreProperties>
</file>