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577" w:rsidRDefault="00602577">
      <w:pPr>
        <w:pStyle w:val="Header"/>
        <w:tabs>
          <w:tab w:val="clear" w:pos="4320"/>
          <w:tab w:val="clear" w:pos="8640"/>
        </w:tabs>
        <w:sectPr w:rsidR="00602577">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cols w:space="720"/>
          <w:titlePg/>
        </w:sectPr>
      </w:pPr>
      <w:bookmarkStart w:id="1" w:name="_GoBack"/>
      <w:bookmarkEnd w:id="1"/>
    </w:p>
    <w:p w:rsidR="00602577" w:rsidRDefault="00291A7D">
      <w:pPr>
        <w:jc w:val="right"/>
        <w:rPr>
          <w:sz w:val="24"/>
        </w:rPr>
      </w:pPr>
      <w:r>
        <w:rPr>
          <w:sz w:val="24"/>
        </w:rPr>
        <w:lastRenderedPageBreak/>
        <w:t>DA 15-</w:t>
      </w:r>
      <w:r w:rsidR="00EA3433">
        <w:rPr>
          <w:sz w:val="24"/>
        </w:rPr>
        <w:t>704</w:t>
      </w:r>
    </w:p>
    <w:p w:rsidR="00602577" w:rsidRPr="006E635C" w:rsidRDefault="00F76285">
      <w:pPr>
        <w:spacing w:before="60"/>
        <w:jc w:val="right"/>
        <w:rPr>
          <w:sz w:val="24"/>
        </w:rPr>
      </w:pPr>
      <w:r>
        <w:rPr>
          <w:sz w:val="24"/>
        </w:rPr>
        <w:t>June</w:t>
      </w:r>
      <w:r w:rsidR="004148A0">
        <w:rPr>
          <w:sz w:val="24"/>
        </w:rPr>
        <w:t xml:space="preserve"> 17</w:t>
      </w:r>
      <w:r w:rsidR="006E635C">
        <w:rPr>
          <w:sz w:val="24"/>
        </w:rPr>
        <w:t>, 2015</w:t>
      </w:r>
    </w:p>
    <w:p w:rsidR="00602577" w:rsidRDefault="00602577">
      <w:pPr>
        <w:jc w:val="right"/>
        <w:rPr>
          <w:sz w:val="24"/>
        </w:rPr>
      </w:pPr>
    </w:p>
    <w:p w:rsidR="00602577" w:rsidRDefault="006E635C">
      <w:pPr>
        <w:spacing w:after="240"/>
        <w:jc w:val="center"/>
        <w:rPr>
          <w:b/>
          <w:sz w:val="24"/>
        </w:rPr>
      </w:pPr>
      <w:r>
        <w:rPr>
          <w:b/>
          <w:sz w:val="24"/>
        </w:rPr>
        <w:t xml:space="preserve">WIRELESS TELECOMMUNICATIONS BUREAU REMINDS </w:t>
      </w:r>
      <w:r w:rsidR="00777DB2">
        <w:rPr>
          <w:b/>
          <w:sz w:val="24"/>
        </w:rPr>
        <w:t>ANTENNA STRUCTURE</w:t>
      </w:r>
      <w:r>
        <w:rPr>
          <w:b/>
          <w:sz w:val="24"/>
        </w:rPr>
        <w:t xml:space="preserve"> OWNERS OF REGISTRATION OBLIGATIONS</w:t>
      </w:r>
    </w:p>
    <w:p w:rsidR="00602577" w:rsidRDefault="006E635C">
      <w:pPr>
        <w:spacing w:before="120" w:after="240"/>
        <w:rPr>
          <w:sz w:val="24"/>
        </w:rPr>
      </w:pPr>
      <w:r>
        <w:rPr>
          <w:sz w:val="24"/>
        </w:rPr>
        <w:tab/>
      </w:r>
      <w:r w:rsidR="005418FF" w:rsidRPr="007D48E2">
        <w:rPr>
          <w:sz w:val="24"/>
        </w:rPr>
        <w:t xml:space="preserve">The </w:t>
      </w:r>
      <w:r w:rsidR="005418FF">
        <w:rPr>
          <w:sz w:val="24"/>
        </w:rPr>
        <w:t xml:space="preserve">Commission’s </w:t>
      </w:r>
      <w:r w:rsidR="005418FF" w:rsidRPr="007D48E2">
        <w:rPr>
          <w:sz w:val="24"/>
        </w:rPr>
        <w:t>A</w:t>
      </w:r>
      <w:r w:rsidR="005418FF">
        <w:rPr>
          <w:sz w:val="24"/>
        </w:rPr>
        <w:t>ntenna Structure Registration (A</w:t>
      </w:r>
      <w:r w:rsidR="005418FF" w:rsidRPr="007D48E2">
        <w:rPr>
          <w:sz w:val="24"/>
        </w:rPr>
        <w:t>SR</w:t>
      </w:r>
      <w:r w:rsidR="005418FF">
        <w:rPr>
          <w:sz w:val="24"/>
        </w:rPr>
        <w:t>)</w:t>
      </w:r>
      <w:r w:rsidR="005418FF" w:rsidRPr="007D48E2">
        <w:rPr>
          <w:sz w:val="24"/>
        </w:rPr>
        <w:t xml:space="preserve"> </w:t>
      </w:r>
      <w:r w:rsidR="00494791">
        <w:rPr>
          <w:sz w:val="24"/>
        </w:rPr>
        <w:t>system</w:t>
      </w:r>
      <w:r w:rsidR="005418FF" w:rsidRPr="005418FF">
        <w:rPr>
          <w:sz w:val="24"/>
          <w:vertAlign w:val="superscript"/>
        </w:rPr>
        <w:footnoteReference w:id="1"/>
      </w:r>
      <w:r w:rsidR="005418FF" w:rsidRPr="007D48E2">
        <w:rPr>
          <w:sz w:val="24"/>
        </w:rPr>
        <w:t xml:space="preserve"> allows the </w:t>
      </w:r>
      <w:r w:rsidR="005418FF">
        <w:rPr>
          <w:sz w:val="24"/>
        </w:rPr>
        <w:t>Commission</w:t>
      </w:r>
      <w:r w:rsidR="005418FF" w:rsidRPr="007D48E2">
        <w:rPr>
          <w:sz w:val="24"/>
        </w:rPr>
        <w:t xml:space="preserve"> to fulfill its statutory responsibility to require painting and lighting of antenna structures that may pose a hazard to air navigation.</w:t>
      </w:r>
      <w:r w:rsidR="005418FF">
        <w:rPr>
          <w:rStyle w:val="FootnoteReference"/>
          <w:sz w:val="24"/>
        </w:rPr>
        <w:footnoteReference w:id="2"/>
      </w:r>
      <w:r w:rsidR="005418FF">
        <w:rPr>
          <w:sz w:val="24"/>
        </w:rPr>
        <w:t xml:space="preserve">  </w:t>
      </w:r>
      <w:r w:rsidR="00494791">
        <w:rPr>
          <w:sz w:val="24"/>
        </w:rPr>
        <w:t>T</w:t>
      </w:r>
      <w:r>
        <w:rPr>
          <w:sz w:val="24"/>
        </w:rPr>
        <w:t xml:space="preserve">he Wireless Telecommunications Bureau </w:t>
      </w:r>
      <w:r w:rsidR="00777DB2">
        <w:rPr>
          <w:sz w:val="24"/>
        </w:rPr>
        <w:t xml:space="preserve">(Bureau) </w:t>
      </w:r>
      <w:r w:rsidR="00494791">
        <w:rPr>
          <w:sz w:val="24"/>
        </w:rPr>
        <w:t xml:space="preserve">takes this opportunity to </w:t>
      </w:r>
      <w:r>
        <w:rPr>
          <w:sz w:val="24"/>
        </w:rPr>
        <w:t xml:space="preserve">remind </w:t>
      </w:r>
      <w:r w:rsidR="00996650">
        <w:rPr>
          <w:sz w:val="24"/>
        </w:rPr>
        <w:t>antenna structure</w:t>
      </w:r>
      <w:r>
        <w:rPr>
          <w:sz w:val="24"/>
        </w:rPr>
        <w:t xml:space="preserve"> owners of their</w:t>
      </w:r>
      <w:r w:rsidR="00F35FC2">
        <w:rPr>
          <w:sz w:val="24"/>
        </w:rPr>
        <w:t xml:space="preserve"> obligations to comply with th</w:t>
      </w:r>
      <w:r>
        <w:rPr>
          <w:sz w:val="24"/>
        </w:rPr>
        <w:t>e</w:t>
      </w:r>
      <w:r w:rsidR="00494791">
        <w:rPr>
          <w:sz w:val="24"/>
        </w:rPr>
        <w:t xml:space="preserve"> Commission’s</w:t>
      </w:r>
      <w:r>
        <w:rPr>
          <w:sz w:val="24"/>
        </w:rPr>
        <w:t xml:space="preserve"> rules</w:t>
      </w:r>
      <w:r w:rsidR="00494791">
        <w:rPr>
          <w:sz w:val="24"/>
        </w:rPr>
        <w:t xml:space="preserve"> related to the ASR</w:t>
      </w:r>
      <w:r w:rsidR="007E0D3F">
        <w:rPr>
          <w:sz w:val="24"/>
        </w:rPr>
        <w:t xml:space="preserve"> system</w:t>
      </w:r>
      <w:r w:rsidR="00494791">
        <w:rPr>
          <w:sz w:val="24"/>
        </w:rPr>
        <w:t xml:space="preserve">, and to caution them that violations may result in </w:t>
      </w:r>
      <w:r w:rsidR="007E0D3F">
        <w:rPr>
          <w:sz w:val="24"/>
        </w:rPr>
        <w:t>monetary forfeitures</w:t>
      </w:r>
      <w:r w:rsidR="00494791">
        <w:rPr>
          <w:sz w:val="24"/>
        </w:rPr>
        <w:t xml:space="preserve"> or other enforcement actions</w:t>
      </w:r>
      <w:r>
        <w:rPr>
          <w:sz w:val="24"/>
        </w:rPr>
        <w:t>.</w:t>
      </w:r>
    </w:p>
    <w:p w:rsidR="006E635C" w:rsidRDefault="006E635C" w:rsidP="007D48E2">
      <w:pPr>
        <w:spacing w:before="120" w:after="240"/>
        <w:rPr>
          <w:sz w:val="24"/>
        </w:rPr>
      </w:pPr>
      <w:r>
        <w:rPr>
          <w:sz w:val="24"/>
        </w:rPr>
        <w:tab/>
      </w:r>
      <w:r w:rsidR="00777DB2">
        <w:rPr>
          <w:sz w:val="24"/>
        </w:rPr>
        <w:t>In re</w:t>
      </w:r>
      <w:r w:rsidR="00DE4256">
        <w:rPr>
          <w:sz w:val="24"/>
        </w:rPr>
        <w:t>cent re</w:t>
      </w:r>
      <w:r w:rsidR="00777DB2">
        <w:rPr>
          <w:sz w:val="24"/>
        </w:rPr>
        <w:t>view</w:t>
      </w:r>
      <w:r w:rsidR="00DE4256">
        <w:rPr>
          <w:sz w:val="24"/>
        </w:rPr>
        <w:t>s of ASR applications</w:t>
      </w:r>
      <w:r w:rsidR="00777DB2">
        <w:rPr>
          <w:sz w:val="24"/>
        </w:rPr>
        <w:t>, Bureau staff has discovered several types of defects:</w:t>
      </w:r>
    </w:p>
    <w:p w:rsidR="00DE4256" w:rsidRDefault="00427270" w:rsidP="00C8518B">
      <w:pPr>
        <w:numPr>
          <w:ilvl w:val="0"/>
          <w:numId w:val="13"/>
        </w:numPr>
        <w:spacing w:before="120" w:after="240"/>
        <w:rPr>
          <w:sz w:val="24"/>
        </w:rPr>
      </w:pPr>
      <w:r>
        <w:rPr>
          <w:sz w:val="24"/>
        </w:rPr>
        <w:t>An antenna structure owner fail</w:t>
      </w:r>
      <w:r w:rsidR="00F35FC2">
        <w:rPr>
          <w:sz w:val="24"/>
        </w:rPr>
        <w:t>s</w:t>
      </w:r>
      <w:r>
        <w:rPr>
          <w:sz w:val="24"/>
        </w:rPr>
        <w:t xml:space="preserve"> to </w:t>
      </w:r>
      <w:r w:rsidR="00141634">
        <w:rPr>
          <w:sz w:val="24"/>
        </w:rPr>
        <w:t xml:space="preserve">both obtain a No Hazard Determination from the Federal Aviation Administration (FAA) and </w:t>
      </w:r>
      <w:r>
        <w:rPr>
          <w:sz w:val="24"/>
        </w:rPr>
        <w:t xml:space="preserve">register </w:t>
      </w:r>
      <w:r w:rsidR="00141634">
        <w:rPr>
          <w:sz w:val="24"/>
        </w:rPr>
        <w:t>the</w:t>
      </w:r>
      <w:r>
        <w:rPr>
          <w:sz w:val="24"/>
        </w:rPr>
        <w:t xml:space="preserve"> antenna structure </w:t>
      </w:r>
      <w:r w:rsidR="00F35FC2">
        <w:rPr>
          <w:sz w:val="24"/>
        </w:rPr>
        <w:t>prior to construction</w:t>
      </w:r>
      <w:r>
        <w:rPr>
          <w:sz w:val="24"/>
        </w:rPr>
        <w:t>.</w:t>
      </w:r>
      <w:r w:rsidR="00C8518B">
        <w:rPr>
          <w:rStyle w:val="FootnoteReference"/>
          <w:sz w:val="24"/>
        </w:rPr>
        <w:footnoteReference w:id="3"/>
      </w:r>
      <w:r w:rsidR="00C8518B">
        <w:rPr>
          <w:sz w:val="24"/>
        </w:rPr>
        <w:t xml:space="preserve"> </w:t>
      </w:r>
    </w:p>
    <w:p w:rsidR="007E0D3F" w:rsidRDefault="007E0D3F" w:rsidP="00C8518B">
      <w:pPr>
        <w:numPr>
          <w:ilvl w:val="0"/>
          <w:numId w:val="13"/>
        </w:numPr>
        <w:spacing w:before="120" w:after="240"/>
        <w:rPr>
          <w:sz w:val="24"/>
        </w:rPr>
      </w:pPr>
      <w:r>
        <w:rPr>
          <w:sz w:val="24"/>
        </w:rPr>
        <w:t xml:space="preserve">Registrant fails to </w:t>
      </w:r>
      <w:r w:rsidR="003C696E">
        <w:rPr>
          <w:sz w:val="24"/>
        </w:rPr>
        <w:t>notify the Commission within five days of completion of construction or dismantlement</w:t>
      </w:r>
      <w:r>
        <w:rPr>
          <w:sz w:val="24"/>
        </w:rPr>
        <w:t>.</w:t>
      </w:r>
      <w:r>
        <w:rPr>
          <w:rStyle w:val="FootnoteReference"/>
          <w:sz w:val="24"/>
        </w:rPr>
        <w:footnoteReference w:id="4"/>
      </w:r>
    </w:p>
    <w:p w:rsidR="00427270" w:rsidRDefault="00427270" w:rsidP="00427270">
      <w:pPr>
        <w:numPr>
          <w:ilvl w:val="0"/>
          <w:numId w:val="13"/>
        </w:numPr>
        <w:spacing w:before="120" w:after="240"/>
        <w:rPr>
          <w:sz w:val="24"/>
        </w:rPr>
      </w:pPr>
      <w:r>
        <w:rPr>
          <w:sz w:val="24"/>
        </w:rPr>
        <w:lastRenderedPageBreak/>
        <w:t xml:space="preserve">The lighting </w:t>
      </w:r>
      <w:r w:rsidR="00996650">
        <w:rPr>
          <w:sz w:val="24"/>
        </w:rPr>
        <w:t xml:space="preserve">and painting </w:t>
      </w:r>
      <w:r>
        <w:rPr>
          <w:sz w:val="24"/>
        </w:rPr>
        <w:t>used for the tower differs from the lighting</w:t>
      </w:r>
      <w:r w:rsidR="00996650">
        <w:rPr>
          <w:sz w:val="24"/>
        </w:rPr>
        <w:t xml:space="preserve"> and painting</w:t>
      </w:r>
      <w:r>
        <w:rPr>
          <w:sz w:val="24"/>
        </w:rPr>
        <w:t xml:space="preserve"> listed in the ASR system and/or </w:t>
      </w:r>
      <w:r w:rsidR="007E0D3F">
        <w:rPr>
          <w:sz w:val="24"/>
        </w:rPr>
        <w:t>specified in</w:t>
      </w:r>
      <w:r>
        <w:rPr>
          <w:sz w:val="24"/>
        </w:rPr>
        <w:t xml:space="preserve"> the structure’s No Hazard Determination issued by the F</w:t>
      </w:r>
      <w:r w:rsidR="00141634">
        <w:rPr>
          <w:sz w:val="24"/>
        </w:rPr>
        <w:t>AA</w:t>
      </w:r>
      <w:r>
        <w:rPr>
          <w:sz w:val="24"/>
        </w:rPr>
        <w:t>.</w:t>
      </w:r>
      <w:r w:rsidR="007F4760">
        <w:rPr>
          <w:rStyle w:val="FootnoteReference"/>
          <w:sz w:val="24"/>
        </w:rPr>
        <w:footnoteReference w:id="5"/>
      </w:r>
    </w:p>
    <w:p w:rsidR="00F02CF2" w:rsidRDefault="00427270" w:rsidP="00F02CF2">
      <w:pPr>
        <w:numPr>
          <w:ilvl w:val="0"/>
          <w:numId w:val="13"/>
        </w:numPr>
        <w:spacing w:before="120" w:after="240"/>
        <w:rPr>
          <w:sz w:val="24"/>
        </w:rPr>
      </w:pPr>
      <w:r>
        <w:rPr>
          <w:sz w:val="24"/>
        </w:rPr>
        <w:t>The actual height or location of a registered antenna structure is materially different from the registered height or location of the structure.</w:t>
      </w:r>
      <w:r w:rsidR="00494791">
        <w:rPr>
          <w:rStyle w:val="FootnoteReference"/>
          <w:sz w:val="24"/>
        </w:rPr>
        <w:footnoteReference w:id="6"/>
      </w:r>
    </w:p>
    <w:p w:rsidR="00996650" w:rsidRDefault="00996650" w:rsidP="00F02CF2">
      <w:pPr>
        <w:spacing w:before="120" w:after="240"/>
        <w:ind w:firstLine="360"/>
        <w:rPr>
          <w:sz w:val="24"/>
        </w:rPr>
      </w:pPr>
      <w:r>
        <w:rPr>
          <w:sz w:val="24"/>
        </w:rPr>
        <w:t xml:space="preserve">In order that the information contained in the ASR system remains as accurate as possible, each registrant also is asked to update its registration promptly after receiving a new No Hazard Determination from the FAA.  </w:t>
      </w:r>
    </w:p>
    <w:p w:rsidR="00F02CF2" w:rsidRPr="00F02CF2" w:rsidRDefault="00F02CF2" w:rsidP="00F02CF2">
      <w:pPr>
        <w:spacing w:before="120" w:after="240"/>
        <w:ind w:firstLine="360"/>
        <w:rPr>
          <w:sz w:val="24"/>
        </w:rPr>
      </w:pPr>
      <w:r w:rsidRPr="00F02CF2">
        <w:rPr>
          <w:sz w:val="24"/>
        </w:rPr>
        <w:t xml:space="preserve">Further, applicants are reminded that under the ASR notification process, an applicant </w:t>
      </w:r>
      <w:r w:rsidR="001C04A1">
        <w:rPr>
          <w:sz w:val="24"/>
        </w:rPr>
        <w:t xml:space="preserve">may </w:t>
      </w:r>
      <w:r w:rsidRPr="00F02CF2">
        <w:rPr>
          <w:sz w:val="24"/>
        </w:rPr>
        <w:t>not prematurely certify that the antenna structure would not have a significant environmental effect</w:t>
      </w:r>
      <w:r w:rsidR="00494791">
        <w:rPr>
          <w:sz w:val="24"/>
        </w:rPr>
        <w:t>.  This type of premature certification can occur, for example, as follows</w:t>
      </w:r>
      <w:r w:rsidRPr="00F02CF2">
        <w:rPr>
          <w:sz w:val="24"/>
        </w:rPr>
        <w:t>:</w:t>
      </w:r>
    </w:p>
    <w:p w:rsidR="00F02CF2" w:rsidRDefault="00494791" w:rsidP="00F02CF2">
      <w:pPr>
        <w:numPr>
          <w:ilvl w:val="0"/>
          <w:numId w:val="13"/>
        </w:numPr>
        <w:spacing w:before="120" w:after="240"/>
        <w:rPr>
          <w:sz w:val="24"/>
        </w:rPr>
      </w:pPr>
      <w:r>
        <w:rPr>
          <w:sz w:val="24"/>
        </w:rPr>
        <w:t xml:space="preserve">An applicant uses ASR certification </w:t>
      </w:r>
      <w:r w:rsidR="00F02CF2" w:rsidRPr="00F02CF2">
        <w:rPr>
          <w:sz w:val="24"/>
        </w:rPr>
        <w:t>option (1) – “The construction is exempt from environmental notification (other than due to another agency</w:t>
      </w:r>
      <w:r w:rsidR="00F02CF2">
        <w:rPr>
          <w:sz w:val="24"/>
        </w:rPr>
        <w:t>’</w:t>
      </w:r>
      <w:r w:rsidR="00F02CF2" w:rsidRPr="00F02CF2">
        <w:rPr>
          <w:sz w:val="24"/>
        </w:rPr>
        <w:t>s review</w:t>
      </w:r>
      <w:r w:rsidR="00F02CF2">
        <w:rPr>
          <w:sz w:val="24"/>
        </w:rPr>
        <w:t xml:space="preserve">) </w:t>
      </w:r>
      <w:r w:rsidR="00F02CF2" w:rsidRPr="00F02CF2">
        <w:rPr>
          <w:sz w:val="24"/>
        </w:rPr>
        <w:t>and it does not fall within one of the categories in Section 1.1307(</w:t>
      </w:r>
      <w:r w:rsidR="00F02CF2">
        <w:rPr>
          <w:sz w:val="24"/>
        </w:rPr>
        <w:t>a) or (b) of the FCC’</w:t>
      </w:r>
      <w:r w:rsidR="00F02CF2" w:rsidRPr="00F02CF2">
        <w:rPr>
          <w:sz w:val="24"/>
        </w:rPr>
        <w:t xml:space="preserve">s rules” – before completing </w:t>
      </w:r>
      <w:r w:rsidR="006D28AA">
        <w:rPr>
          <w:sz w:val="24"/>
        </w:rPr>
        <w:t>an</w:t>
      </w:r>
      <w:r w:rsidR="00F02CF2" w:rsidRPr="00F02CF2">
        <w:rPr>
          <w:sz w:val="24"/>
        </w:rPr>
        <w:t xml:space="preserve"> environmental review; </w:t>
      </w:r>
    </w:p>
    <w:p w:rsidR="00F02CF2" w:rsidRDefault="001C04A1" w:rsidP="00F02CF2">
      <w:pPr>
        <w:numPr>
          <w:ilvl w:val="0"/>
          <w:numId w:val="13"/>
        </w:numPr>
        <w:spacing w:before="120" w:after="240"/>
        <w:rPr>
          <w:sz w:val="24"/>
        </w:rPr>
      </w:pPr>
      <w:r>
        <w:rPr>
          <w:sz w:val="24"/>
        </w:rPr>
        <w:t xml:space="preserve">An applicant uses ASR certification </w:t>
      </w:r>
      <w:r w:rsidR="00B763AF" w:rsidRPr="00F02CF2">
        <w:rPr>
          <w:sz w:val="24"/>
        </w:rPr>
        <w:t>option (3) – “The environmental notification has been completed, and the FCC has notified the applicant that an Environmental Assessment is not required under Section 1.1307(c) or (d) of the FCC’s rules, and the Construction does not fall within one of the categories in Section 1.1307(a) or (b) of the FCC’s rules” – before the Bureau has notified the applicant that an Environmental Assessment is not required</w:t>
      </w:r>
      <w:r w:rsidR="00F02CF2" w:rsidRPr="00F02CF2">
        <w:rPr>
          <w:sz w:val="24"/>
        </w:rPr>
        <w:t xml:space="preserve">; or </w:t>
      </w:r>
    </w:p>
    <w:p w:rsidR="00DE4256" w:rsidRPr="00F02CF2" w:rsidRDefault="001C04A1" w:rsidP="00F02CF2">
      <w:pPr>
        <w:numPr>
          <w:ilvl w:val="0"/>
          <w:numId w:val="13"/>
        </w:numPr>
        <w:spacing w:before="120" w:after="240"/>
        <w:rPr>
          <w:sz w:val="24"/>
        </w:rPr>
      </w:pPr>
      <w:r>
        <w:rPr>
          <w:sz w:val="24"/>
        </w:rPr>
        <w:t xml:space="preserve">An applicant uses ASR certification </w:t>
      </w:r>
      <w:r w:rsidR="00F02CF2" w:rsidRPr="00F02CF2">
        <w:rPr>
          <w:sz w:val="24"/>
        </w:rPr>
        <w:t xml:space="preserve">option (4) – “The FCC has issued a Finding of No Significant Impact” – before the FCC has issued </w:t>
      </w:r>
      <w:r w:rsidR="00F02CF2">
        <w:rPr>
          <w:sz w:val="24"/>
        </w:rPr>
        <w:t>its</w:t>
      </w:r>
      <w:r w:rsidR="00F02CF2" w:rsidRPr="00F02CF2">
        <w:rPr>
          <w:sz w:val="24"/>
        </w:rPr>
        <w:t xml:space="preserve"> Finding of No Significant Impact</w:t>
      </w:r>
      <w:r w:rsidR="00B763AF" w:rsidRPr="00F02CF2">
        <w:rPr>
          <w:sz w:val="24"/>
        </w:rPr>
        <w:t>.</w:t>
      </w:r>
      <w:r w:rsidR="007F4760">
        <w:rPr>
          <w:rStyle w:val="FootnoteReference"/>
          <w:sz w:val="24"/>
        </w:rPr>
        <w:footnoteReference w:id="7"/>
      </w:r>
      <w:r w:rsidR="00B763AF" w:rsidRPr="00F02CF2">
        <w:rPr>
          <w:sz w:val="24"/>
        </w:rPr>
        <w:t xml:space="preserve">  </w:t>
      </w:r>
    </w:p>
    <w:p w:rsidR="00DE4256" w:rsidRDefault="00DE4256" w:rsidP="00F35FC2">
      <w:pPr>
        <w:spacing w:before="120" w:after="240"/>
        <w:ind w:firstLine="720"/>
        <w:rPr>
          <w:sz w:val="24"/>
        </w:rPr>
      </w:pPr>
      <w:r>
        <w:rPr>
          <w:sz w:val="24"/>
        </w:rPr>
        <w:t xml:space="preserve">All of these types of defects may be considered violations of FCC rules and are </w:t>
      </w:r>
      <w:r w:rsidR="00406371">
        <w:rPr>
          <w:sz w:val="24"/>
        </w:rPr>
        <w:t xml:space="preserve">potentially </w:t>
      </w:r>
      <w:r>
        <w:rPr>
          <w:sz w:val="24"/>
        </w:rPr>
        <w:t xml:space="preserve">subject to enforcement proceedings.  </w:t>
      </w:r>
    </w:p>
    <w:p w:rsidR="00DE4256" w:rsidRPr="00427270" w:rsidRDefault="00DE4256" w:rsidP="00F35FC2">
      <w:pPr>
        <w:spacing w:before="120" w:after="240"/>
        <w:ind w:firstLine="720"/>
        <w:rPr>
          <w:sz w:val="24"/>
        </w:rPr>
      </w:pPr>
      <w:r>
        <w:rPr>
          <w:sz w:val="24"/>
        </w:rPr>
        <w:t xml:space="preserve">For further information, please contact </w:t>
      </w:r>
      <w:r w:rsidR="00DC1FD0">
        <w:rPr>
          <w:sz w:val="24"/>
        </w:rPr>
        <w:t xml:space="preserve">Mania Baghdadi at </w:t>
      </w:r>
      <w:hyperlink r:id="rId14" w:history="1">
        <w:r w:rsidR="00DC1FD0" w:rsidRPr="00D83676">
          <w:rPr>
            <w:rStyle w:val="Hyperlink"/>
            <w:sz w:val="24"/>
          </w:rPr>
          <w:t>Mania.Baghdadi@fcc.gov</w:t>
        </w:r>
      </w:hyperlink>
      <w:r w:rsidR="00DC1FD0">
        <w:rPr>
          <w:sz w:val="24"/>
        </w:rPr>
        <w:t xml:space="preserve"> or (202) 418-2133, </w:t>
      </w:r>
      <w:r>
        <w:rPr>
          <w:sz w:val="24"/>
        </w:rPr>
        <w:t xml:space="preserve">Jennifer Flynn at </w:t>
      </w:r>
      <w:hyperlink r:id="rId15" w:history="1">
        <w:r w:rsidRPr="005E086F">
          <w:rPr>
            <w:rStyle w:val="Hyperlink"/>
            <w:sz w:val="24"/>
          </w:rPr>
          <w:t>Jennifer.Flynn@fcc.gov</w:t>
        </w:r>
      </w:hyperlink>
      <w:r>
        <w:rPr>
          <w:sz w:val="24"/>
        </w:rPr>
        <w:t xml:space="preserve"> or (202) 418-0612, or Aaron Goldschmidt at </w:t>
      </w:r>
      <w:hyperlink r:id="rId16" w:history="1">
        <w:r w:rsidRPr="005E086F">
          <w:rPr>
            <w:rStyle w:val="Hyperlink"/>
            <w:sz w:val="24"/>
          </w:rPr>
          <w:t>Aaron.Goldschmidt@fcc.gov</w:t>
        </w:r>
      </w:hyperlink>
      <w:r>
        <w:rPr>
          <w:sz w:val="24"/>
        </w:rPr>
        <w:t xml:space="preserve"> or (202) 418-7146.</w:t>
      </w:r>
    </w:p>
    <w:sectPr w:rsidR="00DE4256" w:rsidRPr="00427270">
      <w:type w:val="continuous"/>
      <w:pgSz w:w="12240" w:h="15840" w:code="1"/>
      <w:pgMar w:top="72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4552" w:rsidRDefault="00C04552">
      <w:r>
        <w:separator/>
      </w:r>
    </w:p>
  </w:endnote>
  <w:endnote w:type="continuationSeparator" w:id="0">
    <w:p w:rsidR="00C04552" w:rsidRDefault="00C045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646" w:rsidRDefault="007E564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67B" w:rsidRDefault="00F0237E" w:rsidP="004148A0">
    <w:pPr>
      <w:pStyle w:val="Footer"/>
    </w:pPr>
    <w:r>
      <w:rPr>
        <w:b/>
      </w:rPr>
      <w:tab/>
    </w:r>
    <w:r>
      <w:rPr>
        <w:b/>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67B" w:rsidRDefault="00F0237E" w:rsidP="004148A0">
    <w:pPr>
      <w:pStyle w:val="Footer"/>
    </w:pPr>
    <w:r>
      <w:rPr>
        <w:b/>
      </w:rPr>
      <w:tab/>
    </w:r>
    <w:r>
      <w:rPr>
        <w:b/>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4552" w:rsidRDefault="00C04552">
      <w:r>
        <w:separator/>
      </w:r>
    </w:p>
  </w:footnote>
  <w:footnote w:type="continuationSeparator" w:id="0">
    <w:p w:rsidR="00C04552" w:rsidRDefault="00C04552">
      <w:r>
        <w:continuationSeparator/>
      </w:r>
    </w:p>
  </w:footnote>
  <w:footnote w:id="1">
    <w:p w:rsidR="005418FF" w:rsidRPr="00804F94" w:rsidRDefault="005418FF" w:rsidP="005418FF">
      <w:pPr>
        <w:pStyle w:val="FootnoteText"/>
      </w:pPr>
      <w:r w:rsidRPr="00ED4E5F">
        <w:rPr>
          <w:rStyle w:val="FootnoteReference"/>
        </w:rPr>
        <w:footnoteRef/>
      </w:r>
      <w:r w:rsidRPr="00ED4E5F">
        <w:t xml:space="preserve"> </w:t>
      </w:r>
      <w:r w:rsidRPr="00ED4E5F">
        <w:rPr>
          <w:i/>
        </w:rPr>
        <w:t>See</w:t>
      </w:r>
      <w:r w:rsidRPr="00ED4E5F">
        <w:t xml:space="preserve"> </w:t>
      </w:r>
      <w:r w:rsidR="00804F94">
        <w:t xml:space="preserve">FCC Form </w:t>
      </w:r>
      <w:r w:rsidR="00996650">
        <w:t xml:space="preserve">854, </w:t>
      </w:r>
      <w:hyperlink r:id="rId1" w:history="1">
        <w:r w:rsidR="00996650" w:rsidRPr="00DE78AC">
          <w:rPr>
            <w:rStyle w:val="Hyperlink"/>
          </w:rPr>
          <w:t>http://wireless.fcc.gov/antenna/index.htm?job=home</w:t>
        </w:r>
      </w:hyperlink>
      <w:r w:rsidR="00996650">
        <w:t xml:space="preserve">. </w:t>
      </w:r>
    </w:p>
  </w:footnote>
  <w:footnote w:id="2">
    <w:p w:rsidR="005418FF" w:rsidRPr="005418FF" w:rsidRDefault="005418FF" w:rsidP="005418FF">
      <w:pPr>
        <w:pStyle w:val="FootnoteText"/>
      </w:pPr>
      <w:r>
        <w:rPr>
          <w:rStyle w:val="FootnoteReference"/>
        </w:rPr>
        <w:footnoteRef/>
      </w:r>
      <w:r>
        <w:t xml:space="preserve"> </w:t>
      </w:r>
      <w:r>
        <w:rPr>
          <w:i/>
        </w:rPr>
        <w:t>See</w:t>
      </w:r>
      <w:r>
        <w:t xml:space="preserve"> 47 U.S.C. § 303(q)</w:t>
      </w:r>
      <w:r w:rsidR="007E0D3F">
        <w:t xml:space="preserve">; </w:t>
      </w:r>
      <w:r w:rsidR="007E0D3F" w:rsidRPr="00ED4E5F">
        <w:t>47 C.F.R. §§ 17.1–</w:t>
      </w:r>
      <w:r w:rsidR="007E0D3F">
        <w:t>17.57</w:t>
      </w:r>
      <w:r>
        <w:t>.</w:t>
      </w:r>
    </w:p>
  </w:footnote>
  <w:footnote w:id="3">
    <w:p w:rsidR="00C8518B" w:rsidRPr="00C8518B" w:rsidRDefault="00C8518B">
      <w:pPr>
        <w:pStyle w:val="FootnoteText"/>
      </w:pPr>
      <w:r>
        <w:rPr>
          <w:rStyle w:val="FootnoteReference"/>
        </w:rPr>
        <w:footnoteRef/>
      </w:r>
      <w:r>
        <w:t xml:space="preserve"> </w:t>
      </w:r>
      <w:r>
        <w:rPr>
          <w:i/>
        </w:rPr>
        <w:t>See</w:t>
      </w:r>
      <w:r>
        <w:t xml:space="preserve"> </w:t>
      </w:r>
      <w:r w:rsidR="00141634">
        <w:t xml:space="preserve">47 C.F.R. § 17.7 (stating when an applicant must notify the FAA of a proposed antenna structure); </w:t>
      </w:r>
      <w:r>
        <w:t>47 C.F.R. § 17.4(a)(1) (“</w:t>
      </w:r>
      <w:r w:rsidRPr="00C8518B">
        <w:t>The owner of any proposed or existing antenna structure that requires notice of proposed construction to the Federal Aviation Administration (FAA) due to physical obstruction must register the structure with the Commission</w:t>
      </w:r>
      <w:r>
        <w:t xml:space="preserve">….  </w:t>
      </w:r>
      <w:r w:rsidRPr="00C8518B">
        <w:t>For a proposed antenna structure or alteration of an existing antenna structure, the owner must register the structure prio</w:t>
      </w:r>
      <w:r>
        <w:t>r to construction or alteration”).</w:t>
      </w:r>
    </w:p>
  </w:footnote>
  <w:footnote w:id="4">
    <w:p w:rsidR="007E0D3F" w:rsidRPr="006D28AA" w:rsidRDefault="007E0D3F">
      <w:pPr>
        <w:pStyle w:val="FootnoteText"/>
      </w:pPr>
      <w:r>
        <w:rPr>
          <w:rStyle w:val="FootnoteReference"/>
        </w:rPr>
        <w:footnoteRef/>
      </w:r>
      <w:r>
        <w:t xml:space="preserve"> </w:t>
      </w:r>
      <w:r w:rsidR="006D28AA">
        <w:rPr>
          <w:i/>
        </w:rPr>
        <w:t>See</w:t>
      </w:r>
      <w:r w:rsidR="006D28AA">
        <w:t xml:space="preserve"> 47 C.F.R. § 17.57 (“</w:t>
      </w:r>
      <w:r w:rsidR="006D28AA" w:rsidRPr="006D28AA">
        <w:t>The owner of an antenna structure for which an Antenna Structure Registration Number has been obtained must notify the Commission within 5 days of completion of construction (FCC Form 854-R) and/or dismantlement (FCC Form 854)</w:t>
      </w:r>
      <w:r w:rsidR="006D28AA">
        <w:t>.”).</w:t>
      </w:r>
    </w:p>
  </w:footnote>
  <w:footnote w:id="5">
    <w:p w:rsidR="007F4760" w:rsidRPr="007F4760" w:rsidRDefault="007F4760">
      <w:pPr>
        <w:pStyle w:val="FootnoteText"/>
      </w:pPr>
      <w:r>
        <w:rPr>
          <w:rStyle w:val="FootnoteReference"/>
        </w:rPr>
        <w:footnoteRef/>
      </w:r>
      <w:r>
        <w:t xml:space="preserve"> </w:t>
      </w:r>
      <w:r>
        <w:rPr>
          <w:i/>
        </w:rPr>
        <w:t>See</w:t>
      </w:r>
      <w:r>
        <w:t xml:space="preserve"> 47 C.F.R. § 17.23 (“</w:t>
      </w:r>
      <w:r w:rsidRPr="007F4760">
        <w:t>Unless otherwise specified by the Commission, each new or altered antenna structure must conform to the FAA</w:t>
      </w:r>
      <w:r w:rsidR="00494791">
        <w:t>’</w:t>
      </w:r>
      <w:r w:rsidRPr="007F4760">
        <w:t>s painting and lighting specifications set forth in the FAA</w:t>
      </w:r>
      <w:r w:rsidR="00494791">
        <w:t>’</w:t>
      </w:r>
      <w:r w:rsidRPr="007F4760">
        <w:t xml:space="preserve">s final determination of </w:t>
      </w:r>
      <w:r>
        <w:t>‘</w:t>
      </w:r>
      <w:r w:rsidRPr="007F4760">
        <w:t>no hazard</w:t>
      </w:r>
      <w:r>
        <w:t>’</w:t>
      </w:r>
      <w:r w:rsidRPr="007F4760">
        <w:t xml:space="preserve"> and the associated FAA study for that particular structure. For purposes of this part, any specifications, standards, and general requirements set forth by the FAA in th</w:t>
      </w:r>
      <w:r>
        <w:t>e structure</w:t>
      </w:r>
      <w:r w:rsidR="00494791">
        <w:t>’</w:t>
      </w:r>
      <w:r>
        <w:t>s determination of ‘</w:t>
      </w:r>
      <w:r w:rsidRPr="007F4760">
        <w:t>no hazard</w:t>
      </w:r>
      <w:r>
        <w:t>’</w:t>
      </w:r>
      <w:r w:rsidRPr="007F4760">
        <w:t xml:space="preserve"> and the associated FAA study are mandatory. Additionally, each antenna structure must be painted and lighted in accordance with any painting and lighting requirements prescribed on the antenna structure's registration, or in accordance with any other specificat</w:t>
      </w:r>
      <w:r>
        <w:t>ions provided by the Commission</w:t>
      </w:r>
      <w:r w:rsidR="00494791">
        <w:t>.</w:t>
      </w:r>
      <w:r>
        <w:t>”).</w:t>
      </w:r>
    </w:p>
  </w:footnote>
  <w:footnote w:id="6">
    <w:p w:rsidR="00494791" w:rsidRPr="00234960" w:rsidRDefault="00494791" w:rsidP="00494791">
      <w:pPr>
        <w:pStyle w:val="FootnoteText"/>
      </w:pPr>
      <w:r>
        <w:rPr>
          <w:rStyle w:val="FootnoteReference"/>
        </w:rPr>
        <w:footnoteRef/>
      </w:r>
      <w:r>
        <w:t xml:space="preserve"> </w:t>
      </w:r>
      <w:r w:rsidR="00CE01AE" w:rsidRPr="00CE01AE">
        <w:rPr>
          <w:i/>
        </w:rPr>
        <w:t>See</w:t>
      </w:r>
      <w:r w:rsidR="00CE01AE" w:rsidRPr="00CE01AE">
        <w:t xml:space="preserve"> 47 C.F.R. § 17.4(a)(1) (alteration of an existing antenna structure requires the owner to obtain a new registration prior to alteration). The Commission has voted to amend its rules concerning this requirement to define what constitutes an alteration requiring registration, and this change will become effective after approval by the Office of Management and Budget.  </w:t>
      </w:r>
      <w:r w:rsidR="00CE01AE" w:rsidRPr="00CE01AE">
        <w:rPr>
          <w:i/>
        </w:rPr>
        <w:t>See 2004 and 2006 Biennial Regulatory Reviews -- Streamlining and Other Revisions of Parts 1 and 17 of the Commission’s Rules Governing Construction, Marking and Lighting of Antenna Structures</w:t>
      </w:r>
      <w:r w:rsidR="00CE01AE" w:rsidRPr="00CE01AE">
        <w:t>, WT Docket No. 10-88</w:t>
      </w:r>
      <w:r w:rsidR="00CE01AE">
        <w:t xml:space="preserve"> and RM 11349</w:t>
      </w:r>
      <w:r w:rsidR="00CE01AE" w:rsidRPr="00CE01AE">
        <w:t>, Report and Order, 29 FCC Rcd 9787, 9819-20 (2014) (the new 47 C.F.R. § 17.4(j) would state, “Any change or correction in the overall height of one foot or greater or coordinates of one second or greater in longitude or latitude of a registered antenna structure requires prior approval from the FAA and modification of the existing registration with the Commission.”).</w:t>
      </w:r>
      <w:r w:rsidR="00996650">
        <w:t xml:space="preserve"> </w:t>
      </w:r>
    </w:p>
  </w:footnote>
  <w:footnote w:id="7">
    <w:p w:rsidR="007F4760" w:rsidRPr="007F4760" w:rsidRDefault="007F4760">
      <w:pPr>
        <w:pStyle w:val="FootnoteText"/>
      </w:pPr>
      <w:r>
        <w:rPr>
          <w:rStyle w:val="FootnoteReference"/>
        </w:rPr>
        <w:footnoteRef/>
      </w:r>
      <w:r>
        <w:t xml:space="preserve"> </w:t>
      </w:r>
      <w:r>
        <w:rPr>
          <w:i/>
        </w:rPr>
        <w:t>See</w:t>
      </w:r>
      <w:r>
        <w:t xml:space="preserve"> 47 C.F.R. § 17.4(c)(8) (“</w:t>
      </w:r>
      <w:r w:rsidRPr="007F4760">
        <w:rPr>
          <w:i/>
          <w:iCs/>
        </w:rPr>
        <w:t>Disposition.</w:t>
      </w:r>
      <w:r w:rsidRPr="007F4760">
        <w:t> The processing Bureau shall resolve all environmental issues, in accordance with the environmental regulations (47 CFR</w:t>
      </w:r>
      <w:r w:rsidR="00F02CF2">
        <w:t xml:space="preserve"> §§</w:t>
      </w:r>
      <w:r w:rsidRPr="007F4760">
        <w:t xml:space="preserve"> 1.1301 through 1.1319) specified in part 1 of this chapter, before the tower owner, or the first tenant licensee acting on behalf of the owner, may complete the antenna structure registration application. </w:t>
      </w:r>
      <w:r w:rsidR="001C04A1">
        <w:t xml:space="preserve"> </w:t>
      </w:r>
      <w:r w:rsidRPr="007F4760">
        <w:t xml:space="preserve">In a case where no EA is submitted, the Bureau shall notify the applicant whether an EA is required under §1.1307(c) or (d) of this chapter. </w:t>
      </w:r>
      <w:r w:rsidR="001C04A1">
        <w:t xml:space="preserve"> </w:t>
      </w:r>
      <w:r w:rsidRPr="007F4760">
        <w:t>In a case where an EA is submitted, the Bureau shall either grant a Finding of No Significant Impact (FONSI) or notify the applicant that further environmental processing is required pursuant to §1.1308 of this chapter. Upon filing the completed antenna structure registration application, the applicant shall certify that the construction will not have a significant environmental impact, unless an Environmental Impact Statement is prepared pursuant to §1.1314 of this chapter.</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646" w:rsidRDefault="007E564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646" w:rsidRDefault="007E564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577" w:rsidRDefault="00B763AF">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drawing>
        <wp:anchor distT="0" distB="0" distL="114300" distR="114300" simplePos="0" relativeHeight="251659264" behindDoc="0" locked="0" layoutInCell="0" allowOverlap="1">
          <wp:simplePos x="0" y="0"/>
          <wp:positionH relativeFrom="column">
            <wp:posOffset>443865</wp:posOffset>
          </wp:positionH>
          <wp:positionV relativeFrom="paragraph">
            <wp:posOffset>107950</wp:posOffset>
          </wp:positionV>
          <wp:extent cx="530225" cy="530225"/>
          <wp:effectExtent l="0" t="0" r="3175" b="3175"/>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D60EFF">
      <w:rPr>
        <w:rFonts w:ascii="News Gothic MT" w:hAnsi="News Gothic MT"/>
        <w:b/>
        <w:kern w:val="28"/>
        <w:sz w:val="96"/>
      </w:rPr>
      <w:t xml:space="preserve">  </w:t>
    </w:r>
    <w:r w:rsidR="00602577">
      <w:rPr>
        <w:rFonts w:ascii="News Gothic MT" w:hAnsi="News Gothic MT"/>
        <w:b/>
        <w:kern w:val="28"/>
        <w:sz w:val="96"/>
      </w:rPr>
      <w:t>PUBLIC NOTICE</w:t>
    </w:r>
  </w:p>
  <w:p w:rsidR="00602577" w:rsidRDefault="00B763AF">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0" allowOverlap="1">
              <wp:simplePos x="0" y="0"/>
              <wp:positionH relativeFrom="column">
                <wp:posOffset>477520</wp:posOffset>
              </wp:positionH>
              <wp:positionV relativeFrom="paragraph">
                <wp:posOffset>697865</wp:posOffset>
              </wp:positionV>
              <wp:extent cx="5886450" cy="254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645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6pt,54.95pt" to="501.1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" o:allowincell="f"/>
          </w:pict>
        </mc:Fallback>
      </mc:AlternateContent>
    </w:r>
    <w:r>
      <w:rPr>
        <w:rFonts w:ascii="News Gothic MT" w:hAnsi="News Gothic MT"/>
        <w:b/>
        <w:noProof/>
        <w:sz w:val="24"/>
      </w:rPr>
      <mc:AlternateContent>
        <mc:Choice Requires="wps">
          <w:drawing>
            <wp:anchor distT="0" distB="0" distL="114300" distR="114300" simplePos="0" relativeHeight="251656192" behindDoc="0" locked="0" layoutInCell="0" allowOverlap="1">
              <wp:simplePos x="0" y="0"/>
              <wp:positionH relativeFrom="column">
                <wp:posOffset>381000</wp:posOffset>
              </wp:positionH>
              <wp:positionV relativeFrom="paragraph">
                <wp:posOffset>5080</wp:posOffset>
              </wp:positionV>
              <wp:extent cx="3108960" cy="64008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2577" w:rsidRDefault="00602577">
                          <w:pPr>
                            <w:rPr>
                              <w:rFonts w:ascii="Arial" w:hAnsi="Arial"/>
                              <w:b/>
                            </w:rPr>
                          </w:pPr>
                          <w:r>
                            <w:rPr>
                              <w:rFonts w:ascii="Arial" w:hAnsi="Arial"/>
                              <w:b/>
                            </w:rPr>
                            <w:t>Federal Communications Commission</w:t>
                          </w:r>
                        </w:p>
                        <w:p w:rsidR="00602577" w:rsidRDefault="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rsidRDefault="00602577">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0pt;margin-top:.4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" o:allowincell="f" stroked="f">
              <v:textbox>
                <w:txbxContent>
                  <w:p w:rsidR="00602577" w:rsidRDefault="00602577">
                    <w:pPr>
                      <w:rPr>
                        <w:rFonts w:ascii="Arial" w:hAnsi="Arial"/>
                        <w:b/>
                      </w:rPr>
                    </w:pPr>
                    <w:r>
                      <w:rPr>
                        <w:rFonts w:ascii="Arial" w:hAnsi="Arial"/>
                        <w:b/>
                      </w:rPr>
                      <w:t>Federal Communications Commission</w:t>
                    </w:r>
                  </w:p>
                  <w:p w:rsidR="00602577" w:rsidRDefault="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rsidRDefault="00602577">
                    <w:pPr>
                      <w:rPr>
                        <w:rFonts w:ascii="Arial" w:hAnsi="Arial"/>
                        <w:sz w:val="24"/>
                      </w:rPr>
                    </w:pPr>
                    <w:r>
                      <w:rPr>
                        <w:rFonts w:ascii="Arial" w:hAnsi="Arial"/>
                        <w:b/>
                      </w:rPr>
                      <w:t>Washington, D.C. 20554</w:t>
                    </w:r>
                  </w:p>
                </w:txbxContent>
              </v:textbox>
            </v:shape>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0" allowOverlap="1">
              <wp:simplePos x="0" y="0"/>
              <wp:positionH relativeFrom="column">
                <wp:posOffset>3829050</wp:posOffset>
              </wp:positionH>
              <wp:positionV relativeFrom="paragraph">
                <wp:posOffset>130175</wp:posOffset>
              </wp:positionV>
              <wp:extent cx="2640965" cy="54864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2577" w:rsidRDefault="00602577">
                          <w:pPr>
                            <w:spacing w:before="40"/>
                            <w:jc w:val="right"/>
                            <w:rPr>
                              <w:rFonts w:ascii="Arial" w:hAnsi="Arial"/>
                              <w:b/>
                              <w:sz w:val="16"/>
                            </w:rPr>
                          </w:pPr>
                          <w:r>
                            <w:rPr>
                              <w:rFonts w:ascii="Arial" w:hAnsi="Arial"/>
                              <w:b/>
                              <w:sz w:val="16"/>
                            </w:rPr>
                            <w:t>News Media Information 202 / 418-0500</w:t>
                          </w:r>
                        </w:p>
                        <w:p w:rsidR="00602577" w:rsidRDefault="006025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602577" w:rsidRDefault="00602577">
                          <w:pPr>
                            <w:jc w:val="right"/>
                            <w:rPr>
                              <w:rFonts w:ascii="Arial" w:hAnsi="Arial"/>
                              <w:b/>
                              <w:sz w:val="16"/>
                            </w:rPr>
                          </w:pPr>
                          <w:r>
                            <w:rPr>
                              <w:rFonts w:ascii="Arial" w:hAnsi="Arial"/>
                              <w:b/>
                              <w:sz w:val="16"/>
                            </w:rPr>
                            <w:t>TTY: 1-888-835-5322</w:t>
                          </w:r>
                        </w:p>
                        <w:p w:rsidR="00602577" w:rsidRDefault="00602577">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301.5pt;margin-top:10.25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" o:allowincell="f" stroked="f">
              <v:textbox inset=",0,,0">
                <w:txbxContent>
                  <w:p w:rsidR="00602577" w:rsidRDefault="00602577">
                    <w:pPr>
                      <w:spacing w:before="40"/>
                      <w:jc w:val="right"/>
                      <w:rPr>
                        <w:rFonts w:ascii="Arial" w:hAnsi="Arial"/>
                        <w:b/>
                        <w:sz w:val="16"/>
                      </w:rPr>
                    </w:pPr>
                    <w:r>
                      <w:rPr>
                        <w:rFonts w:ascii="Arial" w:hAnsi="Arial"/>
                        <w:b/>
                        <w:sz w:val="16"/>
                      </w:rPr>
                      <w:t>News Media Information 202 / 418-0500</w:t>
                    </w:r>
                  </w:p>
                  <w:p w:rsidR="00602577" w:rsidRDefault="00602577">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602577" w:rsidRDefault="00602577">
                    <w:pPr>
                      <w:jc w:val="right"/>
                      <w:rPr>
                        <w:rFonts w:ascii="Arial" w:hAnsi="Arial"/>
                        <w:b/>
                        <w:sz w:val="16"/>
                      </w:rPr>
                    </w:pPr>
                    <w:r>
                      <w:rPr>
                        <w:rFonts w:ascii="Arial" w:hAnsi="Arial"/>
                        <w:b/>
                        <w:sz w:val="16"/>
                      </w:rPr>
                      <w:t>TTY: 1-888-835-5322</w:t>
                    </w:r>
                  </w:p>
                  <w:p w:rsidR="00602577" w:rsidRDefault="00602577">
                    <w:pPr>
                      <w:jc w:val="right"/>
                    </w:pPr>
                  </w:p>
                </w:txbxContent>
              </v:textbox>
            </v:shape>
          </w:pict>
        </mc:Fallback>
      </mc:AlternateContent>
    </w:r>
  </w:p>
  <w:p w:rsidR="00602577" w:rsidRDefault="00602577">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104A8"/>
    <w:multiLevelType w:val="hybridMultilevel"/>
    <w:tmpl w:val="BD7E17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52E1FEF"/>
    <w:multiLevelType w:val="hybridMultilevel"/>
    <w:tmpl w:val="B1DCEC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3">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5">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6">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7">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6"/>
  </w:num>
  <w:num w:numId="2">
    <w:abstractNumId w:val="5"/>
  </w:num>
  <w:num w:numId="3">
    <w:abstractNumId w:val="7"/>
  </w:num>
  <w:num w:numId="4">
    <w:abstractNumId w:val="2"/>
  </w:num>
  <w:num w:numId="5">
    <w:abstractNumId w:val="7"/>
  </w:num>
  <w:num w:numId="6">
    <w:abstractNumId w:val="7"/>
  </w:num>
  <w:num w:numId="7">
    <w:abstractNumId w:val="7"/>
  </w:num>
  <w:num w:numId="8">
    <w:abstractNumId w:val="7"/>
  </w:num>
  <w:num w:numId="9">
    <w:abstractNumId w:val="7"/>
  </w:num>
  <w:num w:numId="10">
    <w:abstractNumId w:val="7"/>
  </w:num>
  <w:num w:numId="11">
    <w:abstractNumId w:val="4"/>
  </w:num>
  <w:num w:numId="12">
    <w:abstractNumId w:val="3"/>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activeWritingStyle w:appName="MSWord" w:lang="en-US" w:vendorID="8" w:dllVersion="513" w:checkStyle="1"/>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35C"/>
    <w:rsid w:val="000265AE"/>
    <w:rsid w:val="00072E53"/>
    <w:rsid w:val="000A723C"/>
    <w:rsid w:val="00141634"/>
    <w:rsid w:val="0014694E"/>
    <w:rsid w:val="0019458E"/>
    <w:rsid w:val="001C04A1"/>
    <w:rsid w:val="001D3232"/>
    <w:rsid w:val="001F1E14"/>
    <w:rsid w:val="00234960"/>
    <w:rsid w:val="00237F0A"/>
    <w:rsid w:val="00291A7D"/>
    <w:rsid w:val="00330683"/>
    <w:rsid w:val="003C696E"/>
    <w:rsid w:val="00406371"/>
    <w:rsid w:val="004148A0"/>
    <w:rsid w:val="00427270"/>
    <w:rsid w:val="004933AC"/>
    <w:rsid w:val="00494791"/>
    <w:rsid w:val="004E7831"/>
    <w:rsid w:val="005418FF"/>
    <w:rsid w:val="00600BF0"/>
    <w:rsid w:val="00602577"/>
    <w:rsid w:val="00651A38"/>
    <w:rsid w:val="006C1F1D"/>
    <w:rsid w:val="006D28AA"/>
    <w:rsid w:val="006D344B"/>
    <w:rsid w:val="006E635C"/>
    <w:rsid w:val="00777DB2"/>
    <w:rsid w:val="007D48E2"/>
    <w:rsid w:val="007E0D3F"/>
    <w:rsid w:val="007E5646"/>
    <w:rsid w:val="007F4760"/>
    <w:rsid w:val="00804F94"/>
    <w:rsid w:val="00867CAD"/>
    <w:rsid w:val="0089667B"/>
    <w:rsid w:val="009356E0"/>
    <w:rsid w:val="00961E6C"/>
    <w:rsid w:val="00985ED5"/>
    <w:rsid w:val="00996650"/>
    <w:rsid w:val="009B7D94"/>
    <w:rsid w:val="00A703E3"/>
    <w:rsid w:val="00AA36CE"/>
    <w:rsid w:val="00B06994"/>
    <w:rsid w:val="00B256F7"/>
    <w:rsid w:val="00B557E6"/>
    <w:rsid w:val="00B56894"/>
    <w:rsid w:val="00B5692A"/>
    <w:rsid w:val="00B763AF"/>
    <w:rsid w:val="00B93A0C"/>
    <w:rsid w:val="00C04552"/>
    <w:rsid w:val="00C303CC"/>
    <w:rsid w:val="00C32CA0"/>
    <w:rsid w:val="00C8518B"/>
    <w:rsid w:val="00CE01AE"/>
    <w:rsid w:val="00D17DC0"/>
    <w:rsid w:val="00D60EFF"/>
    <w:rsid w:val="00DC1FD0"/>
    <w:rsid w:val="00DE4256"/>
    <w:rsid w:val="00E25A81"/>
    <w:rsid w:val="00EA2D1D"/>
    <w:rsid w:val="00EA3433"/>
    <w:rsid w:val="00EC285B"/>
    <w:rsid w:val="00EF6100"/>
    <w:rsid w:val="00F0237E"/>
    <w:rsid w:val="00F02CF2"/>
    <w:rsid w:val="00F35FC2"/>
    <w:rsid w:val="00F53351"/>
    <w:rsid w:val="00F75CD0"/>
    <w:rsid w:val="00F762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paragraph" w:styleId="ListParagraph">
    <w:name w:val="List Paragraph"/>
    <w:basedOn w:val="Normal"/>
    <w:uiPriority w:val="34"/>
    <w:qFormat/>
    <w:rsid w:val="00F02CF2"/>
    <w:pPr>
      <w:ind w:left="720"/>
      <w:contextualSpacing/>
    </w:pPr>
  </w:style>
  <w:style w:type="character" w:styleId="CommentReference">
    <w:name w:val="annotation reference"/>
    <w:basedOn w:val="DefaultParagraphFont"/>
    <w:uiPriority w:val="99"/>
    <w:semiHidden/>
    <w:unhideWhenUsed/>
    <w:rsid w:val="00494791"/>
    <w:rPr>
      <w:sz w:val="16"/>
      <w:szCs w:val="16"/>
    </w:rPr>
  </w:style>
  <w:style w:type="paragraph" w:styleId="CommentText">
    <w:name w:val="annotation text"/>
    <w:basedOn w:val="Normal"/>
    <w:link w:val="CommentTextChar"/>
    <w:uiPriority w:val="99"/>
    <w:semiHidden/>
    <w:unhideWhenUsed/>
    <w:rsid w:val="00494791"/>
    <w:rPr>
      <w:sz w:val="20"/>
    </w:rPr>
  </w:style>
  <w:style w:type="character" w:customStyle="1" w:styleId="CommentTextChar">
    <w:name w:val="Comment Text Char"/>
    <w:basedOn w:val="DefaultParagraphFont"/>
    <w:link w:val="CommentText"/>
    <w:uiPriority w:val="99"/>
    <w:semiHidden/>
    <w:rsid w:val="00494791"/>
  </w:style>
  <w:style w:type="paragraph" w:styleId="CommentSubject">
    <w:name w:val="annotation subject"/>
    <w:basedOn w:val="CommentText"/>
    <w:next w:val="CommentText"/>
    <w:link w:val="CommentSubjectChar"/>
    <w:uiPriority w:val="99"/>
    <w:semiHidden/>
    <w:unhideWhenUsed/>
    <w:rsid w:val="00494791"/>
    <w:rPr>
      <w:b/>
      <w:bCs/>
    </w:rPr>
  </w:style>
  <w:style w:type="character" w:customStyle="1" w:styleId="CommentSubjectChar">
    <w:name w:val="Comment Subject Char"/>
    <w:basedOn w:val="CommentTextChar"/>
    <w:link w:val="CommentSubject"/>
    <w:uiPriority w:val="99"/>
    <w:semiHidden/>
    <w:rsid w:val="00494791"/>
    <w:rPr>
      <w:b/>
      <w:bCs/>
    </w:rPr>
  </w:style>
  <w:style w:type="paragraph" w:styleId="BalloonText">
    <w:name w:val="Balloon Text"/>
    <w:basedOn w:val="Normal"/>
    <w:link w:val="BalloonTextChar"/>
    <w:uiPriority w:val="99"/>
    <w:semiHidden/>
    <w:unhideWhenUsed/>
    <w:rsid w:val="00494791"/>
    <w:rPr>
      <w:rFonts w:ascii="Tahoma" w:hAnsi="Tahoma" w:cs="Tahoma"/>
      <w:sz w:val="16"/>
      <w:szCs w:val="16"/>
    </w:rPr>
  </w:style>
  <w:style w:type="character" w:customStyle="1" w:styleId="BalloonTextChar">
    <w:name w:val="Balloon Text Char"/>
    <w:basedOn w:val="DefaultParagraphFont"/>
    <w:link w:val="BalloonText"/>
    <w:uiPriority w:val="99"/>
    <w:semiHidden/>
    <w:rsid w:val="0049479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paragraph" w:styleId="ListParagraph">
    <w:name w:val="List Paragraph"/>
    <w:basedOn w:val="Normal"/>
    <w:uiPriority w:val="34"/>
    <w:qFormat/>
    <w:rsid w:val="00F02CF2"/>
    <w:pPr>
      <w:ind w:left="720"/>
      <w:contextualSpacing/>
    </w:pPr>
  </w:style>
  <w:style w:type="character" w:styleId="CommentReference">
    <w:name w:val="annotation reference"/>
    <w:basedOn w:val="DefaultParagraphFont"/>
    <w:uiPriority w:val="99"/>
    <w:semiHidden/>
    <w:unhideWhenUsed/>
    <w:rsid w:val="00494791"/>
    <w:rPr>
      <w:sz w:val="16"/>
      <w:szCs w:val="16"/>
    </w:rPr>
  </w:style>
  <w:style w:type="paragraph" w:styleId="CommentText">
    <w:name w:val="annotation text"/>
    <w:basedOn w:val="Normal"/>
    <w:link w:val="CommentTextChar"/>
    <w:uiPriority w:val="99"/>
    <w:semiHidden/>
    <w:unhideWhenUsed/>
    <w:rsid w:val="00494791"/>
    <w:rPr>
      <w:sz w:val="20"/>
    </w:rPr>
  </w:style>
  <w:style w:type="character" w:customStyle="1" w:styleId="CommentTextChar">
    <w:name w:val="Comment Text Char"/>
    <w:basedOn w:val="DefaultParagraphFont"/>
    <w:link w:val="CommentText"/>
    <w:uiPriority w:val="99"/>
    <w:semiHidden/>
    <w:rsid w:val="00494791"/>
  </w:style>
  <w:style w:type="paragraph" w:styleId="CommentSubject">
    <w:name w:val="annotation subject"/>
    <w:basedOn w:val="CommentText"/>
    <w:next w:val="CommentText"/>
    <w:link w:val="CommentSubjectChar"/>
    <w:uiPriority w:val="99"/>
    <w:semiHidden/>
    <w:unhideWhenUsed/>
    <w:rsid w:val="00494791"/>
    <w:rPr>
      <w:b/>
      <w:bCs/>
    </w:rPr>
  </w:style>
  <w:style w:type="character" w:customStyle="1" w:styleId="CommentSubjectChar">
    <w:name w:val="Comment Subject Char"/>
    <w:basedOn w:val="CommentTextChar"/>
    <w:link w:val="CommentSubject"/>
    <w:uiPriority w:val="99"/>
    <w:semiHidden/>
    <w:rsid w:val="00494791"/>
    <w:rPr>
      <w:b/>
      <w:bCs/>
    </w:rPr>
  </w:style>
  <w:style w:type="paragraph" w:styleId="BalloonText">
    <w:name w:val="Balloon Text"/>
    <w:basedOn w:val="Normal"/>
    <w:link w:val="BalloonTextChar"/>
    <w:uiPriority w:val="99"/>
    <w:semiHidden/>
    <w:unhideWhenUsed/>
    <w:rsid w:val="00494791"/>
    <w:rPr>
      <w:rFonts w:ascii="Tahoma" w:hAnsi="Tahoma" w:cs="Tahoma"/>
      <w:sz w:val="16"/>
      <w:szCs w:val="16"/>
    </w:rPr>
  </w:style>
  <w:style w:type="character" w:customStyle="1" w:styleId="BalloonTextChar">
    <w:name w:val="Balloon Text Char"/>
    <w:basedOn w:val="DefaultParagraphFont"/>
    <w:link w:val="BalloonText"/>
    <w:uiPriority w:val="99"/>
    <w:semiHidden/>
    <w:rsid w:val="004947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7307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Aaron.Goldschmidt@fcc.gov"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Jennifer.Flynn@fcc.gov"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Mania.Baghdadi@fcc.gov"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ireless.fcc.gov/antenna/index.htm?job=home"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20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Public Notice - Portrait</Template>
  <TotalTime>0</TotalTime>
  <Pages>2</Pages>
  <Words>460</Words>
  <Characters>2652</Characters>
  <Application>Microsoft Office Word</Application>
  <DocSecurity>0</DocSecurity>
  <Lines>47</Lines>
  <Paragraphs>16</Paragraphs>
  <ScaleCrop>false</ScaleCrop>
  <HeadingPairs>
    <vt:vector size="2" baseType="variant">
      <vt:variant>
        <vt:lpstr>Title</vt:lpstr>
      </vt:variant>
      <vt:variant>
        <vt:i4>1</vt:i4>
      </vt:variant>
    </vt:vector>
  </HeadingPairs>
  <TitlesOfParts>
    <vt:vector size="1" baseType="lpstr">
      <vt:lpstr>[Click to enter document number]</vt:lpstr>
    </vt:vector>
  </TitlesOfParts>
  <Manager/>
  <Company/>
  <LinksUpToDate>false</LinksUpToDate>
  <CharactersWithSpaces>3121</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2015-02-17T22:15:00Z</cp:lastPrinted>
  <dcterms:created xsi:type="dcterms:W3CDTF">2015-06-16T17:52:00Z</dcterms:created>
  <dcterms:modified xsi:type="dcterms:W3CDTF">2015-06-16T17:52:00Z</dcterms:modified>
  <cp:category> </cp:category>
  <cp:contentStatus> </cp:contentStatus>
</cp:coreProperties>
</file>