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33" w:rsidRPr="00713FC3" w:rsidRDefault="00700D33" w:rsidP="00565733">
      <w:pPr>
        <w:keepNext/>
        <w:widowControl/>
        <w:jc w:val="center"/>
        <w:rPr>
          <w:b/>
        </w:rPr>
      </w:pPr>
      <w:bookmarkStart w:id="0" w:name="_GoBack"/>
      <w:bookmarkEnd w:id="0"/>
      <w:r w:rsidRPr="00713FC3">
        <w:rPr>
          <w:rFonts w:ascii="Times New Roman Bold" w:hAnsi="Times New Roman Bold"/>
          <w:b/>
          <w:kern w:val="0"/>
          <w:szCs w:val="22"/>
        </w:rPr>
        <w:t>Before</w:t>
      </w:r>
      <w:r w:rsidRPr="00713FC3">
        <w:rPr>
          <w:b/>
        </w:rPr>
        <w:t xml:space="preserve"> the</w:t>
      </w:r>
    </w:p>
    <w:p w:rsidR="00700D33" w:rsidRPr="00713FC3" w:rsidRDefault="00700D33" w:rsidP="00565733">
      <w:pPr>
        <w:keepNext/>
        <w:widowControl/>
        <w:jc w:val="center"/>
        <w:rPr>
          <w:rFonts w:ascii="Times New Roman Bold" w:hAnsi="Times New Roman Bold"/>
          <w:b/>
          <w:bCs/>
          <w:caps/>
          <w:szCs w:val="22"/>
        </w:rPr>
      </w:pPr>
      <w:r w:rsidRPr="00713FC3">
        <w:rPr>
          <w:rFonts w:ascii="Times New Roman Bold" w:hAnsi="Times New Roman Bold"/>
          <w:b/>
          <w:bCs/>
          <w:caps/>
          <w:szCs w:val="22"/>
        </w:rPr>
        <w:t>F</w:t>
      </w:r>
      <w:r w:rsidRPr="00713FC3">
        <w:rPr>
          <w:rFonts w:ascii="Times New Roman Bold" w:hAnsi="Times New Roman Bold"/>
          <w:b/>
          <w:bCs/>
          <w:szCs w:val="22"/>
        </w:rPr>
        <w:t>ederal Communications Commission</w:t>
      </w:r>
    </w:p>
    <w:p w:rsidR="00700D33" w:rsidRPr="00713FC3" w:rsidRDefault="00700D33" w:rsidP="00565733">
      <w:pPr>
        <w:keepNext/>
        <w:widowControl/>
        <w:jc w:val="center"/>
        <w:rPr>
          <w:rFonts w:ascii="Times New Roman Bold" w:hAnsi="Times New Roman Bold"/>
          <w:b/>
          <w:bCs/>
          <w:caps/>
          <w:szCs w:val="22"/>
        </w:rPr>
      </w:pPr>
      <w:r w:rsidRPr="00713FC3">
        <w:rPr>
          <w:rFonts w:ascii="Times New Roman Bold" w:hAnsi="Times New Roman Bold"/>
          <w:b/>
          <w:bCs/>
          <w:szCs w:val="22"/>
        </w:rPr>
        <w:t>Washington, D.C. 20554</w:t>
      </w:r>
    </w:p>
    <w:p w:rsidR="00700D33" w:rsidRPr="00713FC3" w:rsidRDefault="00700D33" w:rsidP="00565733">
      <w:pPr>
        <w:keepNext/>
        <w:widowControl/>
      </w:pPr>
    </w:p>
    <w:p w:rsidR="00700D33" w:rsidRPr="00713FC3" w:rsidRDefault="00700D33" w:rsidP="00565733">
      <w:pPr>
        <w:keepNext/>
        <w:widowControl/>
      </w:pPr>
    </w:p>
    <w:tbl>
      <w:tblPr>
        <w:tblW w:w="0" w:type="auto"/>
        <w:tblLayout w:type="fixed"/>
        <w:tblLook w:val="0000" w:firstRow="0" w:lastRow="0" w:firstColumn="0" w:lastColumn="0" w:noHBand="0" w:noVBand="0"/>
      </w:tblPr>
      <w:tblGrid>
        <w:gridCol w:w="4698"/>
        <w:gridCol w:w="630"/>
        <w:gridCol w:w="4248"/>
      </w:tblGrid>
      <w:tr w:rsidR="00700D33" w:rsidRPr="00713FC3" w:rsidTr="0089378B">
        <w:tc>
          <w:tcPr>
            <w:tcW w:w="4698" w:type="dxa"/>
          </w:tcPr>
          <w:p w:rsidR="00700D33" w:rsidRPr="00713FC3" w:rsidRDefault="00700D33" w:rsidP="00565733">
            <w:pPr>
              <w:keepNext/>
              <w:widowControl/>
              <w:tabs>
                <w:tab w:val="center" w:pos="4680"/>
              </w:tabs>
              <w:suppressAutoHyphens/>
              <w:rPr>
                <w:spacing w:val="-2"/>
              </w:rPr>
            </w:pPr>
            <w:r w:rsidRPr="00713FC3">
              <w:rPr>
                <w:spacing w:val="-2"/>
              </w:rPr>
              <w:t>In the Matter of</w:t>
            </w:r>
          </w:p>
          <w:p w:rsidR="00700D33" w:rsidRPr="00713FC3" w:rsidRDefault="00700D33" w:rsidP="00565733">
            <w:pPr>
              <w:keepNext/>
              <w:widowControl/>
              <w:tabs>
                <w:tab w:val="center" w:pos="4680"/>
              </w:tabs>
              <w:suppressAutoHyphens/>
              <w:rPr>
                <w:spacing w:val="-2"/>
              </w:rPr>
            </w:pPr>
          </w:p>
          <w:p w:rsidR="00700D33" w:rsidRDefault="00700D33" w:rsidP="00565733">
            <w:pPr>
              <w:keepNext/>
              <w:widowControl/>
              <w:tabs>
                <w:tab w:val="center" w:pos="4680"/>
              </w:tabs>
              <w:suppressAutoHyphens/>
              <w:rPr>
                <w:spacing w:val="-2"/>
              </w:rPr>
            </w:pPr>
            <w:r>
              <w:rPr>
                <w:spacing w:val="-2"/>
              </w:rPr>
              <w:t>Reporting Requirements for U.S. Providers of International Telecommunications Services</w:t>
            </w:r>
          </w:p>
          <w:p w:rsidR="00700D33" w:rsidRDefault="00700D33" w:rsidP="00565733">
            <w:pPr>
              <w:keepNext/>
              <w:widowControl/>
              <w:tabs>
                <w:tab w:val="center" w:pos="4680"/>
              </w:tabs>
              <w:suppressAutoHyphens/>
              <w:rPr>
                <w:spacing w:val="-2"/>
              </w:rPr>
            </w:pPr>
          </w:p>
          <w:p w:rsidR="00700D33" w:rsidRDefault="00700D33" w:rsidP="00565733">
            <w:pPr>
              <w:keepNext/>
              <w:widowControl/>
              <w:tabs>
                <w:tab w:val="center" w:pos="4680"/>
              </w:tabs>
              <w:suppressAutoHyphens/>
              <w:rPr>
                <w:spacing w:val="-2"/>
              </w:rPr>
            </w:pPr>
            <w:r>
              <w:rPr>
                <w:spacing w:val="-2"/>
              </w:rPr>
              <w:t>Amendment of Part 43 of the</w:t>
            </w:r>
          </w:p>
          <w:p w:rsidR="00700D33" w:rsidRPr="00713FC3" w:rsidRDefault="00700D33" w:rsidP="00565733">
            <w:pPr>
              <w:keepNext/>
              <w:widowControl/>
              <w:tabs>
                <w:tab w:val="center" w:pos="4680"/>
              </w:tabs>
              <w:suppressAutoHyphens/>
              <w:rPr>
                <w:spacing w:val="-2"/>
              </w:rPr>
            </w:pPr>
            <w:r>
              <w:rPr>
                <w:spacing w:val="-2"/>
              </w:rPr>
              <w:t>Commission’s Rules</w:t>
            </w:r>
          </w:p>
        </w:tc>
        <w:tc>
          <w:tcPr>
            <w:tcW w:w="630" w:type="dxa"/>
          </w:tcPr>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b/>
                <w:spacing w:val="-2"/>
              </w:rPr>
            </w:pPr>
            <w:r w:rsidRPr="00713FC3">
              <w:rPr>
                <w:b/>
                <w:spacing w:val="-2"/>
              </w:rPr>
              <w:t>)</w:t>
            </w:r>
          </w:p>
          <w:p w:rsidR="00700D33" w:rsidRPr="00713FC3" w:rsidRDefault="00700D33" w:rsidP="00565733">
            <w:pPr>
              <w:keepNext/>
              <w:widowControl/>
              <w:tabs>
                <w:tab w:val="center" w:pos="4680"/>
              </w:tabs>
              <w:suppressAutoHyphens/>
              <w:rPr>
                <w:spacing w:val="-2"/>
              </w:rPr>
            </w:pPr>
          </w:p>
        </w:tc>
        <w:tc>
          <w:tcPr>
            <w:tcW w:w="4248" w:type="dxa"/>
          </w:tcPr>
          <w:p w:rsidR="00700D33" w:rsidRPr="00713FC3" w:rsidRDefault="00700D33" w:rsidP="00565733">
            <w:pPr>
              <w:keepNext/>
              <w:widowControl/>
              <w:tabs>
                <w:tab w:val="center" w:pos="4680"/>
              </w:tabs>
              <w:suppressAutoHyphens/>
              <w:rPr>
                <w:spacing w:val="-2"/>
              </w:rPr>
            </w:pPr>
          </w:p>
          <w:p w:rsidR="00700D33" w:rsidRPr="00713FC3" w:rsidRDefault="00700D33" w:rsidP="00565733">
            <w:pPr>
              <w:keepNext/>
              <w:widowControl/>
              <w:tabs>
                <w:tab w:val="center" w:pos="4680"/>
              </w:tabs>
              <w:suppressAutoHyphens/>
              <w:rPr>
                <w:spacing w:val="-2"/>
              </w:rPr>
            </w:pPr>
          </w:p>
          <w:p w:rsidR="00700D33" w:rsidRPr="00713FC3" w:rsidRDefault="000D36D5" w:rsidP="00565733">
            <w:pPr>
              <w:keepNext/>
              <w:widowControl/>
              <w:tabs>
                <w:tab w:val="center" w:pos="4680"/>
              </w:tabs>
              <w:suppressAutoHyphens/>
              <w:rPr>
                <w:spacing w:val="-2"/>
              </w:rPr>
            </w:pPr>
            <w:r>
              <w:rPr>
                <w:spacing w:val="-2"/>
              </w:rPr>
              <w:t>IB Docket No. 04</w:t>
            </w:r>
            <w:r w:rsidRPr="00713FC3">
              <w:rPr>
                <w:spacing w:val="-2"/>
              </w:rPr>
              <w:t>-11</w:t>
            </w:r>
            <w:r>
              <w:rPr>
                <w:spacing w:val="-2"/>
              </w:rPr>
              <w:t>2</w:t>
            </w:r>
          </w:p>
          <w:p w:rsidR="00700D33" w:rsidRPr="00713FC3" w:rsidRDefault="002F5CB8" w:rsidP="00565733">
            <w:pPr>
              <w:keepNext/>
              <w:widowControl/>
              <w:tabs>
                <w:tab w:val="center" w:pos="4680"/>
              </w:tabs>
              <w:suppressAutoHyphens/>
              <w:rPr>
                <w:spacing w:val="-2"/>
              </w:rPr>
            </w:pPr>
            <w:r>
              <w:rPr>
                <w:spacing w:val="-2"/>
              </w:rPr>
              <w:t>(Terminated)</w:t>
            </w:r>
          </w:p>
        </w:tc>
      </w:tr>
    </w:tbl>
    <w:p w:rsidR="00C47EB6" w:rsidRDefault="00C47EB6" w:rsidP="00565733">
      <w:pPr>
        <w:keepNext/>
        <w:widowControl/>
        <w:jc w:val="center"/>
        <w:rPr>
          <w:rFonts w:ascii="Times New Roman Bold" w:hAnsi="Times New Roman Bold"/>
          <w:b/>
          <w:bCs/>
          <w:caps/>
          <w:szCs w:val="22"/>
        </w:rPr>
      </w:pPr>
    </w:p>
    <w:p w:rsidR="00700D33" w:rsidRPr="00713FC3" w:rsidRDefault="00700D33" w:rsidP="00565733">
      <w:pPr>
        <w:keepNext/>
        <w:widowControl/>
        <w:jc w:val="center"/>
        <w:rPr>
          <w:rFonts w:ascii="Times New Roman Bold" w:hAnsi="Times New Roman Bold"/>
          <w:b/>
          <w:bCs/>
          <w:caps/>
          <w:szCs w:val="22"/>
        </w:rPr>
      </w:pPr>
      <w:r w:rsidRPr="00713FC3">
        <w:rPr>
          <w:rFonts w:ascii="Times New Roman Bold" w:hAnsi="Times New Roman Bold"/>
          <w:b/>
          <w:bCs/>
          <w:caps/>
          <w:szCs w:val="22"/>
        </w:rPr>
        <w:t>order</w:t>
      </w:r>
    </w:p>
    <w:p w:rsidR="00700D33" w:rsidRPr="00713FC3" w:rsidRDefault="00700D33" w:rsidP="00565733">
      <w:pPr>
        <w:keepNext/>
        <w:widowControl/>
        <w:tabs>
          <w:tab w:val="left" w:pos="-720"/>
        </w:tabs>
        <w:suppressAutoHyphens/>
        <w:spacing w:line="227" w:lineRule="auto"/>
        <w:rPr>
          <w:spacing w:val="-2"/>
        </w:rPr>
      </w:pPr>
    </w:p>
    <w:p w:rsidR="00700D33" w:rsidRPr="00713FC3" w:rsidRDefault="00700D33" w:rsidP="00565733">
      <w:pPr>
        <w:keepNext/>
        <w:widowControl/>
        <w:tabs>
          <w:tab w:val="left" w:pos="720"/>
          <w:tab w:val="right" w:pos="9360"/>
        </w:tabs>
        <w:suppressAutoHyphens/>
        <w:spacing w:line="227" w:lineRule="auto"/>
        <w:rPr>
          <w:spacing w:val="-2"/>
        </w:rPr>
      </w:pPr>
      <w:r w:rsidRPr="00713FC3">
        <w:rPr>
          <w:b/>
          <w:spacing w:val="-2"/>
        </w:rPr>
        <w:t xml:space="preserve">Adopted:  </w:t>
      </w:r>
      <w:r w:rsidR="00CA29BA">
        <w:rPr>
          <w:b/>
          <w:spacing w:val="-2"/>
        </w:rPr>
        <w:t xml:space="preserve">June </w:t>
      </w:r>
      <w:r w:rsidR="00612F63">
        <w:rPr>
          <w:b/>
          <w:spacing w:val="-2"/>
        </w:rPr>
        <w:t>17</w:t>
      </w:r>
      <w:r w:rsidR="00ED31C2">
        <w:rPr>
          <w:b/>
          <w:spacing w:val="-2"/>
        </w:rPr>
        <w:t>, 2015</w:t>
      </w:r>
      <w:r w:rsidRPr="00713FC3">
        <w:rPr>
          <w:b/>
          <w:spacing w:val="-2"/>
        </w:rPr>
        <w:tab/>
        <w:t xml:space="preserve">Released:  </w:t>
      </w:r>
      <w:r w:rsidR="00CA29BA">
        <w:rPr>
          <w:b/>
          <w:spacing w:val="-2"/>
        </w:rPr>
        <w:t xml:space="preserve">June </w:t>
      </w:r>
      <w:r w:rsidR="00612F63">
        <w:rPr>
          <w:b/>
          <w:spacing w:val="-2"/>
        </w:rPr>
        <w:t>17</w:t>
      </w:r>
      <w:r w:rsidR="00ED31C2">
        <w:rPr>
          <w:b/>
          <w:spacing w:val="-2"/>
        </w:rPr>
        <w:t>, 2015</w:t>
      </w:r>
    </w:p>
    <w:p w:rsidR="00700D33" w:rsidRPr="00713FC3" w:rsidRDefault="00700D33" w:rsidP="00565733">
      <w:pPr>
        <w:keepNext/>
        <w:widowControl/>
      </w:pPr>
    </w:p>
    <w:p w:rsidR="00700D33" w:rsidRPr="00713FC3" w:rsidRDefault="00700D33" w:rsidP="00565733">
      <w:pPr>
        <w:keepNext/>
        <w:widowControl/>
        <w:rPr>
          <w:spacing w:val="-2"/>
        </w:rPr>
      </w:pPr>
      <w:r w:rsidRPr="00713FC3">
        <w:t xml:space="preserve">By the </w:t>
      </w:r>
      <w:r w:rsidR="007541D8">
        <w:rPr>
          <w:spacing w:val="-2"/>
        </w:rPr>
        <w:t>Chief, International Bureau</w:t>
      </w:r>
      <w:r w:rsidRPr="00713FC3">
        <w:rPr>
          <w:spacing w:val="-2"/>
        </w:rPr>
        <w:t>:</w:t>
      </w:r>
    </w:p>
    <w:p w:rsidR="00ED1AC0" w:rsidRDefault="00ED1AC0" w:rsidP="00565733">
      <w:pPr>
        <w:keepNext/>
        <w:widowControl/>
      </w:pPr>
    </w:p>
    <w:p w:rsidR="005B5A0C" w:rsidRDefault="005B5A0C" w:rsidP="00565733">
      <w:pPr>
        <w:pStyle w:val="Heading1"/>
        <w:widowControl/>
        <w:tabs>
          <w:tab w:val="num" w:pos="720"/>
        </w:tabs>
      </w:pPr>
      <w:bookmarkStart w:id="1" w:name="_Toc416948713"/>
      <w:r>
        <w:t>INTRODUCTION</w:t>
      </w:r>
      <w:bookmarkEnd w:id="1"/>
    </w:p>
    <w:p w:rsidR="009267A5" w:rsidRDefault="00616B0D" w:rsidP="00A0519F">
      <w:pPr>
        <w:pStyle w:val="ParaNum"/>
      </w:pPr>
      <w:r>
        <w:t>We</w:t>
      </w:r>
      <w:r w:rsidR="007541D8">
        <w:t xml:space="preserve"> dismiss </w:t>
      </w:r>
      <w:r>
        <w:t>the</w:t>
      </w:r>
      <w:r w:rsidR="007541D8">
        <w:t xml:space="preserve"> </w:t>
      </w:r>
      <w:r>
        <w:t>p</w:t>
      </w:r>
      <w:r w:rsidR="007541D8" w:rsidRPr="008273D3">
        <w:t xml:space="preserve">etition for </w:t>
      </w:r>
      <w:r>
        <w:t>r</w:t>
      </w:r>
      <w:r w:rsidR="007541D8" w:rsidRPr="008273D3">
        <w:t>econsideration</w:t>
      </w:r>
      <w:r>
        <w:t xml:space="preserve"> (Petition)</w:t>
      </w:r>
      <w:r w:rsidR="007541D8">
        <w:t xml:space="preserve"> of the </w:t>
      </w:r>
      <w:r w:rsidR="007541D8">
        <w:rPr>
          <w:i/>
        </w:rPr>
        <w:t>Second Report and Order</w:t>
      </w:r>
      <w:r w:rsidR="006C302A">
        <w:t xml:space="preserve"> </w:t>
      </w:r>
      <w:r w:rsidR="007541D8">
        <w:t>filed by the Voice on the Net Coalition</w:t>
      </w:r>
      <w:r w:rsidR="009405C9">
        <w:t xml:space="preserve"> (</w:t>
      </w:r>
      <w:r w:rsidR="00E96EF8">
        <w:t>“</w:t>
      </w:r>
      <w:r w:rsidR="009405C9">
        <w:t>VON C</w:t>
      </w:r>
      <w:r w:rsidR="00E943F7">
        <w:t>oalition</w:t>
      </w:r>
      <w:r w:rsidR="00E96EF8">
        <w:t>” or “Petitioner”</w:t>
      </w:r>
      <w:r w:rsidR="00E943F7">
        <w:t>)</w:t>
      </w:r>
      <w:r w:rsidR="00AC47BD" w:rsidRPr="00001EB8">
        <w:rPr>
          <w:rStyle w:val="FootnoteReference"/>
        </w:rPr>
        <w:footnoteReference w:id="1"/>
      </w:r>
      <w:r w:rsidR="00F010F7" w:rsidRPr="00F010F7">
        <w:t xml:space="preserve"> </w:t>
      </w:r>
      <w:r w:rsidR="00F010F7" w:rsidRPr="00001EB8">
        <w:t>as the Petition does not meet the requirements of section 1.429(b) of the Commission rules</w:t>
      </w:r>
      <w:r w:rsidR="00E943F7" w:rsidRPr="00001EB8">
        <w:t>.</w:t>
      </w:r>
      <w:r w:rsidR="00AC47BD">
        <w:rPr>
          <w:rStyle w:val="FootnoteReference"/>
        </w:rPr>
        <w:footnoteReference w:id="2"/>
      </w:r>
      <w:r w:rsidR="00E943F7" w:rsidRPr="00001EB8">
        <w:t xml:space="preserve">  </w:t>
      </w:r>
      <w:r w:rsidR="0073311A" w:rsidRPr="00001EB8">
        <w:t>Petitioner seeks reconsideration of the Commission’s decision to extend international traffic and revenue reporti</w:t>
      </w:r>
      <w:r w:rsidR="000D4A02">
        <w:t xml:space="preserve">ng requirements </w:t>
      </w:r>
      <w:r w:rsidR="00854287">
        <w:t>to entities providing international calling service via Voice over Internet Protocol (VoIP) connected to the public switched telephone network (PSTN)</w:t>
      </w:r>
      <w:r w:rsidR="0073311A" w:rsidRPr="00001EB8">
        <w:t xml:space="preserve"> and to require </w:t>
      </w:r>
      <w:r w:rsidR="00777B88">
        <w:t xml:space="preserve">submarine </w:t>
      </w:r>
      <w:r w:rsidR="0073311A" w:rsidRPr="00001EB8">
        <w:t>cable landing licensees to file reports i</w:t>
      </w:r>
      <w:r w:rsidR="002F5CB8">
        <w:t>dentifying capacity they own or</w:t>
      </w:r>
      <w:r w:rsidR="0073311A" w:rsidRPr="00001EB8">
        <w:t xml:space="preserve"> lease on each submarine cable.</w:t>
      </w:r>
      <w:r w:rsidR="009051A3" w:rsidRPr="00001EB8">
        <w:t xml:space="preserve">  </w:t>
      </w:r>
      <w:r w:rsidR="00E817FF" w:rsidRPr="00001EB8">
        <w:t>T</w:t>
      </w:r>
      <w:r w:rsidR="001A4F18" w:rsidRPr="00001EB8">
        <w:t xml:space="preserve">he </w:t>
      </w:r>
      <w:r w:rsidR="00E96EF8" w:rsidRPr="00001EB8">
        <w:t>P</w:t>
      </w:r>
      <w:r w:rsidR="007541D8" w:rsidRPr="00001EB8">
        <w:t>etition</w:t>
      </w:r>
      <w:r w:rsidR="001A4F18" w:rsidRPr="00001EB8">
        <w:t xml:space="preserve"> relies on facts and</w:t>
      </w:r>
      <w:r w:rsidR="00E943F7" w:rsidRPr="00001EB8">
        <w:t xml:space="preserve"> </w:t>
      </w:r>
      <w:r w:rsidR="00967A43" w:rsidRPr="00001EB8">
        <w:t>arguments</w:t>
      </w:r>
      <w:r w:rsidR="001A4F18" w:rsidRPr="00001EB8">
        <w:t xml:space="preserve"> </w:t>
      </w:r>
      <w:r w:rsidR="00746406" w:rsidRPr="00001EB8">
        <w:t>Petitioner</w:t>
      </w:r>
      <w:r w:rsidR="00E817FF" w:rsidRPr="00001EB8">
        <w:t xml:space="preserve"> previously </w:t>
      </w:r>
      <w:r w:rsidR="00746406" w:rsidRPr="00001EB8">
        <w:t xml:space="preserve">could have </w:t>
      </w:r>
      <w:r w:rsidR="00E817FF" w:rsidRPr="00001EB8">
        <w:t xml:space="preserve">presented </w:t>
      </w:r>
      <w:r w:rsidR="00E817FF">
        <w:t xml:space="preserve">to the Commission in response to the </w:t>
      </w:r>
      <w:r w:rsidR="00E817FF" w:rsidRPr="00E817FF">
        <w:rPr>
          <w:i/>
        </w:rPr>
        <w:t>Further Notice</w:t>
      </w:r>
      <w:r w:rsidR="00E817FF">
        <w:t xml:space="preserve"> in this proceeding</w:t>
      </w:r>
      <w:r w:rsidR="00AB48B1">
        <w:t>, but did not present</w:t>
      </w:r>
      <w:r w:rsidR="009F0921">
        <w:t>.</w:t>
      </w:r>
      <w:r w:rsidR="00E817FF">
        <w:rPr>
          <w:rStyle w:val="FootnoteReference"/>
        </w:rPr>
        <w:footnoteReference w:id="3"/>
      </w:r>
      <w:r>
        <w:t xml:space="preserve"> </w:t>
      </w:r>
      <w:r w:rsidR="001A4F18">
        <w:t xml:space="preserve"> </w:t>
      </w:r>
      <w:r w:rsidR="00A0519F" w:rsidRPr="008511FE">
        <w:t xml:space="preserve">The reconsideration process is not intended to allow </w:t>
      </w:r>
      <w:r w:rsidR="00406A50" w:rsidRPr="008511FE">
        <w:t xml:space="preserve">petitioners </w:t>
      </w:r>
      <w:r w:rsidR="00A0519F" w:rsidRPr="008511FE">
        <w:t xml:space="preserve">who </w:t>
      </w:r>
      <w:r w:rsidR="00406A50" w:rsidRPr="008511FE">
        <w:t xml:space="preserve">have </w:t>
      </w:r>
      <w:r w:rsidR="00A0519F" w:rsidRPr="008511FE">
        <w:t xml:space="preserve">declined to participate in the rulemaking process to delay </w:t>
      </w:r>
      <w:r w:rsidR="00BB2EBB" w:rsidRPr="008511FE">
        <w:t xml:space="preserve">implementation </w:t>
      </w:r>
      <w:r w:rsidR="00A0519F" w:rsidRPr="008511FE">
        <w:t xml:space="preserve">of </w:t>
      </w:r>
      <w:r w:rsidR="00EC4361" w:rsidRPr="008511FE">
        <w:t>Commission</w:t>
      </w:r>
      <w:r w:rsidR="00A0519F" w:rsidRPr="008511FE">
        <w:t xml:space="preserve"> rules by advancing arguments </w:t>
      </w:r>
      <w:r w:rsidR="00EC4361" w:rsidRPr="008511FE">
        <w:t xml:space="preserve">after the rules are </w:t>
      </w:r>
      <w:r w:rsidR="00A0519F" w:rsidRPr="008511FE">
        <w:t>adopted.</w:t>
      </w:r>
      <w:r w:rsidR="00A0519F">
        <w:t xml:space="preserve">  </w:t>
      </w:r>
      <w:r w:rsidR="00291C83">
        <w:t>Accordingly</w:t>
      </w:r>
      <w:r w:rsidR="000443A6">
        <w:t>,</w:t>
      </w:r>
      <w:r w:rsidR="00291C83">
        <w:t xml:space="preserve"> we dismiss the Petition pursuant to section 1.429 of </w:t>
      </w:r>
      <w:r w:rsidR="009E4F25">
        <w:t>the Commission’s</w:t>
      </w:r>
      <w:r w:rsidR="00291C83">
        <w:t xml:space="preserve"> rules.</w:t>
      </w:r>
      <w:r w:rsidR="002F5CB8">
        <w:rPr>
          <w:rStyle w:val="FootnoteReference"/>
        </w:rPr>
        <w:footnoteReference w:id="4"/>
      </w:r>
    </w:p>
    <w:p w:rsidR="009453A9" w:rsidRDefault="008F2646" w:rsidP="00565733">
      <w:pPr>
        <w:pStyle w:val="Heading1"/>
        <w:widowControl/>
        <w:tabs>
          <w:tab w:val="num" w:pos="720"/>
        </w:tabs>
      </w:pPr>
      <w:bookmarkStart w:id="2" w:name="_Toc416948714"/>
      <w:r>
        <w:lastRenderedPageBreak/>
        <w:t>background</w:t>
      </w:r>
      <w:bookmarkEnd w:id="2"/>
    </w:p>
    <w:p w:rsidR="009051A3" w:rsidRDefault="00303394" w:rsidP="009051A3">
      <w:pPr>
        <w:pStyle w:val="ParaNum"/>
        <w:keepNext/>
        <w:widowControl/>
      </w:pPr>
      <w:r w:rsidRPr="00303394">
        <w:t xml:space="preserve">In the </w:t>
      </w:r>
      <w:r w:rsidRPr="009051A3">
        <w:rPr>
          <w:i/>
        </w:rPr>
        <w:t>Second Report and Order</w:t>
      </w:r>
      <w:r w:rsidRPr="00303394">
        <w:t xml:space="preserve">, the Commission streamlined its </w:t>
      </w:r>
      <w:r w:rsidR="005C7424">
        <w:t xml:space="preserve">international </w:t>
      </w:r>
      <w:r w:rsidRPr="00303394">
        <w:t xml:space="preserve">traffic and revenue reporting requirements and at the </w:t>
      </w:r>
      <w:r w:rsidR="005C7424">
        <w:t>same time included</w:t>
      </w:r>
      <w:r w:rsidRPr="00303394">
        <w:t xml:space="preserve"> </w:t>
      </w:r>
      <w:r w:rsidR="00B20069" w:rsidRPr="00303394">
        <w:t>providers</w:t>
      </w:r>
      <w:r w:rsidR="00B20069">
        <w:t xml:space="preserve"> of </w:t>
      </w:r>
      <w:r w:rsidR="003F67A4">
        <w:t xml:space="preserve">VoIP </w:t>
      </w:r>
      <w:r w:rsidRPr="00303394">
        <w:t xml:space="preserve">service connected to the PSTN </w:t>
      </w:r>
      <w:r w:rsidR="00777B88">
        <w:t xml:space="preserve">(interconnected VoIP) </w:t>
      </w:r>
      <w:r w:rsidRPr="00303394">
        <w:t>within the scope of the requirements.</w:t>
      </w:r>
      <w:r w:rsidR="008F2646">
        <w:rPr>
          <w:rStyle w:val="FootnoteReference"/>
        </w:rPr>
        <w:footnoteReference w:id="5"/>
      </w:r>
      <w:r w:rsidRPr="00303394">
        <w:t xml:space="preserve">  </w:t>
      </w:r>
      <w:r w:rsidR="00FF4AF7">
        <w:t>With regard to</w:t>
      </w:r>
      <w:r w:rsidR="008F2646" w:rsidRPr="008F2646">
        <w:t xml:space="preserve"> the circuit </w:t>
      </w:r>
      <w:r w:rsidR="008F2646">
        <w:t xml:space="preserve">capacity </w:t>
      </w:r>
      <w:r w:rsidR="008F2646" w:rsidRPr="008F2646">
        <w:t xml:space="preserve">reports, </w:t>
      </w:r>
      <w:r w:rsidR="00D91A26">
        <w:t>the Commission</w:t>
      </w:r>
      <w:r w:rsidR="008F2646" w:rsidRPr="008F2646">
        <w:t xml:space="preserve"> found that all submarine cable landing licensees and common carriers that have capacity on international submarine cables should report their owned or leased capacity on submarine cables.</w:t>
      </w:r>
      <w:r w:rsidR="008F2646" w:rsidRPr="008F2646">
        <w:rPr>
          <w:vertAlign w:val="superscript"/>
        </w:rPr>
        <w:footnoteReference w:id="6"/>
      </w:r>
    </w:p>
    <w:p w:rsidR="009051A3" w:rsidRDefault="009051A3" w:rsidP="008D1421">
      <w:pPr>
        <w:pStyle w:val="ParaNum"/>
      </w:pPr>
      <w:r>
        <w:t xml:space="preserve">Petitioner seeks reconsideration of the requirements that </w:t>
      </w:r>
      <w:r w:rsidR="004F091D">
        <w:t xml:space="preserve">interconnected </w:t>
      </w:r>
      <w:r w:rsidRPr="00303394">
        <w:t xml:space="preserve">VoIP </w:t>
      </w:r>
      <w:r>
        <w:t>providers file annual international traffic and revenue reports and that submarine cable landing licensees file reports for certain circuit capacity they hold.</w:t>
      </w:r>
      <w:r>
        <w:rPr>
          <w:rStyle w:val="FootnoteReference"/>
        </w:rPr>
        <w:footnoteReference w:id="7"/>
      </w:r>
      <w:r>
        <w:t xml:space="preserve">  Petitioner claims the </w:t>
      </w:r>
      <w:r w:rsidRPr="001A4F18">
        <w:rPr>
          <w:i/>
        </w:rPr>
        <w:t>Second Report and Order</w:t>
      </w:r>
      <w:r>
        <w:t xml:space="preserve"> did not demonstrate Commission authority to apply the traffic and revenue reporting requirements to providers of VoIP services connected to </w:t>
      </w:r>
      <w:r w:rsidR="008D1421">
        <w:t xml:space="preserve">the </w:t>
      </w:r>
      <w:r>
        <w:t>PSTN.</w:t>
      </w:r>
      <w:r>
        <w:rPr>
          <w:rStyle w:val="FootnoteReference"/>
        </w:rPr>
        <w:footnoteReference w:id="8"/>
      </w:r>
      <w:r>
        <w:t xml:space="preserve">  Petitioner also asserts that requiring cable landing licensees to file reports identifying capacity they own and lease on cables licensed to other operators is unlawful and unreasonable.</w:t>
      </w:r>
      <w:r>
        <w:rPr>
          <w:rStyle w:val="FootnoteReference"/>
        </w:rPr>
        <w:footnoteReference w:id="9"/>
      </w:r>
      <w:r>
        <w:t xml:space="preserve">  </w:t>
      </w:r>
      <w:r w:rsidRPr="008F2646">
        <w:t>Vonage Holding</w:t>
      </w:r>
      <w:r>
        <w:t>s Corporation and Bandwidth.com</w:t>
      </w:r>
      <w:r w:rsidRPr="008F2646">
        <w:t xml:space="preserve"> Inc. filed comments in support of VON Coalition’s petition.</w:t>
      </w:r>
      <w:r>
        <w:rPr>
          <w:rStyle w:val="FootnoteReference"/>
        </w:rPr>
        <w:footnoteReference w:id="10"/>
      </w:r>
    </w:p>
    <w:p w:rsidR="008F2646" w:rsidRDefault="008F2646" w:rsidP="00565733">
      <w:pPr>
        <w:pStyle w:val="Heading1"/>
        <w:widowControl/>
        <w:tabs>
          <w:tab w:val="num" w:pos="720"/>
        </w:tabs>
      </w:pPr>
      <w:bookmarkStart w:id="3" w:name="_Toc416948715"/>
      <w:r>
        <w:t>discussion</w:t>
      </w:r>
      <w:bookmarkEnd w:id="3"/>
    </w:p>
    <w:p w:rsidR="00423BCC" w:rsidRDefault="00213CDD" w:rsidP="00565733">
      <w:pPr>
        <w:pStyle w:val="ParaNum"/>
        <w:keepNext/>
        <w:widowControl/>
      </w:pPr>
      <w:r>
        <w:t>T</w:t>
      </w:r>
      <w:r w:rsidR="00E96EF8">
        <w:t xml:space="preserve">he Petition </w:t>
      </w:r>
      <w:r w:rsidR="00FE22A0" w:rsidRPr="00FE22A0">
        <w:t>do</w:t>
      </w:r>
      <w:r w:rsidR="00FE22A0">
        <w:t>es</w:t>
      </w:r>
      <w:r w:rsidR="00FE22A0" w:rsidRPr="00FE22A0">
        <w:t xml:space="preserve"> not meet the r</w:t>
      </w:r>
      <w:r w:rsidR="00FE22A0">
        <w:t>equirements of section 1.429(b) of the Commission</w:t>
      </w:r>
      <w:r w:rsidR="00EB5C8C">
        <w:t>’s</w:t>
      </w:r>
      <w:r w:rsidR="00FE22A0">
        <w:t xml:space="preserve"> rules</w:t>
      </w:r>
      <w:r w:rsidR="00E96EF8">
        <w:t>.</w:t>
      </w:r>
      <w:r w:rsidR="00FE22A0">
        <w:rPr>
          <w:rStyle w:val="FootnoteReference"/>
        </w:rPr>
        <w:footnoteReference w:id="11"/>
      </w:r>
      <w:r w:rsidR="00E96EF8">
        <w:t xml:space="preserve">  Petitioner </w:t>
      </w:r>
      <w:r w:rsidR="00A14993">
        <w:t xml:space="preserve">relies on facts and arguments it could have presented earlier in the proceeding, following Commission adoption of the </w:t>
      </w:r>
      <w:r w:rsidR="00A14993" w:rsidRPr="00A14993">
        <w:rPr>
          <w:i/>
        </w:rPr>
        <w:t>Further Notice</w:t>
      </w:r>
      <w:r w:rsidR="00A14993">
        <w:t xml:space="preserve">.  </w:t>
      </w:r>
      <w:r w:rsidR="002F6E60">
        <w:t>T</w:t>
      </w:r>
      <w:r w:rsidR="00A14993" w:rsidRPr="00A14993">
        <w:t xml:space="preserve">he </w:t>
      </w:r>
      <w:r w:rsidR="00A14993" w:rsidRPr="00A14993">
        <w:rPr>
          <w:i/>
        </w:rPr>
        <w:t>Further Notice</w:t>
      </w:r>
      <w:r w:rsidR="00A14993">
        <w:t xml:space="preserve"> sought comment o</w:t>
      </w:r>
      <w:r w:rsidR="005B0B74">
        <w:t xml:space="preserve">n </w:t>
      </w:r>
      <w:r w:rsidR="008B748F">
        <w:t xml:space="preserve">requiring </w:t>
      </w:r>
      <w:r w:rsidR="00FE22A0">
        <w:t xml:space="preserve">interconnected </w:t>
      </w:r>
      <w:r w:rsidR="008B748F">
        <w:t>VoIP providers to fi</w:t>
      </w:r>
      <w:r w:rsidR="005B0B74">
        <w:t>le traffic and revenue reports and</w:t>
      </w:r>
      <w:r w:rsidR="008B748F">
        <w:t xml:space="preserve"> </w:t>
      </w:r>
      <w:r w:rsidR="00DF4853" w:rsidRPr="00DF4853">
        <w:t>non-common carriers to report their international circuits</w:t>
      </w:r>
      <w:r w:rsidR="008B748F">
        <w:t>.</w:t>
      </w:r>
      <w:r w:rsidR="00FE22A0">
        <w:rPr>
          <w:rStyle w:val="FootnoteReference"/>
        </w:rPr>
        <w:footnoteReference w:id="12"/>
      </w:r>
      <w:r w:rsidR="0089378B">
        <w:t xml:space="preserve"> </w:t>
      </w:r>
      <w:r w:rsidR="00A14993">
        <w:t xml:space="preserve"> </w:t>
      </w:r>
      <w:r w:rsidR="00F911C5">
        <w:t>I</w:t>
      </w:r>
      <w:r w:rsidR="00651B6D">
        <w:t xml:space="preserve">n the </w:t>
      </w:r>
      <w:r w:rsidR="00651B6D" w:rsidRPr="00651B6D">
        <w:rPr>
          <w:i/>
        </w:rPr>
        <w:t>Further Notice</w:t>
      </w:r>
      <w:r w:rsidR="00651B6D">
        <w:t>, the Commission</w:t>
      </w:r>
      <w:r w:rsidR="00F911C5">
        <w:t xml:space="preserve"> </w:t>
      </w:r>
      <w:r w:rsidR="008B6022">
        <w:t xml:space="preserve">discussed why </w:t>
      </w:r>
      <w:r w:rsidR="00651B6D">
        <w:t>inter</w:t>
      </w:r>
      <w:r w:rsidR="00F911C5">
        <w:t xml:space="preserve">connected VoIP </w:t>
      </w:r>
      <w:r w:rsidR="00DF4853">
        <w:t xml:space="preserve">service </w:t>
      </w:r>
      <w:r w:rsidR="00F911C5">
        <w:t>is a</w:t>
      </w:r>
      <w:r w:rsidR="00543C23">
        <w:t xml:space="preserve"> substitute for PSTN</w:t>
      </w:r>
      <w:r w:rsidR="00DF4853">
        <w:t xml:space="preserve"> services</w:t>
      </w:r>
      <w:r w:rsidR="00543C23">
        <w:t>, and sought comment on the Commission</w:t>
      </w:r>
      <w:r w:rsidR="008B6022">
        <w:t xml:space="preserve">’s legal authority </w:t>
      </w:r>
      <w:r w:rsidR="00B003D0">
        <w:t>to require</w:t>
      </w:r>
      <w:r w:rsidR="00543C23">
        <w:t xml:space="preserve"> </w:t>
      </w:r>
      <w:r w:rsidR="00651B6D">
        <w:t xml:space="preserve">interconnected </w:t>
      </w:r>
      <w:r w:rsidR="00543C23">
        <w:t xml:space="preserve">VoIP providers </w:t>
      </w:r>
      <w:r w:rsidR="00B003D0">
        <w:t xml:space="preserve">to </w:t>
      </w:r>
      <w:r w:rsidR="00543C23">
        <w:t>file international traffic and revenue data</w:t>
      </w:r>
      <w:r w:rsidR="00F911C5">
        <w:t>.</w:t>
      </w:r>
      <w:r w:rsidR="00F911C5">
        <w:rPr>
          <w:rStyle w:val="FootnoteReference"/>
        </w:rPr>
        <w:footnoteReference w:id="13"/>
      </w:r>
      <w:r w:rsidR="00F911C5">
        <w:t xml:space="preserve">  </w:t>
      </w:r>
      <w:r w:rsidR="00690C82">
        <w:t xml:space="preserve">Similarly, </w:t>
      </w:r>
      <w:r w:rsidR="00DA1E1D">
        <w:t>the Commission</w:t>
      </w:r>
      <w:r w:rsidR="006E4297">
        <w:t xml:space="preserve"> asked </w:t>
      </w:r>
      <w:r w:rsidR="00DF4853">
        <w:t>about extending streamlined reporting requirements to international no</w:t>
      </w:r>
      <w:r w:rsidR="006E4297">
        <w:t xml:space="preserve">n-common carrier circuits, observing that the </w:t>
      </w:r>
      <w:r w:rsidR="00E56853">
        <w:t xml:space="preserve">then </w:t>
      </w:r>
      <w:r w:rsidR="00DA1E1D">
        <w:t>existing</w:t>
      </w:r>
      <w:r w:rsidR="00E56853">
        <w:t xml:space="preserve"> </w:t>
      </w:r>
      <w:r w:rsidR="006E4297">
        <w:t xml:space="preserve">reporting requirements only applied to common carrier circuits despite </w:t>
      </w:r>
      <w:r w:rsidR="00DF4853">
        <w:t xml:space="preserve">the general fungibility of common carrier and non-common carrier circuits provided from </w:t>
      </w:r>
      <w:r w:rsidR="00DF4853">
        <w:lastRenderedPageBreak/>
        <w:t>the same platform (submarine cable, terres</w:t>
      </w:r>
      <w:r w:rsidR="006E4297">
        <w:t>trial, or satellite facility).</w:t>
      </w:r>
      <w:r w:rsidR="00F911C5" w:rsidRPr="00797B3E">
        <w:rPr>
          <w:rStyle w:val="FootnoteReference"/>
        </w:rPr>
        <w:footnoteReference w:id="14"/>
      </w:r>
      <w:r w:rsidR="00F911C5" w:rsidRPr="00797B3E">
        <w:t xml:space="preserve"> </w:t>
      </w:r>
      <w:r w:rsidR="00BD6E74" w:rsidRPr="00797B3E">
        <w:t xml:space="preserve"> </w:t>
      </w:r>
      <w:r w:rsidR="00A14993">
        <w:t>Petition</w:t>
      </w:r>
      <w:r w:rsidR="008B748F">
        <w:t>er</w:t>
      </w:r>
      <w:r w:rsidR="00A14993">
        <w:t xml:space="preserve"> did not file comments</w:t>
      </w:r>
      <w:r w:rsidR="008B748F">
        <w:t xml:space="preserve"> </w:t>
      </w:r>
      <w:r w:rsidR="00F911C5">
        <w:t>in response to the</w:t>
      </w:r>
      <w:r w:rsidR="00F911C5">
        <w:rPr>
          <w:i/>
        </w:rPr>
        <w:t xml:space="preserve"> </w:t>
      </w:r>
      <w:r w:rsidR="008B748F" w:rsidRPr="008B748F">
        <w:rPr>
          <w:i/>
        </w:rPr>
        <w:t>Further Notice</w:t>
      </w:r>
      <w:r w:rsidR="008B748F">
        <w:t xml:space="preserve">.  </w:t>
      </w:r>
      <w:r w:rsidR="00F7664D">
        <w:t xml:space="preserve">Although Petitioner was aware of the proceeding, </w:t>
      </w:r>
      <w:r w:rsidR="008B748F">
        <w:t xml:space="preserve">it waited until after the Commission adopted the </w:t>
      </w:r>
      <w:r w:rsidR="008B748F" w:rsidRPr="008B748F">
        <w:rPr>
          <w:i/>
        </w:rPr>
        <w:t>Second Report and Order</w:t>
      </w:r>
      <w:r w:rsidR="00F7664D">
        <w:rPr>
          <w:i/>
        </w:rPr>
        <w:t xml:space="preserve"> </w:t>
      </w:r>
      <w:r w:rsidR="00F7664D" w:rsidRPr="007E0278">
        <w:t>to raise objections</w:t>
      </w:r>
      <w:r w:rsidR="005B0B74" w:rsidRPr="00F7664D">
        <w:t>.</w:t>
      </w:r>
      <w:r w:rsidR="00F7664D">
        <w:rPr>
          <w:rStyle w:val="FootnoteReference"/>
        </w:rPr>
        <w:footnoteReference w:id="15"/>
      </w:r>
    </w:p>
    <w:p w:rsidR="004922DE" w:rsidRDefault="00B222A7" w:rsidP="00565733">
      <w:pPr>
        <w:pStyle w:val="ParaNum"/>
        <w:keepNext/>
        <w:widowControl/>
      </w:pPr>
      <w:r>
        <w:t xml:space="preserve">In seeking reconsideration of the </w:t>
      </w:r>
      <w:r>
        <w:rPr>
          <w:i/>
        </w:rPr>
        <w:t>Second Report and Order</w:t>
      </w:r>
      <w:r>
        <w:t>, Petitioner</w:t>
      </w:r>
      <w:r w:rsidR="006E4297">
        <w:t xml:space="preserve"> has</w:t>
      </w:r>
      <w:r>
        <w:t xml:space="preserve"> neither explained why it was not able to present its arguments to the Commission during the comment cycle nor cit</w:t>
      </w:r>
      <w:r w:rsidR="00DA1E1D">
        <w:t>ed to any events or circumstance</w:t>
      </w:r>
      <w:r w:rsidR="008C0AD6">
        <w:t>s</w:t>
      </w:r>
      <w:r>
        <w:t xml:space="preserve"> that changed after the comment cycle or adoption of the </w:t>
      </w:r>
      <w:r>
        <w:rPr>
          <w:i/>
        </w:rPr>
        <w:t>Second Report and Order</w:t>
      </w:r>
      <w:r>
        <w:t>.</w:t>
      </w:r>
      <w:r>
        <w:rPr>
          <w:rStyle w:val="FootnoteReference"/>
        </w:rPr>
        <w:footnoteReference w:id="16"/>
      </w:r>
      <w:r w:rsidR="00D91A26">
        <w:t xml:space="preserve">  </w:t>
      </w:r>
      <w:r w:rsidR="0097414C">
        <w:t>Under the Commission’s</w:t>
      </w:r>
      <w:r w:rsidR="007E6386">
        <w:t xml:space="preserve"> rules, p</w:t>
      </w:r>
      <w:r w:rsidR="00F7664D" w:rsidRPr="00F135D1">
        <w:t xml:space="preserve">etitions for reconsideration that rely on facts or arguments that have not previously been presented </w:t>
      </w:r>
      <w:r w:rsidR="007E6386">
        <w:t xml:space="preserve">to the Commission </w:t>
      </w:r>
      <w:r w:rsidR="0097414C">
        <w:t>will be considered</w:t>
      </w:r>
      <w:r w:rsidR="007E6386" w:rsidRPr="007E6386">
        <w:t xml:space="preserve"> only under </w:t>
      </w:r>
      <w:r w:rsidR="000D261A">
        <w:t xml:space="preserve">certain </w:t>
      </w:r>
      <w:r w:rsidR="007E6386">
        <w:t>limited circumstances</w:t>
      </w:r>
      <w:r w:rsidR="007E6386">
        <w:rPr>
          <w:rStyle w:val="FootnoteReference"/>
        </w:rPr>
        <w:footnoteReference w:id="17"/>
      </w:r>
      <w:r w:rsidR="007E6386">
        <w:t xml:space="preserve"> </w:t>
      </w:r>
      <w:r w:rsidR="000D261A">
        <w:t xml:space="preserve">and </w:t>
      </w:r>
      <w:r w:rsidR="0097414C">
        <w:t>may be dismissed</w:t>
      </w:r>
      <w:r w:rsidR="000D261A" w:rsidRPr="000D261A">
        <w:t xml:space="preserve"> by the relevant bureau</w:t>
      </w:r>
      <w:r w:rsidR="0097414C">
        <w:t xml:space="preserve"> if they do not meet those circumstances</w:t>
      </w:r>
      <w:r w:rsidR="000D261A">
        <w:t>.</w:t>
      </w:r>
      <w:r w:rsidR="000D261A">
        <w:rPr>
          <w:rStyle w:val="FootnoteReference"/>
        </w:rPr>
        <w:footnoteReference w:id="18"/>
      </w:r>
      <w:r w:rsidR="000D261A">
        <w:t xml:space="preserve"> </w:t>
      </w:r>
      <w:r w:rsidR="007E6386">
        <w:t xml:space="preserve"> The Petition</w:t>
      </w:r>
      <w:r w:rsidR="00F7664D" w:rsidRPr="00F135D1">
        <w:t xml:space="preserve"> do</w:t>
      </w:r>
      <w:r w:rsidR="007E6386">
        <w:t>es</w:t>
      </w:r>
      <w:r w:rsidR="00F7664D" w:rsidRPr="00F135D1">
        <w:t xml:space="preserve"> not meet the requirements of section 1.429(b)</w:t>
      </w:r>
      <w:r w:rsidR="000D261A">
        <w:t>, including the</w:t>
      </w:r>
      <w:r w:rsidR="006F5741">
        <w:t xml:space="preserve"> </w:t>
      </w:r>
      <w:r w:rsidR="007E6386">
        <w:t xml:space="preserve">circumstances described in </w:t>
      </w:r>
      <w:r w:rsidR="007E6386" w:rsidRPr="007E6386">
        <w:t>paragraphs (b)(1) through (3) of</w:t>
      </w:r>
      <w:r w:rsidR="007E6386">
        <w:t xml:space="preserve"> that section.</w:t>
      </w:r>
      <w:r w:rsidR="00F7664D">
        <w:rPr>
          <w:rStyle w:val="FootnoteReference"/>
        </w:rPr>
        <w:footnoteReference w:id="19"/>
      </w:r>
    </w:p>
    <w:p w:rsidR="007F6935" w:rsidRDefault="00DE3AE6" w:rsidP="00565733">
      <w:pPr>
        <w:pStyle w:val="ParaNum"/>
        <w:keepNext/>
        <w:widowControl/>
      </w:pPr>
      <w:r>
        <w:t>In adopting its rules, t</w:t>
      </w:r>
      <w:r w:rsidR="000E4C4B">
        <w:t xml:space="preserve">he Commission </w:t>
      </w:r>
      <w:r>
        <w:t xml:space="preserve">weighs the </w:t>
      </w:r>
      <w:r w:rsidR="000E4C4B">
        <w:t xml:space="preserve">facts and arguments </w:t>
      </w:r>
      <w:r>
        <w:t>presented by parties in response to its request</w:t>
      </w:r>
      <w:r w:rsidR="00B47CD8">
        <w:t>s</w:t>
      </w:r>
      <w:r w:rsidR="000A03A8">
        <w:t xml:space="preserve"> for public comment</w:t>
      </w:r>
      <w:r w:rsidR="000E4C4B">
        <w:t xml:space="preserve">.  Aware that new occurrences or changes in circumstances may arise during its rulemaking process, </w:t>
      </w:r>
      <w:r>
        <w:t>it</w:t>
      </w:r>
      <w:r w:rsidR="000E4C4B">
        <w:t xml:space="preserve"> provides the opportunity for members of the public to seek reconsideration of its actions.</w:t>
      </w:r>
      <w:r w:rsidR="000E4C4B">
        <w:rPr>
          <w:rStyle w:val="FootnoteReference"/>
        </w:rPr>
        <w:footnoteReference w:id="20"/>
      </w:r>
      <w:r w:rsidR="000E4C4B" w:rsidRPr="008A2558">
        <w:t xml:space="preserve"> </w:t>
      </w:r>
      <w:r w:rsidR="000E4C4B">
        <w:t xml:space="preserve"> </w:t>
      </w:r>
      <w:r w:rsidR="000E4C4B" w:rsidRPr="008A2558">
        <w:t>The reconsideration proce</w:t>
      </w:r>
      <w:r w:rsidR="000E4C4B">
        <w:t xml:space="preserve">ss is not, however, intended </w:t>
      </w:r>
      <w:r w:rsidR="000E4C4B" w:rsidRPr="008A2558">
        <w:t xml:space="preserve">to allow </w:t>
      </w:r>
      <w:r w:rsidR="00213CDD">
        <w:t>petitioners</w:t>
      </w:r>
      <w:r w:rsidR="00213CDD" w:rsidRPr="008A2558">
        <w:t xml:space="preserve"> </w:t>
      </w:r>
      <w:r w:rsidR="000E4C4B" w:rsidRPr="008A2558">
        <w:t xml:space="preserve">who </w:t>
      </w:r>
      <w:r w:rsidR="00213CDD">
        <w:t xml:space="preserve">have </w:t>
      </w:r>
      <w:r w:rsidR="000E4C4B" w:rsidRPr="008A2558">
        <w:t xml:space="preserve">declined to participate in the rulemaking process to delay </w:t>
      </w:r>
      <w:r w:rsidR="00BB2EBB">
        <w:t>implementation</w:t>
      </w:r>
      <w:r w:rsidR="000E5CF9">
        <w:t xml:space="preserve"> </w:t>
      </w:r>
      <w:r w:rsidR="000E4C4B" w:rsidRPr="008A2558">
        <w:t xml:space="preserve">of </w:t>
      </w:r>
      <w:r w:rsidR="00213CDD">
        <w:t>Commission</w:t>
      </w:r>
      <w:r w:rsidR="00213CDD" w:rsidRPr="008A2558">
        <w:t xml:space="preserve"> </w:t>
      </w:r>
      <w:r w:rsidR="000E4C4B" w:rsidRPr="008A2558">
        <w:t xml:space="preserve">rules by raising </w:t>
      </w:r>
      <w:r w:rsidR="00777B88">
        <w:t>objections</w:t>
      </w:r>
      <w:r w:rsidR="000E4C4B" w:rsidRPr="008A2558">
        <w:t xml:space="preserve"> after the rules are adopted.</w:t>
      </w:r>
    </w:p>
    <w:p w:rsidR="008A2558" w:rsidRPr="00C878BD" w:rsidRDefault="009E24CD" w:rsidP="00565733">
      <w:pPr>
        <w:pStyle w:val="ParaNum"/>
        <w:keepNext/>
        <w:widowControl/>
      </w:pPr>
      <w:r>
        <w:t xml:space="preserve">In </w:t>
      </w:r>
      <w:r w:rsidR="00E05BB6">
        <w:t>summary</w:t>
      </w:r>
      <w:r>
        <w:t xml:space="preserve">, the Commission </w:t>
      </w:r>
      <w:r w:rsidR="00DE3AE6">
        <w:t xml:space="preserve">provided </w:t>
      </w:r>
      <w:r>
        <w:t xml:space="preserve">ample opportunity </w:t>
      </w:r>
      <w:r w:rsidR="00BD131B">
        <w:t xml:space="preserve">for </w:t>
      </w:r>
      <w:r>
        <w:t xml:space="preserve">comment </w:t>
      </w:r>
      <w:r w:rsidR="007F6935">
        <w:t xml:space="preserve">on its proposals </w:t>
      </w:r>
      <w:r>
        <w:t xml:space="preserve">and then fully considered the </w:t>
      </w:r>
      <w:r w:rsidR="00BD131B">
        <w:t xml:space="preserve">public </w:t>
      </w:r>
      <w:r>
        <w:t xml:space="preserve">record developed in response to </w:t>
      </w:r>
      <w:r w:rsidR="007F6935">
        <w:t>the</w:t>
      </w:r>
      <w:r>
        <w:t xml:space="preserve"> proposals.  </w:t>
      </w:r>
      <w:r w:rsidRPr="009E24CD">
        <w:t>Although aware of the proceeding,</w:t>
      </w:r>
      <w:r>
        <w:t xml:space="preserve"> </w:t>
      </w:r>
      <w:r w:rsidRPr="009E24CD">
        <w:t>Petitioner did not file comments in response to the</w:t>
      </w:r>
      <w:r w:rsidRPr="009E24CD">
        <w:rPr>
          <w:i/>
        </w:rPr>
        <w:t xml:space="preserve"> Further Notice</w:t>
      </w:r>
      <w:r w:rsidR="003A328D">
        <w:t xml:space="preserve">, </w:t>
      </w:r>
      <w:r w:rsidR="00DE3AE6">
        <w:t>but rather</w:t>
      </w:r>
      <w:r w:rsidR="00DE3AE6" w:rsidRPr="009E24CD">
        <w:t xml:space="preserve"> </w:t>
      </w:r>
      <w:r w:rsidRPr="009E24CD">
        <w:t xml:space="preserve">waited until after the Commission adopted the </w:t>
      </w:r>
      <w:r w:rsidRPr="009E24CD">
        <w:rPr>
          <w:i/>
        </w:rPr>
        <w:t xml:space="preserve">Second Report and Order </w:t>
      </w:r>
      <w:r w:rsidRPr="009E24CD">
        <w:t>to raise objections</w:t>
      </w:r>
      <w:r w:rsidR="003A328D">
        <w:t>.</w:t>
      </w:r>
      <w:r w:rsidR="007F6935">
        <w:t xml:space="preserve">  </w:t>
      </w:r>
      <w:r w:rsidR="007740B8" w:rsidRPr="007740B8">
        <w:t xml:space="preserve">Moreover, </w:t>
      </w:r>
      <w:r w:rsidR="007740B8">
        <w:t>Petitioner</w:t>
      </w:r>
      <w:r w:rsidR="007740B8" w:rsidRPr="007740B8">
        <w:t xml:space="preserve"> </w:t>
      </w:r>
      <w:r w:rsidR="007740B8">
        <w:t>does not argue</w:t>
      </w:r>
      <w:r w:rsidR="007740B8" w:rsidRPr="007740B8">
        <w:t xml:space="preserve"> that its arguments fall </w:t>
      </w:r>
      <w:r w:rsidR="007740B8">
        <w:t>under any of the exceptions to s</w:t>
      </w:r>
      <w:r w:rsidR="007740B8" w:rsidRPr="007740B8">
        <w:t>ection 1.429(</w:t>
      </w:r>
      <w:r w:rsidR="007740B8" w:rsidRPr="007740B8">
        <w:rPr>
          <w:i/>
          <w:iCs/>
        </w:rPr>
        <w:t>l</w:t>
      </w:r>
      <w:r w:rsidR="007740B8">
        <w:t xml:space="preserve">)(2). </w:t>
      </w:r>
      <w:r w:rsidR="007740B8" w:rsidRPr="007740B8">
        <w:t xml:space="preserve"> Specifically,</w:t>
      </w:r>
      <w:r w:rsidR="007740B8">
        <w:t xml:space="preserve"> Petitioner</w:t>
      </w:r>
      <w:r w:rsidR="007740B8" w:rsidRPr="007740B8">
        <w:t xml:space="preserve"> does not claim to rely on facts or arguments based on events that occurred after the pleading cycle established in the </w:t>
      </w:r>
      <w:r w:rsidR="007740B8" w:rsidRPr="007740B8">
        <w:rPr>
          <w:i/>
          <w:iCs/>
        </w:rPr>
        <w:t xml:space="preserve">Further Notice </w:t>
      </w:r>
      <w:r w:rsidR="007740B8" w:rsidRPr="007740B8">
        <w:t xml:space="preserve">closed, nor does it claim </w:t>
      </w:r>
      <w:r w:rsidR="00044A8D">
        <w:t>to rely</w:t>
      </w:r>
      <w:r w:rsidR="007740B8" w:rsidRPr="007740B8">
        <w:t xml:space="preserve"> on facts or arguments that were unknown to it until after t</w:t>
      </w:r>
      <w:r w:rsidR="007740B8">
        <w:t xml:space="preserve">he close of the pleading cycle. </w:t>
      </w:r>
      <w:r w:rsidR="007740B8" w:rsidRPr="007740B8">
        <w:t xml:space="preserve"> Finally, </w:t>
      </w:r>
      <w:r w:rsidR="007740B8">
        <w:t>Petitioner</w:t>
      </w:r>
      <w:r w:rsidR="007740B8" w:rsidRPr="007740B8">
        <w:t xml:space="preserve"> does </w:t>
      </w:r>
      <w:r w:rsidR="007740B8" w:rsidRPr="00001EB8">
        <w:t xml:space="preserve">not address the issue of whether considering </w:t>
      </w:r>
      <w:r w:rsidR="00684C56">
        <w:t>the P</w:t>
      </w:r>
      <w:r w:rsidR="007740B8" w:rsidRPr="00001EB8">
        <w:t xml:space="preserve">etition would be in the public interest at this stage.  </w:t>
      </w:r>
      <w:r w:rsidR="007F6935" w:rsidRPr="00001EB8">
        <w:t>Pursuant to</w:t>
      </w:r>
      <w:r w:rsidR="00001EB8">
        <w:t xml:space="preserve"> section 1.429</w:t>
      </w:r>
      <w:r w:rsidR="007740B8" w:rsidRPr="00001EB8">
        <w:t>(</w:t>
      </w:r>
      <w:r w:rsidR="007740B8" w:rsidRPr="00001EB8">
        <w:rPr>
          <w:i/>
          <w:iCs/>
        </w:rPr>
        <w:t>l</w:t>
      </w:r>
      <w:r w:rsidR="007740B8" w:rsidRPr="00001EB8">
        <w:t>)</w:t>
      </w:r>
      <w:r w:rsidR="00001EB8">
        <w:t xml:space="preserve"> of the Commission rules</w:t>
      </w:r>
      <w:r w:rsidR="007F6935" w:rsidRPr="00001EB8">
        <w:t xml:space="preserve">, </w:t>
      </w:r>
      <w:r w:rsidR="007F6935">
        <w:t>we find that the Petition plainly do</w:t>
      </w:r>
      <w:r w:rsidR="00031337">
        <w:t>es</w:t>
      </w:r>
      <w:r w:rsidR="007F6935">
        <w:t xml:space="preserve"> not warrant consideration by the Commission and dismiss it as relying on facts or arguments </w:t>
      </w:r>
      <w:r w:rsidR="00044A8D">
        <w:t>that</w:t>
      </w:r>
      <w:r w:rsidR="007F6935">
        <w:t xml:space="preserve"> do not meet the requirements of sec</w:t>
      </w:r>
      <w:r w:rsidR="00001EB8">
        <w:t>tion 1.429(b)</w:t>
      </w:r>
      <w:r w:rsidR="00773010">
        <w:t>(1) through (3).</w:t>
      </w:r>
    </w:p>
    <w:p w:rsidR="00FE6846" w:rsidRDefault="00FE6846" w:rsidP="00565733">
      <w:pPr>
        <w:pStyle w:val="Heading1"/>
        <w:widowControl/>
        <w:tabs>
          <w:tab w:val="num" w:pos="720"/>
        </w:tabs>
      </w:pPr>
      <w:bookmarkStart w:id="4" w:name="_Toc416948716"/>
      <w:r>
        <w:lastRenderedPageBreak/>
        <w:t>ordering clauses</w:t>
      </w:r>
      <w:bookmarkEnd w:id="4"/>
    </w:p>
    <w:p w:rsidR="00FE6846" w:rsidRDefault="00FE6846" w:rsidP="00565733">
      <w:pPr>
        <w:pStyle w:val="ParaNum"/>
        <w:keepNext/>
        <w:widowControl/>
      </w:pPr>
      <w:r>
        <w:t>Accordingly, I</w:t>
      </w:r>
      <w:r w:rsidR="00D25521">
        <w:t>T IS ORDERED that, pursuant to s</w:t>
      </w:r>
      <w:r>
        <w:t xml:space="preserve">ections </w:t>
      </w:r>
      <w:r w:rsidR="009116BD">
        <w:t xml:space="preserve">1, </w:t>
      </w:r>
      <w:r>
        <w:t>4(i)</w:t>
      </w:r>
      <w:r w:rsidR="009116BD">
        <w:t>-</w:t>
      </w:r>
      <w:r>
        <w:t xml:space="preserve">4(j), 5(c), </w:t>
      </w:r>
      <w:r w:rsidR="00CC5217">
        <w:t xml:space="preserve">11, 201-205, 211, 214, 219, 220, 303(r), 403 </w:t>
      </w:r>
      <w:r>
        <w:t xml:space="preserve">and 405 of the Communications Act of 1934, as amended, 47 U.S.C. §§ </w:t>
      </w:r>
      <w:r w:rsidR="001C2C49">
        <w:t>151, 15</w:t>
      </w:r>
      <w:r>
        <w:t xml:space="preserve">4(i)-(j), </w:t>
      </w:r>
      <w:r w:rsidR="001C2C49">
        <w:t>15</w:t>
      </w:r>
      <w:r>
        <w:t>5(c),</w:t>
      </w:r>
      <w:r w:rsidR="00C41EE9">
        <w:t xml:space="preserve"> 161,</w:t>
      </w:r>
      <w:r>
        <w:t xml:space="preserve"> </w:t>
      </w:r>
      <w:r w:rsidR="001C2C49">
        <w:t xml:space="preserve">201-205, 211, 214, 219, 220, 303(r), </w:t>
      </w:r>
      <w:r w:rsidR="00AC2BDD">
        <w:t xml:space="preserve">403, and </w:t>
      </w:r>
      <w:r>
        <w:t xml:space="preserve">405, </w:t>
      </w:r>
      <w:r w:rsidR="00CC5217">
        <w:t xml:space="preserve">and sections 0.51, 0.261, </w:t>
      </w:r>
      <w:r w:rsidR="00B5471E">
        <w:t xml:space="preserve">1.429(b), </w:t>
      </w:r>
      <w:r w:rsidR="00CC5217">
        <w:t>an</w:t>
      </w:r>
      <w:r w:rsidR="00D25521">
        <w:t>d 1.429</w:t>
      </w:r>
      <w:r w:rsidR="007740B8" w:rsidRPr="007740B8">
        <w:t>(</w:t>
      </w:r>
      <w:r w:rsidR="007740B8" w:rsidRPr="007740B8">
        <w:rPr>
          <w:i/>
          <w:iCs/>
        </w:rPr>
        <w:t>l</w:t>
      </w:r>
      <w:r w:rsidR="007740B8" w:rsidRPr="007740B8">
        <w:t>)</w:t>
      </w:r>
      <w:r w:rsidR="00D25521">
        <w:t xml:space="preserve"> of the Commission’s r</w:t>
      </w:r>
      <w:r w:rsidR="00CC5217">
        <w:t xml:space="preserve">ules, 47 C.F.R. §§ 0.51, 0.261, </w:t>
      </w:r>
      <w:r w:rsidR="004713C7">
        <w:t xml:space="preserve">1.429(b), </w:t>
      </w:r>
      <w:r w:rsidR="00CC5217">
        <w:t>1.429</w:t>
      </w:r>
      <w:r w:rsidR="007740B8" w:rsidRPr="007740B8">
        <w:t>(</w:t>
      </w:r>
      <w:r w:rsidR="007740B8" w:rsidRPr="007740B8">
        <w:rPr>
          <w:i/>
          <w:iCs/>
        </w:rPr>
        <w:t>l</w:t>
      </w:r>
      <w:r w:rsidR="007740B8" w:rsidRPr="007740B8">
        <w:t>)</w:t>
      </w:r>
      <w:r w:rsidR="00CC5217">
        <w:t xml:space="preserve">, </w:t>
      </w:r>
      <w:r>
        <w:t xml:space="preserve">the </w:t>
      </w:r>
      <w:r w:rsidRPr="008273D3">
        <w:t>Petition for Reconsideration</w:t>
      </w:r>
      <w:r w:rsidRPr="00CD18DE">
        <w:t xml:space="preserve"> </w:t>
      </w:r>
      <w:r>
        <w:t>filed by the V</w:t>
      </w:r>
      <w:r w:rsidR="00CC5217">
        <w:t>oice on the Net</w:t>
      </w:r>
      <w:r>
        <w:t xml:space="preserve"> Coalition in this proceeding IS DISMISSED</w:t>
      </w:r>
      <w:r w:rsidR="002F5CB8">
        <w:t xml:space="preserve"> and IB Docket No. 04-112 IS TERMINATED</w:t>
      </w:r>
      <w:r>
        <w:t>.</w:t>
      </w:r>
    </w:p>
    <w:p w:rsidR="001457E8" w:rsidRDefault="00770606" w:rsidP="001F0939">
      <w:pPr>
        <w:pStyle w:val="ParaNum"/>
        <w:keepNext/>
        <w:widowControl/>
        <w:spacing w:after="0"/>
      </w:pPr>
      <w:r w:rsidRPr="004E0084">
        <w:rPr>
          <w:color w:val="000000"/>
          <w:szCs w:val="22"/>
        </w:rPr>
        <w:t>IT IS FURTHER ORDERED</w:t>
      </w:r>
      <w:r w:rsidR="00044A8D">
        <w:rPr>
          <w:color w:val="000000"/>
          <w:szCs w:val="22"/>
        </w:rPr>
        <w:t xml:space="preserve"> that</w:t>
      </w:r>
      <w:r w:rsidRPr="004E0084">
        <w:rPr>
          <w:color w:val="000000"/>
          <w:szCs w:val="22"/>
        </w:rPr>
        <w:t xml:space="preserve">, pursuant to section 1.103 of the </w:t>
      </w:r>
      <w:r w:rsidR="00DE6672">
        <w:rPr>
          <w:color w:val="000000"/>
          <w:szCs w:val="22"/>
        </w:rPr>
        <w:t xml:space="preserve">Commission’s rules, 47 C.F.R. § </w:t>
      </w:r>
      <w:r w:rsidRPr="004E0084">
        <w:rPr>
          <w:color w:val="000000"/>
          <w:szCs w:val="22"/>
        </w:rPr>
        <w:t xml:space="preserve">1.103, this </w:t>
      </w:r>
      <w:r w:rsidRPr="008273D3">
        <w:rPr>
          <w:color w:val="000000"/>
          <w:szCs w:val="22"/>
        </w:rPr>
        <w:t>Order</w:t>
      </w:r>
      <w:r w:rsidRPr="004E0084">
        <w:rPr>
          <w:color w:val="000000"/>
          <w:szCs w:val="22"/>
        </w:rPr>
        <w:t xml:space="preserve"> IS EFFECTIVE upon release.</w:t>
      </w:r>
      <w:r>
        <w:rPr>
          <w:color w:val="000000"/>
          <w:szCs w:val="22"/>
        </w:rPr>
        <w:t xml:space="preserve">  </w:t>
      </w:r>
      <w:r>
        <w:t xml:space="preserve">Petitions for reconsideration under section 1.106 of the Commission’s rules, 47 C.F.R. § 1.106, or applications for review under section 1.115 of the Commission’s </w:t>
      </w:r>
      <w:r w:rsidRPr="00CD18DE">
        <w:t>rules, 47 C.F.R. § 1.115, may be filed within thirty days of the date of public notice</w:t>
      </w:r>
      <w:r w:rsidR="00485501" w:rsidRPr="00CD18DE">
        <w:t xml:space="preserve"> </w:t>
      </w:r>
      <w:r w:rsidRPr="00CD18DE">
        <w:t xml:space="preserve">of this </w:t>
      </w:r>
      <w:r w:rsidRPr="008273D3">
        <w:t>Order</w:t>
      </w:r>
      <w:r>
        <w:t>.</w:t>
      </w:r>
    </w:p>
    <w:p w:rsidR="001F0939" w:rsidRDefault="001F0939" w:rsidP="006446E0">
      <w:pPr>
        <w:pStyle w:val="ParaNum"/>
        <w:numPr>
          <w:ilvl w:val="0"/>
          <w:numId w:val="0"/>
        </w:numPr>
        <w:spacing w:after="0"/>
        <w:ind w:left="3600" w:firstLine="720"/>
      </w:pPr>
    </w:p>
    <w:p w:rsidR="00FE6846" w:rsidRDefault="007541D8" w:rsidP="006446E0">
      <w:pPr>
        <w:pStyle w:val="ParaNum"/>
        <w:numPr>
          <w:ilvl w:val="0"/>
          <w:numId w:val="0"/>
        </w:numPr>
        <w:spacing w:after="0"/>
        <w:ind w:left="3600" w:firstLine="720"/>
      </w:pPr>
      <w:r>
        <w:t>FEDERAL COMMUNICATIONS COMMISSION</w:t>
      </w:r>
    </w:p>
    <w:p w:rsidR="00435C91" w:rsidRDefault="00435C91" w:rsidP="004D22FA">
      <w:pPr>
        <w:pStyle w:val="ParaNum"/>
        <w:numPr>
          <w:ilvl w:val="0"/>
          <w:numId w:val="0"/>
        </w:numPr>
        <w:spacing w:after="0"/>
      </w:pPr>
    </w:p>
    <w:p w:rsidR="00CC3C86" w:rsidRDefault="00CC3C86" w:rsidP="004D22FA">
      <w:pPr>
        <w:pStyle w:val="ParaNum"/>
        <w:numPr>
          <w:ilvl w:val="0"/>
          <w:numId w:val="0"/>
        </w:numPr>
        <w:spacing w:after="0"/>
      </w:pPr>
    </w:p>
    <w:p w:rsidR="00D06320" w:rsidRDefault="00D06320" w:rsidP="004D22FA">
      <w:pPr>
        <w:pStyle w:val="ParaNum"/>
        <w:numPr>
          <w:ilvl w:val="0"/>
          <w:numId w:val="0"/>
        </w:numPr>
        <w:spacing w:after="0"/>
      </w:pPr>
    </w:p>
    <w:p w:rsidR="00CC3C86" w:rsidRDefault="00CC3C86" w:rsidP="004D22FA">
      <w:pPr>
        <w:pStyle w:val="ParaNum"/>
        <w:numPr>
          <w:ilvl w:val="0"/>
          <w:numId w:val="0"/>
        </w:numPr>
        <w:spacing w:after="0"/>
      </w:pPr>
    </w:p>
    <w:p w:rsidR="002F5CB8" w:rsidRDefault="002F5CB8" w:rsidP="006446E0">
      <w:pPr>
        <w:pStyle w:val="ParaNum"/>
        <w:numPr>
          <w:ilvl w:val="0"/>
          <w:numId w:val="0"/>
        </w:numPr>
        <w:spacing w:after="0"/>
        <w:ind w:left="3600" w:firstLine="720"/>
      </w:pPr>
      <w:r>
        <w:t>Mindel De La Torre</w:t>
      </w:r>
      <w:r w:rsidR="004215D7">
        <w:t xml:space="preserve"> </w:t>
      </w:r>
    </w:p>
    <w:p w:rsidR="00C61154" w:rsidRPr="00FE6846" w:rsidRDefault="007541D8" w:rsidP="002F5CB8">
      <w:pPr>
        <w:pStyle w:val="ParaNum"/>
        <w:numPr>
          <w:ilvl w:val="0"/>
          <w:numId w:val="0"/>
        </w:numPr>
        <w:spacing w:after="0"/>
        <w:ind w:left="3600" w:firstLine="720"/>
      </w:pPr>
      <w:r>
        <w:t>Chief</w:t>
      </w:r>
      <w:r w:rsidR="002F5CB8">
        <w:t xml:space="preserve">, </w:t>
      </w:r>
      <w:r w:rsidR="00C61154">
        <w:t>International Bureau</w:t>
      </w:r>
    </w:p>
    <w:sectPr w:rsidR="00C61154" w:rsidRPr="00FE6846" w:rsidSect="007541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38" w:rsidRDefault="00522B38" w:rsidP="00700D33">
      <w:r>
        <w:separator/>
      </w:r>
    </w:p>
  </w:endnote>
  <w:endnote w:type="continuationSeparator" w:id="0">
    <w:p w:rsidR="00522B38" w:rsidRDefault="00522B38" w:rsidP="0070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9" w:rsidRDefault="00592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63934"/>
      <w:docPartObj>
        <w:docPartGallery w:val="Page Numbers (Bottom of Page)"/>
        <w:docPartUnique/>
      </w:docPartObj>
    </w:sdtPr>
    <w:sdtEndPr>
      <w:rPr>
        <w:noProof/>
      </w:rPr>
    </w:sdtEndPr>
    <w:sdtContent>
      <w:p w:rsidR="0089378B" w:rsidRDefault="0089378B">
        <w:pPr>
          <w:pStyle w:val="Footer"/>
          <w:jc w:val="center"/>
        </w:pPr>
        <w:r>
          <w:fldChar w:fldCharType="begin"/>
        </w:r>
        <w:r>
          <w:instrText xml:space="preserve"> PAGE   \* MERGEFORMAT </w:instrText>
        </w:r>
        <w:r>
          <w:fldChar w:fldCharType="separate"/>
        </w:r>
        <w:r w:rsidR="005E10EC">
          <w:rPr>
            <w:noProof/>
          </w:rPr>
          <w:t>4</w:t>
        </w:r>
        <w:r>
          <w:rPr>
            <w:noProof/>
          </w:rPr>
          <w:fldChar w:fldCharType="end"/>
        </w:r>
      </w:p>
    </w:sdtContent>
  </w:sdt>
  <w:p w:rsidR="0089378B" w:rsidRDefault="00893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9" w:rsidRDefault="0059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38" w:rsidRDefault="00522B38" w:rsidP="00700D33">
      <w:r>
        <w:separator/>
      </w:r>
    </w:p>
  </w:footnote>
  <w:footnote w:type="continuationSeparator" w:id="0">
    <w:p w:rsidR="00522B38" w:rsidRDefault="00522B38" w:rsidP="00700D33">
      <w:r>
        <w:continuationSeparator/>
      </w:r>
    </w:p>
  </w:footnote>
  <w:footnote w:id="1">
    <w:p w:rsidR="00AC47BD" w:rsidRPr="006C4DC9" w:rsidRDefault="00AC47BD" w:rsidP="00AC47BD">
      <w:pPr>
        <w:pStyle w:val="FootnoteText"/>
      </w:pPr>
      <w:r>
        <w:rPr>
          <w:rStyle w:val="FootnoteReference"/>
        </w:rPr>
        <w:footnoteRef/>
      </w:r>
      <w:r>
        <w:t xml:space="preserve"> VON Coalition, Petition for Reconsideration</w:t>
      </w:r>
      <w:r w:rsidR="00777B88">
        <w:t>, IB Docket No. 04-112 (filed Apr. 11, 2013)</w:t>
      </w:r>
      <w:r>
        <w:t xml:space="preserve">.  </w:t>
      </w:r>
      <w:r w:rsidRPr="00E817FF">
        <w:rPr>
          <w:i/>
          <w:snapToGrid w:val="0"/>
          <w:kern w:val="28"/>
        </w:rPr>
        <w:t>See Reporting Requirements for U.S. Providers of International Telecommunications Services; Amendment of Part 43 of the Commission</w:t>
      </w:r>
      <w:r w:rsidR="000443A6">
        <w:rPr>
          <w:i/>
          <w:snapToGrid w:val="0"/>
          <w:kern w:val="28"/>
        </w:rPr>
        <w:t>’</w:t>
      </w:r>
      <w:r w:rsidRPr="00E817FF">
        <w:rPr>
          <w:i/>
          <w:snapToGrid w:val="0"/>
          <w:kern w:val="28"/>
        </w:rPr>
        <w:t>s Rules</w:t>
      </w:r>
      <w:r w:rsidRPr="00E817FF">
        <w:rPr>
          <w:snapToGrid w:val="0"/>
          <w:kern w:val="28"/>
        </w:rPr>
        <w:t>, IB Docket No. 04-112, Second Report and</w:t>
      </w:r>
      <w:r>
        <w:rPr>
          <w:snapToGrid w:val="0"/>
          <w:kern w:val="28"/>
        </w:rPr>
        <w:t xml:space="preserve"> Order, 28 FCC Rcd 575</w:t>
      </w:r>
      <w:r w:rsidRPr="00E817FF">
        <w:rPr>
          <w:snapToGrid w:val="0"/>
          <w:kern w:val="28"/>
        </w:rPr>
        <w:t xml:space="preserve"> (2013) (</w:t>
      </w:r>
      <w:r w:rsidRPr="00E817FF">
        <w:rPr>
          <w:i/>
          <w:snapToGrid w:val="0"/>
          <w:kern w:val="28"/>
        </w:rPr>
        <w:t>Second Report and Order</w:t>
      </w:r>
      <w:r w:rsidRPr="00E817FF">
        <w:rPr>
          <w:snapToGrid w:val="0"/>
          <w:kern w:val="28"/>
        </w:rPr>
        <w:t xml:space="preserve">).  In the </w:t>
      </w:r>
      <w:r w:rsidRPr="00E817FF">
        <w:rPr>
          <w:i/>
          <w:snapToGrid w:val="0"/>
          <w:kern w:val="28"/>
        </w:rPr>
        <w:t>Second Report and Order</w:t>
      </w:r>
      <w:r w:rsidRPr="00E817FF">
        <w:rPr>
          <w:snapToGrid w:val="0"/>
          <w:kern w:val="28"/>
        </w:rPr>
        <w:t xml:space="preserve">, the Commission </w:t>
      </w:r>
      <w:r>
        <w:rPr>
          <w:snapToGrid w:val="0"/>
          <w:kern w:val="28"/>
        </w:rPr>
        <w:t>adopted</w:t>
      </w:r>
      <w:r w:rsidRPr="00E817FF">
        <w:rPr>
          <w:snapToGrid w:val="0"/>
          <w:kern w:val="28"/>
        </w:rPr>
        <w:t xml:space="preserve"> section 43.62 of its rules, which went i</w:t>
      </w:r>
      <w:r>
        <w:rPr>
          <w:snapToGrid w:val="0"/>
          <w:kern w:val="28"/>
        </w:rPr>
        <w:t xml:space="preserve">nto effect on February 11, 2015.  </w:t>
      </w:r>
      <w:r>
        <w:rPr>
          <w:i/>
          <w:snapToGrid w:val="0"/>
          <w:kern w:val="28"/>
        </w:rPr>
        <w:t>See</w:t>
      </w:r>
      <w:r w:rsidR="00703586" w:rsidRPr="00703586">
        <w:rPr>
          <w:i/>
          <w:snapToGrid w:val="0"/>
          <w:kern w:val="28"/>
        </w:rPr>
        <w:t xml:space="preserve"> </w:t>
      </w:r>
      <w:r w:rsidR="00703586" w:rsidRPr="00E817FF">
        <w:rPr>
          <w:i/>
          <w:snapToGrid w:val="0"/>
          <w:kern w:val="28"/>
        </w:rPr>
        <w:t>Reporting Requirements for U.S. Providers of International Telecommunications Services</w:t>
      </w:r>
      <w:r w:rsidR="00703586">
        <w:rPr>
          <w:snapToGrid w:val="0"/>
          <w:kern w:val="28"/>
        </w:rPr>
        <w:t>,</w:t>
      </w:r>
      <w:r>
        <w:rPr>
          <w:i/>
          <w:snapToGrid w:val="0"/>
          <w:kern w:val="28"/>
        </w:rPr>
        <w:t xml:space="preserve"> </w:t>
      </w:r>
      <w:r>
        <w:rPr>
          <w:snapToGrid w:val="0"/>
          <w:kern w:val="28"/>
        </w:rPr>
        <w:t>80 Fed. Reg. 7547 (</w:t>
      </w:r>
      <w:r w:rsidR="00703586">
        <w:rPr>
          <w:snapToGrid w:val="0"/>
          <w:kern w:val="28"/>
        </w:rPr>
        <w:t xml:space="preserve">Feb. 11, </w:t>
      </w:r>
      <w:r>
        <w:rPr>
          <w:snapToGrid w:val="0"/>
          <w:kern w:val="28"/>
        </w:rPr>
        <w:t xml:space="preserve">2015); </w:t>
      </w:r>
      <w:r>
        <w:rPr>
          <w:i/>
          <w:snapToGrid w:val="0"/>
          <w:kern w:val="28"/>
        </w:rPr>
        <w:t xml:space="preserve">see also </w:t>
      </w:r>
      <w:r>
        <w:rPr>
          <w:snapToGrid w:val="0"/>
          <w:kern w:val="28"/>
        </w:rPr>
        <w:t xml:space="preserve">47 C.F.R. </w:t>
      </w:r>
      <w:r w:rsidRPr="00291C83">
        <w:t xml:space="preserve">§ </w:t>
      </w:r>
      <w:r w:rsidR="00A54108">
        <w:t>43</w:t>
      </w:r>
      <w:r>
        <w:t>.62, Reporting Requirements for Holders of International Section 214 Authorizations and Providers of International Services.</w:t>
      </w:r>
    </w:p>
  </w:footnote>
  <w:footnote w:id="2">
    <w:p w:rsidR="00AC47BD" w:rsidRDefault="00AC47BD">
      <w:pPr>
        <w:pStyle w:val="FootnoteText"/>
      </w:pPr>
      <w:r>
        <w:rPr>
          <w:rStyle w:val="FootnoteReference"/>
        </w:rPr>
        <w:footnoteRef/>
      </w:r>
      <w:r>
        <w:t xml:space="preserve"> 47 C.F.R. </w:t>
      </w:r>
      <w:r w:rsidRPr="00001EB8">
        <w:t>§</w:t>
      </w:r>
      <w:r w:rsidR="00CA29BA">
        <w:t xml:space="preserve"> 1.429, Petition for Reconsideration of Final Orders in Rulemaking Proceedings</w:t>
      </w:r>
      <w:r>
        <w:t xml:space="preserve">.  </w:t>
      </w:r>
      <w:r w:rsidR="0046705B">
        <w:t>Paragraph (b) of s</w:t>
      </w:r>
      <w:r w:rsidR="00CA29BA">
        <w:t>ection 1.429</w:t>
      </w:r>
      <w:r>
        <w:t xml:space="preserve"> provides that the Commission will grant a petition for reconsideration that relies on facts or arguments not previously presented only under very limited circumstances.  </w:t>
      </w:r>
      <w:r w:rsidR="00CA29BA">
        <w:t xml:space="preserve">47 C.F.R. </w:t>
      </w:r>
      <w:r w:rsidR="00CA29BA" w:rsidRPr="00291C83">
        <w:t>§</w:t>
      </w:r>
      <w:r w:rsidR="00CA29BA">
        <w:t xml:space="preserve"> 1.429(b).</w:t>
      </w:r>
      <w:r w:rsidR="001F0939">
        <w:t xml:space="preserve">  </w:t>
      </w:r>
      <w:r>
        <w:t>Petitioner has not argued that those circumstances apply here.</w:t>
      </w:r>
    </w:p>
  </w:footnote>
  <w:footnote w:id="3">
    <w:p w:rsidR="00E817FF" w:rsidRPr="00E817FF" w:rsidRDefault="00E817FF">
      <w:pPr>
        <w:pStyle w:val="FootnoteText"/>
      </w:pPr>
      <w:r>
        <w:rPr>
          <w:rStyle w:val="FootnoteReference"/>
        </w:rPr>
        <w:footnoteRef/>
      </w:r>
      <w:r>
        <w:t xml:space="preserve"> </w:t>
      </w:r>
      <w:r w:rsidRPr="00E817FF">
        <w:rPr>
          <w:i/>
          <w:snapToGrid w:val="0"/>
          <w:kern w:val="28"/>
        </w:rPr>
        <w:t>Reporting Requirements for U.S. Providers of International Telecommunications Services; Amendme</w:t>
      </w:r>
      <w:r w:rsidR="00CA29BA">
        <w:rPr>
          <w:i/>
          <w:snapToGrid w:val="0"/>
          <w:kern w:val="28"/>
        </w:rPr>
        <w:t>nt of Part 43 of the Commission’</w:t>
      </w:r>
      <w:r w:rsidRPr="00E817FF">
        <w:rPr>
          <w:i/>
          <w:snapToGrid w:val="0"/>
          <w:kern w:val="28"/>
        </w:rPr>
        <w:t>s Rules</w:t>
      </w:r>
      <w:r w:rsidRPr="00E817FF">
        <w:rPr>
          <w:snapToGrid w:val="0"/>
          <w:kern w:val="28"/>
        </w:rPr>
        <w:t>, IB Docket No. 04-112, First Report and Order and Further Notice of Proposed Rulemaking, 26</w:t>
      </w:r>
      <w:r w:rsidR="008B6022">
        <w:rPr>
          <w:snapToGrid w:val="0"/>
          <w:kern w:val="28"/>
        </w:rPr>
        <w:t xml:space="preserve"> FCC Rcd 7274 (2011) (</w:t>
      </w:r>
      <w:r w:rsidRPr="00E817FF">
        <w:rPr>
          <w:i/>
          <w:snapToGrid w:val="0"/>
          <w:kern w:val="28"/>
        </w:rPr>
        <w:t>Further Notice</w:t>
      </w:r>
      <w:r w:rsidRPr="00E817FF">
        <w:rPr>
          <w:snapToGrid w:val="0"/>
          <w:kern w:val="28"/>
        </w:rPr>
        <w:t>).</w:t>
      </w:r>
    </w:p>
  </w:footnote>
  <w:footnote w:id="4">
    <w:p w:rsidR="002F5CB8" w:rsidRPr="00001EB8" w:rsidRDefault="002F5CB8" w:rsidP="002F5CB8">
      <w:pPr>
        <w:pStyle w:val="FootnoteText"/>
      </w:pPr>
      <w:r>
        <w:rPr>
          <w:rStyle w:val="FootnoteReference"/>
        </w:rPr>
        <w:footnoteRef/>
      </w:r>
      <w:r>
        <w:t xml:space="preserve"> </w:t>
      </w:r>
      <w:r w:rsidRPr="00291C83">
        <w:t>47 C.F.R. § 1.429</w:t>
      </w:r>
      <w:r>
        <w:t>.</w:t>
      </w:r>
    </w:p>
  </w:footnote>
  <w:footnote w:id="5">
    <w:p w:rsidR="008F2646" w:rsidRDefault="008F2646">
      <w:pPr>
        <w:pStyle w:val="FootnoteText"/>
      </w:pPr>
      <w:r>
        <w:rPr>
          <w:rStyle w:val="FootnoteReference"/>
        </w:rPr>
        <w:footnoteRef/>
      </w:r>
      <w:r>
        <w:t xml:space="preserve"> </w:t>
      </w:r>
      <w:r w:rsidRPr="00C878BD">
        <w:rPr>
          <w:i/>
        </w:rPr>
        <w:t>Second Report and Order</w:t>
      </w:r>
      <w:r>
        <w:t>, 28 FCC Rcd 575.</w:t>
      </w:r>
    </w:p>
  </w:footnote>
  <w:footnote w:id="6">
    <w:p w:rsidR="008F2646" w:rsidRPr="0087499C" w:rsidRDefault="008F2646" w:rsidP="008F2646">
      <w:pPr>
        <w:pStyle w:val="FootnoteText"/>
      </w:pPr>
      <w:r>
        <w:rPr>
          <w:rStyle w:val="FootnoteReference"/>
        </w:rPr>
        <w:footnoteRef/>
      </w:r>
      <w:r>
        <w:t xml:space="preserve"> </w:t>
      </w:r>
      <w:r w:rsidR="001F0939">
        <w:rPr>
          <w:i/>
        </w:rPr>
        <w:t>I</w:t>
      </w:r>
      <w:r>
        <w:rPr>
          <w:i/>
        </w:rPr>
        <w:t xml:space="preserve">d. </w:t>
      </w:r>
      <w:r>
        <w:t>at 604, ¶ 100.</w:t>
      </w:r>
    </w:p>
  </w:footnote>
  <w:footnote w:id="7">
    <w:p w:rsidR="009051A3" w:rsidRPr="00DB07E8" w:rsidRDefault="009051A3" w:rsidP="009051A3">
      <w:pPr>
        <w:pStyle w:val="FootnoteText"/>
      </w:pPr>
      <w:r>
        <w:rPr>
          <w:rStyle w:val="FootnoteReference"/>
        </w:rPr>
        <w:footnoteRef/>
      </w:r>
      <w:r>
        <w:t xml:space="preserve"> Petition at 2.</w:t>
      </w:r>
    </w:p>
  </w:footnote>
  <w:footnote w:id="8">
    <w:p w:rsidR="009051A3" w:rsidRPr="009453A9" w:rsidRDefault="009051A3" w:rsidP="009051A3">
      <w:pPr>
        <w:pStyle w:val="FootnoteText"/>
      </w:pPr>
      <w:r>
        <w:rPr>
          <w:rStyle w:val="FootnoteReference"/>
        </w:rPr>
        <w:footnoteRef/>
      </w:r>
      <w:r>
        <w:t xml:space="preserve"> </w:t>
      </w:r>
      <w:r>
        <w:rPr>
          <w:i/>
        </w:rPr>
        <w:t>Id.</w:t>
      </w:r>
      <w:r>
        <w:t xml:space="preserve"> at 3-</w:t>
      </w:r>
      <w:r w:rsidRPr="008501EA">
        <w:t>11.</w:t>
      </w:r>
    </w:p>
  </w:footnote>
  <w:footnote w:id="9">
    <w:p w:rsidR="009051A3" w:rsidRPr="00261840" w:rsidRDefault="009051A3" w:rsidP="009051A3">
      <w:pPr>
        <w:pStyle w:val="FootnoteText"/>
      </w:pPr>
      <w:r>
        <w:rPr>
          <w:rStyle w:val="FootnoteReference"/>
        </w:rPr>
        <w:footnoteRef/>
      </w:r>
      <w:r>
        <w:t xml:space="preserve"> </w:t>
      </w:r>
      <w:r>
        <w:rPr>
          <w:i/>
        </w:rPr>
        <w:t>Id.</w:t>
      </w:r>
      <w:r>
        <w:t xml:space="preserve"> at 11-13.</w:t>
      </w:r>
    </w:p>
  </w:footnote>
  <w:footnote w:id="10">
    <w:p w:rsidR="009051A3" w:rsidRDefault="009051A3" w:rsidP="009051A3">
      <w:pPr>
        <w:pStyle w:val="FootnoteText"/>
      </w:pPr>
      <w:r>
        <w:rPr>
          <w:rStyle w:val="FootnoteReference"/>
        </w:rPr>
        <w:footnoteRef/>
      </w:r>
      <w:r>
        <w:t xml:space="preserve"> Comments of Vonage Holdings Corporation, IB Docket No. 04-112 (filed July 16, 2013); Comments of Bandwidth.com Inc., IB Docket No. 04-112 (filed July 16, 2013).</w:t>
      </w:r>
    </w:p>
  </w:footnote>
  <w:footnote w:id="11">
    <w:p w:rsidR="00FE22A0" w:rsidRDefault="00FE22A0">
      <w:pPr>
        <w:pStyle w:val="FootnoteText"/>
      </w:pPr>
      <w:r>
        <w:rPr>
          <w:rStyle w:val="FootnoteReference"/>
        </w:rPr>
        <w:footnoteRef/>
      </w:r>
      <w:r>
        <w:t xml:space="preserve"> 47 C.F.R. § 1.429</w:t>
      </w:r>
      <w:r w:rsidR="001F0939">
        <w:t>(b)</w:t>
      </w:r>
      <w:r>
        <w:t xml:space="preserve">.  </w:t>
      </w:r>
      <w:r w:rsidR="00612F63" w:rsidRPr="00612F63">
        <w:t>Paragraph (b)</w:t>
      </w:r>
      <w:r w:rsidR="00612F63">
        <w:t xml:space="preserve"> of s</w:t>
      </w:r>
      <w:r>
        <w:t xml:space="preserve">ection 1.429 provides that the Commission will grant a petition for reconsideration that relies on facts or arguments not previously presented only under limited circumstances.  </w:t>
      </w:r>
      <w:r w:rsidR="001F0939">
        <w:rPr>
          <w:i/>
        </w:rPr>
        <w:t>Id.</w:t>
      </w:r>
      <w:r w:rsidR="0083274F">
        <w:t xml:space="preserve">  Petitioner has not argued that those circumstances apply here.</w:t>
      </w:r>
    </w:p>
  </w:footnote>
  <w:footnote w:id="12">
    <w:p w:rsidR="00FE22A0" w:rsidRDefault="00FE22A0">
      <w:pPr>
        <w:pStyle w:val="FootnoteText"/>
      </w:pPr>
      <w:r>
        <w:rPr>
          <w:rStyle w:val="FootnoteReference"/>
        </w:rPr>
        <w:footnoteRef/>
      </w:r>
      <w:r>
        <w:t xml:space="preserve"> </w:t>
      </w:r>
      <w:r w:rsidR="00DB07E8">
        <w:rPr>
          <w:i/>
        </w:rPr>
        <w:t>Further Notice</w:t>
      </w:r>
      <w:r w:rsidR="00DB07E8">
        <w:t>, 26 FCC Rcd at 7312-20, ¶¶ 116-31</w:t>
      </w:r>
      <w:r w:rsidR="00714797">
        <w:t>.</w:t>
      </w:r>
    </w:p>
  </w:footnote>
  <w:footnote w:id="13">
    <w:p w:rsidR="0089378B" w:rsidRDefault="0089378B">
      <w:pPr>
        <w:pStyle w:val="FootnoteText"/>
      </w:pPr>
      <w:r>
        <w:rPr>
          <w:rStyle w:val="FootnoteReference"/>
        </w:rPr>
        <w:footnoteRef/>
      </w:r>
      <w:r w:rsidR="00BD6E74">
        <w:t xml:space="preserve"> </w:t>
      </w:r>
      <w:r w:rsidR="00DB07E8">
        <w:rPr>
          <w:i/>
        </w:rPr>
        <w:t>Id.</w:t>
      </w:r>
      <w:r w:rsidR="00BD6E74">
        <w:t xml:space="preserve"> at </w:t>
      </w:r>
      <w:r w:rsidR="00543C23">
        <w:t>7312-18</w:t>
      </w:r>
      <w:r w:rsidR="00BD6E74">
        <w:t>, ¶</w:t>
      </w:r>
      <w:r w:rsidR="00543C23">
        <w:t>¶</w:t>
      </w:r>
      <w:r w:rsidR="00BD6E74">
        <w:t xml:space="preserve"> </w:t>
      </w:r>
      <w:r w:rsidR="00543C23">
        <w:t>116-25</w:t>
      </w:r>
      <w:r w:rsidR="00BD6E74">
        <w:t>.</w:t>
      </w:r>
      <w:r w:rsidR="006A746B">
        <w:t xml:space="preserve">  In the </w:t>
      </w:r>
      <w:r w:rsidR="006A746B">
        <w:rPr>
          <w:i/>
        </w:rPr>
        <w:t>Further Notice</w:t>
      </w:r>
      <w:r w:rsidR="006A746B">
        <w:t xml:space="preserve">, the Commission sought comment on whether it should require providers of interconnected VoIP service to file international voice traffic and revenue data.  </w:t>
      </w:r>
      <w:r w:rsidR="006A746B">
        <w:rPr>
          <w:i/>
        </w:rPr>
        <w:t>Id.</w:t>
      </w:r>
      <w:r w:rsidR="006A746B">
        <w:t xml:space="preserve"> at 7312, ¶ 116.  </w:t>
      </w:r>
      <w:r w:rsidR="00766CDF">
        <w:t xml:space="preserve">It specifically sought comment as to “whether requiring interconnected VoIP service providers to meet certain of the Commission’s Part 43 reporting requirements is reasonably ancillary to the effective performance of the Commission’s statutory obligations under the Communications Act.”  </w:t>
      </w:r>
      <w:r w:rsidR="00766CDF">
        <w:rPr>
          <w:i/>
        </w:rPr>
        <w:t xml:space="preserve">Id. </w:t>
      </w:r>
      <w:r w:rsidR="00766CDF">
        <w:t>at 731</w:t>
      </w:r>
      <w:r w:rsidR="00581DDF">
        <w:t>5</w:t>
      </w:r>
      <w:r w:rsidR="00766CDF">
        <w:t>, ¶ 121.</w:t>
      </w:r>
      <w:r w:rsidR="00C1784D">
        <w:t xml:space="preserve">  The</w:t>
      </w:r>
      <w:r w:rsidR="00C1784D">
        <w:rPr>
          <w:i/>
        </w:rPr>
        <w:t xml:space="preserve"> Further Notice</w:t>
      </w:r>
      <w:r w:rsidR="00C1784D">
        <w:t xml:space="preserve"> also sought comment on whether the Commission’s continued ability to exercise its statutory obligations under the Communications Act would be facilitated by its ability to require providers of interconnected VoIP services to comply with the Part 43 reporting rules.  </w:t>
      </w:r>
      <w:r w:rsidR="00C1784D">
        <w:rPr>
          <w:i/>
        </w:rPr>
        <w:t>Id.</w:t>
      </w:r>
      <w:r w:rsidR="00C1784D">
        <w:t xml:space="preserve"> at 7315-16, ¶ 122.</w:t>
      </w:r>
    </w:p>
  </w:footnote>
  <w:footnote w:id="14">
    <w:p w:rsidR="0089378B" w:rsidRDefault="0089378B">
      <w:pPr>
        <w:pStyle w:val="FootnoteText"/>
      </w:pPr>
      <w:r>
        <w:rPr>
          <w:rStyle w:val="FootnoteReference"/>
        </w:rPr>
        <w:footnoteRef/>
      </w:r>
      <w:r>
        <w:t xml:space="preserve"> </w:t>
      </w:r>
      <w:r w:rsidR="00BD6E74">
        <w:rPr>
          <w:i/>
        </w:rPr>
        <w:t xml:space="preserve">Id. </w:t>
      </w:r>
      <w:r w:rsidR="00BD6E74">
        <w:t xml:space="preserve">at </w:t>
      </w:r>
      <w:r w:rsidR="00543C23">
        <w:t>7318-20</w:t>
      </w:r>
      <w:r w:rsidR="00BD6E74">
        <w:t>, ¶</w:t>
      </w:r>
      <w:r w:rsidR="00543C23">
        <w:t>¶</w:t>
      </w:r>
      <w:r w:rsidR="00BD6E74">
        <w:t xml:space="preserve"> </w:t>
      </w:r>
      <w:r w:rsidR="00543C23">
        <w:t>126-31</w:t>
      </w:r>
      <w:r w:rsidR="00BD6E74">
        <w:t>.</w:t>
      </w:r>
      <w:r w:rsidR="00E41ADB">
        <w:t xml:space="preserve">  The Commission proposed to require all non-common carriers, including cable landing licensees, to report all their circuits on submarine cables.  </w:t>
      </w:r>
      <w:r w:rsidR="00581DDF" w:rsidRPr="00046DD3">
        <w:rPr>
          <w:i/>
        </w:rPr>
        <w:t>Id</w:t>
      </w:r>
      <w:r w:rsidR="00E41ADB">
        <w:t xml:space="preserve">.  </w:t>
      </w:r>
      <w:r w:rsidR="003E13CD">
        <w:t>It</w:t>
      </w:r>
      <w:r w:rsidR="00E41ADB">
        <w:t xml:space="preserve"> sought comment on whether its statutory obligations under the Cable Landing License Act</w:t>
      </w:r>
      <w:r w:rsidR="00B34892">
        <w:t xml:space="preserve">, 47 </w:t>
      </w:r>
      <w:r w:rsidR="00F904D0">
        <w:t>U.S.C.</w:t>
      </w:r>
      <w:r w:rsidR="00B34892">
        <w:t xml:space="preserve"> §§ 35-39, </w:t>
      </w:r>
      <w:r w:rsidR="00E41ADB">
        <w:t>required it to gather information about the use of international non-common carrier circuits, noting that the Cable Landing License Act</w:t>
      </w:r>
      <w:r w:rsidR="004E3745">
        <w:t xml:space="preserve"> </w:t>
      </w:r>
      <w:r w:rsidR="00E41ADB">
        <w:t xml:space="preserve">does not distinguish between common carrier and non-common carrier submarine cables.  </w:t>
      </w:r>
      <w:r w:rsidR="00E41ADB">
        <w:rPr>
          <w:i/>
        </w:rPr>
        <w:t>Id.</w:t>
      </w:r>
      <w:r w:rsidR="00E41ADB">
        <w:t xml:space="preserve"> at 7319-20, ¶ 130.  It further inquired whether it has authority under the Communications Act to require reporting of international non-common carrier circuits, whether on submarine cables, terrestrial cables, or satellites.  </w:t>
      </w:r>
      <w:r w:rsidR="00E41ADB">
        <w:rPr>
          <w:i/>
        </w:rPr>
        <w:t>Id.</w:t>
      </w:r>
      <w:r w:rsidR="00E41ADB">
        <w:t xml:space="preserve"> at 7320, ¶ 131.</w:t>
      </w:r>
    </w:p>
  </w:footnote>
  <w:footnote w:id="15">
    <w:p w:rsidR="00F7664D" w:rsidRDefault="00F7664D">
      <w:pPr>
        <w:pStyle w:val="FootnoteText"/>
      </w:pPr>
      <w:r>
        <w:rPr>
          <w:rStyle w:val="FootnoteReference"/>
        </w:rPr>
        <w:footnoteRef/>
      </w:r>
      <w:r>
        <w:t xml:space="preserve"> In seeking comment on whether to extend the reporting obligations to VoIP providers</w:t>
      </w:r>
      <w:r w:rsidRPr="00F7664D">
        <w:t xml:space="preserve"> </w:t>
      </w:r>
      <w:r>
        <w:t xml:space="preserve">in the </w:t>
      </w:r>
      <w:r w:rsidRPr="00714797">
        <w:rPr>
          <w:i/>
        </w:rPr>
        <w:t>Further Notice</w:t>
      </w:r>
      <w:r>
        <w:t>, the Commission noted that t</w:t>
      </w:r>
      <w:r w:rsidRPr="00714797">
        <w:t xml:space="preserve">he VON Coalition </w:t>
      </w:r>
      <w:r w:rsidR="00743D9E">
        <w:t xml:space="preserve">had </w:t>
      </w:r>
      <w:r w:rsidRPr="00714797">
        <w:t xml:space="preserve">filed an </w:t>
      </w:r>
      <w:r w:rsidRPr="00DA1E1D">
        <w:rPr>
          <w:i/>
        </w:rPr>
        <w:t>ex parte</w:t>
      </w:r>
      <w:r w:rsidRPr="00714797">
        <w:t xml:space="preserve"> letter </w:t>
      </w:r>
      <w:r w:rsidR="004F091D">
        <w:t xml:space="preserve">in this docket, </w:t>
      </w:r>
      <w:r>
        <w:t>a</w:t>
      </w:r>
      <w:r w:rsidR="004F091D">
        <w:t>rgu</w:t>
      </w:r>
      <w:r>
        <w:t>ing</w:t>
      </w:r>
      <w:r w:rsidRPr="00714797">
        <w:t xml:space="preserve"> that t</w:t>
      </w:r>
      <w:r w:rsidR="00743D9E">
        <w:t>he reporting requirements</w:t>
      </w:r>
      <w:r w:rsidRPr="00714797">
        <w:t xml:space="preserve"> </w:t>
      </w:r>
      <w:r w:rsidR="004F091D">
        <w:t xml:space="preserve">should </w:t>
      </w:r>
      <w:r w:rsidRPr="00714797">
        <w:t>not b</w:t>
      </w:r>
      <w:r>
        <w:t>e extended to interconnected VoI</w:t>
      </w:r>
      <w:r w:rsidRPr="00714797">
        <w:t xml:space="preserve">P providers. </w:t>
      </w:r>
      <w:r>
        <w:t xml:space="preserve"> This </w:t>
      </w:r>
      <w:r w:rsidRPr="00260390">
        <w:rPr>
          <w:i/>
        </w:rPr>
        <w:t>ex parte</w:t>
      </w:r>
      <w:r>
        <w:t xml:space="preserve"> </w:t>
      </w:r>
      <w:r w:rsidRPr="00714797">
        <w:t xml:space="preserve">letter did not address </w:t>
      </w:r>
      <w:r>
        <w:t>Commission’s</w:t>
      </w:r>
      <w:r w:rsidRPr="00714797">
        <w:t xml:space="preserve"> authority to impose such a r</w:t>
      </w:r>
      <w:r>
        <w:t xml:space="preserve">equirement on interconnected VoIP providers.  </w:t>
      </w:r>
      <w:r>
        <w:rPr>
          <w:i/>
        </w:rPr>
        <w:t xml:space="preserve">See </w:t>
      </w:r>
      <w:r w:rsidR="00BD7AE0" w:rsidRPr="00046DD3">
        <w:rPr>
          <w:i/>
        </w:rPr>
        <w:t>id</w:t>
      </w:r>
      <w:r w:rsidR="00BD7AE0">
        <w:t xml:space="preserve">. </w:t>
      </w:r>
      <w:r w:rsidRPr="00F9281E">
        <w:t xml:space="preserve">at </w:t>
      </w:r>
      <w:r w:rsidR="00D2651B">
        <w:t>7312,</w:t>
      </w:r>
      <w:r>
        <w:t xml:space="preserve"> </w:t>
      </w:r>
      <w:r w:rsidR="00466E61">
        <w:t xml:space="preserve">¶ 116 </w:t>
      </w:r>
      <w:r>
        <w:t>n.</w:t>
      </w:r>
      <w:r w:rsidRPr="00714797">
        <w:t>215</w:t>
      </w:r>
      <w:r>
        <w:t>.</w:t>
      </w:r>
    </w:p>
  </w:footnote>
  <w:footnote w:id="16">
    <w:p w:rsidR="00B222A7" w:rsidRPr="00FB052A" w:rsidRDefault="00B222A7" w:rsidP="00B222A7">
      <w:pPr>
        <w:pStyle w:val="FootnoteText"/>
      </w:pPr>
      <w:r>
        <w:rPr>
          <w:rStyle w:val="FootnoteReference"/>
        </w:rPr>
        <w:footnoteRef/>
      </w:r>
      <w:r>
        <w:t xml:space="preserve"> </w:t>
      </w:r>
      <w:r>
        <w:rPr>
          <w:i/>
        </w:rPr>
        <w:t xml:space="preserve">See </w:t>
      </w:r>
      <w:r>
        <w:t>47 C.F.R §</w:t>
      </w:r>
      <w:r w:rsidR="00766CDF">
        <w:t>§</w:t>
      </w:r>
      <w:r>
        <w:t xml:space="preserve"> 1.429(b), </w:t>
      </w:r>
      <w:r w:rsidR="00001EB8" w:rsidRPr="00001EB8">
        <w:t>(</w:t>
      </w:r>
      <w:r w:rsidR="00001EB8" w:rsidRPr="00001EB8">
        <w:rPr>
          <w:i/>
          <w:iCs/>
        </w:rPr>
        <w:t>l</w:t>
      </w:r>
      <w:r w:rsidR="00001EB8" w:rsidRPr="00001EB8">
        <w:t>)(</w:t>
      </w:r>
      <w:r>
        <w:t>2).</w:t>
      </w:r>
    </w:p>
  </w:footnote>
  <w:footnote w:id="17">
    <w:p w:rsidR="007E6386" w:rsidRDefault="007E6386">
      <w:pPr>
        <w:pStyle w:val="FootnoteText"/>
      </w:pPr>
      <w:r>
        <w:rPr>
          <w:rStyle w:val="FootnoteReference"/>
        </w:rPr>
        <w:footnoteRef/>
      </w:r>
      <w:r>
        <w:t xml:space="preserve"> </w:t>
      </w:r>
      <w:r w:rsidRPr="007E6386">
        <w:rPr>
          <w:i/>
        </w:rPr>
        <w:t xml:space="preserve">See </w:t>
      </w:r>
      <w:r w:rsidRPr="007E6386">
        <w:t>47 C.F.R § 1.429(b)</w:t>
      </w:r>
      <w:r w:rsidR="006F5741">
        <w:t>.</w:t>
      </w:r>
    </w:p>
  </w:footnote>
  <w:footnote w:id="18">
    <w:p w:rsidR="000D261A" w:rsidRDefault="000D261A">
      <w:pPr>
        <w:pStyle w:val="FootnoteText"/>
      </w:pPr>
      <w:r>
        <w:rPr>
          <w:rStyle w:val="FootnoteReference"/>
        </w:rPr>
        <w:footnoteRef/>
      </w:r>
      <w:r>
        <w:t xml:space="preserve"> </w:t>
      </w:r>
      <w:r w:rsidRPr="000D261A">
        <w:rPr>
          <w:i/>
        </w:rPr>
        <w:t xml:space="preserve">See </w:t>
      </w:r>
      <w:r w:rsidR="00626F4C">
        <w:t xml:space="preserve">47 C.F.R </w:t>
      </w:r>
      <w:r w:rsidR="00001EB8">
        <w:t>§ 1.429</w:t>
      </w:r>
      <w:r w:rsidR="00001EB8" w:rsidRPr="00001EB8">
        <w:t>(</w:t>
      </w:r>
      <w:r w:rsidR="00001EB8" w:rsidRPr="00001EB8">
        <w:rPr>
          <w:i/>
          <w:iCs/>
        </w:rPr>
        <w:t>l</w:t>
      </w:r>
      <w:r w:rsidR="00001EB8">
        <w:t>)</w:t>
      </w:r>
      <w:r w:rsidRPr="000D261A">
        <w:t>(2).</w:t>
      </w:r>
    </w:p>
  </w:footnote>
  <w:footnote w:id="19">
    <w:p w:rsidR="00F7664D" w:rsidRDefault="00F7664D" w:rsidP="00F7664D">
      <w:pPr>
        <w:pStyle w:val="FootnoteText"/>
      </w:pPr>
      <w:r>
        <w:rPr>
          <w:rStyle w:val="FootnoteReference"/>
        </w:rPr>
        <w:footnoteRef/>
      </w:r>
      <w:r>
        <w:t xml:space="preserve"> </w:t>
      </w:r>
      <w:r w:rsidRPr="00F135D1">
        <w:t>47 C.F.R. § 1.429(</w:t>
      </w:r>
      <w:r w:rsidR="000D261A">
        <w:t>b</w:t>
      </w:r>
      <w:r w:rsidRPr="00F135D1">
        <w:t>).</w:t>
      </w:r>
    </w:p>
  </w:footnote>
  <w:footnote w:id="20">
    <w:p w:rsidR="000E4C4B" w:rsidRPr="00FD4DC9" w:rsidRDefault="000E4C4B" w:rsidP="000E4C4B">
      <w:pPr>
        <w:pStyle w:val="FootnoteText"/>
      </w:pPr>
      <w:r>
        <w:rPr>
          <w:rStyle w:val="FootnoteReference"/>
        </w:rPr>
        <w:footnoteRef/>
      </w:r>
      <w:r>
        <w:t xml:space="preserve"> </w:t>
      </w:r>
      <w:r>
        <w:rPr>
          <w:i/>
        </w:rPr>
        <w:t xml:space="preserve">See </w:t>
      </w:r>
      <w:r>
        <w:t>47 U.S.C. §</w:t>
      </w:r>
      <w:r w:rsidR="0097414C">
        <w:t>§</w:t>
      </w:r>
      <w:r>
        <w:t xml:space="preserve"> 155</w:t>
      </w:r>
      <w:r w:rsidR="0097414C">
        <w:t>(c)</w:t>
      </w:r>
      <w:r>
        <w:t>(4)-(5); 47 C.F.R. § 1.429.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9" w:rsidRDefault="00592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8" w:rsidRDefault="00722728" w:rsidP="00947C50">
    <w:pPr>
      <w:tabs>
        <w:tab w:val="center" w:pos="4680"/>
        <w:tab w:val="right" w:pos="9360"/>
      </w:tabs>
      <w:jc w:val="center"/>
      <w:rPr>
        <w:b/>
      </w:rPr>
    </w:pPr>
    <w:r w:rsidRPr="00722728">
      <w:rPr>
        <w:b/>
      </w:rPr>
      <w:t xml:space="preserve"> </w:t>
    </w:r>
  </w:p>
  <w:p w:rsidR="0089378B" w:rsidRPr="00700D33" w:rsidRDefault="0089378B" w:rsidP="00700D33">
    <w:pPr>
      <w:tabs>
        <w:tab w:val="center" w:pos="4680"/>
        <w:tab w:val="right" w:pos="9360"/>
      </w:tabs>
      <w:rPr>
        <w:b/>
      </w:rPr>
    </w:pPr>
    <w:r w:rsidRPr="00700D33">
      <w:rPr>
        <w:b/>
        <w:noProof/>
        <w:snapToGrid/>
      </w:rPr>
      <mc:AlternateContent>
        <mc:Choice Requires="wps">
          <w:drawing>
            <wp:anchor distT="0" distB="0" distL="114300" distR="114300" simplePos="0" relativeHeight="251656704" behindDoc="1" locked="0" layoutInCell="0" allowOverlap="1" wp14:anchorId="6B98FE9C" wp14:editId="676C882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3F7A8" id="Rectangle 3"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700D33">
      <w:rPr>
        <w:b/>
      </w:rPr>
      <w:tab/>
      <w:t>Federal Communications Commission</w:t>
    </w:r>
    <w:r w:rsidRPr="00700D33">
      <w:rPr>
        <w:b/>
      </w:rPr>
      <w:tab/>
    </w:r>
    <w:r>
      <w:rPr>
        <w:b/>
        <w:spacing w:val="-2"/>
      </w:rPr>
      <w:t>DA 15-</w:t>
    </w:r>
    <w:r w:rsidR="00905624">
      <w:rPr>
        <w:b/>
        <w:spacing w:val="-2"/>
      </w:rPr>
      <w:t>711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8B" w:rsidRPr="00700D33" w:rsidRDefault="0089378B" w:rsidP="00D919FD">
    <w:pPr>
      <w:tabs>
        <w:tab w:val="center" w:pos="4680"/>
        <w:tab w:val="right" w:pos="9360"/>
      </w:tabs>
      <w:rPr>
        <w:b/>
      </w:rPr>
    </w:pPr>
    <w:r w:rsidRPr="00700D33">
      <w:rPr>
        <w:b/>
        <w:noProof/>
        <w:snapToGrid/>
      </w:rPr>
      <mc:AlternateContent>
        <mc:Choice Requires="wps">
          <w:drawing>
            <wp:anchor distT="0" distB="0" distL="114300" distR="114300" simplePos="0" relativeHeight="251657728" behindDoc="1" locked="0" layoutInCell="0" allowOverlap="1" wp14:anchorId="1A12F037" wp14:editId="63962CFE">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7F5EE" id="Rectangle 1"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700D33">
      <w:rPr>
        <w:b/>
      </w:rPr>
      <w:tab/>
      <w:t>Federal Communications Commission</w:t>
    </w:r>
    <w:r w:rsidRPr="00700D33">
      <w:rPr>
        <w:b/>
      </w:rPr>
      <w:tab/>
    </w:r>
    <w:r>
      <w:rPr>
        <w:b/>
        <w:spacing w:val="-2"/>
      </w:rPr>
      <w:t>DA 15-</w:t>
    </w:r>
    <w:r w:rsidR="00905624" w:rsidRPr="00905624">
      <w:rPr>
        <w:b/>
        <w:spacing w:val="-2"/>
      </w:rPr>
      <w:t>711</w:t>
    </w:r>
  </w:p>
  <w:p w:rsidR="0089378B" w:rsidRDefault="00893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33"/>
    <w:rsid w:val="00001EB8"/>
    <w:rsid w:val="00003DA4"/>
    <w:rsid w:val="00015B37"/>
    <w:rsid w:val="00023492"/>
    <w:rsid w:val="00031337"/>
    <w:rsid w:val="00037A23"/>
    <w:rsid w:val="00040980"/>
    <w:rsid w:val="000443A6"/>
    <w:rsid w:val="00044A8D"/>
    <w:rsid w:val="00046DD3"/>
    <w:rsid w:val="00050BE0"/>
    <w:rsid w:val="000550C3"/>
    <w:rsid w:val="00055F77"/>
    <w:rsid w:val="00062A94"/>
    <w:rsid w:val="00063202"/>
    <w:rsid w:val="00063DA0"/>
    <w:rsid w:val="000719E8"/>
    <w:rsid w:val="000730C3"/>
    <w:rsid w:val="000828BE"/>
    <w:rsid w:val="00084C09"/>
    <w:rsid w:val="000956F6"/>
    <w:rsid w:val="000A03A8"/>
    <w:rsid w:val="000A2A6C"/>
    <w:rsid w:val="000B4750"/>
    <w:rsid w:val="000D261A"/>
    <w:rsid w:val="000D36D5"/>
    <w:rsid w:val="000D4A02"/>
    <w:rsid w:val="000D57C6"/>
    <w:rsid w:val="000E04C5"/>
    <w:rsid w:val="000E4C4B"/>
    <w:rsid w:val="000E5CF9"/>
    <w:rsid w:val="00101993"/>
    <w:rsid w:val="00114C29"/>
    <w:rsid w:val="00122A8A"/>
    <w:rsid w:val="001457E8"/>
    <w:rsid w:val="00173B28"/>
    <w:rsid w:val="00176FD8"/>
    <w:rsid w:val="00183D16"/>
    <w:rsid w:val="001865BE"/>
    <w:rsid w:val="001A00C7"/>
    <w:rsid w:val="001A038A"/>
    <w:rsid w:val="001A4F18"/>
    <w:rsid w:val="001C2C49"/>
    <w:rsid w:val="001C7ED4"/>
    <w:rsid w:val="001D45D4"/>
    <w:rsid w:val="001D4AF5"/>
    <w:rsid w:val="001E0B09"/>
    <w:rsid w:val="001F0939"/>
    <w:rsid w:val="001F6AAD"/>
    <w:rsid w:val="001F6D7E"/>
    <w:rsid w:val="0020405E"/>
    <w:rsid w:val="00213CDD"/>
    <w:rsid w:val="00215C44"/>
    <w:rsid w:val="00224BBC"/>
    <w:rsid w:val="00233EFF"/>
    <w:rsid w:val="00260390"/>
    <w:rsid w:val="002612B4"/>
    <w:rsid w:val="00261840"/>
    <w:rsid w:val="00262199"/>
    <w:rsid w:val="00270A09"/>
    <w:rsid w:val="00274998"/>
    <w:rsid w:val="00283027"/>
    <w:rsid w:val="00291C83"/>
    <w:rsid w:val="002A1E32"/>
    <w:rsid w:val="002C527F"/>
    <w:rsid w:val="002D4FD7"/>
    <w:rsid w:val="002D6574"/>
    <w:rsid w:val="002E0D74"/>
    <w:rsid w:val="002E50F6"/>
    <w:rsid w:val="002F5CB8"/>
    <w:rsid w:val="002F62FF"/>
    <w:rsid w:val="002F6E60"/>
    <w:rsid w:val="00302AF3"/>
    <w:rsid w:val="00303394"/>
    <w:rsid w:val="00334B71"/>
    <w:rsid w:val="00340F4A"/>
    <w:rsid w:val="00341760"/>
    <w:rsid w:val="003426E8"/>
    <w:rsid w:val="003454CF"/>
    <w:rsid w:val="003455A5"/>
    <w:rsid w:val="00384418"/>
    <w:rsid w:val="003874B0"/>
    <w:rsid w:val="003A00F9"/>
    <w:rsid w:val="003A328D"/>
    <w:rsid w:val="003C2B3B"/>
    <w:rsid w:val="003C559C"/>
    <w:rsid w:val="003C719F"/>
    <w:rsid w:val="003D4694"/>
    <w:rsid w:val="003E08C4"/>
    <w:rsid w:val="003E13CD"/>
    <w:rsid w:val="003F67A4"/>
    <w:rsid w:val="00406A50"/>
    <w:rsid w:val="004142E4"/>
    <w:rsid w:val="00416295"/>
    <w:rsid w:val="004215D7"/>
    <w:rsid w:val="00423BCC"/>
    <w:rsid w:val="004265A1"/>
    <w:rsid w:val="00435C91"/>
    <w:rsid w:val="00444058"/>
    <w:rsid w:val="00451278"/>
    <w:rsid w:val="00457BAE"/>
    <w:rsid w:val="00463737"/>
    <w:rsid w:val="0046624F"/>
    <w:rsid w:val="00466E61"/>
    <w:rsid w:val="0046705B"/>
    <w:rsid w:val="00470B2B"/>
    <w:rsid w:val="004713C7"/>
    <w:rsid w:val="004727B4"/>
    <w:rsid w:val="00473746"/>
    <w:rsid w:val="00475E52"/>
    <w:rsid w:val="00481E89"/>
    <w:rsid w:val="004826B0"/>
    <w:rsid w:val="00485501"/>
    <w:rsid w:val="004922DE"/>
    <w:rsid w:val="004B0A5B"/>
    <w:rsid w:val="004C4C71"/>
    <w:rsid w:val="004D22FA"/>
    <w:rsid w:val="004D5D1B"/>
    <w:rsid w:val="004D7A05"/>
    <w:rsid w:val="004E0309"/>
    <w:rsid w:val="004E2A57"/>
    <w:rsid w:val="004E36FA"/>
    <w:rsid w:val="004E3745"/>
    <w:rsid w:val="004F091D"/>
    <w:rsid w:val="0051568F"/>
    <w:rsid w:val="00520565"/>
    <w:rsid w:val="00522B38"/>
    <w:rsid w:val="0053084F"/>
    <w:rsid w:val="00543C23"/>
    <w:rsid w:val="005467EB"/>
    <w:rsid w:val="00557394"/>
    <w:rsid w:val="00561CC0"/>
    <w:rsid w:val="005635CE"/>
    <w:rsid w:val="00565733"/>
    <w:rsid w:val="00570896"/>
    <w:rsid w:val="005722CF"/>
    <w:rsid w:val="00581DDF"/>
    <w:rsid w:val="005926C9"/>
    <w:rsid w:val="005B0B74"/>
    <w:rsid w:val="005B34C1"/>
    <w:rsid w:val="005B5A0C"/>
    <w:rsid w:val="005C2577"/>
    <w:rsid w:val="005C7424"/>
    <w:rsid w:val="005E10EC"/>
    <w:rsid w:val="005E1430"/>
    <w:rsid w:val="005E1D8D"/>
    <w:rsid w:val="005F1311"/>
    <w:rsid w:val="005F1EBD"/>
    <w:rsid w:val="005F45CB"/>
    <w:rsid w:val="00601140"/>
    <w:rsid w:val="00612F63"/>
    <w:rsid w:val="00616B0D"/>
    <w:rsid w:val="006216C6"/>
    <w:rsid w:val="00626F4C"/>
    <w:rsid w:val="00634878"/>
    <w:rsid w:val="00642113"/>
    <w:rsid w:val="006446E0"/>
    <w:rsid w:val="00645FC6"/>
    <w:rsid w:val="00651B6D"/>
    <w:rsid w:val="006713AF"/>
    <w:rsid w:val="006800FE"/>
    <w:rsid w:val="00684156"/>
    <w:rsid w:val="00684C56"/>
    <w:rsid w:val="00690C82"/>
    <w:rsid w:val="006939A3"/>
    <w:rsid w:val="006A746B"/>
    <w:rsid w:val="006B1109"/>
    <w:rsid w:val="006B3563"/>
    <w:rsid w:val="006C302A"/>
    <w:rsid w:val="006C4DC9"/>
    <w:rsid w:val="006C788B"/>
    <w:rsid w:val="006D7CBF"/>
    <w:rsid w:val="006E14C9"/>
    <w:rsid w:val="006E16A0"/>
    <w:rsid w:val="006E4297"/>
    <w:rsid w:val="006F1895"/>
    <w:rsid w:val="006F32FF"/>
    <w:rsid w:val="006F4E70"/>
    <w:rsid w:val="006F5741"/>
    <w:rsid w:val="006F7BA5"/>
    <w:rsid w:val="006F7BAC"/>
    <w:rsid w:val="006F7F77"/>
    <w:rsid w:val="00700D33"/>
    <w:rsid w:val="00703586"/>
    <w:rsid w:val="00703848"/>
    <w:rsid w:val="007057F5"/>
    <w:rsid w:val="00711D8B"/>
    <w:rsid w:val="00714797"/>
    <w:rsid w:val="00720112"/>
    <w:rsid w:val="00722728"/>
    <w:rsid w:val="007236AF"/>
    <w:rsid w:val="00727DE5"/>
    <w:rsid w:val="0073311A"/>
    <w:rsid w:val="007439A8"/>
    <w:rsid w:val="00743D9E"/>
    <w:rsid w:val="00745C45"/>
    <w:rsid w:val="00746406"/>
    <w:rsid w:val="007541D8"/>
    <w:rsid w:val="007647A5"/>
    <w:rsid w:val="00766CDF"/>
    <w:rsid w:val="00770606"/>
    <w:rsid w:val="00773010"/>
    <w:rsid w:val="007740B8"/>
    <w:rsid w:val="00777B88"/>
    <w:rsid w:val="00786E44"/>
    <w:rsid w:val="007978DA"/>
    <w:rsid w:val="00797B3E"/>
    <w:rsid w:val="007B1179"/>
    <w:rsid w:val="007B1D96"/>
    <w:rsid w:val="007C00F5"/>
    <w:rsid w:val="007C3BC9"/>
    <w:rsid w:val="007C778F"/>
    <w:rsid w:val="007D393F"/>
    <w:rsid w:val="007E0278"/>
    <w:rsid w:val="007E4688"/>
    <w:rsid w:val="007E6386"/>
    <w:rsid w:val="007E7500"/>
    <w:rsid w:val="007F6935"/>
    <w:rsid w:val="008220D1"/>
    <w:rsid w:val="008273D3"/>
    <w:rsid w:val="0083274F"/>
    <w:rsid w:val="008404A9"/>
    <w:rsid w:val="008501EA"/>
    <w:rsid w:val="008511FE"/>
    <w:rsid w:val="00851BB8"/>
    <w:rsid w:val="00853838"/>
    <w:rsid w:val="00854287"/>
    <w:rsid w:val="0087499C"/>
    <w:rsid w:val="00874C4B"/>
    <w:rsid w:val="00880986"/>
    <w:rsid w:val="00881448"/>
    <w:rsid w:val="00891E36"/>
    <w:rsid w:val="00892AC5"/>
    <w:rsid w:val="0089378B"/>
    <w:rsid w:val="008A2558"/>
    <w:rsid w:val="008B1882"/>
    <w:rsid w:val="008B3CE3"/>
    <w:rsid w:val="008B6022"/>
    <w:rsid w:val="008B748F"/>
    <w:rsid w:val="008C0AD6"/>
    <w:rsid w:val="008D1421"/>
    <w:rsid w:val="008D3A80"/>
    <w:rsid w:val="008E6EDD"/>
    <w:rsid w:val="008F0B1E"/>
    <w:rsid w:val="008F21C3"/>
    <w:rsid w:val="008F2646"/>
    <w:rsid w:val="009051A3"/>
    <w:rsid w:val="00905624"/>
    <w:rsid w:val="0090604B"/>
    <w:rsid w:val="009116BD"/>
    <w:rsid w:val="0092032D"/>
    <w:rsid w:val="00922508"/>
    <w:rsid w:val="00922F79"/>
    <w:rsid w:val="009267A5"/>
    <w:rsid w:val="00936A7B"/>
    <w:rsid w:val="009405C9"/>
    <w:rsid w:val="00944BB8"/>
    <w:rsid w:val="009453A9"/>
    <w:rsid w:val="00946008"/>
    <w:rsid w:val="009465D1"/>
    <w:rsid w:val="0094676E"/>
    <w:rsid w:val="00947C50"/>
    <w:rsid w:val="00962D8C"/>
    <w:rsid w:val="00967A43"/>
    <w:rsid w:val="0097414C"/>
    <w:rsid w:val="00976C8A"/>
    <w:rsid w:val="009811CF"/>
    <w:rsid w:val="009816BA"/>
    <w:rsid w:val="009871F2"/>
    <w:rsid w:val="009B13A9"/>
    <w:rsid w:val="009B7E26"/>
    <w:rsid w:val="009C3E60"/>
    <w:rsid w:val="009C5552"/>
    <w:rsid w:val="009E24CD"/>
    <w:rsid w:val="009E4F25"/>
    <w:rsid w:val="009F0921"/>
    <w:rsid w:val="009F16BC"/>
    <w:rsid w:val="00A0519F"/>
    <w:rsid w:val="00A123EB"/>
    <w:rsid w:val="00A13804"/>
    <w:rsid w:val="00A14993"/>
    <w:rsid w:val="00A34BFB"/>
    <w:rsid w:val="00A3512F"/>
    <w:rsid w:val="00A54108"/>
    <w:rsid w:val="00A54B8A"/>
    <w:rsid w:val="00A65B46"/>
    <w:rsid w:val="00A74F85"/>
    <w:rsid w:val="00A755CC"/>
    <w:rsid w:val="00A779F3"/>
    <w:rsid w:val="00A86730"/>
    <w:rsid w:val="00A927DE"/>
    <w:rsid w:val="00A94484"/>
    <w:rsid w:val="00AA2F5D"/>
    <w:rsid w:val="00AA319D"/>
    <w:rsid w:val="00AB028B"/>
    <w:rsid w:val="00AB48B1"/>
    <w:rsid w:val="00AC2BDD"/>
    <w:rsid w:val="00AC47BD"/>
    <w:rsid w:val="00AD1E04"/>
    <w:rsid w:val="00AD5818"/>
    <w:rsid w:val="00AF006D"/>
    <w:rsid w:val="00AF05B4"/>
    <w:rsid w:val="00AF32D6"/>
    <w:rsid w:val="00B003D0"/>
    <w:rsid w:val="00B131F2"/>
    <w:rsid w:val="00B20069"/>
    <w:rsid w:val="00B2156C"/>
    <w:rsid w:val="00B222A7"/>
    <w:rsid w:val="00B32214"/>
    <w:rsid w:val="00B34892"/>
    <w:rsid w:val="00B41D0B"/>
    <w:rsid w:val="00B43EED"/>
    <w:rsid w:val="00B458B9"/>
    <w:rsid w:val="00B462E2"/>
    <w:rsid w:val="00B47CD8"/>
    <w:rsid w:val="00B5250C"/>
    <w:rsid w:val="00B541E2"/>
    <w:rsid w:val="00B5471E"/>
    <w:rsid w:val="00B57B3C"/>
    <w:rsid w:val="00B76D4A"/>
    <w:rsid w:val="00B87C9D"/>
    <w:rsid w:val="00BA19E2"/>
    <w:rsid w:val="00BA5F64"/>
    <w:rsid w:val="00BB2EBB"/>
    <w:rsid w:val="00BB449C"/>
    <w:rsid w:val="00BB75BF"/>
    <w:rsid w:val="00BC09DC"/>
    <w:rsid w:val="00BD131B"/>
    <w:rsid w:val="00BD2312"/>
    <w:rsid w:val="00BD6E74"/>
    <w:rsid w:val="00BD7AE0"/>
    <w:rsid w:val="00BE21F7"/>
    <w:rsid w:val="00C077F4"/>
    <w:rsid w:val="00C12E99"/>
    <w:rsid w:val="00C143D6"/>
    <w:rsid w:val="00C1784D"/>
    <w:rsid w:val="00C22752"/>
    <w:rsid w:val="00C41EE9"/>
    <w:rsid w:val="00C47EB6"/>
    <w:rsid w:val="00C57AA0"/>
    <w:rsid w:val="00C61154"/>
    <w:rsid w:val="00C76FDD"/>
    <w:rsid w:val="00C878BD"/>
    <w:rsid w:val="00C912B0"/>
    <w:rsid w:val="00CA29BA"/>
    <w:rsid w:val="00CC27F8"/>
    <w:rsid w:val="00CC3C86"/>
    <w:rsid w:val="00CC5217"/>
    <w:rsid w:val="00CC55F7"/>
    <w:rsid w:val="00CD18DE"/>
    <w:rsid w:val="00CF3CC8"/>
    <w:rsid w:val="00D05EF8"/>
    <w:rsid w:val="00D06320"/>
    <w:rsid w:val="00D1021B"/>
    <w:rsid w:val="00D128E9"/>
    <w:rsid w:val="00D20FA0"/>
    <w:rsid w:val="00D25521"/>
    <w:rsid w:val="00D2651B"/>
    <w:rsid w:val="00D542E0"/>
    <w:rsid w:val="00D55380"/>
    <w:rsid w:val="00D633AA"/>
    <w:rsid w:val="00D6376D"/>
    <w:rsid w:val="00D6384D"/>
    <w:rsid w:val="00D779F5"/>
    <w:rsid w:val="00D8529C"/>
    <w:rsid w:val="00D919FD"/>
    <w:rsid w:val="00D91A26"/>
    <w:rsid w:val="00D97629"/>
    <w:rsid w:val="00D97D4D"/>
    <w:rsid w:val="00DA1E1D"/>
    <w:rsid w:val="00DB07E8"/>
    <w:rsid w:val="00DC48B7"/>
    <w:rsid w:val="00DE3AE6"/>
    <w:rsid w:val="00DE6672"/>
    <w:rsid w:val="00DE6C6C"/>
    <w:rsid w:val="00DF4853"/>
    <w:rsid w:val="00E05A98"/>
    <w:rsid w:val="00E05BB6"/>
    <w:rsid w:val="00E15BFA"/>
    <w:rsid w:val="00E268D7"/>
    <w:rsid w:val="00E305F6"/>
    <w:rsid w:val="00E334B5"/>
    <w:rsid w:val="00E338B5"/>
    <w:rsid w:val="00E355CA"/>
    <w:rsid w:val="00E41ADB"/>
    <w:rsid w:val="00E429C0"/>
    <w:rsid w:val="00E51A38"/>
    <w:rsid w:val="00E56853"/>
    <w:rsid w:val="00E57150"/>
    <w:rsid w:val="00E638FE"/>
    <w:rsid w:val="00E728D7"/>
    <w:rsid w:val="00E817FF"/>
    <w:rsid w:val="00E82B33"/>
    <w:rsid w:val="00E943F7"/>
    <w:rsid w:val="00E948A9"/>
    <w:rsid w:val="00E96EF8"/>
    <w:rsid w:val="00EA7625"/>
    <w:rsid w:val="00EB1FC4"/>
    <w:rsid w:val="00EB5C8C"/>
    <w:rsid w:val="00EC4361"/>
    <w:rsid w:val="00EC59AD"/>
    <w:rsid w:val="00EC5BAB"/>
    <w:rsid w:val="00ED1AC0"/>
    <w:rsid w:val="00ED31C2"/>
    <w:rsid w:val="00ED38ED"/>
    <w:rsid w:val="00EE5114"/>
    <w:rsid w:val="00EE592F"/>
    <w:rsid w:val="00EF2ED9"/>
    <w:rsid w:val="00F010F7"/>
    <w:rsid w:val="00F03E9F"/>
    <w:rsid w:val="00F10F03"/>
    <w:rsid w:val="00F135D1"/>
    <w:rsid w:val="00F24C0F"/>
    <w:rsid w:val="00F3401F"/>
    <w:rsid w:val="00F351E3"/>
    <w:rsid w:val="00F355B4"/>
    <w:rsid w:val="00F36165"/>
    <w:rsid w:val="00F6755F"/>
    <w:rsid w:val="00F7077A"/>
    <w:rsid w:val="00F7664D"/>
    <w:rsid w:val="00F77946"/>
    <w:rsid w:val="00F904D0"/>
    <w:rsid w:val="00F911C5"/>
    <w:rsid w:val="00F934D3"/>
    <w:rsid w:val="00F94BC8"/>
    <w:rsid w:val="00FA2FDB"/>
    <w:rsid w:val="00FA6146"/>
    <w:rsid w:val="00FB052A"/>
    <w:rsid w:val="00FE01B0"/>
    <w:rsid w:val="00FE22A0"/>
    <w:rsid w:val="00FE6846"/>
    <w:rsid w:val="00FF0A4B"/>
    <w:rsid w:val="00FF4AF7"/>
    <w:rsid w:val="00FF5D7A"/>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E10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E10EC"/>
    <w:pPr>
      <w:keepNext/>
      <w:numPr>
        <w:ilvl w:val="1"/>
        <w:numId w:val="3"/>
      </w:numPr>
      <w:spacing w:after="120"/>
      <w:outlineLvl w:val="1"/>
    </w:pPr>
    <w:rPr>
      <w:b/>
    </w:rPr>
  </w:style>
  <w:style w:type="paragraph" w:styleId="Heading3">
    <w:name w:val="heading 3"/>
    <w:basedOn w:val="Normal"/>
    <w:next w:val="ParaNum"/>
    <w:link w:val="Heading3Char"/>
    <w:qFormat/>
    <w:rsid w:val="005E10E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E10E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E10E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E10E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E10E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E10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E10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10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0EC"/>
  </w:style>
  <w:style w:type="character" w:customStyle="1" w:styleId="Heading1Char">
    <w:name w:val="Heading 1 Char"/>
    <w:basedOn w:val="DefaultParagraphFont"/>
    <w:link w:val="Heading1"/>
    <w:rsid w:val="00700D3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00D3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00D3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00D3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00D3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00D3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00D3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00D3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00D3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5E10EC"/>
    <w:pPr>
      <w:numPr>
        <w:numId w:val="2"/>
      </w:numPr>
      <w:tabs>
        <w:tab w:val="clear" w:pos="1080"/>
        <w:tab w:val="num" w:pos="1440"/>
      </w:tabs>
      <w:spacing w:after="120"/>
    </w:pPr>
  </w:style>
  <w:style w:type="paragraph" w:styleId="EndnoteText">
    <w:name w:val="endnote text"/>
    <w:basedOn w:val="Normal"/>
    <w:link w:val="EndnoteTextChar"/>
    <w:semiHidden/>
    <w:rsid w:val="005E10EC"/>
    <w:rPr>
      <w:sz w:val="20"/>
    </w:rPr>
  </w:style>
  <w:style w:type="character" w:customStyle="1" w:styleId="EndnoteTextChar">
    <w:name w:val="Endnote Text Char"/>
    <w:basedOn w:val="DefaultParagraphFont"/>
    <w:link w:val="EndnoteText"/>
    <w:semiHidden/>
    <w:rsid w:val="00700D33"/>
    <w:rPr>
      <w:rFonts w:ascii="Times New Roman" w:eastAsia="Times New Roman" w:hAnsi="Times New Roman" w:cs="Times New Roman"/>
      <w:snapToGrid w:val="0"/>
      <w:kern w:val="28"/>
      <w:sz w:val="20"/>
      <w:szCs w:val="20"/>
    </w:rPr>
  </w:style>
  <w:style w:type="character" w:styleId="EndnoteReference">
    <w:name w:val="endnote reference"/>
    <w:semiHidden/>
    <w:rsid w:val="005E10EC"/>
    <w:rPr>
      <w:vertAlign w:val="superscript"/>
    </w:rPr>
  </w:style>
  <w:style w:type="paragraph" w:styleId="FootnoteText">
    <w:name w:val="footnote text"/>
    <w:aliases w:val="ALTS FOOTNOTE,fn,Footnote Text Char2 Char2,Footnote Text Char Char1 Char,Footnote Text Char2 Char2 Char Char,Footnote Text Char Char1 Char Char Char,Footnote Text Char1 Char1 Char Char Char Char,fn Char1,ALTS FOOTNOTE C,ALTS FOOTNOTE Ch"/>
    <w:link w:val="FootnoteTextChar"/>
    <w:rsid w:val="005E10E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Footnote Text Char2 Char2 Char1,Footnote Text Char Char1 Char Char1,Footnote Text Char2 Char2 Char Char Char1,Footnote Text Char Char1 Char Char Char Char1,Footnote Text Char1 Char1 Char Char Char Char Char"/>
    <w:basedOn w:val="DefaultParagraphFont"/>
    <w:link w:val="FootnoteText"/>
    <w:rsid w:val="00700D3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5E10EC"/>
    <w:rPr>
      <w:rFonts w:ascii="Times New Roman" w:hAnsi="Times New Roman"/>
      <w:dstrike w:val="0"/>
      <w:color w:val="auto"/>
      <w:sz w:val="20"/>
      <w:vertAlign w:val="superscript"/>
    </w:rPr>
  </w:style>
  <w:style w:type="paragraph" w:styleId="TOC1">
    <w:name w:val="toc 1"/>
    <w:basedOn w:val="Normal"/>
    <w:next w:val="Normal"/>
    <w:rsid w:val="005E10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10EC"/>
    <w:pPr>
      <w:tabs>
        <w:tab w:val="left" w:pos="720"/>
        <w:tab w:val="right" w:leader="dot" w:pos="9360"/>
      </w:tabs>
      <w:suppressAutoHyphens/>
      <w:ind w:left="720" w:right="720" w:hanging="360"/>
    </w:pPr>
    <w:rPr>
      <w:noProof/>
    </w:rPr>
  </w:style>
  <w:style w:type="paragraph" w:styleId="TOC3">
    <w:name w:val="toc 3"/>
    <w:basedOn w:val="Normal"/>
    <w:next w:val="Normal"/>
    <w:semiHidden/>
    <w:rsid w:val="005E10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10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10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10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10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10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10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10EC"/>
    <w:pPr>
      <w:tabs>
        <w:tab w:val="right" w:pos="9360"/>
      </w:tabs>
      <w:suppressAutoHyphens/>
    </w:pPr>
  </w:style>
  <w:style w:type="character" w:customStyle="1" w:styleId="EquationCaption">
    <w:name w:val="_Equation Caption"/>
    <w:rsid w:val="005E10EC"/>
  </w:style>
  <w:style w:type="paragraph" w:styleId="Header">
    <w:name w:val="header"/>
    <w:basedOn w:val="Normal"/>
    <w:link w:val="HeaderChar"/>
    <w:autoRedefine/>
    <w:rsid w:val="005E10EC"/>
    <w:pPr>
      <w:tabs>
        <w:tab w:val="center" w:pos="4680"/>
        <w:tab w:val="right" w:pos="9360"/>
      </w:tabs>
    </w:pPr>
    <w:rPr>
      <w:b/>
    </w:rPr>
  </w:style>
  <w:style w:type="character" w:customStyle="1" w:styleId="HeaderChar">
    <w:name w:val="Header Char"/>
    <w:basedOn w:val="DefaultParagraphFont"/>
    <w:link w:val="Header"/>
    <w:rsid w:val="00700D33"/>
    <w:rPr>
      <w:rFonts w:ascii="Times New Roman" w:eastAsia="Times New Roman" w:hAnsi="Times New Roman" w:cs="Times New Roman"/>
      <w:b/>
      <w:snapToGrid w:val="0"/>
      <w:kern w:val="28"/>
      <w:szCs w:val="20"/>
    </w:rPr>
  </w:style>
  <w:style w:type="paragraph" w:styleId="Footer">
    <w:name w:val="footer"/>
    <w:basedOn w:val="Normal"/>
    <w:link w:val="FooterChar"/>
    <w:rsid w:val="005E10EC"/>
    <w:pPr>
      <w:tabs>
        <w:tab w:val="center" w:pos="4320"/>
        <w:tab w:val="right" w:pos="8640"/>
      </w:tabs>
    </w:pPr>
  </w:style>
  <w:style w:type="character" w:customStyle="1" w:styleId="FooterChar">
    <w:name w:val="Footer Char"/>
    <w:basedOn w:val="DefaultParagraphFont"/>
    <w:link w:val="Footer"/>
    <w:rsid w:val="00700D33"/>
    <w:rPr>
      <w:rFonts w:ascii="Times New Roman" w:eastAsia="Times New Roman" w:hAnsi="Times New Roman" w:cs="Times New Roman"/>
      <w:snapToGrid w:val="0"/>
      <w:kern w:val="28"/>
      <w:szCs w:val="20"/>
    </w:rPr>
  </w:style>
  <w:style w:type="character" w:styleId="PageNumber">
    <w:name w:val="page number"/>
    <w:basedOn w:val="DefaultParagraphFont"/>
    <w:rsid w:val="005E10EC"/>
  </w:style>
  <w:style w:type="paragraph" w:styleId="BlockText">
    <w:name w:val="Block Text"/>
    <w:basedOn w:val="Normal"/>
    <w:rsid w:val="005E10EC"/>
    <w:pPr>
      <w:spacing w:after="240"/>
      <w:ind w:left="1440" w:right="1440"/>
    </w:pPr>
  </w:style>
  <w:style w:type="paragraph" w:customStyle="1" w:styleId="Paratitle">
    <w:name w:val="Para title"/>
    <w:basedOn w:val="Normal"/>
    <w:rsid w:val="005E10EC"/>
    <w:pPr>
      <w:tabs>
        <w:tab w:val="center" w:pos="9270"/>
      </w:tabs>
      <w:spacing w:after="240"/>
    </w:pPr>
    <w:rPr>
      <w:spacing w:val="-2"/>
    </w:rPr>
  </w:style>
  <w:style w:type="paragraph" w:customStyle="1" w:styleId="Bullet">
    <w:name w:val="Bullet"/>
    <w:basedOn w:val="Normal"/>
    <w:rsid w:val="005E10EC"/>
    <w:pPr>
      <w:tabs>
        <w:tab w:val="left" w:pos="2160"/>
      </w:tabs>
      <w:spacing w:after="220"/>
      <w:ind w:left="2160" w:hanging="720"/>
    </w:pPr>
  </w:style>
  <w:style w:type="paragraph" w:customStyle="1" w:styleId="TableFormat">
    <w:name w:val="TableFormat"/>
    <w:basedOn w:val="Bullet"/>
    <w:rsid w:val="005E10EC"/>
    <w:pPr>
      <w:tabs>
        <w:tab w:val="clear" w:pos="2160"/>
        <w:tab w:val="left" w:pos="5040"/>
      </w:tabs>
      <w:ind w:left="5040" w:hanging="3600"/>
    </w:pPr>
  </w:style>
  <w:style w:type="paragraph" w:customStyle="1" w:styleId="TOCTitle">
    <w:name w:val="TOC Title"/>
    <w:basedOn w:val="Normal"/>
    <w:rsid w:val="005E10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10EC"/>
    <w:pPr>
      <w:jc w:val="center"/>
    </w:pPr>
    <w:rPr>
      <w:rFonts w:ascii="Times New Roman Bold" w:hAnsi="Times New Roman Bold"/>
      <w:b/>
      <w:bCs/>
      <w:caps/>
      <w:szCs w:val="22"/>
    </w:rPr>
  </w:style>
  <w:style w:type="character" w:styleId="Hyperlink">
    <w:name w:val="Hyperlink"/>
    <w:rsid w:val="005E10EC"/>
    <w:rPr>
      <w:color w:val="0000FF"/>
      <w:u w:val="single"/>
    </w:rPr>
  </w:style>
  <w:style w:type="paragraph" w:styleId="BalloonText">
    <w:name w:val="Balloon Text"/>
    <w:basedOn w:val="Normal"/>
    <w:link w:val="BalloonTextChar"/>
    <w:uiPriority w:val="99"/>
    <w:semiHidden/>
    <w:unhideWhenUsed/>
    <w:rsid w:val="00D919FD"/>
    <w:rPr>
      <w:rFonts w:ascii="Tahoma" w:hAnsi="Tahoma" w:cs="Tahoma"/>
      <w:sz w:val="16"/>
      <w:szCs w:val="16"/>
    </w:rPr>
  </w:style>
  <w:style w:type="character" w:customStyle="1" w:styleId="BalloonTextChar">
    <w:name w:val="Balloon Text Char"/>
    <w:basedOn w:val="DefaultParagraphFont"/>
    <w:link w:val="BalloonText"/>
    <w:uiPriority w:val="99"/>
    <w:semiHidden/>
    <w:rsid w:val="00D919FD"/>
    <w:rPr>
      <w:rFonts w:ascii="Tahoma" w:eastAsia="Times New Roman" w:hAnsi="Tahoma" w:cs="Tahoma"/>
      <w:snapToGrid w:val="0"/>
      <w:kern w:val="28"/>
      <w:sz w:val="16"/>
      <w:szCs w:val="16"/>
    </w:rPr>
  </w:style>
  <w:style w:type="character" w:customStyle="1" w:styleId="ParaNumChar">
    <w:name w:val="ParaNum Char"/>
    <w:link w:val="ParaNum"/>
    <w:locked/>
    <w:rsid w:val="00770606"/>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fn Char2,Footnote Text Char Char,Footnote Text Char2 Char2 Char,Footnote Text Char Char1 Char Char,Footnote Text Char2 Char2 Char Char Char,Footnote Text Char Char1 Char Char Char Char,fn Char1 Char"/>
    <w:locked/>
    <w:rsid w:val="00015B37"/>
    <w:rPr>
      <w:lang w:val="en-US" w:eastAsia="en-US"/>
    </w:rPr>
  </w:style>
  <w:style w:type="character" w:styleId="Emphasis">
    <w:name w:val="Emphasis"/>
    <w:basedOn w:val="DefaultParagraphFont"/>
    <w:uiPriority w:val="20"/>
    <w:qFormat/>
    <w:rsid w:val="007C00F5"/>
    <w:rPr>
      <w:i/>
      <w:iCs/>
    </w:rPr>
  </w:style>
  <w:style w:type="character" w:styleId="CommentReference">
    <w:name w:val="annotation reference"/>
    <w:basedOn w:val="DefaultParagraphFont"/>
    <w:uiPriority w:val="99"/>
    <w:semiHidden/>
    <w:unhideWhenUsed/>
    <w:rsid w:val="00616B0D"/>
    <w:rPr>
      <w:sz w:val="16"/>
      <w:szCs w:val="16"/>
    </w:rPr>
  </w:style>
  <w:style w:type="paragraph" w:styleId="CommentText">
    <w:name w:val="annotation text"/>
    <w:basedOn w:val="Normal"/>
    <w:link w:val="CommentTextChar"/>
    <w:uiPriority w:val="99"/>
    <w:semiHidden/>
    <w:unhideWhenUsed/>
    <w:rsid w:val="00616B0D"/>
    <w:rPr>
      <w:sz w:val="20"/>
    </w:rPr>
  </w:style>
  <w:style w:type="character" w:customStyle="1" w:styleId="CommentTextChar">
    <w:name w:val="Comment Text Char"/>
    <w:basedOn w:val="DefaultParagraphFont"/>
    <w:link w:val="CommentText"/>
    <w:uiPriority w:val="99"/>
    <w:semiHidden/>
    <w:rsid w:val="00616B0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616B0D"/>
    <w:rPr>
      <w:b/>
      <w:bCs/>
    </w:rPr>
  </w:style>
  <w:style w:type="character" w:customStyle="1" w:styleId="CommentSubjectChar">
    <w:name w:val="Comment Subject Char"/>
    <w:basedOn w:val="CommentTextChar"/>
    <w:link w:val="CommentSubject"/>
    <w:uiPriority w:val="99"/>
    <w:semiHidden/>
    <w:rsid w:val="00616B0D"/>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946008"/>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E10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E10EC"/>
    <w:pPr>
      <w:keepNext/>
      <w:numPr>
        <w:ilvl w:val="1"/>
        <w:numId w:val="3"/>
      </w:numPr>
      <w:spacing w:after="120"/>
      <w:outlineLvl w:val="1"/>
    </w:pPr>
    <w:rPr>
      <w:b/>
    </w:rPr>
  </w:style>
  <w:style w:type="paragraph" w:styleId="Heading3">
    <w:name w:val="heading 3"/>
    <w:basedOn w:val="Normal"/>
    <w:next w:val="ParaNum"/>
    <w:link w:val="Heading3Char"/>
    <w:qFormat/>
    <w:rsid w:val="005E10E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E10E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E10E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E10E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E10E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E10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E10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10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0EC"/>
  </w:style>
  <w:style w:type="character" w:customStyle="1" w:styleId="Heading1Char">
    <w:name w:val="Heading 1 Char"/>
    <w:basedOn w:val="DefaultParagraphFont"/>
    <w:link w:val="Heading1"/>
    <w:rsid w:val="00700D3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00D3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00D3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00D3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00D3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00D3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00D3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00D3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00D3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5E10EC"/>
    <w:pPr>
      <w:numPr>
        <w:numId w:val="2"/>
      </w:numPr>
      <w:tabs>
        <w:tab w:val="clear" w:pos="1080"/>
        <w:tab w:val="num" w:pos="1440"/>
      </w:tabs>
      <w:spacing w:after="120"/>
    </w:pPr>
  </w:style>
  <w:style w:type="paragraph" w:styleId="EndnoteText">
    <w:name w:val="endnote text"/>
    <w:basedOn w:val="Normal"/>
    <w:link w:val="EndnoteTextChar"/>
    <w:semiHidden/>
    <w:rsid w:val="005E10EC"/>
    <w:rPr>
      <w:sz w:val="20"/>
    </w:rPr>
  </w:style>
  <w:style w:type="character" w:customStyle="1" w:styleId="EndnoteTextChar">
    <w:name w:val="Endnote Text Char"/>
    <w:basedOn w:val="DefaultParagraphFont"/>
    <w:link w:val="EndnoteText"/>
    <w:semiHidden/>
    <w:rsid w:val="00700D33"/>
    <w:rPr>
      <w:rFonts w:ascii="Times New Roman" w:eastAsia="Times New Roman" w:hAnsi="Times New Roman" w:cs="Times New Roman"/>
      <w:snapToGrid w:val="0"/>
      <w:kern w:val="28"/>
      <w:sz w:val="20"/>
      <w:szCs w:val="20"/>
    </w:rPr>
  </w:style>
  <w:style w:type="character" w:styleId="EndnoteReference">
    <w:name w:val="endnote reference"/>
    <w:semiHidden/>
    <w:rsid w:val="005E10EC"/>
    <w:rPr>
      <w:vertAlign w:val="superscript"/>
    </w:rPr>
  </w:style>
  <w:style w:type="paragraph" w:styleId="FootnoteText">
    <w:name w:val="footnote text"/>
    <w:aliases w:val="ALTS FOOTNOTE,fn,Footnote Text Char2 Char2,Footnote Text Char Char1 Char,Footnote Text Char2 Char2 Char Char,Footnote Text Char Char1 Char Char Char,Footnote Text Char1 Char1 Char Char Char Char,fn Char1,ALTS FOOTNOTE C,ALTS FOOTNOTE Ch"/>
    <w:link w:val="FootnoteTextChar"/>
    <w:rsid w:val="005E10E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Footnote Text Char2 Char2 Char1,Footnote Text Char Char1 Char Char1,Footnote Text Char2 Char2 Char Char Char1,Footnote Text Char Char1 Char Char Char Char1,Footnote Text Char1 Char1 Char Char Char Char Char"/>
    <w:basedOn w:val="DefaultParagraphFont"/>
    <w:link w:val="FootnoteText"/>
    <w:rsid w:val="00700D3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5E10EC"/>
    <w:rPr>
      <w:rFonts w:ascii="Times New Roman" w:hAnsi="Times New Roman"/>
      <w:dstrike w:val="0"/>
      <w:color w:val="auto"/>
      <w:sz w:val="20"/>
      <w:vertAlign w:val="superscript"/>
    </w:rPr>
  </w:style>
  <w:style w:type="paragraph" w:styleId="TOC1">
    <w:name w:val="toc 1"/>
    <w:basedOn w:val="Normal"/>
    <w:next w:val="Normal"/>
    <w:rsid w:val="005E10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10EC"/>
    <w:pPr>
      <w:tabs>
        <w:tab w:val="left" w:pos="720"/>
        <w:tab w:val="right" w:leader="dot" w:pos="9360"/>
      </w:tabs>
      <w:suppressAutoHyphens/>
      <w:ind w:left="720" w:right="720" w:hanging="360"/>
    </w:pPr>
    <w:rPr>
      <w:noProof/>
    </w:rPr>
  </w:style>
  <w:style w:type="paragraph" w:styleId="TOC3">
    <w:name w:val="toc 3"/>
    <w:basedOn w:val="Normal"/>
    <w:next w:val="Normal"/>
    <w:semiHidden/>
    <w:rsid w:val="005E10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10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10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10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10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10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10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10EC"/>
    <w:pPr>
      <w:tabs>
        <w:tab w:val="right" w:pos="9360"/>
      </w:tabs>
      <w:suppressAutoHyphens/>
    </w:pPr>
  </w:style>
  <w:style w:type="character" w:customStyle="1" w:styleId="EquationCaption">
    <w:name w:val="_Equation Caption"/>
    <w:rsid w:val="005E10EC"/>
  </w:style>
  <w:style w:type="paragraph" w:styleId="Header">
    <w:name w:val="header"/>
    <w:basedOn w:val="Normal"/>
    <w:link w:val="HeaderChar"/>
    <w:autoRedefine/>
    <w:rsid w:val="005E10EC"/>
    <w:pPr>
      <w:tabs>
        <w:tab w:val="center" w:pos="4680"/>
        <w:tab w:val="right" w:pos="9360"/>
      </w:tabs>
    </w:pPr>
    <w:rPr>
      <w:b/>
    </w:rPr>
  </w:style>
  <w:style w:type="character" w:customStyle="1" w:styleId="HeaderChar">
    <w:name w:val="Header Char"/>
    <w:basedOn w:val="DefaultParagraphFont"/>
    <w:link w:val="Header"/>
    <w:rsid w:val="00700D33"/>
    <w:rPr>
      <w:rFonts w:ascii="Times New Roman" w:eastAsia="Times New Roman" w:hAnsi="Times New Roman" w:cs="Times New Roman"/>
      <w:b/>
      <w:snapToGrid w:val="0"/>
      <w:kern w:val="28"/>
      <w:szCs w:val="20"/>
    </w:rPr>
  </w:style>
  <w:style w:type="paragraph" w:styleId="Footer">
    <w:name w:val="footer"/>
    <w:basedOn w:val="Normal"/>
    <w:link w:val="FooterChar"/>
    <w:rsid w:val="005E10EC"/>
    <w:pPr>
      <w:tabs>
        <w:tab w:val="center" w:pos="4320"/>
        <w:tab w:val="right" w:pos="8640"/>
      </w:tabs>
    </w:pPr>
  </w:style>
  <w:style w:type="character" w:customStyle="1" w:styleId="FooterChar">
    <w:name w:val="Footer Char"/>
    <w:basedOn w:val="DefaultParagraphFont"/>
    <w:link w:val="Footer"/>
    <w:rsid w:val="00700D33"/>
    <w:rPr>
      <w:rFonts w:ascii="Times New Roman" w:eastAsia="Times New Roman" w:hAnsi="Times New Roman" w:cs="Times New Roman"/>
      <w:snapToGrid w:val="0"/>
      <w:kern w:val="28"/>
      <w:szCs w:val="20"/>
    </w:rPr>
  </w:style>
  <w:style w:type="character" w:styleId="PageNumber">
    <w:name w:val="page number"/>
    <w:basedOn w:val="DefaultParagraphFont"/>
    <w:rsid w:val="005E10EC"/>
  </w:style>
  <w:style w:type="paragraph" w:styleId="BlockText">
    <w:name w:val="Block Text"/>
    <w:basedOn w:val="Normal"/>
    <w:rsid w:val="005E10EC"/>
    <w:pPr>
      <w:spacing w:after="240"/>
      <w:ind w:left="1440" w:right="1440"/>
    </w:pPr>
  </w:style>
  <w:style w:type="paragraph" w:customStyle="1" w:styleId="Paratitle">
    <w:name w:val="Para title"/>
    <w:basedOn w:val="Normal"/>
    <w:rsid w:val="005E10EC"/>
    <w:pPr>
      <w:tabs>
        <w:tab w:val="center" w:pos="9270"/>
      </w:tabs>
      <w:spacing w:after="240"/>
    </w:pPr>
    <w:rPr>
      <w:spacing w:val="-2"/>
    </w:rPr>
  </w:style>
  <w:style w:type="paragraph" w:customStyle="1" w:styleId="Bullet">
    <w:name w:val="Bullet"/>
    <w:basedOn w:val="Normal"/>
    <w:rsid w:val="005E10EC"/>
    <w:pPr>
      <w:tabs>
        <w:tab w:val="left" w:pos="2160"/>
      </w:tabs>
      <w:spacing w:after="220"/>
      <w:ind w:left="2160" w:hanging="720"/>
    </w:pPr>
  </w:style>
  <w:style w:type="paragraph" w:customStyle="1" w:styleId="TableFormat">
    <w:name w:val="TableFormat"/>
    <w:basedOn w:val="Bullet"/>
    <w:rsid w:val="005E10EC"/>
    <w:pPr>
      <w:tabs>
        <w:tab w:val="clear" w:pos="2160"/>
        <w:tab w:val="left" w:pos="5040"/>
      </w:tabs>
      <w:ind w:left="5040" w:hanging="3600"/>
    </w:pPr>
  </w:style>
  <w:style w:type="paragraph" w:customStyle="1" w:styleId="TOCTitle">
    <w:name w:val="TOC Title"/>
    <w:basedOn w:val="Normal"/>
    <w:rsid w:val="005E10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10EC"/>
    <w:pPr>
      <w:jc w:val="center"/>
    </w:pPr>
    <w:rPr>
      <w:rFonts w:ascii="Times New Roman Bold" w:hAnsi="Times New Roman Bold"/>
      <w:b/>
      <w:bCs/>
      <w:caps/>
      <w:szCs w:val="22"/>
    </w:rPr>
  </w:style>
  <w:style w:type="character" w:styleId="Hyperlink">
    <w:name w:val="Hyperlink"/>
    <w:rsid w:val="005E10EC"/>
    <w:rPr>
      <w:color w:val="0000FF"/>
      <w:u w:val="single"/>
    </w:rPr>
  </w:style>
  <w:style w:type="paragraph" w:styleId="BalloonText">
    <w:name w:val="Balloon Text"/>
    <w:basedOn w:val="Normal"/>
    <w:link w:val="BalloonTextChar"/>
    <w:uiPriority w:val="99"/>
    <w:semiHidden/>
    <w:unhideWhenUsed/>
    <w:rsid w:val="00D919FD"/>
    <w:rPr>
      <w:rFonts w:ascii="Tahoma" w:hAnsi="Tahoma" w:cs="Tahoma"/>
      <w:sz w:val="16"/>
      <w:szCs w:val="16"/>
    </w:rPr>
  </w:style>
  <w:style w:type="character" w:customStyle="1" w:styleId="BalloonTextChar">
    <w:name w:val="Balloon Text Char"/>
    <w:basedOn w:val="DefaultParagraphFont"/>
    <w:link w:val="BalloonText"/>
    <w:uiPriority w:val="99"/>
    <w:semiHidden/>
    <w:rsid w:val="00D919FD"/>
    <w:rPr>
      <w:rFonts w:ascii="Tahoma" w:eastAsia="Times New Roman" w:hAnsi="Tahoma" w:cs="Tahoma"/>
      <w:snapToGrid w:val="0"/>
      <w:kern w:val="28"/>
      <w:sz w:val="16"/>
      <w:szCs w:val="16"/>
    </w:rPr>
  </w:style>
  <w:style w:type="character" w:customStyle="1" w:styleId="ParaNumChar">
    <w:name w:val="ParaNum Char"/>
    <w:link w:val="ParaNum"/>
    <w:locked/>
    <w:rsid w:val="00770606"/>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fn Char2,Footnote Text Char Char,Footnote Text Char2 Char2 Char,Footnote Text Char Char1 Char Char,Footnote Text Char2 Char2 Char Char Char,Footnote Text Char Char1 Char Char Char Char,fn Char1 Char"/>
    <w:locked/>
    <w:rsid w:val="00015B37"/>
    <w:rPr>
      <w:lang w:val="en-US" w:eastAsia="en-US"/>
    </w:rPr>
  </w:style>
  <w:style w:type="character" w:styleId="Emphasis">
    <w:name w:val="Emphasis"/>
    <w:basedOn w:val="DefaultParagraphFont"/>
    <w:uiPriority w:val="20"/>
    <w:qFormat/>
    <w:rsid w:val="007C00F5"/>
    <w:rPr>
      <w:i/>
      <w:iCs/>
    </w:rPr>
  </w:style>
  <w:style w:type="character" w:styleId="CommentReference">
    <w:name w:val="annotation reference"/>
    <w:basedOn w:val="DefaultParagraphFont"/>
    <w:uiPriority w:val="99"/>
    <w:semiHidden/>
    <w:unhideWhenUsed/>
    <w:rsid w:val="00616B0D"/>
    <w:rPr>
      <w:sz w:val="16"/>
      <w:szCs w:val="16"/>
    </w:rPr>
  </w:style>
  <w:style w:type="paragraph" w:styleId="CommentText">
    <w:name w:val="annotation text"/>
    <w:basedOn w:val="Normal"/>
    <w:link w:val="CommentTextChar"/>
    <w:uiPriority w:val="99"/>
    <w:semiHidden/>
    <w:unhideWhenUsed/>
    <w:rsid w:val="00616B0D"/>
    <w:rPr>
      <w:sz w:val="20"/>
    </w:rPr>
  </w:style>
  <w:style w:type="character" w:customStyle="1" w:styleId="CommentTextChar">
    <w:name w:val="Comment Text Char"/>
    <w:basedOn w:val="DefaultParagraphFont"/>
    <w:link w:val="CommentText"/>
    <w:uiPriority w:val="99"/>
    <w:semiHidden/>
    <w:rsid w:val="00616B0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616B0D"/>
    <w:rPr>
      <w:b/>
      <w:bCs/>
    </w:rPr>
  </w:style>
  <w:style w:type="character" w:customStyle="1" w:styleId="CommentSubjectChar">
    <w:name w:val="Comment Subject Char"/>
    <w:basedOn w:val="CommentTextChar"/>
    <w:link w:val="CommentSubject"/>
    <w:uiPriority w:val="99"/>
    <w:semiHidden/>
    <w:rsid w:val="00616B0D"/>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946008"/>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1144</Words>
  <Characters>6464</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2015-06-17T15:15:00Z</cp:lastPrinted>
  <dcterms:created xsi:type="dcterms:W3CDTF">2015-06-17T18:53:00Z</dcterms:created>
  <dcterms:modified xsi:type="dcterms:W3CDTF">2015-06-17T18:53:00Z</dcterms:modified>
  <cp:category> </cp:category>
  <cp:contentStatus> </cp:contentStatus>
</cp:coreProperties>
</file>