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645" w:rsidRDefault="000C4645">
      <w:pPr>
        <w:pStyle w:val="Title"/>
      </w:pPr>
      <w:bookmarkStart w:id="0" w:name="_GoBack"/>
      <w:bookmarkEnd w:id="0"/>
      <w:r>
        <w:t>Before the</w:t>
      </w:r>
    </w:p>
    <w:p w:rsidR="000C4645" w:rsidRDefault="000C4645">
      <w:pPr>
        <w:jc w:val="center"/>
        <w:rPr>
          <w:b/>
        </w:rPr>
      </w:pPr>
      <w:r>
        <w:rPr>
          <w:b/>
        </w:rPr>
        <w:t>Federal Communications Commission</w:t>
      </w:r>
    </w:p>
    <w:p w:rsidR="000C4645" w:rsidRDefault="000C4645">
      <w:pPr>
        <w:jc w:val="center"/>
        <w:rPr>
          <w:b/>
        </w:rPr>
      </w:pPr>
      <w:r>
        <w:rPr>
          <w:b/>
        </w:rPr>
        <w:t>Washington, D.C. 20554</w:t>
      </w:r>
    </w:p>
    <w:p w:rsidR="000C4645" w:rsidRDefault="000C4645">
      <w:pPr>
        <w:tabs>
          <w:tab w:val="left" w:pos="-720"/>
        </w:tabs>
        <w:suppressAutoHyphens/>
        <w:spacing w:line="227" w:lineRule="auto"/>
        <w:rPr>
          <w:spacing w:val="-2"/>
        </w:rPr>
      </w:pPr>
    </w:p>
    <w:tbl>
      <w:tblPr>
        <w:tblW w:w="0" w:type="auto"/>
        <w:tblLayout w:type="fixed"/>
        <w:tblLook w:val="0000" w:firstRow="0" w:lastRow="0" w:firstColumn="0" w:lastColumn="0" w:noHBand="0" w:noVBand="0"/>
      </w:tblPr>
      <w:tblGrid>
        <w:gridCol w:w="4698"/>
        <w:gridCol w:w="630"/>
        <w:gridCol w:w="4248"/>
      </w:tblGrid>
      <w:tr w:rsidR="00C97969" w:rsidTr="00665D51">
        <w:tc>
          <w:tcPr>
            <w:tcW w:w="4698" w:type="dxa"/>
          </w:tcPr>
          <w:p w:rsidR="00C97969" w:rsidRPr="00A57E01" w:rsidRDefault="00C97969" w:rsidP="00665D51">
            <w:pPr>
              <w:tabs>
                <w:tab w:val="center" w:pos="4680"/>
              </w:tabs>
              <w:suppressAutoHyphens/>
              <w:rPr>
                <w:spacing w:val="-2"/>
                <w:szCs w:val="22"/>
              </w:rPr>
            </w:pPr>
            <w:r w:rsidRPr="00A57E01">
              <w:rPr>
                <w:spacing w:val="-2"/>
                <w:szCs w:val="22"/>
              </w:rPr>
              <w:t>In re Applications of</w:t>
            </w:r>
          </w:p>
          <w:p w:rsidR="00C97969" w:rsidRPr="00150FBA" w:rsidRDefault="00C97969" w:rsidP="00665D51">
            <w:pPr>
              <w:ind w:right="-18"/>
              <w:rPr>
                <w:szCs w:val="22"/>
              </w:rPr>
            </w:pPr>
          </w:p>
          <w:p w:rsidR="00C97969" w:rsidRPr="001D7234" w:rsidRDefault="00051758" w:rsidP="00665D51">
            <w:pPr>
              <w:ind w:right="-18"/>
              <w:rPr>
                <w:szCs w:val="22"/>
              </w:rPr>
            </w:pPr>
            <w:r>
              <w:rPr>
                <w:szCs w:val="22"/>
              </w:rPr>
              <w:t>Lazer Licenses, LLC</w:t>
            </w:r>
          </w:p>
          <w:p w:rsidR="00C97969" w:rsidRDefault="00C97969" w:rsidP="00665D51">
            <w:pPr>
              <w:ind w:right="-18"/>
              <w:rPr>
                <w:b/>
                <w:szCs w:val="22"/>
              </w:rPr>
            </w:pPr>
          </w:p>
          <w:p w:rsidR="00C97969" w:rsidRDefault="00051758" w:rsidP="00C97969">
            <w:pPr>
              <w:ind w:right="-18"/>
              <w:rPr>
                <w:szCs w:val="22"/>
              </w:rPr>
            </w:pPr>
            <w:r>
              <w:rPr>
                <w:szCs w:val="22"/>
              </w:rPr>
              <w:t xml:space="preserve">For Minor Change to </w:t>
            </w:r>
            <w:r w:rsidR="00CF2D1C">
              <w:rPr>
                <w:szCs w:val="22"/>
              </w:rPr>
              <w:t>the Licensed Facilities of</w:t>
            </w:r>
          </w:p>
          <w:p w:rsidR="00A93244" w:rsidRDefault="00051758" w:rsidP="00A93244">
            <w:pPr>
              <w:ind w:right="-18"/>
              <w:rPr>
                <w:szCs w:val="22"/>
              </w:rPr>
            </w:pPr>
            <w:r>
              <w:rPr>
                <w:szCs w:val="22"/>
              </w:rPr>
              <w:t xml:space="preserve">Station KMLY(FM), </w:t>
            </w:r>
            <w:r w:rsidR="00A93244">
              <w:rPr>
                <w:szCs w:val="22"/>
              </w:rPr>
              <w:t>Carmel Valley</w:t>
            </w:r>
            <w:r>
              <w:rPr>
                <w:szCs w:val="22"/>
              </w:rPr>
              <w:t>, CA</w:t>
            </w:r>
          </w:p>
          <w:p w:rsidR="004A30E5" w:rsidRDefault="004A30E5" w:rsidP="00A93244">
            <w:pPr>
              <w:ind w:right="-18"/>
              <w:rPr>
                <w:szCs w:val="22"/>
              </w:rPr>
            </w:pPr>
          </w:p>
          <w:p w:rsidR="004A30E5" w:rsidRDefault="004A30E5" w:rsidP="00A93244">
            <w:pPr>
              <w:ind w:right="-18"/>
              <w:rPr>
                <w:szCs w:val="22"/>
              </w:rPr>
            </w:pPr>
            <w:r>
              <w:rPr>
                <w:szCs w:val="22"/>
              </w:rPr>
              <w:t>and</w:t>
            </w:r>
          </w:p>
          <w:p w:rsidR="004A30E5" w:rsidRDefault="004A30E5" w:rsidP="00A93244">
            <w:pPr>
              <w:ind w:right="-18"/>
              <w:rPr>
                <w:szCs w:val="22"/>
              </w:rPr>
            </w:pPr>
          </w:p>
          <w:p w:rsidR="00A93244" w:rsidRDefault="00A93244" w:rsidP="00A93244">
            <w:pPr>
              <w:rPr>
                <w:spacing w:val="-2"/>
                <w:szCs w:val="22"/>
              </w:rPr>
            </w:pPr>
            <w:r>
              <w:rPr>
                <w:spacing w:val="-2"/>
                <w:szCs w:val="22"/>
              </w:rPr>
              <w:t xml:space="preserve">For Renewal of </w:t>
            </w:r>
            <w:r w:rsidR="00CF2D1C">
              <w:rPr>
                <w:spacing w:val="-2"/>
                <w:szCs w:val="22"/>
              </w:rPr>
              <w:t xml:space="preserve">the </w:t>
            </w:r>
            <w:r>
              <w:rPr>
                <w:spacing w:val="-2"/>
                <w:szCs w:val="22"/>
              </w:rPr>
              <w:t>License</w:t>
            </w:r>
            <w:r w:rsidR="00CF2D1C">
              <w:rPr>
                <w:spacing w:val="-2"/>
                <w:szCs w:val="22"/>
              </w:rPr>
              <w:t xml:space="preserve"> for </w:t>
            </w:r>
            <w:r>
              <w:rPr>
                <w:spacing w:val="-2"/>
                <w:szCs w:val="22"/>
              </w:rPr>
              <w:t>Station KMLY(FM), Carmel Valley, CA</w:t>
            </w:r>
          </w:p>
          <w:p w:rsidR="00A93244" w:rsidRPr="00150FBA" w:rsidRDefault="00A93244" w:rsidP="00A93244">
            <w:pPr>
              <w:ind w:right="-18"/>
              <w:rPr>
                <w:b/>
                <w:szCs w:val="22"/>
              </w:rPr>
            </w:pPr>
          </w:p>
        </w:tc>
        <w:tc>
          <w:tcPr>
            <w:tcW w:w="630" w:type="dxa"/>
          </w:tcPr>
          <w:p w:rsidR="00C97969" w:rsidRPr="00A57E01" w:rsidRDefault="00C97969" w:rsidP="00C97969">
            <w:pPr>
              <w:tabs>
                <w:tab w:val="center" w:pos="4680"/>
              </w:tabs>
              <w:suppressAutoHyphens/>
              <w:rPr>
                <w:b/>
                <w:spacing w:val="-2"/>
                <w:szCs w:val="22"/>
              </w:rPr>
            </w:pPr>
            <w:r w:rsidRPr="00A57E01">
              <w:rPr>
                <w:b/>
                <w:spacing w:val="-2"/>
                <w:szCs w:val="22"/>
              </w:rPr>
              <w:t>)</w:t>
            </w:r>
          </w:p>
          <w:p w:rsidR="00C97969" w:rsidRPr="00A57E01" w:rsidRDefault="00C97969" w:rsidP="00C97969">
            <w:pPr>
              <w:tabs>
                <w:tab w:val="center" w:pos="4680"/>
              </w:tabs>
              <w:suppressAutoHyphens/>
              <w:rPr>
                <w:b/>
                <w:spacing w:val="-2"/>
                <w:szCs w:val="22"/>
              </w:rPr>
            </w:pPr>
            <w:r w:rsidRPr="00A57E01">
              <w:rPr>
                <w:b/>
                <w:spacing w:val="-2"/>
                <w:szCs w:val="22"/>
              </w:rPr>
              <w:t>)</w:t>
            </w:r>
          </w:p>
          <w:p w:rsidR="00C97969" w:rsidRPr="00A57E01" w:rsidRDefault="00C97969" w:rsidP="00C97969">
            <w:pPr>
              <w:tabs>
                <w:tab w:val="center" w:pos="4680"/>
              </w:tabs>
              <w:suppressAutoHyphens/>
              <w:rPr>
                <w:b/>
                <w:spacing w:val="-2"/>
                <w:szCs w:val="22"/>
              </w:rPr>
            </w:pPr>
            <w:r w:rsidRPr="00A57E01">
              <w:rPr>
                <w:b/>
                <w:spacing w:val="-2"/>
                <w:szCs w:val="22"/>
              </w:rPr>
              <w:t>)</w:t>
            </w:r>
          </w:p>
          <w:p w:rsidR="00C97969" w:rsidRPr="00A57E01" w:rsidRDefault="00C97969" w:rsidP="00C97969">
            <w:pPr>
              <w:tabs>
                <w:tab w:val="center" w:pos="4680"/>
              </w:tabs>
              <w:suppressAutoHyphens/>
              <w:rPr>
                <w:b/>
                <w:spacing w:val="-2"/>
                <w:szCs w:val="22"/>
              </w:rPr>
            </w:pPr>
            <w:r w:rsidRPr="00A57E01">
              <w:rPr>
                <w:b/>
                <w:spacing w:val="-2"/>
                <w:szCs w:val="22"/>
              </w:rPr>
              <w:t>)</w:t>
            </w:r>
          </w:p>
          <w:p w:rsidR="00C97969" w:rsidRPr="00A57E01" w:rsidRDefault="00C97969" w:rsidP="00C97969">
            <w:pPr>
              <w:tabs>
                <w:tab w:val="center" w:pos="4680"/>
              </w:tabs>
              <w:suppressAutoHyphens/>
              <w:rPr>
                <w:b/>
                <w:spacing w:val="-2"/>
                <w:szCs w:val="22"/>
              </w:rPr>
            </w:pPr>
            <w:r w:rsidRPr="00A57E01">
              <w:rPr>
                <w:b/>
                <w:spacing w:val="-2"/>
                <w:szCs w:val="22"/>
              </w:rPr>
              <w:t>)</w:t>
            </w:r>
          </w:p>
          <w:p w:rsidR="00C97969" w:rsidRPr="00A57E01" w:rsidRDefault="00C97969" w:rsidP="00C97969">
            <w:pPr>
              <w:tabs>
                <w:tab w:val="center" w:pos="4680"/>
              </w:tabs>
              <w:suppressAutoHyphens/>
              <w:rPr>
                <w:b/>
                <w:spacing w:val="-2"/>
                <w:szCs w:val="22"/>
              </w:rPr>
            </w:pPr>
            <w:r w:rsidRPr="00A57E01">
              <w:rPr>
                <w:b/>
                <w:spacing w:val="-2"/>
                <w:szCs w:val="22"/>
              </w:rPr>
              <w:t>)</w:t>
            </w:r>
          </w:p>
          <w:p w:rsidR="00C97969" w:rsidRPr="00A57E01" w:rsidRDefault="00C97969" w:rsidP="00C97969">
            <w:pPr>
              <w:tabs>
                <w:tab w:val="center" w:pos="4680"/>
              </w:tabs>
              <w:suppressAutoHyphens/>
              <w:rPr>
                <w:b/>
                <w:spacing w:val="-2"/>
                <w:szCs w:val="22"/>
              </w:rPr>
            </w:pPr>
            <w:r w:rsidRPr="00A57E01">
              <w:rPr>
                <w:b/>
                <w:spacing w:val="-2"/>
                <w:szCs w:val="22"/>
              </w:rPr>
              <w:t>)</w:t>
            </w:r>
          </w:p>
          <w:p w:rsidR="00C97969" w:rsidRPr="00A57E01" w:rsidRDefault="00C97969" w:rsidP="00C97969">
            <w:pPr>
              <w:pStyle w:val="Header"/>
              <w:tabs>
                <w:tab w:val="clear" w:pos="9360"/>
              </w:tabs>
              <w:suppressAutoHyphens/>
              <w:rPr>
                <w:spacing w:val="-2"/>
                <w:szCs w:val="22"/>
              </w:rPr>
            </w:pPr>
            <w:r w:rsidRPr="00A57E01">
              <w:rPr>
                <w:spacing w:val="-2"/>
                <w:szCs w:val="22"/>
              </w:rPr>
              <w:t>)</w:t>
            </w:r>
          </w:p>
          <w:p w:rsidR="00C97969" w:rsidRPr="00A57E01" w:rsidRDefault="00C97969" w:rsidP="00C97969">
            <w:pPr>
              <w:pStyle w:val="Header"/>
              <w:tabs>
                <w:tab w:val="clear" w:pos="9360"/>
              </w:tabs>
              <w:suppressAutoHyphens/>
              <w:rPr>
                <w:spacing w:val="-2"/>
                <w:szCs w:val="22"/>
              </w:rPr>
            </w:pPr>
            <w:r w:rsidRPr="00A57E01">
              <w:rPr>
                <w:spacing w:val="-2"/>
                <w:szCs w:val="22"/>
              </w:rPr>
              <w:t>)</w:t>
            </w:r>
          </w:p>
          <w:p w:rsidR="00C97969" w:rsidRPr="00A57E01" w:rsidRDefault="00C97969" w:rsidP="00C97969">
            <w:pPr>
              <w:pStyle w:val="Header"/>
              <w:tabs>
                <w:tab w:val="clear" w:pos="9360"/>
              </w:tabs>
              <w:suppressAutoHyphens/>
              <w:rPr>
                <w:spacing w:val="-2"/>
                <w:szCs w:val="22"/>
              </w:rPr>
            </w:pPr>
            <w:r w:rsidRPr="00A57E01">
              <w:rPr>
                <w:spacing w:val="-2"/>
                <w:szCs w:val="22"/>
              </w:rPr>
              <w:t>)</w:t>
            </w:r>
          </w:p>
          <w:p w:rsidR="00C97969" w:rsidRPr="00150FBA" w:rsidRDefault="004A30E5" w:rsidP="00051758">
            <w:pPr>
              <w:pStyle w:val="Header"/>
              <w:tabs>
                <w:tab w:val="clear" w:pos="9360"/>
              </w:tabs>
              <w:suppressAutoHyphens/>
              <w:rPr>
                <w:b w:val="0"/>
                <w:szCs w:val="22"/>
              </w:rPr>
            </w:pPr>
            <w:r>
              <w:rPr>
                <w:b w:val="0"/>
                <w:szCs w:val="22"/>
              </w:rPr>
              <w:t>)</w:t>
            </w:r>
          </w:p>
        </w:tc>
        <w:tc>
          <w:tcPr>
            <w:tcW w:w="4248" w:type="dxa"/>
          </w:tcPr>
          <w:p w:rsidR="00C97969" w:rsidRDefault="00C97969" w:rsidP="00C97969">
            <w:pPr>
              <w:tabs>
                <w:tab w:val="center" w:pos="4680"/>
              </w:tabs>
              <w:suppressAutoHyphens/>
              <w:rPr>
                <w:spacing w:val="-2"/>
                <w:szCs w:val="22"/>
              </w:rPr>
            </w:pPr>
          </w:p>
          <w:p w:rsidR="00051758" w:rsidRPr="00A57E01" w:rsidRDefault="00051758" w:rsidP="00C97969">
            <w:pPr>
              <w:tabs>
                <w:tab w:val="center" w:pos="4680"/>
              </w:tabs>
              <w:suppressAutoHyphens/>
              <w:rPr>
                <w:spacing w:val="-2"/>
                <w:szCs w:val="22"/>
              </w:rPr>
            </w:pPr>
          </w:p>
          <w:p w:rsidR="00C97969" w:rsidRDefault="00C97969" w:rsidP="00C97969">
            <w:pPr>
              <w:tabs>
                <w:tab w:val="center" w:pos="4680"/>
              </w:tabs>
              <w:suppressAutoHyphens/>
              <w:rPr>
                <w:spacing w:val="-2"/>
                <w:szCs w:val="22"/>
              </w:rPr>
            </w:pPr>
          </w:p>
          <w:p w:rsidR="00C97969" w:rsidRDefault="00C97969" w:rsidP="00C97969">
            <w:pPr>
              <w:tabs>
                <w:tab w:val="center" w:pos="4680"/>
              </w:tabs>
              <w:suppressAutoHyphens/>
              <w:rPr>
                <w:spacing w:val="-2"/>
                <w:szCs w:val="22"/>
              </w:rPr>
            </w:pPr>
          </w:p>
          <w:p w:rsidR="00C97969" w:rsidRPr="00A57E01" w:rsidRDefault="00C97969" w:rsidP="00C97969">
            <w:pPr>
              <w:tabs>
                <w:tab w:val="center" w:pos="4680"/>
              </w:tabs>
              <w:suppressAutoHyphens/>
              <w:rPr>
                <w:spacing w:val="-2"/>
                <w:szCs w:val="22"/>
              </w:rPr>
            </w:pPr>
            <w:r w:rsidRPr="00A57E01">
              <w:rPr>
                <w:spacing w:val="-2"/>
                <w:szCs w:val="22"/>
              </w:rPr>
              <w:t xml:space="preserve">Facility ID No. </w:t>
            </w:r>
            <w:r w:rsidR="00051758">
              <w:rPr>
                <w:spacing w:val="-2"/>
                <w:szCs w:val="22"/>
              </w:rPr>
              <w:t>164096</w:t>
            </w:r>
          </w:p>
          <w:p w:rsidR="00C97969" w:rsidRDefault="00C97969" w:rsidP="00C97969">
            <w:pPr>
              <w:tabs>
                <w:tab w:val="center" w:pos="4680"/>
              </w:tabs>
              <w:suppressAutoHyphens/>
              <w:rPr>
                <w:spacing w:val="-2"/>
                <w:szCs w:val="22"/>
              </w:rPr>
            </w:pPr>
            <w:r w:rsidRPr="00A57E01">
              <w:rPr>
                <w:spacing w:val="-2"/>
                <w:szCs w:val="22"/>
              </w:rPr>
              <w:t xml:space="preserve">File No. </w:t>
            </w:r>
            <w:r w:rsidR="00A93244">
              <w:rPr>
                <w:szCs w:val="22"/>
              </w:rPr>
              <w:t>BPH-20130411AAK</w:t>
            </w:r>
            <w:r w:rsidR="00A93244" w:rsidRPr="00A57E01">
              <w:rPr>
                <w:spacing w:val="-2"/>
                <w:szCs w:val="22"/>
              </w:rPr>
              <w:t xml:space="preserve"> </w:t>
            </w:r>
          </w:p>
          <w:p w:rsidR="00A93244" w:rsidRDefault="00A93244" w:rsidP="00C97969">
            <w:pPr>
              <w:tabs>
                <w:tab w:val="center" w:pos="4680"/>
              </w:tabs>
              <w:suppressAutoHyphens/>
              <w:rPr>
                <w:spacing w:val="-2"/>
                <w:szCs w:val="22"/>
              </w:rPr>
            </w:pPr>
          </w:p>
          <w:p w:rsidR="004A30E5" w:rsidRDefault="004A30E5" w:rsidP="00A93244">
            <w:pPr>
              <w:tabs>
                <w:tab w:val="center" w:pos="4680"/>
              </w:tabs>
              <w:suppressAutoHyphens/>
              <w:rPr>
                <w:szCs w:val="22"/>
              </w:rPr>
            </w:pPr>
          </w:p>
          <w:p w:rsidR="004A30E5" w:rsidRDefault="004A30E5" w:rsidP="00A93244">
            <w:pPr>
              <w:tabs>
                <w:tab w:val="center" w:pos="4680"/>
              </w:tabs>
              <w:suppressAutoHyphens/>
              <w:rPr>
                <w:szCs w:val="22"/>
              </w:rPr>
            </w:pPr>
          </w:p>
          <w:p w:rsidR="00A93244" w:rsidRDefault="00051758" w:rsidP="00A93244">
            <w:pPr>
              <w:tabs>
                <w:tab w:val="center" w:pos="4680"/>
              </w:tabs>
              <w:suppressAutoHyphens/>
              <w:rPr>
                <w:spacing w:val="-2"/>
                <w:szCs w:val="22"/>
              </w:rPr>
            </w:pPr>
            <w:r>
              <w:rPr>
                <w:szCs w:val="22"/>
              </w:rPr>
              <w:t>Facility ID No. 164096</w:t>
            </w:r>
            <w:r>
              <w:rPr>
                <w:szCs w:val="22"/>
              </w:rPr>
              <w:br/>
              <w:t xml:space="preserve">File No. </w:t>
            </w:r>
            <w:r w:rsidR="00A93244" w:rsidRPr="00A57E01">
              <w:rPr>
                <w:spacing w:val="-2"/>
                <w:szCs w:val="22"/>
              </w:rPr>
              <w:t>B</w:t>
            </w:r>
            <w:r w:rsidR="00A93244">
              <w:rPr>
                <w:spacing w:val="-2"/>
                <w:szCs w:val="22"/>
              </w:rPr>
              <w:t>RH</w:t>
            </w:r>
            <w:r w:rsidR="00A93244" w:rsidRPr="00A57E01">
              <w:rPr>
                <w:spacing w:val="-2"/>
                <w:szCs w:val="22"/>
              </w:rPr>
              <w:t>-</w:t>
            </w:r>
            <w:r w:rsidR="00A93244">
              <w:rPr>
                <w:spacing w:val="-2"/>
                <w:szCs w:val="22"/>
              </w:rPr>
              <w:t>20130801AMB</w:t>
            </w:r>
          </w:p>
          <w:p w:rsidR="00C97969" w:rsidRPr="00150FBA" w:rsidRDefault="00C97969" w:rsidP="00A93244">
            <w:pPr>
              <w:rPr>
                <w:szCs w:val="22"/>
              </w:rPr>
            </w:pPr>
          </w:p>
        </w:tc>
      </w:tr>
    </w:tbl>
    <w:p w:rsidR="003C4E96" w:rsidRPr="00A57E01" w:rsidRDefault="00A02CC7">
      <w:pPr>
        <w:jc w:val="center"/>
        <w:rPr>
          <w:b/>
          <w:szCs w:val="22"/>
        </w:rPr>
      </w:pPr>
      <w:r>
        <w:rPr>
          <w:b/>
          <w:szCs w:val="22"/>
        </w:rPr>
        <w:t>MEMORANDUM OPINION AND ORDER</w:t>
      </w:r>
    </w:p>
    <w:p w:rsidR="003C4E96" w:rsidRPr="00A57E01" w:rsidRDefault="003C4E96">
      <w:pPr>
        <w:jc w:val="center"/>
        <w:rPr>
          <w:b/>
          <w:szCs w:val="22"/>
        </w:rPr>
      </w:pPr>
    </w:p>
    <w:p w:rsidR="000C4645" w:rsidRPr="00A57E01" w:rsidRDefault="000C4645" w:rsidP="00227CE1">
      <w:pPr>
        <w:tabs>
          <w:tab w:val="left" w:pos="720"/>
          <w:tab w:val="left" w:pos="5760"/>
        </w:tabs>
        <w:suppressAutoHyphens/>
        <w:spacing w:line="227" w:lineRule="auto"/>
        <w:rPr>
          <w:spacing w:val="-2"/>
          <w:szCs w:val="22"/>
        </w:rPr>
      </w:pPr>
      <w:r w:rsidRPr="00A57E01">
        <w:rPr>
          <w:b/>
          <w:spacing w:val="-2"/>
          <w:szCs w:val="22"/>
        </w:rPr>
        <w:t>Adopted:</w:t>
      </w:r>
      <w:r w:rsidR="00EA1DFA" w:rsidRPr="00A57E01">
        <w:rPr>
          <w:b/>
          <w:spacing w:val="-2"/>
          <w:szCs w:val="22"/>
        </w:rPr>
        <w:t xml:space="preserve">  </w:t>
      </w:r>
      <w:r w:rsidR="008B26F7">
        <w:rPr>
          <w:b/>
          <w:spacing w:val="-2"/>
          <w:szCs w:val="22"/>
        </w:rPr>
        <w:t>June 18, 2015</w:t>
      </w:r>
      <w:r w:rsidRPr="00A57E01">
        <w:rPr>
          <w:b/>
          <w:spacing w:val="-2"/>
          <w:szCs w:val="22"/>
        </w:rPr>
        <w:tab/>
        <w:t>Released:</w:t>
      </w:r>
      <w:r w:rsidR="006912A1" w:rsidRPr="00A57E01">
        <w:rPr>
          <w:b/>
          <w:spacing w:val="-2"/>
          <w:szCs w:val="22"/>
        </w:rPr>
        <w:t xml:space="preserve">  </w:t>
      </w:r>
      <w:r w:rsidR="008B26F7">
        <w:rPr>
          <w:b/>
          <w:spacing w:val="-2"/>
          <w:szCs w:val="22"/>
        </w:rPr>
        <w:t>June 19, 2015</w:t>
      </w:r>
    </w:p>
    <w:p w:rsidR="000C4645" w:rsidRPr="00A57E01" w:rsidRDefault="000C4645">
      <w:pPr>
        <w:rPr>
          <w:szCs w:val="22"/>
        </w:rPr>
      </w:pPr>
    </w:p>
    <w:p w:rsidR="00502454" w:rsidRDefault="000C4645" w:rsidP="009E57CD">
      <w:pPr>
        <w:rPr>
          <w:spacing w:val="-2"/>
          <w:szCs w:val="22"/>
        </w:rPr>
      </w:pPr>
      <w:r w:rsidRPr="00A57E01">
        <w:rPr>
          <w:szCs w:val="22"/>
        </w:rPr>
        <w:t xml:space="preserve">By the </w:t>
      </w:r>
      <w:r w:rsidRPr="00A57E01">
        <w:rPr>
          <w:spacing w:val="-2"/>
          <w:szCs w:val="22"/>
        </w:rPr>
        <w:t>Chief,</w:t>
      </w:r>
      <w:r w:rsidR="00051758">
        <w:rPr>
          <w:spacing w:val="-2"/>
          <w:szCs w:val="22"/>
        </w:rPr>
        <w:t xml:space="preserve"> Audio Division,</w:t>
      </w:r>
      <w:r w:rsidRPr="00A57E01">
        <w:rPr>
          <w:spacing w:val="-2"/>
          <w:szCs w:val="22"/>
        </w:rPr>
        <w:t xml:space="preserve"> </w:t>
      </w:r>
      <w:r w:rsidR="006912A1" w:rsidRPr="00A57E01">
        <w:rPr>
          <w:spacing w:val="-2"/>
          <w:szCs w:val="22"/>
        </w:rPr>
        <w:t>Media Bureau</w:t>
      </w:r>
      <w:r w:rsidRPr="00A57E01">
        <w:rPr>
          <w:spacing w:val="-2"/>
          <w:szCs w:val="22"/>
        </w:rPr>
        <w:t>:</w:t>
      </w:r>
    </w:p>
    <w:p w:rsidR="009E57CD" w:rsidRPr="009E57CD" w:rsidRDefault="009E57CD" w:rsidP="009E57CD">
      <w:pPr>
        <w:widowControl/>
        <w:rPr>
          <w:snapToGrid/>
          <w:spacing w:val="-2"/>
          <w:kern w:val="0"/>
        </w:rPr>
      </w:pPr>
    </w:p>
    <w:p w:rsidR="009E57CD" w:rsidRDefault="009E57CD" w:rsidP="00512D1C">
      <w:pPr>
        <w:pStyle w:val="Heading1"/>
        <w:tabs>
          <w:tab w:val="clear" w:pos="720"/>
        </w:tabs>
        <w:rPr>
          <w:snapToGrid/>
        </w:rPr>
      </w:pPr>
      <w:r w:rsidRPr="009E57CD">
        <w:rPr>
          <w:snapToGrid/>
        </w:rPr>
        <w:t xml:space="preserve">INTRODUCTION </w:t>
      </w:r>
    </w:p>
    <w:p w:rsidR="00A93244" w:rsidRDefault="00A93244" w:rsidP="00742529">
      <w:pPr>
        <w:pStyle w:val="ParaNum"/>
      </w:pPr>
      <w:r>
        <w:t xml:space="preserve">We have before us a </w:t>
      </w:r>
      <w:r w:rsidRPr="00B23BEC">
        <w:t>minor change application</w:t>
      </w:r>
      <w:r>
        <w:t xml:space="preserve"> (“Application”) filed by Lazer Licenses, LLC (“Lazer”), licensee of Station KMLY</w:t>
      </w:r>
      <w:r w:rsidR="00F32033">
        <w:t>(F</w:t>
      </w:r>
      <w:r>
        <w:t xml:space="preserve">M), </w:t>
      </w:r>
      <w:r w:rsidR="005A776E">
        <w:t xml:space="preserve">Carmel </w:t>
      </w:r>
      <w:r>
        <w:t xml:space="preserve">Valley, California (“Station”).  </w:t>
      </w:r>
      <w:r w:rsidR="005A776E">
        <w:t>Lazer</w:t>
      </w:r>
      <w:r>
        <w:t xml:space="preserve"> proposes to change the station’s </w:t>
      </w:r>
      <w:r w:rsidR="004C0BE2">
        <w:t>frequency</w:t>
      </w:r>
      <w:r>
        <w:t xml:space="preserve"> and community of license from Channel 290A at Carmel Valley, California, to Channel 236A at Gonzales, California.  </w:t>
      </w:r>
      <w:r w:rsidR="005A776E">
        <w:t>We also have before us an application (“Renewal Application”) to renew the Station’s license.</w:t>
      </w:r>
      <w:r w:rsidR="00083843">
        <w:t xml:space="preserve">  Mount Wilson FM Broadcasters, Inc. (“Mount Wilson”) filed </w:t>
      </w:r>
      <w:r w:rsidR="002A52AF">
        <w:t xml:space="preserve">an </w:t>
      </w:r>
      <w:r w:rsidR="00083843">
        <w:t xml:space="preserve">informal objection to </w:t>
      </w:r>
      <w:r w:rsidR="002A52AF">
        <w:t>the Application (“Minor Change Objection”) and a</w:t>
      </w:r>
      <w:r w:rsidR="00F32033">
        <w:t xml:space="preserve"> separate</w:t>
      </w:r>
      <w:r w:rsidR="002A52AF">
        <w:t xml:space="preserve"> informal objection to the Renewal Application (“Renewal Objection”)</w:t>
      </w:r>
      <w:r w:rsidR="00083843">
        <w:t>.</w:t>
      </w:r>
      <w:r>
        <w:rPr>
          <w:rStyle w:val="FootnoteReference"/>
          <w:szCs w:val="22"/>
        </w:rPr>
        <w:footnoteReference w:id="2"/>
      </w:r>
      <w:r w:rsidRPr="00277F7D">
        <w:t xml:space="preserve">  F</w:t>
      </w:r>
      <w:r>
        <w:t xml:space="preserve">or the reasons discussed below, we </w:t>
      </w:r>
      <w:r w:rsidR="00083843" w:rsidRPr="00FF66FB">
        <w:t xml:space="preserve">deny the </w:t>
      </w:r>
      <w:r w:rsidR="00FF66FB">
        <w:t xml:space="preserve">Minor Change Objection and grant the Application.  We also </w:t>
      </w:r>
      <w:r w:rsidR="00083843" w:rsidRPr="00FF66FB">
        <w:t xml:space="preserve">deny the </w:t>
      </w:r>
      <w:r w:rsidR="00FF66FB">
        <w:t>Renewal Objection and grant the Renewal Application.  Given</w:t>
      </w:r>
      <w:r w:rsidR="00F32033">
        <w:t xml:space="preserve"> our</w:t>
      </w:r>
      <w:r w:rsidR="00FF66FB">
        <w:t xml:space="preserve"> concerns about the Station’s silence during its most recent license term,</w:t>
      </w:r>
      <w:r w:rsidR="00083843" w:rsidRPr="00FF66FB">
        <w:t xml:space="preserve"> </w:t>
      </w:r>
      <w:r w:rsidR="00FF66FB">
        <w:t xml:space="preserve">however, we </w:t>
      </w:r>
      <w:r w:rsidR="00083843" w:rsidRPr="00FF66FB">
        <w:t xml:space="preserve">renew the Station’s license for a </w:t>
      </w:r>
      <w:r w:rsidR="00EE4CAE" w:rsidRPr="00FF66FB">
        <w:t>term</w:t>
      </w:r>
      <w:r w:rsidR="00083843" w:rsidRPr="00FF66FB">
        <w:t xml:space="preserve"> of two</w:t>
      </w:r>
      <w:r w:rsidR="00FF66FB">
        <w:t xml:space="preserve"> – rather than eight –</w:t>
      </w:r>
      <w:r w:rsidR="00083843" w:rsidRPr="00FF66FB">
        <w:t xml:space="preserve"> years</w:t>
      </w:r>
      <w:r w:rsidR="00EE4CAE" w:rsidRPr="00FF66FB">
        <w:t xml:space="preserve"> from the release date of this Memorandum Opinion and Order</w:t>
      </w:r>
      <w:r w:rsidRPr="00FF66FB">
        <w:t xml:space="preserve">.  </w:t>
      </w:r>
    </w:p>
    <w:p w:rsidR="009E57CD" w:rsidRPr="009E57CD" w:rsidRDefault="009E57CD" w:rsidP="002F7FC6">
      <w:pPr>
        <w:pStyle w:val="Heading1"/>
        <w:rPr>
          <w:snapToGrid/>
          <w:kern w:val="0"/>
        </w:rPr>
      </w:pPr>
      <w:r w:rsidRPr="009E57CD">
        <w:rPr>
          <w:snapToGrid/>
          <w:kern w:val="0"/>
        </w:rPr>
        <w:t>BACKGROUND</w:t>
      </w:r>
      <w:r w:rsidRPr="009E57CD">
        <w:rPr>
          <w:i/>
          <w:snapToGrid/>
          <w:kern w:val="0"/>
        </w:rPr>
        <w:tab/>
      </w:r>
      <w:r w:rsidRPr="009E57CD">
        <w:rPr>
          <w:snapToGrid/>
          <w:kern w:val="0"/>
        </w:rPr>
        <w:t xml:space="preserve"> </w:t>
      </w:r>
    </w:p>
    <w:p w:rsidR="0054154B" w:rsidRPr="0054154B" w:rsidRDefault="0054154B" w:rsidP="00742529">
      <w:pPr>
        <w:pStyle w:val="ParaNum"/>
      </w:pPr>
      <w:r>
        <w:t xml:space="preserve">Lazer’s license for </w:t>
      </w:r>
      <w:r w:rsidR="00C66CE6">
        <w:t xml:space="preserve">the Station </w:t>
      </w:r>
      <w:r>
        <w:t xml:space="preserve">was </w:t>
      </w:r>
      <w:r w:rsidR="00712A06">
        <w:t xml:space="preserve">filed on July 10, 2012, and </w:t>
      </w:r>
      <w:r>
        <w:t>granted on July 12, 2012,</w:t>
      </w:r>
      <w:r>
        <w:rPr>
          <w:rStyle w:val="FootnoteReference"/>
          <w:szCs w:val="22"/>
        </w:rPr>
        <w:footnoteReference w:id="3"/>
      </w:r>
      <w:r>
        <w:t xml:space="preserve"> one day before expiration of its construction permit.</w:t>
      </w:r>
      <w:r>
        <w:rPr>
          <w:rStyle w:val="FootnoteReference"/>
          <w:szCs w:val="22"/>
        </w:rPr>
        <w:footnoteReference w:id="4"/>
      </w:r>
      <w:r>
        <w:t xml:space="preserve">  On July 19, 2012, Lazer filed a request for special temporary authority (“STA”) for the station to remain silent, explaining that it constructed the authorized </w:t>
      </w:r>
      <w:r>
        <w:lastRenderedPageBreak/>
        <w:t>facilities and operated them for testing purposes for a short period of time.</w:t>
      </w:r>
      <w:r>
        <w:rPr>
          <w:rStyle w:val="FootnoteReference"/>
          <w:szCs w:val="22"/>
        </w:rPr>
        <w:footnoteReference w:id="5"/>
      </w:r>
      <w:r>
        <w:t xml:space="preserve">  </w:t>
      </w:r>
      <w:r w:rsidR="0028001F">
        <w:t>Lazer</w:t>
      </w:r>
      <w:r>
        <w:t xml:space="preserve"> requested the STA to allow the station to remain silent pending approval of construction plans by local authorities and execution of a long-term lease.  Subsequently, Lazer requested extension of its STA to remain silent, and that request was granted on April 4, 2013.</w:t>
      </w:r>
      <w:r>
        <w:rPr>
          <w:rStyle w:val="FootnoteReference"/>
          <w:szCs w:val="22"/>
        </w:rPr>
        <w:footnoteReference w:id="6"/>
      </w:r>
      <w:r>
        <w:t xml:space="preserve">  Lazer </w:t>
      </w:r>
      <w:r w:rsidR="00C66CE6">
        <w:t>has</w:t>
      </w:r>
      <w:r>
        <w:t xml:space="preserve"> operate</w:t>
      </w:r>
      <w:r w:rsidR="00C66CE6">
        <w:t>d</w:t>
      </w:r>
      <w:r>
        <w:t xml:space="preserve"> </w:t>
      </w:r>
      <w:r w:rsidR="00C66CE6">
        <w:t>the Station</w:t>
      </w:r>
      <w:r>
        <w:t xml:space="preserve"> </w:t>
      </w:r>
      <w:r w:rsidR="006E3F52">
        <w:t xml:space="preserve">from a different transmitter site </w:t>
      </w:r>
      <w:r>
        <w:t xml:space="preserve">pursuant to </w:t>
      </w:r>
      <w:r w:rsidR="00C66CE6">
        <w:t xml:space="preserve">an </w:t>
      </w:r>
      <w:r w:rsidR="00EE04E1">
        <w:t xml:space="preserve">engineering </w:t>
      </w:r>
      <w:r>
        <w:t xml:space="preserve">STA </w:t>
      </w:r>
      <w:r w:rsidR="0019649F">
        <w:t>since</w:t>
      </w:r>
      <w:r>
        <w:t xml:space="preserve"> </w:t>
      </w:r>
      <w:r w:rsidR="00742529">
        <w:t>June 10</w:t>
      </w:r>
      <w:r>
        <w:t>, 2013.</w:t>
      </w:r>
      <w:r>
        <w:rPr>
          <w:rStyle w:val="FootnoteReference"/>
          <w:szCs w:val="22"/>
        </w:rPr>
        <w:footnoteReference w:id="7"/>
      </w:r>
      <w:r w:rsidR="00C66CE6">
        <w:t xml:space="preserve">  </w:t>
      </w:r>
      <w:r w:rsidR="0028001F">
        <w:t xml:space="preserve">  </w:t>
      </w:r>
    </w:p>
    <w:p w:rsidR="00AF1CFD" w:rsidRPr="00AF1CFD" w:rsidRDefault="0054154B" w:rsidP="00512D1C">
      <w:pPr>
        <w:pStyle w:val="ParaNum"/>
      </w:pPr>
      <w:r>
        <w:t>Lazer filed the Application on April 11, 2013</w:t>
      </w:r>
      <w:r w:rsidR="00F56B3F">
        <w:t>.</w:t>
      </w:r>
      <w:r w:rsidRPr="004F346E">
        <w:t xml:space="preserve">  </w:t>
      </w:r>
      <w:r w:rsidR="00EE4CAE">
        <w:t xml:space="preserve">Lazer subsequently filed the Renewal Application on August 1, 2013.  </w:t>
      </w:r>
      <w:r w:rsidR="00EA59A2" w:rsidRPr="00E53672">
        <w:rPr>
          <w:szCs w:val="22"/>
        </w:rPr>
        <w:t>Mount Wilson object</w:t>
      </w:r>
      <w:r w:rsidR="001322B0" w:rsidRPr="00E53672">
        <w:rPr>
          <w:szCs w:val="22"/>
        </w:rPr>
        <w:t xml:space="preserve">s </w:t>
      </w:r>
      <w:r w:rsidR="00EA59A2" w:rsidRPr="00E53672">
        <w:rPr>
          <w:szCs w:val="22"/>
        </w:rPr>
        <w:t xml:space="preserve">to both the Application and the Renewal Application on the same grounds.  </w:t>
      </w:r>
      <w:r w:rsidRPr="00E53672">
        <w:rPr>
          <w:szCs w:val="22"/>
        </w:rPr>
        <w:t xml:space="preserve">Mount Wilson </w:t>
      </w:r>
      <w:r w:rsidR="00EE4CAE" w:rsidRPr="00E53672">
        <w:rPr>
          <w:szCs w:val="22"/>
        </w:rPr>
        <w:t>argues</w:t>
      </w:r>
      <w:r w:rsidR="00AF1CFD" w:rsidRPr="00E53672">
        <w:rPr>
          <w:szCs w:val="22"/>
        </w:rPr>
        <w:t xml:space="preserve"> that Lazer either failed to construct the</w:t>
      </w:r>
      <w:r w:rsidR="008613A7">
        <w:rPr>
          <w:szCs w:val="22"/>
        </w:rPr>
        <w:t xml:space="preserve"> Station in accordance with its </w:t>
      </w:r>
      <w:r w:rsidR="001322B0" w:rsidRPr="00E53672">
        <w:rPr>
          <w:szCs w:val="22"/>
        </w:rPr>
        <w:t xml:space="preserve">construction </w:t>
      </w:r>
      <w:r w:rsidR="00AF1CFD" w:rsidRPr="00E53672">
        <w:rPr>
          <w:szCs w:val="22"/>
        </w:rPr>
        <w:t xml:space="preserve">permit, or constructed only temporary facilities for the sole purpose of filing a license application just prior to expiration of the </w:t>
      </w:r>
      <w:r w:rsidR="001322B0" w:rsidRPr="00E53672">
        <w:rPr>
          <w:szCs w:val="22"/>
        </w:rPr>
        <w:t>Station’s permit</w:t>
      </w:r>
      <w:r w:rsidR="00AF1CFD" w:rsidRPr="00E53672">
        <w:rPr>
          <w:szCs w:val="22"/>
        </w:rPr>
        <w:t xml:space="preserve">.  </w:t>
      </w:r>
      <w:r w:rsidR="001322B0" w:rsidRPr="00E53672">
        <w:rPr>
          <w:szCs w:val="22"/>
        </w:rPr>
        <w:t xml:space="preserve">Mount Wilson contends that we should find that the Station’s construction permit expired on July 13, 2012.  This in turn, would necessitate revocation of the Station’s license and dismissal of the Application and the Renewal Application.  </w:t>
      </w:r>
      <w:r w:rsidR="00AF1CFD" w:rsidRPr="00E53672">
        <w:rPr>
          <w:szCs w:val="22"/>
        </w:rPr>
        <w:t xml:space="preserve">Mount Wilson </w:t>
      </w:r>
      <w:r w:rsidR="008613A7">
        <w:rPr>
          <w:szCs w:val="22"/>
        </w:rPr>
        <w:t xml:space="preserve">further </w:t>
      </w:r>
      <w:r w:rsidR="00AF1CFD" w:rsidRPr="00E53672">
        <w:rPr>
          <w:szCs w:val="22"/>
        </w:rPr>
        <w:t>urge</w:t>
      </w:r>
      <w:r w:rsidR="00EE4CAE" w:rsidRPr="00E53672">
        <w:rPr>
          <w:szCs w:val="22"/>
        </w:rPr>
        <w:t>s us</w:t>
      </w:r>
      <w:r w:rsidR="001322B0" w:rsidRPr="00E53672">
        <w:rPr>
          <w:szCs w:val="22"/>
        </w:rPr>
        <w:t xml:space="preserve"> to examine whether, given </w:t>
      </w:r>
      <w:r w:rsidR="008613A7">
        <w:rPr>
          <w:szCs w:val="22"/>
        </w:rPr>
        <w:t>Lazer’s</w:t>
      </w:r>
      <w:r w:rsidR="00EE4CAE" w:rsidRPr="00E53672">
        <w:rPr>
          <w:szCs w:val="22"/>
        </w:rPr>
        <w:t xml:space="preserve"> alleged</w:t>
      </w:r>
      <w:r w:rsidR="00AF1CFD" w:rsidRPr="00E53672">
        <w:rPr>
          <w:szCs w:val="22"/>
        </w:rPr>
        <w:t xml:space="preserve"> misrepresentations or lack of candor</w:t>
      </w:r>
      <w:r w:rsidR="001322B0" w:rsidRPr="00E53672">
        <w:rPr>
          <w:szCs w:val="22"/>
        </w:rPr>
        <w:t xml:space="preserve"> regarding the Station’s construction</w:t>
      </w:r>
      <w:r w:rsidR="00AF1CFD" w:rsidRPr="00E53672">
        <w:rPr>
          <w:szCs w:val="22"/>
        </w:rPr>
        <w:t xml:space="preserve">, Lazer </w:t>
      </w:r>
      <w:r w:rsidR="001322B0" w:rsidRPr="00E53672">
        <w:rPr>
          <w:szCs w:val="22"/>
        </w:rPr>
        <w:t>possesses</w:t>
      </w:r>
      <w:r w:rsidR="00AF1CFD" w:rsidRPr="00E53672">
        <w:rPr>
          <w:szCs w:val="22"/>
        </w:rPr>
        <w:t xml:space="preserve"> the character qualifications </w:t>
      </w:r>
      <w:r w:rsidR="00EE4CAE" w:rsidRPr="00E53672">
        <w:rPr>
          <w:szCs w:val="22"/>
        </w:rPr>
        <w:t>to be a Commission</w:t>
      </w:r>
      <w:r w:rsidR="00AF1CFD" w:rsidRPr="00E53672">
        <w:rPr>
          <w:szCs w:val="22"/>
        </w:rPr>
        <w:t xml:space="preserve"> licensee.  </w:t>
      </w:r>
    </w:p>
    <w:p w:rsidR="00E71371" w:rsidRDefault="009A2719" w:rsidP="009717A4">
      <w:pPr>
        <w:pStyle w:val="Heading1"/>
        <w:rPr>
          <w:snapToGrid/>
          <w:kern w:val="0"/>
        </w:rPr>
      </w:pPr>
      <w:r>
        <w:rPr>
          <w:snapToGrid/>
          <w:kern w:val="0"/>
        </w:rPr>
        <w:t>DISCUSSION</w:t>
      </w:r>
    </w:p>
    <w:p w:rsidR="00BD1C7B" w:rsidRDefault="00D77B0F" w:rsidP="00BD1C7B">
      <w:pPr>
        <w:pStyle w:val="Heading2"/>
      </w:pPr>
      <w:r>
        <w:t>Grant</w:t>
      </w:r>
      <w:r w:rsidR="00BD1C7B">
        <w:t xml:space="preserve"> of Station’s License</w:t>
      </w:r>
    </w:p>
    <w:p w:rsidR="00BD1C7B" w:rsidRPr="00BD1C7B" w:rsidRDefault="00905B31" w:rsidP="00BD1C7B">
      <w:pPr>
        <w:pStyle w:val="ParaNum"/>
      </w:pPr>
      <w:r>
        <w:rPr>
          <w:szCs w:val="22"/>
        </w:rPr>
        <w:t xml:space="preserve">In opposing the Application, </w:t>
      </w:r>
      <w:r w:rsidR="00510411">
        <w:rPr>
          <w:szCs w:val="22"/>
        </w:rPr>
        <w:t xml:space="preserve">Mount Wilson urges us to revoke </w:t>
      </w:r>
      <w:r w:rsidR="00BD1C7B" w:rsidRPr="00D43597">
        <w:rPr>
          <w:szCs w:val="22"/>
        </w:rPr>
        <w:t>the Station’s license</w:t>
      </w:r>
      <w:r w:rsidR="00510411">
        <w:rPr>
          <w:szCs w:val="22"/>
        </w:rPr>
        <w:t>.</w:t>
      </w:r>
      <w:r w:rsidR="00E06264">
        <w:rPr>
          <w:rStyle w:val="FootnoteReference"/>
          <w:szCs w:val="22"/>
        </w:rPr>
        <w:footnoteReference w:id="8"/>
      </w:r>
      <w:r w:rsidR="00510411">
        <w:rPr>
          <w:szCs w:val="22"/>
        </w:rPr>
        <w:t xml:space="preserve">  </w:t>
      </w:r>
      <w:r>
        <w:rPr>
          <w:szCs w:val="22"/>
        </w:rPr>
        <w:t>In so doing, Mount Wilson is</w:t>
      </w:r>
      <w:r w:rsidR="00EB1C08">
        <w:rPr>
          <w:szCs w:val="22"/>
        </w:rPr>
        <w:t xml:space="preserve"> indirectly challeng</w:t>
      </w:r>
      <w:r w:rsidR="006E3F52">
        <w:rPr>
          <w:szCs w:val="22"/>
        </w:rPr>
        <w:t>ing</w:t>
      </w:r>
      <w:r w:rsidR="00510411">
        <w:rPr>
          <w:szCs w:val="22"/>
        </w:rPr>
        <w:t xml:space="preserve"> our grant of the </w:t>
      </w:r>
      <w:r w:rsidR="006E3F52">
        <w:rPr>
          <w:szCs w:val="22"/>
        </w:rPr>
        <w:t>Initial</w:t>
      </w:r>
      <w:r w:rsidR="00510411">
        <w:rPr>
          <w:szCs w:val="22"/>
        </w:rPr>
        <w:t xml:space="preserve"> </w:t>
      </w:r>
      <w:r w:rsidR="006E3F52">
        <w:rPr>
          <w:szCs w:val="22"/>
        </w:rPr>
        <w:t>L</w:t>
      </w:r>
      <w:r w:rsidR="00510411">
        <w:rPr>
          <w:szCs w:val="22"/>
        </w:rPr>
        <w:t>icense</w:t>
      </w:r>
      <w:r w:rsidR="00BD1C7B" w:rsidRPr="00D43597">
        <w:rPr>
          <w:szCs w:val="22"/>
        </w:rPr>
        <w:t>.</w:t>
      </w:r>
      <w:r w:rsidR="00BD1C7B">
        <w:rPr>
          <w:rStyle w:val="FootnoteReference"/>
          <w:szCs w:val="22"/>
        </w:rPr>
        <w:footnoteReference w:id="9"/>
      </w:r>
      <w:r w:rsidR="00BD1C7B" w:rsidRPr="00D43597">
        <w:rPr>
          <w:szCs w:val="22"/>
        </w:rPr>
        <w:t xml:space="preserve">  </w:t>
      </w:r>
      <w:r w:rsidR="00EB1C08">
        <w:rPr>
          <w:szCs w:val="22"/>
        </w:rPr>
        <w:t>The deadline for filing a petition for reconsideration of that grant</w:t>
      </w:r>
      <w:r w:rsidR="004772A5">
        <w:rPr>
          <w:szCs w:val="22"/>
        </w:rPr>
        <w:t>, however,</w:t>
      </w:r>
      <w:r w:rsidR="00EB1C08">
        <w:rPr>
          <w:szCs w:val="22"/>
        </w:rPr>
        <w:t xml:space="preserve"> expired well before Mount Wilson filed the Minor Change Objection.  Because the time period for filing petitions for reconsideration is prescribed by </w:t>
      </w:r>
      <w:r w:rsidR="00CF2D76">
        <w:rPr>
          <w:szCs w:val="22"/>
        </w:rPr>
        <w:t>statute</w:t>
      </w:r>
      <w:r w:rsidR="00EB1C08">
        <w:rPr>
          <w:szCs w:val="22"/>
        </w:rPr>
        <w:t>,</w:t>
      </w:r>
      <w:r w:rsidR="00BD1C7B">
        <w:rPr>
          <w:rStyle w:val="FootnoteReference"/>
          <w:szCs w:val="22"/>
        </w:rPr>
        <w:footnoteReference w:id="10"/>
      </w:r>
      <w:r w:rsidR="00BD1C7B" w:rsidRPr="00D43597">
        <w:rPr>
          <w:szCs w:val="22"/>
        </w:rPr>
        <w:t xml:space="preserve"> </w:t>
      </w:r>
      <w:r w:rsidR="00B366AA">
        <w:rPr>
          <w:szCs w:val="22"/>
        </w:rPr>
        <w:t xml:space="preserve">the Commission may not – </w:t>
      </w:r>
      <w:r w:rsidR="00CF2D76">
        <w:rPr>
          <w:szCs w:val="22"/>
        </w:rPr>
        <w:t>with one extremely narrow exception not applicable here</w:t>
      </w:r>
      <w:r w:rsidR="00B366AA">
        <w:rPr>
          <w:szCs w:val="22"/>
        </w:rPr>
        <w:t xml:space="preserve"> –</w:t>
      </w:r>
      <w:r w:rsidR="00CF2D76">
        <w:rPr>
          <w:szCs w:val="22"/>
        </w:rPr>
        <w:t xml:space="preserve"> waive or extend the </w:t>
      </w:r>
      <w:r w:rsidR="00B366AA">
        <w:rPr>
          <w:szCs w:val="22"/>
        </w:rPr>
        <w:t>filing</w:t>
      </w:r>
      <w:r w:rsidR="00CF2D76">
        <w:rPr>
          <w:szCs w:val="22"/>
        </w:rPr>
        <w:t xml:space="preserve"> period.</w:t>
      </w:r>
      <w:r w:rsidR="00CF2D76">
        <w:rPr>
          <w:rStyle w:val="FootnoteReference"/>
          <w:szCs w:val="22"/>
        </w:rPr>
        <w:footnoteReference w:id="11"/>
      </w:r>
      <w:r w:rsidR="00CF2D76">
        <w:rPr>
          <w:szCs w:val="22"/>
        </w:rPr>
        <w:t xml:space="preserve">  </w:t>
      </w:r>
      <w:r w:rsidR="00BD1C7B" w:rsidRPr="00D43597">
        <w:rPr>
          <w:szCs w:val="22"/>
        </w:rPr>
        <w:t xml:space="preserve"> </w:t>
      </w:r>
      <w:r w:rsidR="00CF2D76">
        <w:rPr>
          <w:szCs w:val="22"/>
        </w:rPr>
        <w:t xml:space="preserve">We find, as the Commission has, </w:t>
      </w:r>
      <w:r w:rsidR="00D77B0F" w:rsidRPr="0079682B">
        <w:rPr>
          <w:szCs w:val="22"/>
        </w:rPr>
        <w:t xml:space="preserve">that indirect </w:t>
      </w:r>
      <w:r w:rsidR="00D77B0F" w:rsidRPr="0079682B">
        <w:rPr>
          <w:rStyle w:val="term1"/>
          <w:b w:val="0"/>
          <w:szCs w:val="22"/>
        </w:rPr>
        <w:t>challenges</w:t>
      </w:r>
      <w:r w:rsidR="00D77B0F" w:rsidRPr="0079682B">
        <w:rPr>
          <w:szCs w:val="22"/>
        </w:rPr>
        <w:t xml:space="preserve"> to decisions that </w:t>
      </w:r>
      <w:r w:rsidR="00D77B0F" w:rsidRPr="0079682B">
        <w:rPr>
          <w:szCs w:val="22"/>
        </w:rPr>
        <w:lastRenderedPageBreak/>
        <w:t xml:space="preserve">were adopted in proceedings in which the right to review has expired are considered impermissible </w:t>
      </w:r>
      <w:r w:rsidR="00D77B0F" w:rsidRPr="0079682B">
        <w:rPr>
          <w:rStyle w:val="term1"/>
          <w:b w:val="0"/>
          <w:szCs w:val="22"/>
        </w:rPr>
        <w:t>collateral</w:t>
      </w:r>
      <w:r w:rsidR="00D77B0F" w:rsidRPr="0079682B">
        <w:rPr>
          <w:szCs w:val="22"/>
        </w:rPr>
        <w:t xml:space="preserve"> attacks and are properly denied.</w:t>
      </w:r>
      <w:r w:rsidR="00D77B0F" w:rsidRPr="0079682B">
        <w:rPr>
          <w:rStyle w:val="FootnoteReference"/>
          <w:sz w:val="22"/>
          <w:szCs w:val="22"/>
        </w:rPr>
        <w:footnoteReference w:id="12"/>
      </w:r>
      <w:r w:rsidR="00D77B0F" w:rsidRPr="0079682B">
        <w:rPr>
          <w:szCs w:val="22"/>
        </w:rPr>
        <w:t xml:space="preserve"> </w:t>
      </w:r>
      <w:r w:rsidR="0079682B">
        <w:rPr>
          <w:szCs w:val="22"/>
        </w:rPr>
        <w:t xml:space="preserve"> </w:t>
      </w:r>
      <w:r w:rsidR="00BD1C7B" w:rsidRPr="00D43597">
        <w:rPr>
          <w:szCs w:val="22"/>
        </w:rPr>
        <w:t xml:space="preserve">Accordingly, </w:t>
      </w:r>
      <w:r w:rsidR="00BD1C7B">
        <w:rPr>
          <w:szCs w:val="22"/>
        </w:rPr>
        <w:t xml:space="preserve">we will not consider </w:t>
      </w:r>
      <w:r w:rsidR="00BD1C7B" w:rsidRPr="00D43597">
        <w:rPr>
          <w:szCs w:val="22"/>
        </w:rPr>
        <w:t xml:space="preserve">Mount Wilson’s </w:t>
      </w:r>
      <w:r w:rsidR="00CF2D76">
        <w:rPr>
          <w:szCs w:val="22"/>
        </w:rPr>
        <w:t xml:space="preserve">arguments related to </w:t>
      </w:r>
      <w:r w:rsidR="00BD1C7B" w:rsidRPr="00D43597">
        <w:rPr>
          <w:szCs w:val="22"/>
        </w:rPr>
        <w:t xml:space="preserve">revocation of </w:t>
      </w:r>
      <w:r w:rsidR="00D77B0F">
        <w:rPr>
          <w:szCs w:val="22"/>
        </w:rPr>
        <w:t>the Station’s license</w:t>
      </w:r>
      <w:r w:rsidR="00BD1C7B" w:rsidRPr="00D43597">
        <w:rPr>
          <w:szCs w:val="22"/>
        </w:rPr>
        <w:t xml:space="preserve">.  </w:t>
      </w:r>
    </w:p>
    <w:p w:rsidR="00BD1C7B" w:rsidRPr="00BD1C7B" w:rsidRDefault="00AB2E02" w:rsidP="00BD1C7B">
      <w:pPr>
        <w:pStyle w:val="Heading2"/>
      </w:pPr>
      <w:r w:rsidRPr="00BD1C7B">
        <w:t xml:space="preserve">Character Qualifications  </w:t>
      </w:r>
    </w:p>
    <w:p w:rsidR="0096650A" w:rsidRPr="00C31766" w:rsidRDefault="0096650A" w:rsidP="0096650A">
      <w:pPr>
        <w:pStyle w:val="ParaNum"/>
        <w:rPr>
          <w:i/>
        </w:rPr>
      </w:pPr>
      <w:r w:rsidRPr="00C44745">
        <w:t>The Commission and the courts have r</w:t>
      </w:r>
      <w:r>
        <w:t>ecognized that “</w:t>
      </w:r>
      <w:r w:rsidRPr="00C44745">
        <w:t>[t]he FCC relies heavily on the honesty and probity of its licensees in a regulatory system that is largely self-policing.</w:t>
      </w:r>
      <w:r>
        <w:t>”</w:t>
      </w:r>
      <w:r w:rsidRPr="00C44745">
        <w:rPr>
          <w:rStyle w:val="FootnoteReference"/>
          <w:szCs w:val="22"/>
        </w:rPr>
        <w:footnoteReference w:id="13"/>
      </w:r>
      <w:r w:rsidR="008C5A50">
        <w:t xml:space="preserve">  </w:t>
      </w:r>
      <w:r w:rsidRPr="00C44745">
        <w:t>Misrepresentation and lack of candor raise immediate concerns as to whether a licensee will be truthful in futur</w:t>
      </w:r>
      <w:r>
        <w:t>e dealings with the Commission.</w:t>
      </w:r>
      <w:r w:rsidRPr="00C44745">
        <w:rPr>
          <w:rStyle w:val="FootnoteReference"/>
          <w:szCs w:val="22"/>
        </w:rPr>
        <w:footnoteReference w:id="14"/>
      </w:r>
      <w:r w:rsidR="00C31766">
        <w:t xml:space="preserve">  </w:t>
      </w:r>
      <w:r w:rsidR="00126D1A" w:rsidRPr="00C31766">
        <w:rPr>
          <w:szCs w:val="22"/>
        </w:rPr>
        <w:t xml:space="preserve">Mount Wilson asserts that Lazer either made misrepresentations to the Commission </w:t>
      </w:r>
      <w:r w:rsidR="008C5A50">
        <w:rPr>
          <w:szCs w:val="22"/>
        </w:rPr>
        <w:t xml:space="preserve">regarding its construction of the Station </w:t>
      </w:r>
      <w:r w:rsidR="00126D1A" w:rsidRPr="00C31766">
        <w:rPr>
          <w:szCs w:val="22"/>
        </w:rPr>
        <w:t>in its application</w:t>
      </w:r>
      <w:r w:rsidR="00E06264">
        <w:rPr>
          <w:szCs w:val="22"/>
        </w:rPr>
        <w:t xml:space="preserve"> for </w:t>
      </w:r>
      <w:r w:rsidR="006E3F52">
        <w:rPr>
          <w:szCs w:val="22"/>
        </w:rPr>
        <w:t xml:space="preserve">its initial </w:t>
      </w:r>
      <w:r w:rsidR="00E06264">
        <w:rPr>
          <w:szCs w:val="22"/>
        </w:rPr>
        <w:t>license</w:t>
      </w:r>
      <w:r w:rsidR="008C5A50">
        <w:rPr>
          <w:szCs w:val="22"/>
        </w:rPr>
        <w:t xml:space="preserve"> or</w:t>
      </w:r>
      <w:r w:rsidR="00126D1A" w:rsidRPr="00C31766">
        <w:rPr>
          <w:szCs w:val="22"/>
        </w:rPr>
        <w:t xml:space="preserve"> lacked candor in its dealings with the Commission regarding </w:t>
      </w:r>
      <w:r w:rsidR="008C5A50">
        <w:rPr>
          <w:szCs w:val="22"/>
        </w:rPr>
        <w:t>that application</w:t>
      </w:r>
      <w:r w:rsidR="00126D1A" w:rsidRPr="00C31766">
        <w:rPr>
          <w:szCs w:val="22"/>
        </w:rPr>
        <w:t xml:space="preserve">.  </w:t>
      </w:r>
      <w:r w:rsidR="00A90CBC">
        <w:rPr>
          <w:szCs w:val="22"/>
        </w:rPr>
        <w:t>Because Lazer’s character qualifications are relevant to our consideration of the Application and the Renewal Application,</w:t>
      </w:r>
      <w:r w:rsidR="00133DD0">
        <w:rPr>
          <w:rStyle w:val="FootnoteReference"/>
          <w:szCs w:val="22"/>
        </w:rPr>
        <w:footnoteReference w:id="15"/>
      </w:r>
      <w:r w:rsidR="00A90CBC">
        <w:rPr>
          <w:szCs w:val="22"/>
        </w:rPr>
        <w:t xml:space="preserve"> w</w:t>
      </w:r>
      <w:r w:rsidR="00126D1A" w:rsidRPr="00C31766">
        <w:rPr>
          <w:szCs w:val="22"/>
        </w:rPr>
        <w:t xml:space="preserve">e consider each of these allegations in turn.     </w:t>
      </w:r>
    </w:p>
    <w:p w:rsidR="00130819" w:rsidRDefault="00126D1A" w:rsidP="00D43597">
      <w:pPr>
        <w:pStyle w:val="ParaNum"/>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suppressAutoHyphens/>
        <w:ind w:right="-90"/>
        <w:rPr>
          <w:szCs w:val="22"/>
        </w:rPr>
      </w:pPr>
      <w:r>
        <w:rPr>
          <w:i/>
          <w:szCs w:val="22"/>
        </w:rPr>
        <w:t>Misrepresentation</w:t>
      </w:r>
      <w:r w:rsidR="00BE5F84">
        <w:rPr>
          <w:szCs w:val="22"/>
        </w:rPr>
        <w:t>.</w:t>
      </w:r>
      <w:r w:rsidR="00C90389" w:rsidRPr="00C44745">
        <w:rPr>
          <w:rStyle w:val="FootnoteReference"/>
          <w:szCs w:val="22"/>
        </w:rPr>
        <w:footnoteReference w:id="16"/>
      </w:r>
      <w:r>
        <w:rPr>
          <w:i/>
          <w:szCs w:val="22"/>
        </w:rPr>
        <w:t xml:space="preserve">  </w:t>
      </w:r>
      <w:r>
        <w:rPr>
          <w:szCs w:val="22"/>
        </w:rPr>
        <w:t xml:space="preserve">Mount Wilson </w:t>
      </w:r>
      <w:r w:rsidR="00D43597" w:rsidRPr="00D43597">
        <w:rPr>
          <w:szCs w:val="22"/>
        </w:rPr>
        <w:t xml:space="preserve">questions whether </w:t>
      </w:r>
      <w:r>
        <w:rPr>
          <w:szCs w:val="22"/>
        </w:rPr>
        <w:t xml:space="preserve">Lazer constructed </w:t>
      </w:r>
      <w:r w:rsidR="00D43597">
        <w:rPr>
          <w:szCs w:val="22"/>
        </w:rPr>
        <w:t>the Station</w:t>
      </w:r>
      <w:r>
        <w:rPr>
          <w:szCs w:val="22"/>
        </w:rPr>
        <w:t xml:space="preserve"> at the</w:t>
      </w:r>
      <w:r w:rsidR="00D43597" w:rsidRPr="00D43597">
        <w:rPr>
          <w:szCs w:val="22"/>
        </w:rPr>
        <w:t xml:space="preserve"> coordinates</w:t>
      </w:r>
      <w:r>
        <w:rPr>
          <w:szCs w:val="22"/>
        </w:rPr>
        <w:t xml:space="preserve"> specified in the </w:t>
      </w:r>
      <w:r w:rsidR="006E3F52">
        <w:rPr>
          <w:szCs w:val="22"/>
        </w:rPr>
        <w:t>Initial CP</w:t>
      </w:r>
      <w:r w:rsidR="009701E5">
        <w:rPr>
          <w:szCs w:val="22"/>
        </w:rPr>
        <w:t>.</w:t>
      </w:r>
      <w:r w:rsidR="00D43597">
        <w:rPr>
          <w:rStyle w:val="FootnoteReference"/>
          <w:szCs w:val="22"/>
        </w:rPr>
        <w:footnoteReference w:id="17"/>
      </w:r>
      <w:r w:rsidR="00D43597" w:rsidRPr="00D43597">
        <w:rPr>
          <w:szCs w:val="22"/>
        </w:rPr>
        <w:t xml:space="preserve">  </w:t>
      </w:r>
      <w:r>
        <w:rPr>
          <w:szCs w:val="22"/>
        </w:rPr>
        <w:t>Mount Wilson suggests that Lazer did not and thus made misrepresentations to the Commission when it certified that it had done so.</w:t>
      </w:r>
      <w:r w:rsidR="000058B8">
        <w:rPr>
          <w:rStyle w:val="FootnoteReference"/>
          <w:szCs w:val="22"/>
        </w:rPr>
        <w:footnoteReference w:id="18"/>
      </w:r>
      <w:r w:rsidR="009701E5">
        <w:rPr>
          <w:szCs w:val="22"/>
        </w:rPr>
        <w:t xml:space="preserve"> </w:t>
      </w:r>
      <w:r w:rsidR="009701E5" w:rsidRPr="009701E5">
        <w:rPr>
          <w:rStyle w:val="FootnoteReference"/>
          <w:szCs w:val="22"/>
        </w:rPr>
        <w:t xml:space="preserve"> </w:t>
      </w:r>
      <w:r>
        <w:rPr>
          <w:szCs w:val="22"/>
        </w:rPr>
        <w:t>In support of this argument, Mount Wilson submits a Google Map photograph of the site authorized in the Station’</w:t>
      </w:r>
      <w:r w:rsidR="00130819">
        <w:rPr>
          <w:szCs w:val="22"/>
        </w:rPr>
        <w:t>s permit</w:t>
      </w:r>
      <w:r>
        <w:rPr>
          <w:szCs w:val="22"/>
        </w:rPr>
        <w:t>.</w:t>
      </w:r>
      <w:r w:rsidR="000058B8">
        <w:rPr>
          <w:rStyle w:val="FootnoteReference"/>
          <w:szCs w:val="22"/>
        </w:rPr>
        <w:footnoteReference w:id="19"/>
      </w:r>
      <w:r w:rsidR="00130819">
        <w:rPr>
          <w:szCs w:val="22"/>
        </w:rPr>
        <w:t xml:space="preserve">  No antenna structure or other physical facilities are visible in the photograph.</w:t>
      </w:r>
      <w:r>
        <w:rPr>
          <w:szCs w:val="22"/>
        </w:rPr>
        <w:t xml:space="preserve">  </w:t>
      </w:r>
    </w:p>
    <w:p w:rsidR="00130819" w:rsidRDefault="00130819" w:rsidP="006665F5">
      <w:pPr>
        <w:pStyle w:val="ParaNum"/>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suppressAutoHyphens/>
        <w:ind w:right="-86"/>
        <w:rPr>
          <w:szCs w:val="22"/>
        </w:rPr>
      </w:pPr>
      <w:r>
        <w:rPr>
          <w:szCs w:val="22"/>
        </w:rPr>
        <w:t>Lazer notes, though,</w:t>
      </w:r>
      <w:r w:rsidR="00D43597" w:rsidRPr="00D43597">
        <w:rPr>
          <w:szCs w:val="22"/>
        </w:rPr>
        <w:t xml:space="preserve"> </w:t>
      </w:r>
      <w:r w:rsidR="00766380">
        <w:rPr>
          <w:szCs w:val="22"/>
        </w:rPr>
        <w:t xml:space="preserve">that </w:t>
      </w:r>
      <w:r>
        <w:rPr>
          <w:szCs w:val="22"/>
        </w:rPr>
        <w:t xml:space="preserve">the photograph submitted by Mount Wilson </w:t>
      </w:r>
      <w:r w:rsidR="00D43597" w:rsidRPr="00D43597">
        <w:rPr>
          <w:szCs w:val="22"/>
        </w:rPr>
        <w:t xml:space="preserve">was taken on May 5, 2012, more than two months before Lazer constructed </w:t>
      </w:r>
      <w:r>
        <w:rPr>
          <w:szCs w:val="22"/>
        </w:rPr>
        <w:t>the Station</w:t>
      </w:r>
      <w:r w:rsidR="00D43597" w:rsidRPr="00D43597">
        <w:rPr>
          <w:szCs w:val="22"/>
        </w:rPr>
        <w:t xml:space="preserve"> and filed its </w:t>
      </w:r>
      <w:r w:rsidR="006E3F52">
        <w:rPr>
          <w:szCs w:val="22"/>
        </w:rPr>
        <w:t xml:space="preserve">initial </w:t>
      </w:r>
      <w:r w:rsidR="00D43597" w:rsidRPr="00D43597">
        <w:rPr>
          <w:szCs w:val="22"/>
        </w:rPr>
        <w:t>license application.</w:t>
      </w:r>
      <w:r>
        <w:rPr>
          <w:rStyle w:val="FootnoteReference"/>
          <w:szCs w:val="22"/>
        </w:rPr>
        <w:footnoteReference w:id="20"/>
      </w:r>
      <w:r w:rsidR="00D43597" w:rsidRPr="00D43597">
        <w:rPr>
          <w:szCs w:val="22"/>
        </w:rPr>
        <w:t xml:space="preserve">  </w:t>
      </w:r>
      <w:r w:rsidR="002239FE">
        <w:rPr>
          <w:szCs w:val="22"/>
        </w:rPr>
        <w:t xml:space="preserve">Lazer argues that </w:t>
      </w:r>
      <w:r w:rsidR="00D43597" w:rsidRPr="00D43597">
        <w:rPr>
          <w:szCs w:val="22"/>
        </w:rPr>
        <w:t xml:space="preserve">it </w:t>
      </w:r>
      <w:r w:rsidR="002239FE">
        <w:rPr>
          <w:szCs w:val="22"/>
        </w:rPr>
        <w:t xml:space="preserve">thus </w:t>
      </w:r>
      <w:r w:rsidR="00D43597" w:rsidRPr="00D43597">
        <w:rPr>
          <w:szCs w:val="22"/>
        </w:rPr>
        <w:t xml:space="preserve">is not surprising that </w:t>
      </w:r>
      <w:r>
        <w:rPr>
          <w:szCs w:val="22"/>
        </w:rPr>
        <w:t>the Station’s</w:t>
      </w:r>
      <w:r w:rsidR="00D43597" w:rsidRPr="00D43597">
        <w:rPr>
          <w:szCs w:val="22"/>
        </w:rPr>
        <w:t xml:space="preserve"> transmitter does not appear in the photographs.</w:t>
      </w:r>
      <w:r w:rsidR="002239FE">
        <w:rPr>
          <w:rStyle w:val="FootnoteReference"/>
          <w:szCs w:val="22"/>
        </w:rPr>
        <w:footnoteReference w:id="21"/>
      </w:r>
      <w:r w:rsidR="00D43597" w:rsidRPr="00D43597">
        <w:rPr>
          <w:szCs w:val="22"/>
        </w:rPr>
        <w:t xml:space="preserve">  In addition, Lazer supplies a sworn declaration of its Corporate Chief Engineer, Lloyd M. Moss</w:t>
      </w:r>
      <w:r>
        <w:rPr>
          <w:szCs w:val="22"/>
        </w:rPr>
        <w:t xml:space="preserve"> (“Moss”)</w:t>
      </w:r>
      <w:r w:rsidR="00D43597" w:rsidRPr="00D43597">
        <w:rPr>
          <w:szCs w:val="22"/>
        </w:rPr>
        <w:t xml:space="preserve">, who states that he was present for the timely construction of the </w:t>
      </w:r>
      <w:r>
        <w:rPr>
          <w:szCs w:val="22"/>
        </w:rPr>
        <w:t>Station’s</w:t>
      </w:r>
      <w:r w:rsidR="00D43597" w:rsidRPr="00D43597">
        <w:rPr>
          <w:szCs w:val="22"/>
        </w:rPr>
        <w:t xml:space="preserve"> facilities</w:t>
      </w:r>
      <w:r>
        <w:rPr>
          <w:szCs w:val="22"/>
        </w:rPr>
        <w:t>.</w:t>
      </w:r>
      <w:r w:rsidR="00766380">
        <w:rPr>
          <w:rStyle w:val="FootnoteReference"/>
          <w:szCs w:val="22"/>
        </w:rPr>
        <w:footnoteReference w:id="22"/>
      </w:r>
      <w:r>
        <w:rPr>
          <w:szCs w:val="22"/>
        </w:rPr>
        <w:t xml:space="preserve">  Lazer also submits</w:t>
      </w:r>
      <w:r w:rsidR="00D43597" w:rsidRPr="00D43597">
        <w:rPr>
          <w:szCs w:val="22"/>
        </w:rPr>
        <w:t xml:space="preserve"> photographs </w:t>
      </w:r>
      <w:r>
        <w:rPr>
          <w:szCs w:val="22"/>
        </w:rPr>
        <w:t>of the constructed Station</w:t>
      </w:r>
      <w:r w:rsidR="00D43597" w:rsidRPr="00BD7CC6">
        <w:rPr>
          <w:rStyle w:val="FootnoteReference"/>
          <w:szCs w:val="22"/>
        </w:rPr>
        <w:footnoteReference w:id="23"/>
      </w:r>
      <w:r>
        <w:rPr>
          <w:szCs w:val="22"/>
        </w:rPr>
        <w:t xml:space="preserve"> and</w:t>
      </w:r>
      <w:r w:rsidR="00D43597" w:rsidRPr="00D43597">
        <w:rPr>
          <w:szCs w:val="22"/>
        </w:rPr>
        <w:t xml:space="preserve"> a copy of a short-team lease for property centered on the geographic coordinates specified in the </w:t>
      </w:r>
      <w:r w:rsidR="006E3F52">
        <w:rPr>
          <w:szCs w:val="22"/>
        </w:rPr>
        <w:t>Initial CP</w:t>
      </w:r>
      <w:r w:rsidR="00D43597" w:rsidRPr="00D43597">
        <w:rPr>
          <w:szCs w:val="22"/>
        </w:rPr>
        <w:t>.</w:t>
      </w:r>
      <w:r w:rsidR="00D43597">
        <w:rPr>
          <w:rStyle w:val="FootnoteReference"/>
          <w:szCs w:val="22"/>
        </w:rPr>
        <w:footnoteReference w:id="24"/>
      </w:r>
      <w:r w:rsidR="00D43597" w:rsidRPr="00D43597">
        <w:rPr>
          <w:szCs w:val="22"/>
        </w:rPr>
        <w:t xml:space="preserve">  </w:t>
      </w:r>
    </w:p>
    <w:p w:rsidR="00130819" w:rsidRDefault="00130819" w:rsidP="00D43597">
      <w:pPr>
        <w:pStyle w:val="ParaNum"/>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suppressAutoHyphens/>
        <w:ind w:right="-90"/>
        <w:rPr>
          <w:szCs w:val="22"/>
        </w:rPr>
      </w:pPr>
      <w:r>
        <w:rPr>
          <w:szCs w:val="22"/>
        </w:rPr>
        <w:t>Despite this</w:t>
      </w:r>
      <w:r w:rsidR="00BE5F84">
        <w:rPr>
          <w:szCs w:val="22"/>
        </w:rPr>
        <w:t xml:space="preserve"> </w:t>
      </w:r>
      <w:r>
        <w:rPr>
          <w:szCs w:val="22"/>
        </w:rPr>
        <w:t xml:space="preserve">evidence, Mount Wilson </w:t>
      </w:r>
      <w:r w:rsidR="00BE5F84">
        <w:rPr>
          <w:szCs w:val="22"/>
        </w:rPr>
        <w:t>continues to</w:t>
      </w:r>
      <w:r>
        <w:rPr>
          <w:szCs w:val="22"/>
        </w:rPr>
        <w:t xml:space="preserve"> claim that Lazer failed to construct the Station at the coordinates authorized in the Station’s permit.  It notes that the photographs submitted by Lazer do not include any landmarks or other information that would allow verification that the Station was constructed at its authorized coordinates.</w:t>
      </w:r>
      <w:r w:rsidR="00AC34EB">
        <w:rPr>
          <w:rStyle w:val="FootnoteReference"/>
          <w:szCs w:val="22"/>
        </w:rPr>
        <w:footnoteReference w:id="25"/>
      </w:r>
      <w:r>
        <w:rPr>
          <w:szCs w:val="22"/>
        </w:rPr>
        <w:t xml:space="preserve">  Mount Wilson </w:t>
      </w:r>
      <w:r w:rsidR="00BE5F84">
        <w:rPr>
          <w:szCs w:val="22"/>
        </w:rPr>
        <w:t xml:space="preserve">also </w:t>
      </w:r>
      <w:r>
        <w:rPr>
          <w:szCs w:val="22"/>
        </w:rPr>
        <w:t xml:space="preserve">states that its </w:t>
      </w:r>
      <w:r w:rsidRPr="00130819">
        <w:t>employee</w:t>
      </w:r>
      <w:r w:rsidR="00BE5F84">
        <w:t xml:space="preserve"> </w:t>
      </w:r>
      <w:r w:rsidRPr="00130819">
        <w:t>visited the specified reference coordinates on August 3, 2013, and that he “discovered the installation would have been in the middle of a drive way to a home.  Very close to the home.”</w:t>
      </w:r>
      <w:r w:rsidR="00863314" w:rsidRPr="00863314">
        <w:rPr>
          <w:rStyle w:val="FootnoteReference"/>
        </w:rPr>
        <w:t xml:space="preserve"> </w:t>
      </w:r>
      <w:r w:rsidR="00863314">
        <w:rPr>
          <w:rStyle w:val="FootnoteReference"/>
        </w:rPr>
        <w:footnoteReference w:id="26"/>
      </w:r>
      <w:r w:rsidRPr="00130819">
        <w:rPr>
          <w:i/>
        </w:rPr>
        <w:t xml:space="preserve">  </w:t>
      </w:r>
      <w:r>
        <w:rPr>
          <w:szCs w:val="22"/>
        </w:rPr>
        <w:t xml:space="preserve">Given this, Mount Wilson argues it is “beyond reason” to believe that Lazer constructed at </w:t>
      </w:r>
      <w:r w:rsidR="007B07B4">
        <w:rPr>
          <w:szCs w:val="22"/>
        </w:rPr>
        <w:t xml:space="preserve">the location specified in the </w:t>
      </w:r>
      <w:r w:rsidR="006E3F52">
        <w:rPr>
          <w:szCs w:val="22"/>
        </w:rPr>
        <w:t>Initial CP</w:t>
      </w:r>
      <w:r>
        <w:rPr>
          <w:szCs w:val="22"/>
        </w:rPr>
        <w:t>.</w:t>
      </w:r>
      <w:r w:rsidR="00863314">
        <w:rPr>
          <w:rStyle w:val="FootnoteReference"/>
          <w:szCs w:val="22"/>
        </w:rPr>
        <w:footnoteReference w:id="27"/>
      </w:r>
      <w:r>
        <w:rPr>
          <w:szCs w:val="22"/>
        </w:rPr>
        <w:t xml:space="preserve">  </w:t>
      </w:r>
    </w:p>
    <w:p w:rsidR="00D43597" w:rsidRDefault="00130819" w:rsidP="00D43597">
      <w:pPr>
        <w:pStyle w:val="ParaNum"/>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suppressAutoHyphens/>
        <w:ind w:right="-90"/>
        <w:rPr>
          <w:szCs w:val="22"/>
        </w:rPr>
      </w:pPr>
      <w:r>
        <w:rPr>
          <w:szCs w:val="22"/>
        </w:rPr>
        <w:t xml:space="preserve">Lazer submitted a second sworn declaration from </w:t>
      </w:r>
      <w:r w:rsidR="00D43597" w:rsidRPr="00D43597">
        <w:rPr>
          <w:szCs w:val="22"/>
        </w:rPr>
        <w:t>Moss</w:t>
      </w:r>
      <w:r w:rsidR="002239FE">
        <w:rPr>
          <w:szCs w:val="22"/>
        </w:rPr>
        <w:t xml:space="preserve"> in response to a Commission staff request</w:t>
      </w:r>
      <w:r>
        <w:rPr>
          <w:szCs w:val="22"/>
        </w:rPr>
        <w:t>.  Moss</w:t>
      </w:r>
      <w:r w:rsidR="00D43597" w:rsidRPr="00D43597">
        <w:rPr>
          <w:szCs w:val="22"/>
        </w:rPr>
        <w:t xml:space="preserve"> states that he personally verified the reference coordinates of the facilities and supervised construction at the reference coordinates specified in </w:t>
      </w:r>
      <w:r>
        <w:rPr>
          <w:szCs w:val="22"/>
        </w:rPr>
        <w:t>the Station’s</w:t>
      </w:r>
      <w:r w:rsidR="00D43597" w:rsidRPr="00D43597">
        <w:rPr>
          <w:szCs w:val="22"/>
        </w:rPr>
        <w:t xml:space="preserve"> permit.</w:t>
      </w:r>
      <w:r w:rsidR="00FA231F">
        <w:rPr>
          <w:rStyle w:val="FootnoteReference"/>
          <w:szCs w:val="22"/>
        </w:rPr>
        <w:footnoteReference w:id="28"/>
      </w:r>
      <w:r w:rsidR="00D43597" w:rsidRPr="00D43597">
        <w:rPr>
          <w:szCs w:val="22"/>
        </w:rPr>
        <w:t xml:space="preserve">  </w:t>
      </w:r>
      <w:r w:rsidR="00BA6111">
        <w:rPr>
          <w:szCs w:val="22"/>
        </w:rPr>
        <w:t xml:space="preserve">Moss also confirms that the facilities featured in the photographs submitted by Lazer were constructed at the coordinates specified in the </w:t>
      </w:r>
      <w:r w:rsidR="006E3F52">
        <w:rPr>
          <w:szCs w:val="22"/>
        </w:rPr>
        <w:t>Initial CP</w:t>
      </w:r>
      <w:r w:rsidR="00BA6111">
        <w:rPr>
          <w:szCs w:val="22"/>
        </w:rPr>
        <w:t>.</w:t>
      </w:r>
      <w:r w:rsidR="00FA231F">
        <w:rPr>
          <w:rStyle w:val="FootnoteReference"/>
          <w:szCs w:val="22"/>
        </w:rPr>
        <w:footnoteReference w:id="29"/>
      </w:r>
      <w:r w:rsidR="00BA6111">
        <w:rPr>
          <w:szCs w:val="22"/>
        </w:rPr>
        <w:t xml:space="preserve">  </w:t>
      </w:r>
      <w:r w:rsidR="00D43597" w:rsidRPr="00D43597">
        <w:rPr>
          <w:szCs w:val="22"/>
        </w:rPr>
        <w:t>Finally, Moss explains that “[t]he station was not constructed in the landowner’s driveway, but on a nearby limited access dirt road.”</w:t>
      </w:r>
      <w:r w:rsidR="00D43597" w:rsidRPr="00BD7CC6">
        <w:rPr>
          <w:rStyle w:val="FootnoteReference"/>
          <w:szCs w:val="22"/>
        </w:rPr>
        <w:footnoteReference w:id="30"/>
      </w:r>
      <w:r w:rsidR="00D43597" w:rsidRPr="00D43597">
        <w:rPr>
          <w:szCs w:val="22"/>
        </w:rPr>
        <w:t xml:space="preserve">  </w:t>
      </w:r>
    </w:p>
    <w:p w:rsidR="00340954" w:rsidRDefault="00340954" w:rsidP="006665F5">
      <w:pPr>
        <w:pStyle w:val="ParaNum"/>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suppressAutoHyphens/>
        <w:ind w:right="-86"/>
        <w:rPr>
          <w:szCs w:val="22"/>
        </w:rPr>
      </w:pPr>
      <w:r>
        <w:rPr>
          <w:szCs w:val="22"/>
        </w:rPr>
        <w:t>We find that Lazer has adequately rebutted Mount Wilson’s allegations that it failed to construct at the coordinates specified in the Station’s permit</w:t>
      </w:r>
      <w:r w:rsidR="009515CC">
        <w:rPr>
          <w:szCs w:val="22"/>
        </w:rPr>
        <w:t>, particularly given the inconsistencies in those allegations.</w:t>
      </w:r>
      <w:r w:rsidR="009515CC">
        <w:rPr>
          <w:rStyle w:val="FootnoteReference"/>
          <w:szCs w:val="22"/>
        </w:rPr>
        <w:footnoteReference w:id="31"/>
      </w:r>
      <w:r>
        <w:rPr>
          <w:szCs w:val="22"/>
        </w:rPr>
        <w:t xml:space="preserve">  Accordingly, we find Lazer did not make misrepresentations to the Commission in its license application.</w:t>
      </w:r>
    </w:p>
    <w:p w:rsidR="001F33F3" w:rsidRPr="00C90389" w:rsidRDefault="00340954" w:rsidP="00D43597">
      <w:pPr>
        <w:pStyle w:val="ParaNum"/>
        <w:suppressAutoHyphens/>
        <w:ind w:right="-90"/>
        <w:rPr>
          <w:szCs w:val="22"/>
        </w:rPr>
      </w:pPr>
      <w:r w:rsidRPr="00C90389">
        <w:rPr>
          <w:i/>
          <w:szCs w:val="22"/>
        </w:rPr>
        <w:t>Lack of Candor</w:t>
      </w:r>
      <w:r w:rsidRPr="00C90389">
        <w:rPr>
          <w:szCs w:val="22"/>
        </w:rPr>
        <w:t>.</w:t>
      </w:r>
      <w:r w:rsidR="00C90389" w:rsidRPr="00C90389">
        <w:rPr>
          <w:rStyle w:val="FootnoteReference"/>
          <w:szCs w:val="22"/>
        </w:rPr>
        <w:t xml:space="preserve"> </w:t>
      </w:r>
      <w:r w:rsidR="00C90389" w:rsidRPr="00C44745">
        <w:rPr>
          <w:rStyle w:val="FootnoteReference"/>
          <w:szCs w:val="22"/>
        </w:rPr>
        <w:footnoteReference w:id="32"/>
      </w:r>
      <w:r w:rsidR="00C90389" w:rsidRPr="00C90389">
        <w:rPr>
          <w:i/>
        </w:rPr>
        <w:t xml:space="preserve"> </w:t>
      </w:r>
      <w:r w:rsidR="00C90389" w:rsidRPr="00C90389">
        <w:rPr>
          <w:szCs w:val="22"/>
        </w:rPr>
        <w:t xml:space="preserve"> </w:t>
      </w:r>
      <w:r w:rsidR="001A6A23" w:rsidRPr="00C90389">
        <w:rPr>
          <w:szCs w:val="22"/>
        </w:rPr>
        <w:t xml:space="preserve">Mount Wilson </w:t>
      </w:r>
      <w:r w:rsidR="00342535">
        <w:rPr>
          <w:szCs w:val="22"/>
        </w:rPr>
        <w:t>states</w:t>
      </w:r>
      <w:r w:rsidR="001A6A23" w:rsidRPr="00C90389">
        <w:rPr>
          <w:szCs w:val="22"/>
        </w:rPr>
        <w:t xml:space="preserve"> that we </w:t>
      </w:r>
      <w:r w:rsidR="00D43597" w:rsidRPr="00C90389">
        <w:rPr>
          <w:szCs w:val="22"/>
        </w:rPr>
        <w:t>processed and gran</w:t>
      </w:r>
      <w:r w:rsidR="001A6A23" w:rsidRPr="00C90389">
        <w:rPr>
          <w:szCs w:val="22"/>
        </w:rPr>
        <w:t xml:space="preserve">ted the Station’s license application </w:t>
      </w:r>
      <w:r w:rsidR="00D43597" w:rsidRPr="00C90389">
        <w:rPr>
          <w:szCs w:val="22"/>
        </w:rPr>
        <w:t xml:space="preserve">while unaware that </w:t>
      </w:r>
      <w:r w:rsidR="002239FE">
        <w:rPr>
          <w:szCs w:val="22"/>
        </w:rPr>
        <w:t>Lazer had constructed only temporary facilities and dismantled them shor</w:t>
      </w:r>
      <w:r w:rsidR="00D43597" w:rsidRPr="00C90389">
        <w:rPr>
          <w:szCs w:val="22"/>
        </w:rPr>
        <w:t>tly after construction</w:t>
      </w:r>
      <w:r w:rsidR="001A6A23" w:rsidRPr="00C90389">
        <w:rPr>
          <w:szCs w:val="22"/>
        </w:rPr>
        <w:t>.  Mount Wilson asserts that this constituted a lack of candor on Lazer’s part.</w:t>
      </w:r>
      <w:r w:rsidR="00D45026">
        <w:rPr>
          <w:rStyle w:val="FootnoteReference"/>
          <w:szCs w:val="22"/>
        </w:rPr>
        <w:footnoteReference w:id="33"/>
      </w:r>
      <w:r w:rsidR="001A6A23" w:rsidRPr="00C90389">
        <w:rPr>
          <w:szCs w:val="22"/>
        </w:rPr>
        <w:t xml:space="preserve">  Lazer disputes this characterization, noting that it complied with the Commission’</w:t>
      </w:r>
      <w:r w:rsidR="00752B7F">
        <w:rPr>
          <w:szCs w:val="22"/>
        </w:rPr>
        <w:t>s</w:t>
      </w:r>
      <w:r w:rsidR="001A6A23" w:rsidRPr="00C90389">
        <w:rPr>
          <w:szCs w:val="22"/>
        </w:rPr>
        <w:t xml:space="preserve"> rules</w:t>
      </w:r>
      <w:r w:rsidR="00752B7F">
        <w:rPr>
          <w:szCs w:val="22"/>
        </w:rPr>
        <w:t xml:space="preserve"> (“Rules”).  It argues that the R</w:t>
      </w:r>
      <w:r w:rsidR="001A6A23" w:rsidRPr="00C90389">
        <w:rPr>
          <w:szCs w:val="22"/>
        </w:rPr>
        <w:t xml:space="preserve">ules </w:t>
      </w:r>
      <w:r w:rsidR="00412F9D" w:rsidRPr="00C90389">
        <w:rPr>
          <w:szCs w:val="22"/>
        </w:rPr>
        <w:t>merely specify that “[a]ny construction permit for which construction has not been completed and for which an application for license has not been filed shall be automatically forfeited upon expiration without any further affirmative cancellation by the Commission.”</w:t>
      </w:r>
      <w:r w:rsidR="00FC7A49">
        <w:rPr>
          <w:rStyle w:val="FootnoteReference"/>
          <w:szCs w:val="22"/>
        </w:rPr>
        <w:footnoteReference w:id="34"/>
      </w:r>
      <w:r w:rsidR="00752B7F">
        <w:rPr>
          <w:szCs w:val="22"/>
        </w:rPr>
        <w:t xml:space="preserve">  It also points out that the R</w:t>
      </w:r>
      <w:r w:rsidR="00412F9D" w:rsidRPr="00C90389">
        <w:rPr>
          <w:szCs w:val="22"/>
        </w:rPr>
        <w:t xml:space="preserve">ule requiring notice to the Commission if a Station discontinues operation </w:t>
      </w:r>
      <w:r w:rsidR="00E50C6A" w:rsidRPr="00C90389">
        <w:rPr>
          <w:szCs w:val="22"/>
        </w:rPr>
        <w:t>applies to licensees not permitt</w:t>
      </w:r>
      <w:r w:rsidR="00412F9D" w:rsidRPr="00C90389">
        <w:rPr>
          <w:szCs w:val="22"/>
        </w:rPr>
        <w:t>e</w:t>
      </w:r>
      <w:r w:rsidR="00E50C6A" w:rsidRPr="00C90389">
        <w:rPr>
          <w:szCs w:val="22"/>
        </w:rPr>
        <w:t>e</w:t>
      </w:r>
      <w:r w:rsidR="00412F9D" w:rsidRPr="00C90389">
        <w:rPr>
          <w:szCs w:val="22"/>
        </w:rPr>
        <w:t>s.</w:t>
      </w:r>
      <w:r w:rsidR="00FC7A49">
        <w:rPr>
          <w:rStyle w:val="FootnoteReference"/>
          <w:szCs w:val="22"/>
        </w:rPr>
        <w:footnoteReference w:id="35"/>
      </w:r>
      <w:r w:rsidR="00412F9D" w:rsidRPr="00C90389">
        <w:rPr>
          <w:szCs w:val="22"/>
        </w:rPr>
        <w:t xml:space="preserve">  </w:t>
      </w:r>
      <w:r w:rsidR="00D43597" w:rsidRPr="00C90389">
        <w:rPr>
          <w:szCs w:val="22"/>
        </w:rPr>
        <w:t xml:space="preserve">Lazer </w:t>
      </w:r>
      <w:r w:rsidR="00412F9D" w:rsidRPr="00C90389">
        <w:rPr>
          <w:szCs w:val="22"/>
        </w:rPr>
        <w:t>notes that it notified the Commission</w:t>
      </w:r>
      <w:r w:rsidR="00D43597" w:rsidRPr="00C90389">
        <w:rPr>
          <w:szCs w:val="22"/>
        </w:rPr>
        <w:t xml:space="preserve"> within ten days</w:t>
      </w:r>
      <w:r w:rsidR="00412F9D" w:rsidRPr="00C90389">
        <w:rPr>
          <w:szCs w:val="22"/>
        </w:rPr>
        <w:t xml:space="preserve"> of </w:t>
      </w:r>
      <w:r w:rsidR="001F33F3" w:rsidRPr="00C90389">
        <w:rPr>
          <w:szCs w:val="22"/>
        </w:rPr>
        <w:t>the Station being licensed</w:t>
      </w:r>
      <w:r w:rsidR="00D43597" w:rsidRPr="00C90389">
        <w:rPr>
          <w:szCs w:val="22"/>
        </w:rPr>
        <w:t>, a</w:t>
      </w:r>
      <w:r w:rsidR="00752B7F">
        <w:rPr>
          <w:szCs w:val="22"/>
        </w:rPr>
        <w:t>s required by the R</w:t>
      </w:r>
      <w:r w:rsidR="00D43597" w:rsidRPr="00C90389">
        <w:rPr>
          <w:szCs w:val="22"/>
        </w:rPr>
        <w:t>ules.</w:t>
      </w:r>
      <w:r w:rsidR="00D43597">
        <w:rPr>
          <w:rStyle w:val="FootnoteReference"/>
          <w:szCs w:val="22"/>
        </w:rPr>
        <w:footnoteReference w:id="36"/>
      </w:r>
      <w:r w:rsidR="00D43597" w:rsidRPr="00C90389">
        <w:rPr>
          <w:szCs w:val="22"/>
        </w:rPr>
        <w:t xml:space="preserve">  </w:t>
      </w:r>
    </w:p>
    <w:p w:rsidR="00795FBE" w:rsidRDefault="00296142" w:rsidP="00296142">
      <w:pPr>
        <w:pStyle w:val="ParaNum"/>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suppressAutoHyphens/>
        <w:ind w:right="-90"/>
        <w:rPr>
          <w:szCs w:val="22"/>
        </w:rPr>
      </w:pPr>
      <w:r w:rsidRPr="00296142">
        <w:rPr>
          <w:szCs w:val="22"/>
        </w:rPr>
        <w:t>Lazer ignores</w:t>
      </w:r>
      <w:r w:rsidR="00752B7F">
        <w:rPr>
          <w:szCs w:val="22"/>
        </w:rPr>
        <w:t>, however, Section 1.65 of the R</w:t>
      </w:r>
      <w:r w:rsidRPr="00296142">
        <w:rPr>
          <w:szCs w:val="22"/>
        </w:rPr>
        <w:t>ules.  That section specifies that an applicant “is responsible for the continuing accuracy and completeness of information furnished in a pending application or in Commission proceedings involving a pending application.”</w:t>
      </w:r>
      <w:r w:rsidR="00752B7F">
        <w:rPr>
          <w:rStyle w:val="FootnoteReference"/>
          <w:szCs w:val="22"/>
        </w:rPr>
        <w:footnoteReference w:id="37"/>
      </w:r>
      <w:r w:rsidRPr="00296142">
        <w:rPr>
          <w:szCs w:val="22"/>
        </w:rPr>
        <w:t xml:space="preserve">  As such, it requires an applicant to amend its application to furnish additional or corrected information if the information furnished in its application is “no longer substantially accurate or complete in all significant respects.”</w:t>
      </w:r>
      <w:r w:rsidR="00C90FCF">
        <w:rPr>
          <w:rStyle w:val="FootnoteReference"/>
          <w:szCs w:val="22"/>
        </w:rPr>
        <w:footnoteReference w:id="38"/>
      </w:r>
      <w:r w:rsidRPr="00296142">
        <w:rPr>
          <w:szCs w:val="22"/>
        </w:rPr>
        <w:t xml:space="preserve">  Additionally, it requires an applicant to furnish additional or correct information to the Commission if “there has been a substantial change as to any other matter which may be of decisional significance.”</w:t>
      </w:r>
      <w:r w:rsidR="00C90FCF">
        <w:rPr>
          <w:rStyle w:val="FootnoteReference"/>
          <w:szCs w:val="22"/>
        </w:rPr>
        <w:footnoteReference w:id="39"/>
      </w:r>
      <w:r>
        <w:rPr>
          <w:szCs w:val="22"/>
        </w:rPr>
        <w:t xml:space="preserve">  </w:t>
      </w:r>
    </w:p>
    <w:p w:rsidR="002B0BBF" w:rsidRDefault="002B0BBF" w:rsidP="00296142">
      <w:pPr>
        <w:pStyle w:val="ParaNum"/>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suppressAutoHyphens/>
        <w:ind w:right="-90"/>
        <w:rPr>
          <w:szCs w:val="22"/>
        </w:rPr>
      </w:pPr>
      <w:r>
        <w:rPr>
          <w:szCs w:val="22"/>
        </w:rPr>
        <w:t xml:space="preserve">We recently released a decision </w:t>
      </w:r>
      <w:r w:rsidR="00795FBE">
        <w:rPr>
          <w:szCs w:val="22"/>
        </w:rPr>
        <w:t xml:space="preserve">clarifying that “the Commission expects a permittee’s constructed facilities to endure beyond the </w:t>
      </w:r>
      <w:r w:rsidR="00795FBE">
        <w:rPr>
          <w:i/>
          <w:szCs w:val="22"/>
        </w:rPr>
        <w:t>de minimis</w:t>
      </w:r>
      <w:r w:rsidR="00795FBE">
        <w:rPr>
          <w:szCs w:val="22"/>
        </w:rPr>
        <w:t xml:space="preserve"> period necessary for it to file a license to cover its construction permit.”</w:t>
      </w:r>
      <w:r w:rsidR="00795FBE">
        <w:rPr>
          <w:rStyle w:val="FootnoteReference"/>
          <w:szCs w:val="22"/>
        </w:rPr>
        <w:footnoteReference w:id="40"/>
      </w:r>
      <w:r w:rsidR="00795FBE">
        <w:rPr>
          <w:szCs w:val="22"/>
        </w:rPr>
        <w:t xml:space="preserve">  </w:t>
      </w:r>
      <w:r w:rsidR="006E3F52">
        <w:rPr>
          <w:szCs w:val="22"/>
        </w:rPr>
        <w:t xml:space="preserve"> We concluded that temporarily constructed facilities cannot be declared “ready for operation” within the meaning of Section 319(b) of the Act and therefore that the construction permit for such facilities are subject to automatic forfeiture pursuant to Section 73.3598(</w:t>
      </w:r>
      <w:r w:rsidR="008A2365">
        <w:rPr>
          <w:szCs w:val="22"/>
        </w:rPr>
        <w:t>e</w:t>
      </w:r>
      <w:r w:rsidR="006E3F52">
        <w:rPr>
          <w:szCs w:val="22"/>
        </w:rPr>
        <w:t>) of the Rules.</w:t>
      </w:r>
      <w:r w:rsidR="006E3F52">
        <w:rPr>
          <w:rStyle w:val="FootnoteReference"/>
          <w:szCs w:val="22"/>
        </w:rPr>
        <w:footnoteReference w:id="41"/>
      </w:r>
      <w:r w:rsidR="006E3F52">
        <w:rPr>
          <w:szCs w:val="22"/>
        </w:rPr>
        <w:t xml:space="preserve">  </w:t>
      </w:r>
      <w:r w:rsidR="00795FBE">
        <w:rPr>
          <w:szCs w:val="22"/>
        </w:rPr>
        <w:t>Given these findings, we take this opportunity to clarify that it constitutes</w:t>
      </w:r>
      <w:r>
        <w:rPr>
          <w:szCs w:val="22"/>
        </w:rPr>
        <w:t xml:space="preserve"> “a substantial change” of “decisional significance” if an applicant dismantles the facilities for which it is seeking a license to cover and takes those facilities off the air.</w:t>
      </w:r>
      <w:r w:rsidR="00795FBE">
        <w:rPr>
          <w:szCs w:val="22"/>
        </w:rPr>
        <w:t xml:space="preserve">  The notice requirements of Section 1.65 </w:t>
      </w:r>
      <w:r w:rsidR="00B664BC">
        <w:rPr>
          <w:szCs w:val="22"/>
        </w:rPr>
        <w:t xml:space="preserve">of the Rules </w:t>
      </w:r>
      <w:r w:rsidR="00795FBE">
        <w:rPr>
          <w:szCs w:val="22"/>
        </w:rPr>
        <w:t>apply.</w:t>
      </w:r>
    </w:p>
    <w:p w:rsidR="00296142" w:rsidRPr="001D711A" w:rsidRDefault="001D711A" w:rsidP="00296142">
      <w:pPr>
        <w:pStyle w:val="ParaNum"/>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suppressAutoHyphens/>
        <w:ind w:right="-90"/>
        <w:rPr>
          <w:szCs w:val="22"/>
        </w:rPr>
      </w:pPr>
      <w:r w:rsidRPr="001D711A">
        <w:rPr>
          <w:szCs w:val="22"/>
        </w:rPr>
        <w:t>W</w:t>
      </w:r>
      <w:r w:rsidR="00296142" w:rsidRPr="001D711A">
        <w:rPr>
          <w:szCs w:val="22"/>
        </w:rPr>
        <w:t>e acknowledge</w:t>
      </w:r>
      <w:r w:rsidRPr="001D711A">
        <w:rPr>
          <w:szCs w:val="22"/>
        </w:rPr>
        <w:t>, though,</w:t>
      </w:r>
      <w:r w:rsidR="00296142" w:rsidRPr="001D711A">
        <w:rPr>
          <w:szCs w:val="22"/>
        </w:rPr>
        <w:t xml:space="preserve"> that at the time Lazer engage</w:t>
      </w:r>
      <w:r w:rsidRPr="001D711A">
        <w:rPr>
          <w:szCs w:val="22"/>
        </w:rPr>
        <w:t>d in the behavior at issue here,</w:t>
      </w:r>
      <w:r w:rsidR="00296142" w:rsidRPr="001D711A">
        <w:rPr>
          <w:szCs w:val="22"/>
        </w:rPr>
        <w:t xml:space="preserve"> Lazer </w:t>
      </w:r>
      <w:r w:rsidR="00B664BC">
        <w:rPr>
          <w:szCs w:val="22"/>
        </w:rPr>
        <w:t>may</w:t>
      </w:r>
      <w:r w:rsidR="00296142" w:rsidRPr="001D711A">
        <w:rPr>
          <w:szCs w:val="22"/>
        </w:rPr>
        <w:t xml:space="preserve"> not have known such behavior </w:t>
      </w:r>
      <w:r w:rsidR="00593177">
        <w:rPr>
          <w:szCs w:val="22"/>
        </w:rPr>
        <w:t>would implicate Section 319(b) of the Act and Section 73.3598(</w:t>
      </w:r>
      <w:r w:rsidR="008A2365">
        <w:rPr>
          <w:szCs w:val="22"/>
        </w:rPr>
        <w:t>e</w:t>
      </w:r>
      <w:r w:rsidR="00593177">
        <w:rPr>
          <w:szCs w:val="22"/>
        </w:rPr>
        <w:t xml:space="preserve">) of the Rules.  </w:t>
      </w:r>
      <w:r w:rsidRPr="001D711A">
        <w:rPr>
          <w:szCs w:val="22"/>
        </w:rPr>
        <w:t xml:space="preserve">Given this and the fact that Lazer did disclose the temporary nature of its construction, we cannot find the intent to deceive necessary to a lack of candor finding.  </w:t>
      </w:r>
      <w:r>
        <w:rPr>
          <w:szCs w:val="22"/>
        </w:rPr>
        <w:t>W</w:t>
      </w:r>
      <w:r w:rsidR="00296142" w:rsidRPr="001D711A">
        <w:rPr>
          <w:szCs w:val="22"/>
        </w:rPr>
        <w:t>e take this opportunity</w:t>
      </w:r>
      <w:r>
        <w:rPr>
          <w:szCs w:val="22"/>
        </w:rPr>
        <w:t>, however,</w:t>
      </w:r>
      <w:r w:rsidR="00296142" w:rsidRPr="001D711A">
        <w:rPr>
          <w:szCs w:val="22"/>
        </w:rPr>
        <w:t xml:space="preserve"> to put future applicants on notice that Section 1.65 requires them to promptly notify us if </w:t>
      </w:r>
      <w:r>
        <w:rPr>
          <w:szCs w:val="22"/>
        </w:rPr>
        <w:t>they dismantle a Station’s facilities while an application for a license to cover those facilities is pending</w:t>
      </w:r>
      <w:r w:rsidR="00B664BC">
        <w:rPr>
          <w:szCs w:val="22"/>
        </w:rPr>
        <w:t>,</w:t>
      </w:r>
      <w:r>
        <w:rPr>
          <w:szCs w:val="22"/>
        </w:rPr>
        <w:t xml:space="preserve"> and/or </w:t>
      </w:r>
      <w:r w:rsidR="00B664BC">
        <w:rPr>
          <w:szCs w:val="22"/>
        </w:rPr>
        <w:t>take a</w:t>
      </w:r>
      <w:r w:rsidR="00296142" w:rsidRPr="001D711A">
        <w:rPr>
          <w:szCs w:val="22"/>
        </w:rPr>
        <w:t xml:space="preserve"> Station for which they are seeking a license to cover off the air while </w:t>
      </w:r>
      <w:r>
        <w:rPr>
          <w:szCs w:val="22"/>
        </w:rPr>
        <w:t>the application for such license is pending</w:t>
      </w:r>
      <w:r w:rsidR="00296142" w:rsidRPr="001D711A">
        <w:rPr>
          <w:szCs w:val="22"/>
        </w:rPr>
        <w:t xml:space="preserve">.  </w:t>
      </w:r>
      <w:r w:rsidR="00795FBE" w:rsidRPr="001D711A">
        <w:rPr>
          <w:szCs w:val="22"/>
        </w:rPr>
        <w:t>We also note that, in the future,</w:t>
      </w:r>
      <w:r>
        <w:rPr>
          <w:szCs w:val="22"/>
        </w:rPr>
        <w:t xml:space="preserve"> taking such actions</w:t>
      </w:r>
      <w:r w:rsidR="00795FBE" w:rsidRPr="001D711A">
        <w:rPr>
          <w:szCs w:val="22"/>
        </w:rPr>
        <w:t xml:space="preserve"> without notifying the </w:t>
      </w:r>
      <w:r w:rsidR="00696237" w:rsidRPr="001D711A">
        <w:rPr>
          <w:szCs w:val="22"/>
        </w:rPr>
        <w:t>Commission</w:t>
      </w:r>
      <w:r w:rsidR="00795FBE" w:rsidRPr="001D711A">
        <w:rPr>
          <w:szCs w:val="22"/>
        </w:rPr>
        <w:t xml:space="preserve"> would raise lack of candor issues.</w:t>
      </w:r>
      <w:r>
        <w:rPr>
          <w:rStyle w:val="FootnoteReference"/>
          <w:szCs w:val="22"/>
        </w:rPr>
        <w:footnoteReference w:id="42"/>
      </w:r>
      <w:r w:rsidR="00795FBE" w:rsidRPr="001D711A">
        <w:rPr>
          <w:szCs w:val="22"/>
        </w:rPr>
        <w:t xml:space="preserve">  </w:t>
      </w:r>
    </w:p>
    <w:p w:rsidR="00BD1C7B" w:rsidRPr="00BD1C7B" w:rsidRDefault="00BD1C7B" w:rsidP="00BD1C7B">
      <w:pPr>
        <w:pStyle w:val="Heading2"/>
      </w:pPr>
      <w:r>
        <w:t xml:space="preserve">Minor Change Application – </w:t>
      </w:r>
      <w:r w:rsidR="002438DF">
        <w:t xml:space="preserve">Section 307(b) </w:t>
      </w:r>
      <w:r>
        <w:t>Analysis</w:t>
      </w:r>
    </w:p>
    <w:p w:rsidR="002438DF" w:rsidRDefault="002438DF" w:rsidP="002438DF">
      <w:pPr>
        <w:pStyle w:val="ParaNum"/>
      </w:pPr>
      <w:r>
        <w:t>A station may change its community of license without subjecting the license to other expressions of interest if (1) the proposed allotment is mutually exclusive with the current allotment; (2) the current community of license will not be deprived of its only local service; and (3) the proposed arrangement of allotments is preferred under the Commission’s FM allotment priorities.</w:t>
      </w:r>
      <w:r>
        <w:rPr>
          <w:rStyle w:val="FootnoteReference"/>
          <w:szCs w:val="22"/>
        </w:rPr>
        <w:footnoteReference w:id="43"/>
      </w:r>
      <w:r>
        <w:t xml:space="preserve">  The proposed allotment of Channel 236A at Gonzales is mutually exclusive with the existing allotment of Channel 290A at Mount Carmel,</w:t>
      </w:r>
      <w:r>
        <w:rPr>
          <w:rStyle w:val="FootnoteReference"/>
          <w:szCs w:val="22"/>
        </w:rPr>
        <w:footnoteReference w:id="44"/>
      </w:r>
      <w:r>
        <w:t xml:space="preserve"> and the proposed move would not deprive Carmel Valley of its only local service.  Neither the current nor the proposed new community of license meet the requirements of Priorities 1, 2, or 3, so the relevant comparison of the two communities must be based upon analysis under Priority 4, other public interest matter.</w:t>
      </w:r>
      <w:r w:rsidR="00E53672" w:rsidRPr="00E53672">
        <w:rPr>
          <w:rStyle w:val="FootnoteReference"/>
        </w:rPr>
        <w:t xml:space="preserve"> </w:t>
      </w:r>
      <w:r w:rsidR="00E53672">
        <w:rPr>
          <w:rStyle w:val="FootnoteReference"/>
        </w:rPr>
        <w:footnoteReference w:id="45"/>
      </w:r>
    </w:p>
    <w:p w:rsidR="002438DF" w:rsidRDefault="002438DF" w:rsidP="00CC160F">
      <w:pPr>
        <w:pStyle w:val="ParaNum"/>
        <w:widowControl/>
      </w:pPr>
      <w:r>
        <w:t>Station KMLY does not provide city grade coverage to 50 percent of any urbanized area from Carmel Valley, nor would it be able to provide such coverage from its new community of license, Gonzales.  Carmel Valley, the current community of license, has three local stations, and would be left with two following the proposed change of community of license.  Gonzales, the new community, would gain a third local station.  Significantly, Gonzales, a growing city with a population of 8,187,</w:t>
      </w:r>
      <w:r w:rsidR="00E53672">
        <w:rPr>
          <w:rStyle w:val="FootnoteReference"/>
        </w:rPr>
        <w:footnoteReference w:id="46"/>
      </w:r>
      <w:r>
        <w:t xml:space="preserve"> is nearly twice as large as Carmel Valley (population of 4,407)</w:t>
      </w:r>
      <w:r w:rsidR="00E53672">
        <w:t>, which has been decreasing in population</w:t>
      </w:r>
      <w:r>
        <w:t>.</w:t>
      </w:r>
      <w:r w:rsidR="00E53672">
        <w:rPr>
          <w:rStyle w:val="FootnoteReference"/>
        </w:rPr>
        <w:footnoteReference w:id="47"/>
      </w:r>
      <w:r>
        <w:t xml:space="preserve">  Moreover, Gonzales, an incorporated city, has its own local government,</w:t>
      </w:r>
      <w:r>
        <w:rPr>
          <w:rStyle w:val="FootnoteReference"/>
        </w:rPr>
        <w:footnoteReference w:id="48"/>
      </w:r>
      <w:r>
        <w:t xml:space="preserve"> school system,</w:t>
      </w:r>
      <w:r>
        <w:rPr>
          <w:rStyle w:val="FootnoteReference"/>
        </w:rPr>
        <w:footnoteReference w:id="49"/>
      </w:r>
      <w:r>
        <w:t xml:space="preserve"> and approximately 150 business establishments.  In contrast, Carmel Valley, a census-designated place, has no local government, depends on Monterey County for public services, and has approximately 44 business establishments.  </w:t>
      </w:r>
    </w:p>
    <w:p w:rsidR="002438DF" w:rsidRDefault="00E53672" w:rsidP="002438DF">
      <w:pPr>
        <w:pStyle w:val="ParaNum"/>
      </w:pPr>
      <w:r>
        <w:t xml:space="preserve">  </w:t>
      </w:r>
      <w:r w:rsidR="002438DF">
        <w:t>Although the proposed change of community would result in a net reduction in the total number of persons served,</w:t>
      </w:r>
      <w:r w:rsidR="002438DF">
        <w:rPr>
          <w:rStyle w:val="FootnoteReference"/>
          <w:szCs w:val="22"/>
        </w:rPr>
        <w:footnoteReference w:id="50"/>
      </w:r>
      <w:r w:rsidR="002438DF">
        <w:t xml:space="preserve"> the entirety of the current service area for </w:t>
      </w:r>
      <w:r>
        <w:t>the Station</w:t>
      </w:r>
      <w:r w:rsidR="002438DF">
        <w:t xml:space="preserve"> will continue to be  well-served by five or more reception services,</w:t>
      </w:r>
      <w:r>
        <w:rPr>
          <w:rStyle w:val="FootnoteReference"/>
        </w:rPr>
        <w:footnoteReference w:id="51"/>
      </w:r>
      <w:r w:rsidR="002438DF">
        <w:t xml:space="preserve"> with Carmel Valley itself receiving approximately 30 services.  Under the circumstances, we find that the public interest benefit from providing a third local service to the much larger (and growing) city of Gonzales outweighs the net decrease in the number of persons served.</w:t>
      </w:r>
      <w:r w:rsidR="002438DF">
        <w:rPr>
          <w:rStyle w:val="FootnoteReference"/>
          <w:szCs w:val="22"/>
        </w:rPr>
        <w:footnoteReference w:id="52"/>
      </w:r>
      <w:r w:rsidR="002438DF">
        <w:t xml:space="preserve">  Accordingly, we find that the proposed community of license modification, from Carmel Valley to Gonzales, results in a preferential arrangement of allotments under Priority 4.   </w:t>
      </w:r>
    </w:p>
    <w:p w:rsidR="00BD1C7B" w:rsidRDefault="00186BE7" w:rsidP="00BD1C7B">
      <w:pPr>
        <w:pStyle w:val="Heading2"/>
      </w:pPr>
      <w:r>
        <w:t xml:space="preserve">Renewal Application  </w:t>
      </w:r>
    </w:p>
    <w:p w:rsidR="004066D6" w:rsidRPr="004066D6" w:rsidRDefault="004066D6" w:rsidP="004066D6">
      <w:pPr>
        <w:pStyle w:val="ParaNum"/>
      </w:pPr>
      <w:r w:rsidRPr="004066D6">
        <w:t>The Commission's longstanding policy is to review a station</w:t>
      </w:r>
      <w:r>
        <w:t>’</w:t>
      </w:r>
      <w:r w:rsidRPr="004066D6">
        <w:t>s service record to determine whether it complied with the Commission's licensing requirements, i</w:t>
      </w:r>
      <w:r>
        <w:t>ncluding service to the station’</w:t>
      </w:r>
      <w:r w:rsidRPr="004066D6">
        <w:t>s community of license, prior to action on its license renewal application.</w:t>
      </w:r>
      <w:r>
        <w:rPr>
          <w:rStyle w:val="FootnoteReference"/>
        </w:rPr>
        <w:footnoteReference w:id="53"/>
      </w:r>
      <w:r w:rsidRPr="004066D6">
        <w:t xml:space="preserve">   In evaluating an application for license renewal, the Commission's decision is governed by Section 309(k) of the Act.</w:t>
      </w:r>
      <w:r>
        <w:rPr>
          <w:rStyle w:val="FootnoteReference"/>
        </w:rPr>
        <w:footnoteReference w:id="54"/>
      </w:r>
      <w:r w:rsidRPr="004066D6">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sidRPr="005F5ACF">
        <w:rPr>
          <w:rStyle w:val="FootnoteReference"/>
          <w:szCs w:val="22"/>
        </w:rPr>
        <w:footnoteReference w:id="55"/>
      </w:r>
      <w:r w:rsidRPr="004066D6">
        <w:t xml:space="preserve">   If, however, the licensee fails to meet that standard, the Commission may deny the application - after notice and opportunity for a hearing under Section 309(e) of the Act - or grant the application </w:t>
      </w:r>
      <w:r>
        <w:t>“</w:t>
      </w:r>
      <w:r w:rsidRPr="004066D6">
        <w:t>on terms and conditions that are appropriate, including a renewal for a term less than the maximum otherwise permitted.</w:t>
      </w:r>
      <w:r>
        <w:t>”</w:t>
      </w:r>
      <w:r w:rsidRPr="005F5ACF">
        <w:rPr>
          <w:rStyle w:val="FootnoteReference"/>
          <w:szCs w:val="22"/>
        </w:rPr>
        <w:footnoteReference w:id="56"/>
      </w:r>
      <w:r w:rsidRPr="004066D6">
        <w:t xml:space="preserve"> </w:t>
      </w:r>
    </w:p>
    <w:p w:rsidR="00186BE7" w:rsidRPr="00DE0350" w:rsidRDefault="00DE0350" w:rsidP="00186BE7">
      <w:pPr>
        <w:pStyle w:val="ParaNum"/>
        <w:rPr>
          <w:i/>
          <w:kern w:val="0"/>
        </w:rPr>
      </w:pPr>
      <w:r w:rsidRPr="00DE0350">
        <w:rPr>
          <w:b/>
          <w:kern w:val="0"/>
        </w:rPr>
        <w:t xml:space="preserve">  </w:t>
      </w:r>
      <w:r w:rsidR="00186BE7" w:rsidRPr="00DE0350">
        <w:rPr>
          <w:kern w:val="0"/>
        </w:rPr>
        <w:t>In 2001, the Commission cautioned “all licensees that . . . a licensee will face a very heavy burden in demonstrating that it has served the public interest where it has remained silent for most or all of the prior license term.”</w:t>
      </w:r>
      <w:r w:rsidR="00186BE7" w:rsidRPr="00DE0350">
        <w:rPr>
          <w:rStyle w:val="FootnoteReference"/>
          <w:kern w:val="0"/>
        </w:rPr>
        <w:footnoteReference w:id="57"/>
      </w:r>
      <w:r w:rsidR="00186BE7" w:rsidRPr="00DE0350">
        <w:rPr>
          <w:kern w:val="0"/>
        </w:rPr>
        <w:t xml:space="preserve">  The Commission held that denial of the renewal application of the station in question in </w:t>
      </w:r>
      <w:r w:rsidR="00186BE7" w:rsidRPr="00DE0350">
        <w:rPr>
          <w:i/>
          <w:kern w:val="0"/>
        </w:rPr>
        <w:t>Birach</w:t>
      </w:r>
      <w:r w:rsidR="00186BE7" w:rsidRPr="00DE0350">
        <w:rPr>
          <w:kern w:val="0"/>
        </w:rPr>
        <w:t xml:space="preserve"> would be fundamentally unfair because the Commission had not provided sufficient notice of the effect the Section 309(k)(1) standard would have on silent stations.  </w:t>
      </w:r>
      <w:r>
        <w:rPr>
          <w:kern w:val="0"/>
        </w:rPr>
        <w:t xml:space="preserve">Since the issuance of the </w:t>
      </w:r>
      <w:r>
        <w:rPr>
          <w:i/>
          <w:kern w:val="0"/>
        </w:rPr>
        <w:t>Birach</w:t>
      </w:r>
      <w:r>
        <w:rPr>
          <w:kern w:val="0"/>
        </w:rPr>
        <w:t xml:space="preserve"> decision in 2001, licensees have been on notice as to how Section 309(k)(1) applies to silent stations.</w:t>
      </w:r>
      <w:r w:rsidR="00186BE7" w:rsidRPr="00DE0350">
        <w:rPr>
          <w:kern w:val="0"/>
        </w:rPr>
        <w:t xml:space="preserve">  </w:t>
      </w:r>
    </w:p>
    <w:p w:rsidR="00DD5CCF" w:rsidRPr="00A13225" w:rsidRDefault="00DE0350" w:rsidP="00DD5CCF">
      <w:pPr>
        <w:pStyle w:val="ParaNum"/>
        <w:rPr>
          <w:szCs w:val="22"/>
        </w:rPr>
      </w:pPr>
      <w:r>
        <w:t xml:space="preserve">Silence instead of licensed operation is a fundamental failure to serve a station’s community of license, because a silent station offers that community no public service programming such as news, public affairs, weather information, and Emergency Alert System notifications.  Moreover, brief periods of station operation sandwiched between prolonged periods of silence are of little value because the local audience is not accustomed to tuning into the station’s frequency.  </w:t>
      </w:r>
    </w:p>
    <w:p w:rsidR="00A02634" w:rsidRDefault="0019649F" w:rsidP="00186BE7">
      <w:pPr>
        <w:pStyle w:val="ParaNum"/>
      </w:pPr>
      <w:r>
        <w:t>Since being licensed, the Station has been silent for a little over 10 months and has operated pursuant to STA for over 2</w:t>
      </w:r>
      <w:r w:rsidR="00A02634">
        <w:t>2</w:t>
      </w:r>
      <w:r>
        <w:t xml:space="preserve"> months.  </w:t>
      </w:r>
      <w:r w:rsidR="00A02634">
        <w:t>We recognize, though, that t</w:t>
      </w:r>
      <w:r w:rsidR="00DD5CCF" w:rsidRPr="00DD5CCF">
        <w:t>he</w:t>
      </w:r>
      <w:r w:rsidR="00DE0350" w:rsidRPr="00DD5CCF">
        <w:t xml:space="preserve"> Station’s periods of silence </w:t>
      </w:r>
      <w:r w:rsidR="00DD5CCF" w:rsidRPr="00DD5CCF">
        <w:t xml:space="preserve">do not involve “most or all of the prior license term.”  </w:t>
      </w:r>
      <w:r>
        <w:t xml:space="preserve">Moreover, despite operating pursuant to STA, the Station’s signal reaches almost its entire community of license.  </w:t>
      </w:r>
      <w:r w:rsidR="00A02634">
        <w:t>Despite this</w:t>
      </w:r>
      <w:r w:rsidR="00DD5CCF" w:rsidRPr="00DD5CCF">
        <w:t>, we conclude that Lazer’s conduct has fallen short of that which would warrant routine license renewal.  It</w:t>
      </w:r>
      <w:r>
        <w:t>s</w:t>
      </w:r>
      <w:r w:rsidR="00DD5CCF" w:rsidRPr="00DD5CCF">
        <w:t xml:space="preserve"> stewardship of the Station failed to meet the public service commitment which licensees are expected to provide to their communities of license on a daily basis because the Station was silent for</w:t>
      </w:r>
      <w:r>
        <w:t xml:space="preserve"> more than 10 months</w:t>
      </w:r>
      <w:r w:rsidR="00DD5CCF" w:rsidRPr="00DD5CCF">
        <w:t xml:space="preserve">.  On the facts presented here, we conclude that a short-term license renewal is the appropriate sanction.  </w:t>
      </w:r>
    </w:p>
    <w:p w:rsidR="00DE0350" w:rsidRPr="00DE0350" w:rsidRDefault="00DD5CCF" w:rsidP="00186BE7">
      <w:pPr>
        <w:pStyle w:val="ParaNum"/>
      </w:pPr>
      <w:r w:rsidRPr="00DD5CCF">
        <w:rPr>
          <w:szCs w:val="22"/>
        </w:rPr>
        <w:t xml:space="preserve">Although Licensee </w:t>
      </w:r>
      <w:r w:rsidRPr="00DD5CCF">
        <w:rPr>
          <w:bCs/>
          <w:color w:val="000000"/>
          <w:shd w:val="clear" w:color="auto" w:fill="FFFFFF"/>
        </w:rPr>
        <w:t xml:space="preserve">sought Commission authorization pursuant to Section 73.1740 of the Rules for </w:t>
      </w:r>
      <w:r w:rsidR="0019649F">
        <w:rPr>
          <w:bCs/>
        </w:rPr>
        <w:t>its period of</w:t>
      </w:r>
      <w:r w:rsidRPr="00DD5CCF">
        <w:rPr>
          <w:bCs/>
        </w:rPr>
        <w:t xml:space="preserve"> silence</w:t>
      </w:r>
      <w:r w:rsidRPr="00DD5CCF">
        <w:rPr>
          <w:szCs w:val="22"/>
        </w:rPr>
        <w:t>, w</w:t>
      </w:r>
      <w:r w:rsidRPr="00DD5CCF">
        <w:rPr>
          <w:color w:val="000000"/>
          <w:shd w:val="clear" w:color="auto" w:fill="FFFFFF"/>
        </w:rPr>
        <w:t xml:space="preserve">e cannot find that the Station served the public interest, convenience and necessity during the license term due to the extended period of non-operation.  Additionally, although the Station has resumed operations and is currently broadcasting, we believe that additional measures are necessary in order to ensure that Licensee endeavors in the future to provide the broadcast service it is licensed to provide.  </w:t>
      </w:r>
      <w:r>
        <w:t>Accordingly, pursuant to Section 309(k)(2) of the Act, we will grant the Station a short-term license renewal.</w:t>
      </w:r>
      <w:r>
        <w:rPr>
          <w:rStyle w:val="FootnoteReference"/>
        </w:rPr>
        <w:footnoteReference w:id="58"/>
      </w:r>
      <w:r>
        <w:t xml:space="preserve">  The new license term will be limited to a period of two years.</w:t>
      </w:r>
      <w:r>
        <w:rPr>
          <w:rStyle w:val="FootnoteReference"/>
          <w:color w:val="000000"/>
          <w:szCs w:val="22"/>
        </w:rPr>
        <w:footnoteReference w:id="59"/>
      </w:r>
      <w:r>
        <w:t xml:space="preserve">   This limited renewal period will afford the Commission an opportunity to review the Station’s compliance with the Act and the Rules and to take whatever corrective actions, if any, that may be warranted at that time.  </w:t>
      </w:r>
    </w:p>
    <w:p w:rsidR="009E57CD" w:rsidRPr="00885D97" w:rsidRDefault="009E57CD" w:rsidP="00885D97">
      <w:pPr>
        <w:pStyle w:val="Heading1"/>
        <w:rPr>
          <w:caps w:val="0"/>
          <w:snapToGrid/>
          <w:kern w:val="0"/>
        </w:rPr>
      </w:pPr>
      <w:r w:rsidRPr="00885D97">
        <w:rPr>
          <w:caps w:val="0"/>
          <w:snapToGrid/>
          <w:kern w:val="0"/>
        </w:rPr>
        <w:t>ORDERING CLAUSES</w:t>
      </w:r>
    </w:p>
    <w:p w:rsidR="002438DF" w:rsidRDefault="002438DF" w:rsidP="002438DF">
      <w:pPr>
        <w:pStyle w:val="ParaNum"/>
      </w:pPr>
      <w:r>
        <w:t>We find that the proposed community of license mod</w:t>
      </w:r>
      <w:r w:rsidR="00CC160F">
        <w:t xml:space="preserve">ification for Station KMLY(FM) </w:t>
      </w:r>
      <w:r>
        <w:t>would serve the public interest.  We have evaluated the Application and find that it complies with all pertinent statutory and regulatory requirements.  IT IS ORDERED, t</w:t>
      </w:r>
      <w:r w:rsidRPr="000E398D">
        <w:t>hat</w:t>
      </w:r>
      <w:r w:rsidRPr="003E27F3">
        <w:t xml:space="preserve"> </w:t>
      </w:r>
      <w:r>
        <w:t>the I</w:t>
      </w:r>
      <w:r w:rsidRPr="000E398D">
        <w:t>nformal O</w:t>
      </w:r>
      <w:r>
        <w:t xml:space="preserve">bjection filed by Mount Wilson </w:t>
      </w:r>
      <w:r w:rsidR="00194D2A">
        <w:t>FM Broadcasters, Inc. on June 26, 2013</w:t>
      </w:r>
      <w:r>
        <w:t>,</w:t>
      </w:r>
      <w:r w:rsidRPr="000E398D">
        <w:t xml:space="preserve"> IS HEREBY D</w:t>
      </w:r>
      <w:r>
        <w:t xml:space="preserve">ENIED.  </w:t>
      </w:r>
      <w:r w:rsidRPr="000E398D">
        <w:t xml:space="preserve">IT IS </w:t>
      </w:r>
      <w:r>
        <w:t xml:space="preserve">FURTHER ORDERED that the application </w:t>
      </w:r>
      <w:r w:rsidRPr="000E398D">
        <w:t xml:space="preserve">filed by </w:t>
      </w:r>
      <w:r>
        <w:t>Laze</w:t>
      </w:r>
      <w:r w:rsidR="00194D2A">
        <w:t>r Licenses, LLC (</w:t>
      </w:r>
      <w:r>
        <w:t>File No. BPH-20130411AAK</w:t>
      </w:r>
      <w:r w:rsidR="00194D2A">
        <w:t>)</w:t>
      </w:r>
      <w:r>
        <w:t xml:space="preserve"> for the community of license modification for Station KMLY(FM), from Channel 290A, Carmel Valley, California, to Channel 236A at Gonzales, California, and modification of its facilities to reflect the change </w:t>
      </w:r>
      <w:r w:rsidRPr="000E398D">
        <w:t>IS HEREBY GRANTED</w:t>
      </w:r>
      <w:r>
        <w:t>.</w:t>
      </w:r>
    </w:p>
    <w:p w:rsidR="009E57CD" w:rsidRPr="00BC0AF4" w:rsidRDefault="00194D2A" w:rsidP="00BC0AF4">
      <w:pPr>
        <w:pStyle w:val="ParaNum"/>
      </w:pPr>
      <w:r>
        <w:t>In addition, w</w:t>
      </w:r>
      <w:r w:rsidR="00706A6B" w:rsidRPr="00F517E6">
        <w:t xml:space="preserve">e have evaluated the </w:t>
      </w:r>
      <w:r>
        <w:t>Renewal Application</w:t>
      </w:r>
      <w:r w:rsidR="00706A6B" w:rsidRPr="00F517E6">
        <w:t xml:space="preserve"> pursuant to Section 309(k) of the Act, and we find that there have been no serious violations of the Act or the Rules involving the Stations which, taken together, would constitute a pattern of abuse. </w:t>
      </w:r>
      <w:r>
        <w:t xml:space="preserve">We cannot </w:t>
      </w:r>
      <w:r w:rsidRPr="00194D2A">
        <w:rPr>
          <w:color w:val="000000"/>
          <w:shd w:val="clear" w:color="auto" w:fill="FFFFFF"/>
        </w:rPr>
        <w:t>find, however, that the Station KMLY(FM) served the public interest, convenience and necessity during the license term due to the extended period of non-operation</w:t>
      </w:r>
      <w:r w:rsidRPr="00F517E6">
        <w:t xml:space="preserve"> during </w:t>
      </w:r>
      <w:r>
        <w:t>its</w:t>
      </w:r>
      <w:r w:rsidRPr="00F517E6">
        <w:t xml:space="preserve"> most recent license term.  </w:t>
      </w:r>
      <w:r>
        <w:t xml:space="preserve">Accordingly, pursuant to Section 309(k)(2) of the Communications Act of 1934, as amended, we grant a short-term renewal of Station KMLY(FM)’s license .  </w:t>
      </w:r>
      <w:r w:rsidR="00706A6B" w:rsidRPr="00F517E6">
        <w:t xml:space="preserve">IT IS ORDERED that the </w:t>
      </w:r>
      <w:r>
        <w:t>Informal Objection filed by Mount Wilson FM Broadcasters</w:t>
      </w:r>
      <w:r w:rsidR="00706A6B" w:rsidRPr="00F517E6">
        <w:t>, Inc.</w:t>
      </w:r>
      <w:r>
        <w:t xml:space="preserve"> on November 18, 2013,</w:t>
      </w:r>
      <w:r w:rsidR="00706A6B" w:rsidRPr="00F517E6">
        <w:t xml:space="preserve"> IS DENIED.  IT IS FURTHER ORDERED that, pursuant to Section 309(k)</w:t>
      </w:r>
      <w:r>
        <w:t>(2)</w:t>
      </w:r>
      <w:r w:rsidR="00706A6B" w:rsidRPr="00F517E6">
        <w:t xml:space="preserve"> of the Communications Act of 1934, as amended, the license renewal application of </w:t>
      </w:r>
      <w:r>
        <w:t>Lazer Licenses, LLC</w:t>
      </w:r>
      <w:r w:rsidR="00706A6B" w:rsidRPr="00F517E6">
        <w:t xml:space="preserve"> for Station</w:t>
      </w:r>
      <w:r>
        <w:t xml:space="preserve"> KMLY(FM) (File No. BRH-20130801AMB)</w:t>
      </w:r>
      <w:r w:rsidR="00706A6B">
        <w:t>,</w:t>
      </w:r>
      <w:r>
        <w:t xml:space="preserve"> IS</w:t>
      </w:r>
      <w:r w:rsidR="00706A6B" w:rsidRPr="00F517E6">
        <w:t xml:space="preserve"> GRANTED</w:t>
      </w:r>
      <w:r>
        <w:t xml:space="preserve"> and the license for Station KMLY(FM) IS HEREBY RENEWED for a period of two years from the release date of this Memorandum Opinion and Order</w:t>
      </w:r>
      <w:r w:rsidR="00706A6B" w:rsidRPr="00F517E6">
        <w:t>.</w:t>
      </w:r>
      <w:r w:rsidR="009E57CD" w:rsidRPr="00BC0AF4">
        <w:rPr>
          <w:snapToGrid/>
          <w:kern w:val="0"/>
        </w:rPr>
        <w:t xml:space="preserve"> </w:t>
      </w:r>
    </w:p>
    <w:p w:rsidR="00BC0AF4" w:rsidRDefault="00BC0AF4" w:rsidP="0017296B">
      <w:r>
        <w:tab/>
      </w:r>
      <w:r>
        <w:tab/>
      </w:r>
      <w:r>
        <w:tab/>
      </w:r>
      <w:r>
        <w:tab/>
      </w:r>
      <w:r>
        <w:tab/>
      </w:r>
      <w:r>
        <w:tab/>
        <w:t>FEDERAL COMMUNICATIONS COMMISSION</w:t>
      </w:r>
    </w:p>
    <w:p w:rsidR="00BC0AF4" w:rsidRDefault="00BC0AF4" w:rsidP="0017296B"/>
    <w:p w:rsidR="00BC0AF4" w:rsidRDefault="00BC0AF4" w:rsidP="0017296B"/>
    <w:p w:rsidR="00BC0AF4" w:rsidRDefault="00BC0AF4" w:rsidP="0017296B"/>
    <w:p w:rsidR="00BC0AF4" w:rsidRDefault="00BC0AF4" w:rsidP="0017296B"/>
    <w:p w:rsidR="00BC0AF4" w:rsidRDefault="00BC0AF4" w:rsidP="0017296B">
      <w:r>
        <w:tab/>
      </w:r>
      <w:r>
        <w:tab/>
      </w:r>
      <w:r>
        <w:tab/>
      </w:r>
      <w:r>
        <w:tab/>
      </w:r>
      <w:r>
        <w:tab/>
      </w:r>
      <w:r>
        <w:tab/>
        <w:t>Peter H. Doyle</w:t>
      </w:r>
    </w:p>
    <w:p w:rsidR="00BC0AF4" w:rsidRDefault="00BC0AF4" w:rsidP="0017296B">
      <w:r>
        <w:tab/>
      </w:r>
      <w:r>
        <w:tab/>
      </w:r>
      <w:r>
        <w:tab/>
      </w:r>
      <w:r>
        <w:tab/>
      </w:r>
      <w:r>
        <w:tab/>
      </w:r>
      <w:r>
        <w:tab/>
        <w:t>Chief, Audio Division, Media Bureau</w:t>
      </w:r>
    </w:p>
    <w:p w:rsidR="009E57CD" w:rsidRPr="00A57E01" w:rsidRDefault="009E57CD" w:rsidP="009E57CD">
      <w:pPr>
        <w:rPr>
          <w:szCs w:val="22"/>
        </w:rPr>
      </w:pPr>
    </w:p>
    <w:sectPr w:rsidR="009E57CD" w:rsidRPr="00A57E0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A52" w:rsidRDefault="00722A52">
      <w:pPr>
        <w:spacing w:line="20" w:lineRule="exact"/>
      </w:pPr>
    </w:p>
  </w:endnote>
  <w:endnote w:type="continuationSeparator" w:id="0">
    <w:p w:rsidR="00722A52" w:rsidRDefault="00722A52">
      <w:r>
        <w:t xml:space="preserve"> </w:t>
      </w:r>
    </w:p>
  </w:endnote>
  <w:endnote w:type="continuationNotice" w:id="1">
    <w:p w:rsidR="00722A52" w:rsidRDefault="00722A5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7A4" w:rsidRDefault="009717A4">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9717A4" w:rsidRDefault="009717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7A4" w:rsidRDefault="009717A4">
    <w:pPr>
      <w:pStyle w:val="Footer"/>
      <w:framePr w:wrap="around" w:vAnchor="text" w:hAnchor="margin" w:xAlign="center" w:y="1"/>
    </w:pPr>
    <w:r>
      <w:fldChar w:fldCharType="begin"/>
    </w:r>
    <w:r>
      <w:instrText xml:space="preserve">PAGE  </w:instrText>
    </w:r>
    <w:r>
      <w:fldChar w:fldCharType="separate"/>
    </w:r>
    <w:r w:rsidR="00457D3F">
      <w:rPr>
        <w:noProof/>
      </w:rPr>
      <w:t>2</w:t>
    </w:r>
    <w:r>
      <w:fldChar w:fldCharType="end"/>
    </w:r>
  </w:p>
  <w:p w:rsidR="009717A4" w:rsidRDefault="009717A4">
    <w:pPr>
      <w:spacing w:before="140" w:line="100" w:lineRule="exact"/>
      <w:rPr>
        <w:sz w:val="10"/>
      </w:rPr>
    </w:pPr>
  </w:p>
  <w:p w:rsidR="009717A4" w:rsidRDefault="009717A4">
    <w:pPr>
      <w:suppressAutoHyphens/>
      <w:spacing w:line="227" w:lineRule="auto"/>
    </w:pPr>
  </w:p>
  <w:p w:rsidR="009717A4" w:rsidRDefault="009717A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7A4" w:rsidRDefault="009717A4">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A52" w:rsidRDefault="00722A52">
      <w:r>
        <w:separator/>
      </w:r>
    </w:p>
  </w:footnote>
  <w:footnote w:type="continuationSeparator" w:id="0">
    <w:p w:rsidR="00722A52" w:rsidRDefault="00722A52">
      <w:pPr>
        <w:rPr>
          <w:sz w:val="20"/>
        </w:rPr>
      </w:pPr>
      <w:r>
        <w:rPr>
          <w:sz w:val="20"/>
        </w:rPr>
        <w:t xml:space="preserve">(Continued from previous page)  </w:t>
      </w:r>
      <w:r>
        <w:rPr>
          <w:sz w:val="20"/>
        </w:rPr>
        <w:separator/>
      </w:r>
    </w:p>
  </w:footnote>
  <w:footnote w:type="continuationNotice" w:id="1">
    <w:p w:rsidR="00722A52" w:rsidRDefault="00722A52">
      <w:pPr>
        <w:rPr>
          <w:sz w:val="20"/>
        </w:rPr>
      </w:pPr>
      <w:r>
        <w:rPr>
          <w:sz w:val="20"/>
        </w:rPr>
        <w:t>(continued….)</w:t>
      </w:r>
    </w:p>
  </w:footnote>
  <w:footnote w:id="2">
    <w:p w:rsidR="00A93244" w:rsidRPr="008613A7" w:rsidRDefault="00A93244" w:rsidP="008613A7">
      <w:pPr>
        <w:pStyle w:val="FootnoteText"/>
        <w:rPr>
          <w:b/>
        </w:rPr>
      </w:pPr>
      <w:r w:rsidRPr="008613A7">
        <w:rPr>
          <w:rStyle w:val="FootnoteReference"/>
        </w:rPr>
        <w:footnoteRef/>
      </w:r>
      <w:r w:rsidRPr="008613A7">
        <w:t xml:space="preserve"> We also have before us: (1) Lazer’s Opposition to Informal Objection (“</w:t>
      </w:r>
      <w:r w:rsidR="002A52AF" w:rsidRPr="008613A7">
        <w:t xml:space="preserve">Minor Change </w:t>
      </w:r>
      <w:r w:rsidRPr="008613A7">
        <w:t>Opposition”) (July 11, 2013);  (2) Mount Wilson’s Reply to Opposition to Informal Objection (“</w:t>
      </w:r>
      <w:r w:rsidR="002A52AF" w:rsidRPr="008613A7">
        <w:t>Minor Change Reply</w:t>
      </w:r>
      <w:r w:rsidRPr="008613A7">
        <w:t>”) (Aug</w:t>
      </w:r>
      <w:r w:rsidR="002315F3" w:rsidRPr="008613A7">
        <w:t>.</w:t>
      </w:r>
      <w:r w:rsidRPr="008613A7">
        <w:t xml:space="preserve"> 23, 2013); (3) Lazer’s Supplemental Declaration of Lloyd M. Moss (“Moss Supplemental De</w:t>
      </w:r>
      <w:r w:rsidR="002315F3" w:rsidRPr="008613A7">
        <w:t>cl</w:t>
      </w:r>
      <w:r w:rsidR="00F25D1D" w:rsidRPr="008613A7">
        <w:t>aration</w:t>
      </w:r>
      <w:r w:rsidR="002315F3" w:rsidRPr="008613A7">
        <w:t>”) (Sept. 4, 2013)</w:t>
      </w:r>
      <w:r w:rsidRPr="008613A7">
        <w:t>; (4</w:t>
      </w:r>
      <w:r w:rsidR="002A52AF" w:rsidRPr="008613A7">
        <w:t xml:space="preserve">) Mount Wilson’s unauthorized </w:t>
      </w:r>
      <w:r w:rsidRPr="008613A7">
        <w:t>Supplement to Informal Objection (Sept</w:t>
      </w:r>
      <w:r w:rsidR="002315F3" w:rsidRPr="008613A7">
        <w:t>.</w:t>
      </w:r>
      <w:r w:rsidRPr="008613A7">
        <w:t xml:space="preserve"> 6, 2013)</w:t>
      </w:r>
      <w:r w:rsidR="002315F3" w:rsidRPr="008613A7">
        <w:t xml:space="preserve">; </w:t>
      </w:r>
      <w:r w:rsidR="002A52AF" w:rsidRPr="008613A7">
        <w:t>and (5) Lazer’s Opposition to Informal Objection (Nov</w:t>
      </w:r>
      <w:r w:rsidR="002315F3" w:rsidRPr="008613A7">
        <w:t>.</w:t>
      </w:r>
      <w:r w:rsidR="002A52AF" w:rsidRPr="008613A7">
        <w:t xml:space="preserve"> 18, 2013) (“Renewal Opposition’)</w:t>
      </w:r>
      <w:r w:rsidRPr="008613A7">
        <w:t>.  Mount Wilson filed its Supplement to Informal Objection</w:t>
      </w:r>
      <w:r w:rsidR="00EA1FB5" w:rsidRPr="008613A7">
        <w:t xml:space="preserve"> in </w:t>
      </w:r>
      <w:r w:rsidR="002315F3" w:rsidRPr="008613A7">
        <w:t>response</w:t>
      </w:r>
      <w:r w:rsidR="00EA1FB5" w:rsidRPr="008613A7">
        <w:t xml:space="preserve"> to the Moss </w:t>
      </w:r>
      <w:r w:rsidRPr="008613A7">
        <w:t>Supplemental Declaration</w:t>
      </w:r>
      <w:r w:rsidR="00BA5C3E" w:rsidRPr="008613A7">
        <w:t>, which</w:t>
      </w:r>
      <w:r w:rsidR="002315F3" w:rsidRPr="008613A7">
        <w:t xml:space="preserve"> </w:t>
      </w:r>
      <w:r w:rsidR="00F25D1D" w:rsidRPr="008613A7">
        <w:t xml:space="preserve">Lazer </w:t>
      </w:r>
      <w:r w:rsidR="002315F3" w:rsidRPr="008613A7">
        <w:t xml:space="preserve">submitted in response to a request from Commission staff.  </w:t>
      </w:r>
      <w:r w:rsidRPr="008613A7">
        <w:t xml:space="preserve">We generally do not offer third parties like Mount Wilson the opportunity to respond to </w:t>
      </w:r>
      <w:r w:rsidR="00EA1FB5" w:rsidRPr="008613A7">
        <w:t>pleadings or information submitted</w:t>
      </w:r>
      <w:r w:rsidRPr="008613A7">
        <w:t xml:space="preserve"> in response to a Commission staff </w:t>
      </w:r>
      <w:r w:rsidR="002315F3" w:rsidRPr="008613A7">
        <w:t>request or inquiry</w:t>
      </w:r>
      <w:r w:rsidRPr="008613A7">
        <w:t>.</w:t>
      </w:r>
      <w:r w:rsidR="00BA5C3E" w:rsidRPr="008613A7">
        <w:t xml:space="preserve">  Accordingly, we do not consider the Supplement to Informal Objection </w:t>
      </w:r>
      <w:r w:rsidR="004A0D4C" w:rsidRPr="008613A7">
        <w:t>herein</w:t>
      </w:r>
      <w:r w:rsidR="00BA5C3E" w:rsidRPr="008613A7">
        <w:t>.</w:t>
      </w:r>
      <w:r w:rsidR="00293F5C" w:rsidRPr="008613A7">
        <w:t xml:space="preserve">  </w:t>
      </w:r>
    </w:p>
  </w:footnote>
  <w:footnote w:id="3">
    <w:p w:rsidR="0054154B" w:rsidRPr="008613A7" w:rsidRDefault="0054154B" w:rsidP="008613A7">
      <w:pPr>
        <w:pStyle w:val="FootnoteText"/>
      </w:pPr>
      <w:r w:rsidRPr="008613A7">
        <w:rPr>
          <w:rStyle w:val="FootnoteReference"/>
        </w:rPr>
        <w:footnoteRef/>
      </w:r>
      <w:r w:rsidR="00EA1FB5" w:rsidRPr="008613A7">
        <w:t xml:space="preserve"> </w:t>
      </w:r>
      <w:r w:rsidR="00EA1FB5" w:rsidRPr="008613A7">
        <w:rPr>
          <w:i/>
        </w:rPr>
        <w:t>See</w:t>
      </w:r>
      <w:r w:rsidR="00EA1FB5" w:rsidRPr="008613A7">
        <w:t xml:space="preserve"> </w:t>
      </w:r>
      <w:r w:rsidRPr="008613A7">
        <w:t>F</w:t>
      </w:r>
      <w:r w:rsidR="00EA1FB5" w:rsidRPr="008613A7">
        <w:t>M Broadcast Station License,</w:t>
      </w:r>
      <w:r w:rsidRPr="008613A7">
        <w:t xml:space="preserve"> File No. </w:t>
      </w:r>
      <w:r w:rsidR="007F640F" w:rsidRPr="008613A7">
        <w:t>BLH</w:t>
      </w:r>
      <w:r w:rsidR="007F640F" w:rsidRPr="008613A7">
        <w:rPr>
          <w:b/>
        </w:rPr>
        <w:t>-</w:t>
      </w:r>
      <w:r w:rsidRPr="008613A7">
        <w:t>20120710ACV (grant</w:t>
      </w:r>
      <w:r w:rsidR="00EA1FB5" w:rsidRPr="008613A7">
        <w:t>ed</w:t>
      </w:r>
      <w:r w:rsidRPr="008613A7">
        <w:t xml:space="preserve"> July 12, 2012)</w:t>
      </w:r>
      <w:r w:rsidR="00712A06">
        <w:t xml:space="preserve"> (“Initial License”)</w:t>
      </w:r>
      <w:r w:rsidRPr="008613A7">
        <w:t>.</w:t>
      </w:r>
      <w:r w:rsidR="007F640F" w:rsidRPr="008613A7">
        <w:t xml:space="preserve">  </w:t>
      </w:r>
    </w:p>
  </w:footnote>
  <w:footnote w:id="4">
    <w:p w:rsidR="0054154B" w:rsidRPr="008613A7" w:rsidRDefault="0054154B" w:rsidP="008613A7">
      <w:pPr>
        <w:pStyle w:val="FootnoteText"/>
      </w:pPr>
      <w:r w:rsidRPr="008613A7">
        <w:rPr>
          <w:rStyle w:val="FootnoteReference"/>
        </w:rPr>
        <w:footnoteRef/>
      </w:r>
      <w:r w:rsidRPr="008613A7">
        <w:t xml:space="preserve"> </w:t>
      </w:r>
      <w:r w:rsidRPr="008613A7">
        <w:rPr>
          <w:i/>
        </w:rPr>
        <w:t>See</w:t>
      </w:r>
      <w:r w:rsidR="00EA1FB5" w:rsidRPr="008613A7">
        <w:t xml:space="preserve"> </w:t>
      </w:r>
      <w:r w:rsidRPr="008613A7">
        <w:t>Construction Permit, File No. BNPH-20050103AIN</w:t>
      </w:r>
      <w:r w:rsidR="00EA1FB5" w:rsidRPr="008613A7">
        <w:t xml:space="preserve"> (granted April 22, 2008)</w:t>
      </w:r>
      <w:r w:rsidR="00712A06">
        <w:t xml:space="preserve"> (“Initial CP”)</w:t>
      </w:r>
      <w:r w:rsidRPr="008613A7">
        <w:t>.</w:t>
      </w:r>
    </w:p>
  </w:footnote>
  <w:footnote w:id="5">
    <w:p w:rsidR="0054154B" w:rsidRPr="008613A7" w:rsidRDefault="0054154B" w:rsidP="008613A7">
      <w:pPr>
        <w:autoSpaceDE w:val="0"/>
        <w:autoSpaceDN w:val="0"/>
        <w:adjustRightInd w:val="0"/>
        <w:spacing w:before="44" w:after="120"/>
        <w:rPr>
          <w:sz w:val="20"/>
        </w:rPr>
      </w:pPr>
      <w:r w:rsidRPr="008613A7">
        <w:rPr>
          <w:rStyle w:val="FootnoteReference"/>
        </w:rPr>
        <w:footnoteRef/>
      </w:r>
      <w:r w:rsidRPr="008613A7">
        <w:rPr>
          <w:sz w:val="20"/>
        </w:rPr>
        <w:t xml:space="preserve"> </w:t>
      </w:r>
      <w:r w:rsidRPr="008613A7">
        <w:rPr>
          <w:i/>
          <w:sz w:val="20"/>
        </w:rPr>
        <w:t>See</w:t>
      </w:r>
      <w:r w:rsidR="00C66CE6" w:rsidRPr="008613A7">
        <w:rPr>
          <w:sz w:val="20"/>
        </w:rPr>
        <w:t xml:space="preserve"> </w:t>
      </w:r>
      <w:r w:rsidRPr="008613A7">
        <w:rPr>
          <w:sz w:val="20"/>
        </w:rPr>
        <w:t xml:space="preserve">Notification of Suspension of Operations/Request for Silent STA, </w:t>
      </w:r>
      <w:r w:rsidR="00C66CE6" w:rsidRPr="008613A7">
        <w:rPr>
          <w:sz w:val="20"/>
        </w:rPr>
        <w:t xml:space="preserve">File No. BLSTA-20120719ACA; </w:t>
      </w:r>
      <w:r w:rsidRPr="008613A7">
        <w:rPr>
          <w:i/>
          <w:spacing w:val="-2"/>
          <w:sz w:val="20"/>
        </w:rPr>
        <w:t>L</w:t>
      </w:r>
      <w:r w:rsidRPr="008613A7">
        <w:rPr>
          <w:i/>
          <w:sz w:val="20"/>
        </w:rPr>
        <w:t>etter</w:t>
      </w:r>
      <w:r w:rsidRPr="008613A7">
        <w:rPr>
          <w:i/>
          <w:spacing w:val="-4"/>
          <w:sz w:val="20"/>
        </w:rPr>
        <w:t xml:space="preserve"> </w:t>
      </w:r>
      <w:r w:rsidRPr="008613A7">
        <w:rPr>
          <w:i/>
          <w:spacing w:val="-2"/>
          <w:sz w:val="20"/>
        </w:rPr>
        <w:t>f</w:t>
      </w:r>
      <w:r w:rsidRPr="008613A7">
        <w:rPr>
          <w:i/>
          <w:spacing w:val="1"/>
          <w:sz w:val="20"/>
        </w:rPr>
        <w:t>r</w:t>
      </w:r>
      <w:r w:rsidRPr="008613A7">
        <w:rPr>
          <w:i/>
          <w:spacing w:val="3"/>
          <w:sz w:val="20"/>
        </w:rPr>
        <w:t>o</w:t>
      </w:r>
      <w:r w:rsidRPr="008613A7">
        <w:rPr>
          <w:i/>
          <w:sz w:val="20"/>
        </w:rPr>
        <w:t>m</w:t>
      </w:r>
      <w:r w:rsidRPr="008613A7">
        <w:rPr>
          <w:i/>
          <w:spacing w:val="-5"/>
          <w:sz w:val="20"/>
        </w:rPr>
        <w:t xml:space="preserve"> Lisa Scanlan, Assistant Chief</w:t>
      </w:r>
      <w:r w:rsidRPr="008613A7">
        <w:rPr>
          <w:i/>
          <w:sz w:val="20"/>
        </w:rPr>
        <w:t>,</w:t>
      </w:r>
      <w:r w:rsidRPr="008613A7">
        <w:rPr>
          <w:i/>
          <w:spacing w:val="-2"/>
          <w:sz w:val="20"/>
        </w:rPr>
        <w:t xml:space="preserve"> </w:t>
      </w:r>
      <w:r w:rsidRPr="008613A7">
        <w:rPr>
          <w:i/>
          <w:sz w:val="20"/>
        </w:rPr>
        <w:t>A</w:t>
      </w:r>
      <w:r w:rsidRPr="008613A7">
        <w:rPr>
          <w:i/>
          <w:spacing w:val="-1"/>
          <w:sz w:val="20"/>
        </w:rPr>
        <w:t>u</w:t>
      </w:r>
      <w:r w:rsidRPr="008613A7">
        <w:rPr>
          <w:i/>
          <w:spacing w:val="1"/>
          <w:sz w:val="20"/>
        </w:rPr>
        <w:t>d</w:t>
      </w:r>
      <w:r w:rsidRPr="008613A7">
        <w:rPr>
          <w:i/>
          <w:sz w:val="20"/>
        </w:rPr>
        <w:t>io</w:t>
      </w:r>
      <w:r w:rsidRPr="008613A7">
        <w:rPr>
          <w:i/>
          <w:spacing w:val="-4"/>
          <w:sz w:val="20"/>
        </w:rPr>
        <w:t xml:space="preserve"> </w:t>
      </w:r>
      <w:r w:rsidRPr="008613A7">
        <w:rPr>
          <w:i/>
          <w:sz w:val="20"/>
        </w:rPr>
        <w:t>Di</w:t>
      </w:r>
      <w:r w:rsidRPr="008613A7">
        <w:rPr>
          <w:i/>
          <w:spacing w:val="-1"/>
          <w:sz w:val="20"/>
        </w:rPr>
        <w:t>v</w:t>
      </w:r>
      <w:r w:rsidRPr="008613A7">
        <w:rPr>
          <w:i/>
          <w:spacing w:val="2"/>
          <w:sz w:val="20"/>
        </w:rPr>
        <w:t>i</w:t>
      </w:r>
      <w:r w:rsidRPr="008613A7">
        <w:rPr>
          <w:i/>
          <w:spacing w:val="-1"/>
          <w:sz w:val="20"/>
        </w:rPr>
        <w:t>s</w:t>
      </w:r>
      <w:r w:rsidRPr="008613A7">
        <w:rPr>
          <w:i/>
          <w:spacing w:val="2"/>
          <w:sz w:val="20"/>
        </w:rPr>
        <w:t>i</w:t>
      </w:r>
      <w:r w:rsidRPr="008613A7">
        <w:rPr>
          <w:i/>
          <w:spacing w:val="1"/>
          <w:sz w:val="20"/>
        </w:rPr>
        <w:t>o</w:t>
      </w:r>
      <w:r w:rsidRPr="008613A7">
        <w:rPr>
          <w:i/>
          <w:spacing w:val="-1"/>
          <w:sz w:val="20"/>
        </w:rPr>
        <w:t>n</w:t>
      </w:r>
      <w:r w:rsidRPr="008613A7">
        <w:rPr>
          <w:i/>
          <w:sz w:val="20"/>
        </w:rPr>
        <w:t>,</w:t>
      </w:r>
      <w:r w:rsidRPr="008613A7">
        <w:rPr>
          <w:i/>
          <w:spacing w:val="-6"/>
          <w:sz w:val="20"/>
        </w:rPr>
        <w:t xml:space="preserve"> </w:t>
      </w:r>
      <w:r w:rsidRPr="008613A7">
        <w:rPr>
          <w:i/>
          <w:sz w:val="20"/>
        </w:rPr>
        <w:t>M</w:t>
      </w:r>
      <w:r w:rsidRPr="008613A7">
        <w:rPr>
          <w:i/>
          <w:spacing w:val="1"/>
          <w:sz w:val="20"/>
        </w:rPr>
        <w:t>ed</w:t>
      </w:r>
      <w:r w:rsidRPr="008613A7">
        <w:rPr>
          <w:i/>
          <w:sz w:val="20"/>
        </w:rPr>
        <w:t>ia</w:t>
      </w:r>
      <w:r w:rsidRPr="008613A7">
        <w:rPr>
          <w:i/>
          <w:spacing w:val="-5"/>
          <w:sz w:val="20"/>
        </w:rPr>
        <w:t xml:space="preserve"> </w:t>
      </w:r>
      <w:r w:rsidRPr="008613A7">
        <w:rPr>
          <w:i/>
          <w:spacing w:val="1"/>
          <w:sz w:val="20"/>
        </w:rPr>
        <w:t>B</w:t>
      </w:r>
      <w:r w:rsidRPr="008613A7">
        <w:rPr>
          <w:i/>
          <w:spacing w:val="-1"/>
          <w:sz w:val="20"/>
        </w:rPr>
        <w:t>u</w:t>
      </w:r>
      <w:r w:rsidRPr="008613A7">
        <w:rPr>
          <w:i/>
          <w:spacing w:val="1"/>
          <w:sz w:val="20"/>
        </w:rPr>
        <w:t>r</w:t>
      </w:r>
      <w:r w:rsidRPr="008613A7">
        <w:rPr>
          <w:i/>
          <w:sz w:val="20"/>
        </w:rPr>
        <w:t>e</w:t>
      </w:r>
      <w:r w:rsidRPr="008613A7">
        <w:rPr>
          <w:i/>
          <w:spacing w:val="1"/>
          <w:sz w:val="20"/>
        </w:rPr>
        <w:t>a</w:t>
      </w:r>
      <w:r w:rsidRPr="008613A7">
        <w:rPr>
          <w:i/>
          <w:spacing w:val="-1"/>
          <w:sz w:val="20"/>
        </w:rPr>
        <w:t>u</w:t>
      </w:r>
      <w:r w:rsidRPr="008613A7">
        <w:rPr>
          <w:i/>
          <w:sz w:val="20"/>
        </w:rPr>
        <w:t>,</w:t>
      </w:r>
      <w:r w:rsidRPr="008613A7">
        <w:rPr>
          <w:i/>
          <w:spacing w:val="-5"/>
          <w:sz w:val="20"/>
        </w:rPr>
        <w:t xml:space="preserve"> </w:t>
      </w:r>
      <w:r w:rsidRPr="008613A7">
        <w:rPr>
          <w:i/>
          <w:sz w:val="20"/>
        </w:rPr>
        <w:t>to</w:t>
      </w:r>
      <w:r w:rsidRPr="008613A7">
        <w:rPr>
          <w:i/>
          <w:spacing w:val="-1"/>
          <w:sz w:val="20"/>
        </w:rPr>
        <w:t xml:space="preserve"> </w:t>
      </w:r>
      <w:r w:rsidR="00C66CE6" w:rsidRPr="008613A7">
        <w:rPr>
          <w:i/>
          <w:spacing w:val="2"/>
          <w:sz w:val="20"/>
        </w:rPr>
        <w:t>Harry C. Martin, C</w:t>
      </w:r>
      <w:r w:rsidRPr="008613A7">
        <w:rPr>
          <w:i/>
          <w:spacing w:val="2"/>
          <w:sz w:val="20"/>
        </w:rPr>
        <w:t>ounsel for Lazer</w:t>
      </w:r>
      <w:r w:rsidRPr="008613A7">
        <w:rPr>
          <w:spacing w:val="-3"/>
          <w:sz w:val="20"/>
        </w:rPr>
        <w:t xml:space="preserve"> </w:t>
      </w:r>
      <w:r w:rsidRPr="008613A7">
        <w:rPr>
          <w:spacing w:val="1"/>
          <w:sz w:val="20"/>
        </w:rPr>
        <w:t>(d</w:t>
      </w:r>
      <w:r w:rsidRPr="008613A7">
        <w:rPr>
          <w:sz w:val="20"/>
        </w:rPr>
        <w:t>ated</w:t>
      </w:r>
      <w:r w:rsidRPr="008613A7">
        <w:rPr>
          <w:spacing w:val="-2"/>
          <w:sz w:val="20"/>
        </w:rPr>
        <w:t xml:space="preserve"> </w:t>
      </w:r>
      <w:r w:rsidRPr="008613A7">
        <w:rPr>
          <w:sz w:val="20"/>
        </w:rPr>
        <w:t>Aug</w:t>
      </w:r>
      <w:r w:rsidR="006D37D9" w:rsidRPr="008613A7">
        <w:rPr>
          <w:sz w:val="20"/>
        </w:rPr>
        <w:t>.</w:t>
      </w:r>
      <w:r w:rsidRPr="008613A7">
        <w:rPr>
          <w:sz w:val="20"/>
        </w:rPr>
        <w:t xml:space="preserve"> 23,</w:t>
      </w:r>
      <w:r w:rsidRPr="008613A7">
        <w:rPr>
          <w:spacing w:val="-4"/>
          <w:sz w:val="20"/>
        </w:rPr>
        <w:t xml:space="preserve"> </w:t>
      </w:r>
      <w:r w:rsidRPr="008613A7">
        <w:rPr>
          <w:spacing w:val="1"/>
          <w:sz w:val="20"/>
        </w:rPr>
        <w:t>20</w:t>
      </w:r>
      <w:r w:rsidRPr="008613A7">
        <w:rPr>
          <w:spacing w:val="-1"/>
          <w:sz w:val="20"/>
        </w:rPr>
        <w:t>1</w:t>
      </w:r>
      <w:r w:rsidRPr="008613A7">
        <w:rPr>
          <w:spacing w:val="1"/>
          <w:sz w:val="20"/>
        </w:rPr>
        <w:t>2</w:t>
      </w:r>
      <w:r w:rsidRPr="008613A7">
        <w:rPr>
          <w:spacing w:val="2"/>
          <w:sz w:val="20"/>
        </w:rPr>
        <w:t>)</w:t>
      </w:r>
      <w:r w:rsidRPr="008613A7">
        <w:rPr>
          <w:sz w:val="20"/>
        </w:rPr>
        <w:t>.</w:t>
      </w:r>
    </w:p>
  </w:footnote>
  <w:footnote w:id="6">
    <w:p w:rsidR="0054154B" w:rsidRPr="008613A7" w:rsidRDefault="0054154B" w:rsidP="008613A7">
      <w:pPr>
        <w:autoSpaceDE w:val="0"/>
        <w:autoSpaceDN w:val="0"/>
        <w:adjustRightInd w:val="0"/>
        <w:spacing w:before="44" w:after="120"/>
        <w:rPr>
          <w:sz w:val="20"/>
        </w:rPr>
      </w:pPr>
      <w:r w:rsidRPr="008613A7">
        <w:rPr>
          <w:rStyle w:val="FootnoteReference"/>
        </w:rPr>
        <w:footnoteRef/>
      </w:r>
      <w:r w:rsidRPr="008613A7">
        <w:rPr>
          <w:sz w:val="20"/>
        </w:rPr>
        <w:t xml:space="preserve"> </w:t>
      </w:r>
      <w:r w:rsidRPr="008613A7">
        <w:rPr>
          <w:i/>
          <w:iCs/>
          <w:spacing w:val="1"/>
          <w:sz w:val="20"/>
        </w:rPr>
        <w:t>S</w:t>
      </w:r>
      <w:r w:rsidRPr="008613A7">
        <w:rPr>
          <w:i/>
          <w:iCs/>
          <w:sz w:val="20"/>
        </w:rPr>
        <w:t>ee</w:t>
      </w:r>
      <w:r w:rsidRPr="008613A7">
        <w:rPr>
          <w:i/>
          <w:iCs/>
          <w:spacing w:val="-2"/>
          <w:sz w:val="20"/>
        </w:rPr>
        <w:t xml:space="preserve"> </w:t>
      </w:r>
      <w:r w:rsidRPr="008613A7">
        <w:rPr>
          <w:iCs/>
          <w:spacing w:val="-2"/>
          <w:sz w:val="20"/>
        </w:rPr>
        <w:t>Request to Extend STA, File No. BLSTA-20130205AAB</w:t>
      </w:r>
      <w:r w:rsidR="00C66CE6" w:rsidRPr="008613A7">
        <w:rPr>
          <w:iCs/>
          <w:spacing w:val="-2"/>
          <w:sz w:val="20"/>
        </w:rPr>
        <w:t xml:space="preserve">; </w:t>
      </w:r>
      <w:r w:rsidRPr="008613A7">
        <w:rPr>
          <w:i/>
          <w:spacing w:val="-2"/>
          <w:sz w:val="20"/>
        </w:rPr>
        <w:t>L</w:t>
      </w:r>
      <w:r w:rsidRPr="008613A7">
        <w:rPr>
          <w:i/>
          <w:sz w:val="20"/>
        </w:rPr>
        <w:t>etter</w:t>
      </w:r>
      <w:r w:rsidRPr="008613A7">
        <w:rPr>
          <w:i/>
          <w:spacing w:val="-4"/>
          <w:sz w:val="20"/>
        </w:rPr>
        <w:t xml:space="preserve"> </w:t>
      </w:r>
      <w:r w:rsidRPr="008613A7">
        <w:rPr>
          <w:i/>
          <w:spacing w:val="-2"/>
          <w:sz w:val="20"/>
        </w:rPr>
        <w:t>f</w:t>
      </w:r>
      <w:r w:rsidRPr="008613A7">
        <w:rPr>
          <w:i/>
          <w:spacing w:val="1"/>
          <w:sz w:val="20"/>
        </w:rPr>
        <w:t>r</w:t>
      </w:r>
      <w:r w:rsidRPr="008613A7">
        <w:rPr>
          <w:i/>
          <w:spacing w:val="3"/>
          <w:sz w:val="20"/>
        </w:rPr>
        <w:t>o</w:t>
      </w:r>
      <w:r w:rsidRPr="008613A7">
        <w:rPr>
          <w:i/>
          <w:sz w:val="20"/>
        </w:rPr>
        <w:t>m</w:t>
      </w:r>
      <w:r w:rsidRPr="008613A7">
        <w:rPr>
          <w:i/>
          <w:spacing w:val="-5"/>
          <w:sz w:val="20"/>
        </w:rPr>
        <w:t xml:space="preserve"> Lisa Scanlan, Assistant Chief</w:t>
      </w:r>
      <w:r w:rsidRPr="008613A7">
        <w:rPr>
          <w:i/>
          <w:sz w:val="20"/>
        </w:rPr>
        <w:t>,</w:t>
      </w:r>
      <w:r w:rsidRPr="008613A7">
        <w:rPr>
          <w:i/>
          <w:spacing w:val="-2"/>
          <w:sz w:val="20"/>
        </w:rPr>
        <w:t xml:space="preserve"> </w:t>
      </w:r>
      <w:r w:rsidRPr="008613A7">
        <w:rPr>
          <w:i/>
          <w:sz w:val="20"/>
        </w:rPr>
        <w:t>A</w:t>
      </w:r>
      <w:r w:rsidRPr="008613A7">
        <w:rPr>
          <w:i/>
          <w:spacing w:val="-1"/>
          <w:sz w:val="20"/>
        </w:rPr>
        <w:t>u</w:t>
      </w:r>
      <w:r w:rsidRPr="008613A7">
        <w:rPr>
          <w:i/>
          <w:spacing w:val="1"/>
          <w:sz w:val="20"/>
        </w:rPr>
        <w:t>d</w:t>
      </w:r>
      <w:r w:rsidRPr="008613A7">
        <w:rPr>
          <w:i/>
          <w:sz w:val="20"/>
        </w:rPr>
        <w:t>io</w:t>
      </w:r>
      <w:r w:rsidRPr="008613A7">
        <w:rPr>
          <w:i/>
          <w:spacing w:val="-4"/>
          <w:sz w:val="20"/>
        </w:rPr>
        <w:t xml:space="preserve"> </w:t>
      </w:r>
      <w:r w:rsidRPr="008613A7">
        <w:rPr>
          <w:i/>
          <w:sz w:val="20"/>
        </w:rPr>
        <w:t>Di</w:t>
      </w:r>
      <w:r w:rsidRPr="008613A7">
        <w:rPr>
          <w:i/>
          <w:spacing w:val="-1"/>
          <w:sz w:val="20"/>
        </w:rPr>
        <w:t>v</w:t>
      </w:r>
      <w:r w:rsidRPr="008613A7">
        <w:rPr>
          <w:i/>
          <w:spacing w:val="2"/>
          <w:sz w:val="20"/>
        </w:rPr>
        <w:t>i</w:t>
      </w:r>
      <w:r w:rsidRPr="008613A7">
        <w:rPr>
          <w:i/>
          <w:spacing w:val="-1"/>
          <w:sz w:val="20"/>
        </w:rPr>
        <w:t>s</w:t>
      </w:r>
      <w:r w:rsidRPr="008613A7">
        <w:rPr>
          <w:i/>
          <w:spacing w:val="2"/>
          <w:sz w:val="20"/>
        </w:rPr>
        <w:t>i</w:t>
      </w:r>
      <w:r w:rsidRPr="008613A7">
        <w:rPr>
          <w:i/>
          <w:spacing w:val="1"/>
          <w:sz w:val="20"/>
        </w:rPr>
        <w:t>o</w:t>
      </w:r>
      <w:r w:rsidRPr="008613A7">
        <w:rPr>
          <w:i/>
          <w:spacing w:val="-1"/>
          <w:sz w:val="20"/>
        </w:rPr>
        <w:t>n</w:t>
      </w:r>
      <w:r w:rsidRPr="008613A7">
        <w:rPr>
          <w:i/>
          <w:sz w:val="20"/>
        </w:rPr>
        <w:t>,</w:t>
      </w:r>
      <w:r w:rsidRPr="008613A7">
        <w:rPr>
          <w:i/>
          <w:spacing w:val="-6"/>
          <w:sz w:val="20"/>
        </w:rPr>
        <w:t xml:space="preserve"> </w:t>
      </w:r>
      <w:r w:rsidRPr="008613A7">
        <w:rPr>
          <w:i/>
          <w:sz w:val="20"/>
        </w:rPr>
        <w:t>M</w:t>
      </w:r>
      <w:r w:rsidRPr="008613A7">
        <w:rPr>
          <w:i/>
          <w:spacing w:val="1"/>
          <w:sz w:val="20"/>
        </w:rPr>
        <w:t>ed</w:t>
      </w:r>
      <w:r w:rsidRPr="008613A7">
        <w:rPr>
          <w:i/>
          <w:sz w:val="20"/>
        </w:rPr>
        <w:t>ia</w:t>
      </w:r>
      <w:r w:rsidRPr="008613A7">
        <w:rPr>
          <w:i/>
          <w:spacing w:val="-5"/>
          <w:sz w:val="20"/>
        </w:rPr>
        <w:t xml:space="preserve"> </w:t>
      </w:r>
      <w:r w:rsidRPr="008613A7">
        <w:rPr>
          <w:i/>
          <w:spacing w:val="1"/>
          <w:sz w:val="20"/>
        </w:rPr>
        <w:t>B</w:t>
      </w:r>
      <w:r w:rsidRPr="008613A7">
        <w:rPr>
          <w:i/>
          <w:spacing w:val="-1"/>
          <w:sz w:val="20"/>
        </w:rPr>
        <w:t>u</w:t>
      </w:r>
      <w:r w:rsidRPr="008613A7">
        <w:rPr>
          <w:i/>
          <w:spacing w:val="1"/>
          <w:sz w:val="20"/>
        </w:rPr>
        <w:t>r</w:t>
      </w:r>
      <w:r w:rsidRPr="008613A7">
        <w:rPr>
          <w:i/>
          <w:sz w:val="20"/>
        </w:rPr>
        <w:t>e</w:t>
      </w:r>
      <w:r w:rsidRPr="008613A7">
        <w:rPr>
          <w:i/>
          <w:spacing w:val="1"/>
          <w:sz w:val="20"/>
        </w:rPr>
        <w:t>a</w:t>
      </w:r>
      <w:r w:rsidRPr="008613A7">
        <w:rPr>
          <w:i/>
          <w:spacing w:val="-1"/>
          <w:sz w:val="20"/>
        </w:rPr>
        <w:t>u</w:t>
      </w:r>
      <w:r w:rsidRPr="008613A7">
        <w:rPr>
          <w:i/>
          <w:sz w:val="20"/>
        </w:rPr>
        <w:t>,</w:t>
      </w:r>
      <w:r w:rsidRPr="008613A7">
        <w:rPr>
          <w:i/>
          <w:spacing w:val="-5"/>
          <w:sz w:val="20"/>
        </w:rPr>
        <w:t xml:space="preserve"> </w:t>
      </w:r>
      <w:r w:rsidRPr="008613A7">
        <w:rPr>
          <w:i/>
          <w:sz w:val="20"/>
        </w:rPr>
        <w:t>to</w:t>
      </w:r>
      <w:r w:rsidRPr="008613A7">
        <w:rPr>
          <w:i/>
          <w:spacing w:val="-1"/>
          <w:sz w:val="20"/>
        </w:rPr>
        <w:t xml:space="preserve"> </w:t>
      </w:r>
      <w:r w:rsidR="00C66CE6" w:rsidRPr="008613A7">
        <w:rPr>
          <w:i/>
          <w:spacing w:val="2"/>
          <w:sz w:val="20"/>
        </w:rPr>
        <w:t>Harry C. Martin, C</w:t>
      </w:r>
      <w:r w:rsidRPr="008613A7">
        <w:rPr>
          <w:i/>
          <w:spacing w:val="2"/>
          <w:sz w:val="20"/>
        </w:rPr>
        <w:t>ounsel for Lazer</w:t>
      </w:r>
      <w:r w:rsidRPr="008613A7">
        <w:rPr>
          <w:spacing w:val="-3"/>
          <w:sz w:val="20"/>
        </w:rPr>
        <w:t xml:space="preserve"> </w:t>
      </w:r>
      <w:r w:rsidRPr="008613A7">
        <w:rPr>
          <w:spacing w:val="1"/>
          <w:sz w:val="20"/>
        </w:rPr>
        <w:t>(d</w:t>
      </w:r>
      <w:r w:rsidRPr="008613A7">
        <w:rPr>
          <w:sz w:val="20"/>
        </w:rPr>
        <w:t>ated</w:t>
      </w:r>
      <w:r w:rsidRPr="008613A7">
        <w:rPr>
          <w:spacing w:val="-2"/>
          <w:sz w:val="20"/>
        </w:rPr>
        <w:t xml:space="preserve"> </w:t>
      </w:r>
      <w:r w:rsidRPr="008613A7">
        <w:rPr>
          <w:sz w:val="20"/>
        </w:rPr>
        <w:t>April 4,</w:t>
      </w:r>
      <w:r w:rsidRPr="008613A7">
        <w:rPr>
          <w:spacing w:val="-4"/>
          <w:sz w:val="20"/>
        </w:rPr>
        <w:t xml:space="preserve"> </w:t>
      </w:r>
      <w:r w:rsidRPr="008613A7">
        <w:rPr>
          <w:spacing w:val="1"/>
          <w:sz w:val="20"/>
        </w:rPr>
        <w:t>20</w:t>
      </w:r>
      <w:r w:rsidRPr="008613A7">
        <w:rPr>
          <w:spacing w:val="-1"/>
          <w:sz w:val="20"/>
        </w:rPr>
        <w:t>1</w:t>
      </w:r>
      <w:r w:rsidRPr="008613A7">
        <w:rPr>
          <w:spacing w:val="1"/>
          <w:sz w:val="20"/>
        </w:rPr>
        <w:t>3</w:t>
      </w:r>
      <w:r w:rsidRPr="008613A7">
        <w:rPr>
          <w:spacing w:val="2"/>
          <w:sz w:val="20"/>
        </w:rPr>
        <w:t>)</w:t>
      </w:r>
      <w:r w:rsidRPr="008613A7">
        <w:rPr>
          <w:sz w:val="20"/>
        </w:rPr>
        <w:t>.</w:t>
      </w:r>
    </w:p>
  </w:footnote>
  <w:footnote w:id="7">
    <w:p w:rsidR="0054154B" w:rsidRPr="008613A7" w:rsidRDefault="0054154B" w:rsidP="008613A7">
      <w:pPr>
        <w:autoSpaceDE w:val="0"/>
        <w:autoSpaceDN w:val="0"/>
        <w:adjustRightInd w:val="0"/>
        <w:spacing w:after="120"/>
        <w:rPr>
          <w:sz w:val="20"/>
        </w:rPr>
      </w:pPr>
      <w:r w:rsidRPr="008613A7">
        <w:rPr>
          <w:rStyle w:val="FootnoteReference"/>
        </w:rPr>
        <w:footnoteRef/>
      </w:r>
      <w:r w:rsidRPr="008613A7">
        <w:rPr>
          <w:sz w:val="20"/>
        </w:rPr>
        <w:t xml:space="preserve"> </w:t>
      </w:r>
      <w:r w:rsidRPr="008613A7">
        <w:rPr>
          <w:i/>
          <w:sz w:val="20"/>
        </w:rPr>
        <w:t>See</w:t>
      </w:r>
      <w:r w:rsidRPr="008613A7">
        <w:rPr>
          <w:sz w:val="20"/>
        </w:rPr>
        <w:t xml:space="preserve"> </w:t>
      </w:r>
      <w:r w:rsidR="00F25D1D" w:rsidRPr="008613A7">
        <w:rPr>
          <w:sz w:val="20"/>
        </w:rPr>
        <w:t xml:space="preserve">Engineering STA, </w:t>
      </w:r>
      <w:r w:rsidR="00C66CE6" w:rsidRPr="008613A7">
        <w:rPr>
          <w:sz w:val="20"/>
        </w:rPr>
        <w:t xml:space="preserve">File No. BSTA-20130506ABM; </w:t>
      </w:r>
      <w:r w:rsidRPr="008613A7">
        <w:rPr>
          <w:i/>
          <w:spacing w:val="-2"/>
          <w:sz w:val="20"/>
        </w:rPr>
        <w:t>L</w:t>
      </w:r>
      <w:r w:rsidRPr="008613A7">
        <w:rPr>
          <w:i/>
          <w:sz w:val="20"/>
        </w:rPr>
        <w:t>etter</w:t>
      </w:r>
      <w:r w:rsidRPr="008613A7">
        <w:rPr>
          <w:i/>
          <w:spacing w:val="-4"/>
          <w:sz w:val="20"/>
        </w:rPr>
        <w:t xml:space="preserve"> </w:t>
      </w:r>
      <w:r w:rsidRPr="008613A7">
        <w:rPr>
          <w:i/>
          <w:spacing w:val="-2"/>
          <w:sz w:val="20"/>
        </w:rPr>
        <w:t>f</w:t>
      </w:r>
      <w:r w:rsidRPr="008613A7">
        <w:rPr>
          <w:i/>
          <w:spacing w:val="1"/>
          <w:sz w:val="20"/>
        </w:rPr>
        <w:t>r</w:t>
      </w:r>
      <w:r w:rsidRPr="008613A7">
        <w:rPr>
          <w:i/>
          <w:spacing w:val="3"/>
          <w:sz w:val="20"/>
        </w:rPr>
        <w:t>o</w:t>
      </w:r>
      <w:r w:rsidRPr="008613A7">
        <w:rPr>
          <w:i/>
          <w:sz w:val="20"/>
        </w:rPr>
        <w:t>m</w:t>
      </w:r>
      <w:r w:rsidRPr="008613A7">
        <w:rPr>
          <w:i/>
          <w:spacing w:val="-5"/>
          <w:sz w:val="20"/>
        </w:rPr>
        <w:t xml:space="preserve"> Dale Bickel, Senior Engineer</w:t>
      </w:r>
      <w:r w:rsidRPr="008613A7">
        <w:rPr>
          <w:i/>
          <w:sz w:val="20"/>
        </w:rPr>
        <w:t>,</w:t>
      </w:r>
      <w:r w:rsidRPr="008613A7">
        <w:rPr>
          <w:i/>
          <w:spacing w:val="-2"/>
          <w:sz w:val="20"/>
        </w:rPr>
        <w:t xml:space="preserve"> </w:t>
      </w:r>
      <w:r w:rsidRPr="008613A7">
        <w:rPr>
          <w:i/>
          <w:sz w:val="20"/>
        </w:rPr>
        <w:t>A</w:t>
      </w:r>
      <w:r w:rsidRPr="008613A7">
        <w:rPr>
          <w:i/>
          <w:spacing w:val="-1"/>
          <w:sz w:val="20"/>
        </w:rPr>
        <w:t>u</w:t>
      </w:r>
      <w:r w:rsidRPr="008613A7">
        <w:rPr>
          <w:i/>
          <w:spacing w:val="1"/>
          <w:sz w:val="20"/>
        </w:rPr>
        <w:t>d</w:t>
      </w:r>
      <w:r w:rsidRPr="008613A7">
        <w:rPr>
          <w:i/>
          <w:sz w:val="20"/>
        </w:rPr>
        <w:t>io</w:t>
      </w:r>
      <w:r w:rsidRPr="008613A7">
        <w:rPr>
          <w:i/>
          <w:spacing w:val="-4"/>
          <w:sz w:val="20"/>
        </w:rPr>
        <w:t xml:space="preserve"> </w:t>
      </w:r>
      <w:r w:rsidRPr="008613A7">
        <w:rPr>
          <w:i/>
          <w:sz w:val="20"/>
        </w:rPr>
        <w:t>Di</w:t>
      </w:r>
      <w:r w:rsidRPr="008613A7">
        <w:rPr>
          <w:i/>
          <w:spacing w:val="-1"/>
          <w:sz w:val="20"/>
        </w:rPr>
        <w:t>v</w:t>
      </w:r>
      <w:r w:rsidRPr="008613A7">
        <w:rPr>
          <w:i/>
          <w:spacing w:val="2"/>
          <w:sz w:val="20"/>
        </w:rPr>
        <w:t>i</w:t>
      </w:r>
      <w:r w:rsidRPr="008613A7">
        <w:rPr>
          <w:i/>
          <w:spacing w:val="-1"/>
          <w:sz w:val="20"/>
        </w:rPr>
        <w:t>s</w:t>
      </w:r>
      <w:r w:rsidRPr="008613A7">
        <w:rPr>
          <w:i/>
          <w:spacing w:val="2"/>
          <w:sz w:val="20"/>
        </w:rPr>
        <w:t>i</w:t>
      </w:r>
      <w:r w:rsidRPr="008613A7">
        <w:rPr>
          <w:i/>
          <w:spacing w:val="1"/>
          <w:sz w:val="20"/>
        </w:rPr>
        <w:t>o</w:t>
      </w:r>
      <w:r w:rsidRPr="008613A7">
        <w:rPr>
          <w:i/>
          <w:spacing w:val="-1"/>
          <w:sz w:val="20"/>
        </w:rPr>
        <w:t>n</w:t>
      </w:r>
      <w:r w:rsidRPr="008613A7">
        <w:rPr>
          <w:i/>
          <w:sz w:val="20"/>
        </w:rPr>
        <w:t>,</w:t>
      </w:r>
      <w:r w:rsidRPr="008613A7">
        <w:rPr>
          <w:i/>
          <w:spacing w:val="-6"/>
          <w:sz w:val="20"/>
        </w:rPr>
        <w:t xml:space="preserve"> </w:t>
      </w:r>
      <w:r w:rsidRPr="008613A7">
        <w:rPr>
          <w:i/>
          <w:sz w:val="20"/>
        </w:rPr>
        <w:t>M</w:t>
      </w:r>
      <w:r w:rsidRPr="008613A7">
        <w:rPr>
          <w:i/>
          <w:spacing w:val="1"/>
          <w:sz w:val="20"/>
        </w:rPr>
        <w:t>ed</w:t>
      </w:r>
      <w:r w:rsidRPr="008613A7">
        <w:rPr>
          <w:i/>
          <w:sz w:val="20"/>
        </w:rPr>
        <w:t>ia</w:t>
      </w:r>
      <w:r w:rsidRPr="008613A7">
        <w:rPr>
          <w:i/>
          <w:spacing w:val="-5"/>
          <w:sz w:val="20"/>
        </w:rPr>
        <w:t xml:space="preserve"> </w:t>
      </w:r>
      <w:r w:rsidRPr="008613A7">
        <w:rPr>
          <w:i/>
          <w:spacing w:val="1"/>
          <w:sz w:val="20"/>
        </w:rPr>
        <w:t>B</w:t>
      </w:r>
      <w:r w:rsidRPr="008613A7">
        <w:rPr>
          <w:i/>
          <w:spacing w:val="-1"/>
          <w:sz w:val="20"/>
        </w:rPr>
        <w:t>u</w:t>
      </w:r>
      <w:r w:rsidRPr="008613A7">
        <w:rPr>
          <w:i/>
          <w:spacing w:val="1"/>
          <w:sz w:val="20"/>
        </w:rPr>
        <w:t>r</w:t>
      </w:r>
      <w:r w:rsidRPr="008613A7">
        <w:rPr>
          <w:i/>
          <w:sz w:val="20"/>
        </w:rPr>
        <w:t>e</w:t>
      </w:r>
      <w:r w:rsidRPr="008613A7">
        <w:rPr>
          <w:i/>
          <w:spacing w:val="1"/>
          <w:sz w:val="20"/>
        </w:rPr>
        <w:t>a</w:t>
      </w:r>
      <w:r w:rsidRPr="008613A7">
        <w:rPr>
          <w:i/>
          <w:spacing w:val="-1"/>
          <w:sz w:val="20"/>
        </w:rPr>
        <w:t>u</w:t>
      </w:r>
      <w:r w:rsidRPr="008613A7">
        <w:rPr>
          <w:i/>
          <w:sz w:val="20"/>
        </w:rPr>
        <w:t>,</w:t>
      </w:r>
      <w:r w:rsidRPr="008613A7">
        <w:rPr>
          <w:i/>
          <w:spacing w:val="-5"/>
          <w:sz w:val="20"/>
        </w:rPr>
        <w:t xml:space="preserve"> </w:t>
      </w:r>
      <w:r w:rsidRPr="008613A7">
        <w:rPr>
          <w:i/>
          <w:sz w:val="20"/>
        </w:rPr>
        <w:t>to</w:t>
      </w:r>
      <w:r w:rsidRPr="008613A7">
        <w:rPr>
          <w:i/>
          <w:spacing w:val="-1"/>
          <w:sz w:val="20"/>
        </w:rPr>
        <w:t xml:space="preserve"> </w:t>
      </w:r>
      <w:r w:rsidR="00C66CE6" w:rsidRPr="008613A7">
        <w:rPr>
          <w:i/>
          <w:spacing w:val="2"/>
          <w:sz w:val="20"/>
        </w:rPr>
        <w:t>Harry C. Martin, C</w:t>
      </w:r>
      <w:r w:rsidRPr="008613A7">
        <w:rPr>
          <w:i/>
          <w:spacing w:val="2"/>
          <w:sz w:val="20"/>
        </w:rPr>
        <w:t>ounsel for Lazer</w:t>
      </w:r>
      <w:r w:rsidRPr="008613A7">
        <w:rPr>
          <w:spacing w:val="-3"/>
          <w:sz w:val="20"/>
        </w:rPr>
        <w:t xml:space="preserve"> </w:t>
      </w:r>
      <w:r w:rsidRPr="008613A7">
        <w:rPr>
          <w:spacing w:val="1"/>
          <w:sz w:val="20"/>
        </w:rPr>
        <w:t>(d</w:t>
      </w:r>
      <w:r w:rsidRPr="008613A7">
        <w:rPr>
          <w:sz w:val="20"/>
        </w:rPr>
        <w:t>ated</w:t>
      </w:r>
      <w:r w:rsidRPr="008613A7">
        <w:rPr>
          <w:spacing w:val="-2"/>
          <w:sz w:val="20"/>
        </w:rPr>
        <w:t xml:space="preserve"> </w:t>
      </w:r>
      <w:r w:rsidRPr="008613A7">
        <w:rPr>
          <w:sz w:val="20"/>
        </w:rPr>
        <w:t>May 16,</w:t>
      </w:r>
      <w:r w:rsidRPr="008613A7">
        <w:rPr>
          <w:spacing w:val="-4"/>
          <w:sz w:val="20"/>
        </w:rPr>
        <w:t xml:space="preserve"> </w:t>
      </w:r>
      <w:r w:rsidRPr="008613A7">
        <w:rPr>
          <w:spacing w:val="1"/>
          <w:sz w:val="20"/>
        </w:rPr>
        <w:t>20</w:t>
      </w:r>
      <w:r w:rsidRPr="008613A7">
        <w:rPr>
          <w:spacing w:val="-1"/>
          <w:sz w:val="20"/>
        </w:rPr>
        <w:t>1</w:t>
      </w:r>
      <w:r w:rsidRPr="008613A7">
        <w:rPr>
          <w:spacing w:val="1"/>
          <w:sz w:val="20"/>
        </w:rPr>
        <w:t>3</w:t>
      </w:r>
      <w:r w:rsidRPr="008613A7">
        <w:rPr>
          <w:spacing w:val="2"/>
          <w:sz w:val="20"/>
        </w:rPr>
        <w:t>)</w:t>
      </w:r>
      <w:r w:rsidR="00C66CE6" w:rsidRPr="008613A7">
        <w:rPr>
          <w:sz w:val="20"/>
        </w:rPr>
        <w:t xml:space="preserve">; </w:t>
      </w:r>
      <w:r w:rsidR="00F25D1D" w:rsidRPr="008613A7">
        <w:rPr>
          <w:sz w:val="20"/>
        </w:rPr>
        <w:t xml:space="preserve">Extension of Existing Engineering STA, </w:t>
      </w:r>
      <w:r w:rsidR="00C66CE6" w:rsidRPr="008613A7">
        <w:rPr>
          <w:sz w:val="20"/>
        </w:rPr>
        <w:t xml:space="preserve">File No. BESTA-20131104ACI; </w:t>
      </w:r>
      <w:r w:rsidR="00C66CE6" w:rsidRPr="008613A7">
        <w:rPr>
          <w:i/>
          <w:spacing w:val="-2"/>
          <w:sz w:val="20"/>
        </w:rPr>
        <w:t>L</w:t>
      </w:r>
      <w:r w:rsidR="00C66CE6" w:rsidRPr="008613A7">
        <w:rPr>
          <w:i/>
          <w:sz w:val="20"/>
        </w:rPr>
        <w:t>etter</w:t>
      </w:r>
      <w:r w:rsidR="00C66CE6" w:rsidRPr="008613A7">
        <w:rPr>
          <w:i/>
          <w:spacing w:val="-4"/>
          <w:sz w:val="20"/>
        </w:rPr>
        <w:t xml:space="preserve"> </w:t>
      </w:r>
      <w:r w:rsidR="00C66CE6" w:rsidRPr="008613A7">
        <w:rPr>
          <w:i/>
          <w:spacing w:val="-2"/>
          <w:sz w:val="20"/>
        </w:rPr>
        <w:t>f</w:t>
      </w:r>
      <w:r w:rsidR="00C66CE6" w:rsidRPr="008613A7">
        <w:rPr>
          <w:i/>
          <w:spacing w:val="1"/>
          <w:sz w:val="20"/>
        </w:rPr>
        <w:t>r</w:t>
      </w:r>
      <w:r w:rsidR="00C66CE6" w:rsidRPr="008613A7">
        <w:rPr>
          <w:i/>
          <w:spacing w:val="3"/>
          <w:sz w:val="20"/>
        </w:rPr>
        <w:t>o</w:t>
      </w:r>
      <w:r w:rsidR="00C66CE6" w:rsidRPr="008613A7">
        <w:rPr>
          <w:i/>
          <w:sz w:val="20"/>
        </w:rPr>
        <w:t>m</w:t>
      </w:r>
      <w:r w:rsidR="00C66CE6" w:rsidRPr="008613A7">
        <w:rPr>
          <w:i/>
          <w:spacing w:val="-5"/>
          <w:sz w:val="20"/>
        </w:rPr>
        <w:t xml:space="preserve"> Dale Bickel, Senior Engineer</w:t>
      </w:r>
      <w:r w:rsidR="00C66CE6" w:rsidRPr="008613A7">
        <w:rPr>
          <w:i/>
          <w:sz w:val="20"/>
        </w:rPr>
        <w:t>,</w:t>
      </w:r>
      <w:r w:rsidR="00C66CE6" w:rsidRPr="008613A7">
        <w:rPr>
          <w:i/>
          <w:spacing w:val="-2"/>
          <w:sz w:val="20"/>
        </w:rPr>
        <w:t xml:space="preserve"> </w:t>
      </w:r>
      <w:r w:rsidR="00C66CE6" w:rsidRPr="008613A7">
        <w:rPr>
          <w:i/>
          <w:sz w:val="20"/>
        </w:rPr>
        <w:t>A</w:t>
      </w:r>
      <w:r w:rsidR="00C66CE6" w:rsidRPr="008613A7">
        <w:rPr>
          <w:i/>
          <w:spacing w:val="-1"/>
          <w:sz w:val="20"/>
        </w:rPr>
        <w:t>u</w:t>
      </w:r>
      <w:r w:rsidR="00C66CE6" w:rsidRPr="008613A7">
        <w:rPr>
          <w:i/>
          <w:spacing w:val="1"/>
          <w:sz w:val="20"/>
        </w:rPr>
        <w:t>d</w:t>
      </w:r>
      <w:r w:rsidR="00C66CE6" w:rsidRPr="008613A7">
        <w:rPr>
          <w:i/>
          <w:sz w:val="20"/>
        </w:rPr>
        <w:t>io</w:t>
      </w:r>
      <w:r w:rsidR="00C66CE6" w:rsidRPr="008613A7">
        <w:rPr>
          <w:i/>
          <w:spacing w:val="-4"/>
          <w:sz w:val="20"/>
        </w:rPr>
        <w:t xml:space="preserve"> </w:t>
      </w:r>
      <w:r w:rsidR="00C66CE6" w:rsidRPr="008613A7">
        <w:rPr>
          <w:i/>
          <w:sz w:val="20"/>
        </w:rPr>
        <w:t>Di</w:t>
      </w:r>
      <w:r w:rsidR="00C66CE6" w:rsidRPr="008613A7">
        <w:rPr>
          <w:i/>
          <w:spacing w:val="-1"/>
          <w:sz w:val="20"/>
        </w:rPr>
        <w:t>v</w:t>
      </w:r>
      <w:r w:rsidR="00C66CE6" w:rsidRPr="008613A7">
        <w:rPr>
          <w:i/>
          <w:spacing w:val="2"/>
          <w:sz w:val="20"/>
        </w:rPr>
        <w:t>i</w:t>
      </w:r>
      <w:r w:rsidR="00C66CE6" w:rsidRPr="008613A7">
        <w:rPr>
          <w:i/>
          <w:spacing w:val="-1"/>
          <w:sz w:val="20"/>
        </w:rPr>
        <w:t>s</w:t>
      </w:r>
      <w:r w:rsidR="00C66CE6" w:rsidRPr="008613A7">
        <w:rPr>
          <w:i/>
          <w:spacing w:val="2"/>
          <w:sz w:val="20"/>
        </w:rPr>
        <w:t>i</w:t>
      </w:r>
      <w:r w:rsidR="00C66CE6" w:rsidRPr="008613A7">
        <w:rPr>
          <w:i/>
          <w:spacing w:val="1"/>
          <w:sz w:val="20"/>
        </w:rPr>
        <w:t>o</w:t>
      </w:r>
      <w:r w:rsidR="00C66CE6" w:rsidRPr="008613A7">
        <w:rPr>
          <w:i/>
          <w:spacing w:val="-1"/>
          <w:sz w:val="20"/>
        </w:rPr>
        <w:t>n</w:t>
      </w:r>
      <w:r w:rsidR="00C66CE6" w:rsidRPr="008613A7">
        <w:rPr>
          <w:i/>
          <w:sz w:val="20"/>
        </w:rPr>
        <w:t>,</w:t>
      </w:r>
      <w:r w:rsidR="00C66CE6" w:rsidRPr="008613A7">
        <w:rPr>
          <w:i/>
          <w:spacing w:val="-6"/>
          <w:sz w:val="20"/>
        </w:rPr>
        <w:t xml:space="preserve"> </w:t>
      </w:r>
      <w:r w:rsidR="00C66CE6" w:rsidRPr="008613A7">
        <w:rPr>
          <w:i/>
          <w:sz w:val="20"/>
        </w:rPr>
        <w:t>M</w:t>
      </w:r>
      <w:r w:rsidR="00C66CE6" w:rsidRPr="008613A7">
        <w:rPr>
          <w:i/>
          <w:spacing w:val="1"/>
          <w:sz w:val="20"/>
        </w:rPr>
        <w:t>ed</w:t>
      </w:r>
      <w:r w:rsidR="00C66CE6" w:rsidRPr="008613A7">
        <w:rPr>
          <w:i/>
          <w:sz w:val="20"/>
        </w:rPr>
        <w:t>ia</w:t>
      </w:r>
      <w:r w:rsidR="00C66CE6" w:rsidRPr="008613A7">
        <w:rPr>
          <w:i/>
          <w:spacing w:val="-5"/>
          <w:sz w:val="20"/>
        </w:rPr>
        <w:t xml:space="preserve"> </w:t>
      </w:r>
      <w:r w:rsidR="00C66CE6" w:rsidRPr="008613A7">
        <w:rPr>
          <w:i/>
          <w:spacing w:val="1"/>
          <w:sz w:val="20"/>
        </w:rPr>
        <w:t>B</w:t>
      </w:r>
      <w:r w:rsidR="00C66CE6" w:rsidRPr="008613A7">
        <w:rPr>
          <w:i/>
          <w:spacing w:val="-1"/>
          <w:sz w:val="20"/>
        </w:rPr>
        <w:t>u</w:t>
      </w:r>
      <w:r w:rsidR="00C66CE6" w:rsidRPr="008613A7">
        <w:rPr>
          <w:i/>
          <w:spacing w:val="1"/>
          <w:sz w:val="20"/>
        </w:rPr>
        <w:t>r</w:t>
      </w:r>
      <w:r w:rsidR="00C66CE6" w:rsidRPr="008613A7">
        <w:rPr>
          <w:i/>
          <w:sz w:val="20"/>
        </w:rPr>
        <w:t>e</w:t>
      </w:r>
      <w:r w:rsidR="00C66CE6" w:rsidRPr="008613A7">
        <w:rPr>
          <w:i/>
          <w:spacing w:val="1"/>
          <w:sz w:val="20"/>
        </w:rPr>
        <w:t>a</w:t>
      </w:r>
      <w:r w:rsidR="00C66CE6" w:rsidRPr="008613A7">
        <w:rPr>
          <w:i/>
          <w:spacing w:val="-1"/>
          <w:sz w:val="20"/>
        </w:rPr>
        <w:t>u</w:t>
      </w:r>
      <w:r w:rsidR="00C66CE6" w:rsidRPr="008613A7">
        <w:rPr>
          <w:i/>
          <w:sz w:val="20"/>
        </w:rPr>
        <w:t>,</w:t>
      </w:r>
      <w:r w:rsidR="00C66CE6" w:rsidRPr="008613A7">
        <w:rPr>
          <w:i/>
          <w:spacing w:val="-5"/>
          <w:sz w:val="20"/>
        </w:rPr>
        <w:t xml:space="preserve"> </w:t>
      </w:r>
      <w:r w:rsidR="00C66CE6" w:rsidRPr="008613A7">
        <w:rPr>
          <w:i/>
          <w:sz w:val="20"/>
        </w:rPr>
        <w:t>to</w:t>
      </w:r>
      <w:r w:rsidR="00C66CE6" w:rsidRPr="008613A7">
        <w:rPr>
          <w:i/>
          <w:spacing w:val="-1"/>
          <w:sz w:val="20"/>
        </w:rPr>
        <w:t xml:space="preserve"> </w:t>
      </w:r>
      <w:r w:rsidR="00C66CE6" w:rsidRPr="008613A7">
        <w:rPr>
          <w:i/>
          <w:spacing w:val="2"/>
          <w:sz w:val="20"/>
        </w:rPr>
        <w:t>Harry C. Martin, Counsel for Lazer</w:t>
      </w:r>
      <w:r w:rsidR="00C66CE6" w:rsidRPr="008613A7">
        <w:rPr>
          <w:spacing w:val="-3"/>
          <w:sz w:val="20"/>
        </w:rPr>
        <w:t xml:space="preserve"> </w:t>
      </w:r>
      <w:r w:rsidR="00C66CE6" w:rsidRPr="008613A7">
        <w:rPr>
          <w:spacing w:val="1"/>
          <w:sz w:val="20"/>
        </w:rPr>
        <w:t>(d</w:t>
      </w:r>
      <w:r w:rsidR="00C66CE6" w:rsidRPr="008613A7">
        <w:rPr>
          <w:sz w:val="20"/>
        </w:rPr>
        <w:t>ated</w:t>
      </w:r>
      <w:r w:rsidR="00C66CE6" w:rsidRPr="008613A7">
        <w:rPr>
          <w:spacing w:val="-2"/>
          <w:sz w:val="20"/>
        </w:rPr>
        <w:t xml:space="preserve"> </w:t>
      </w:r>
      <w:r w:rsidR="00C66CE6" w:rsidRPr="008613A7">
        <w:rPr>
          <w:sz w:val="20"/>
        </w:rPr>
        <w:t>Nov. 26,</w:t>
      </w:r>
      <w:r w:rsidR="00C66CE6" w:rsidRPr="008613A7">
        <w:rPr>
          <w:spacing w:val="-4"/>
          <w:sz w:val="20"/>
        </w:rPr>
        <w:t xml:space="preserve"> </w:t>
      </w:r>
      <w:r w:rsidR="00C66CE6" w:rsidRPr="008613A7">
        <w:rPr>
          <w:spacing w:val="1"/>
          <w:sz w:val="20"/>
        </w:rPr>
        <w:t>20</w:t>
      </w:r>
      <w:r w:rsidR="00C66CE6" w:rsidRPr="008613A7">
        <w:rPr>
          <w:spacing w:val="-1"/>
          <w:sz w:val="20"/>
        </w:rPr>
        <w:t>1</w:t>
      </w:r>
      <w:r w:rsidR="00C66CE6" w:rsidRPr="008613A7">
        <w:rPr>
          <w:spacing w:val="1"/>
          <w:sz w:val="20"/>
        </w:rPr>
        <w:t>3</w:t>
      </w:r>
      <w:r w:rsidR="00C66CE6" w:rsidRPr="008613A7">
        <w:rPr>
          <w:spacing w:val="2"/>
          <w:sz w:val="20"/>
        </w:rPr>
        <w:t>)</w:t>
      </w:r>
      <w:r w:rsidR="00C66CE6" w:rsidRPr="008613A7">
        <w:rPr>
          <w:sz w:val="20"/>
        </w:rPr>
        <w:t xml:space="preserve">; </w:t>
      </w:r>
      <w:r w:rsidR="00F25D1D" w:rsidRPr="008613A7">
        <w:rPr>
          <w:sz w:val="20"/>
        </w:rPr>
        <w:t xml:space="preserve">Extension of Existing Engineering STA, </w:t>
      </w:r>
      <w:r w:rsidR="00C66CE6" w:rsidRPr="008613A7">
        <w:rPr>
          <w:sz w:val="20"/>
        </w:rPr>
        <w:t xml:space="preserve">File No. BESTA-20140502ABM; </w:t>
      </w:r>
      <w:r w:rsidR="00C66CE6" w:rsidRPr="008613A7">
        <w:rPr>
          <w:i/>
          <w:spacing w:val="-2"/>
          <w:sz w:val="20"/>
        </w:rPr>
        <w:t>L</w:t>
      </w:r>
      <w:r w:rsidR="00C66CE6" w:rsidRPr="008613A7">
        <w:rPr>
          <w:i/>
          <w:sz w:val="20"/>
        </w:rPr>
        <w:t>etter</w:t>
      </w:r>
      <w:r w:rsidR="00C66CE6" w:rsidRPr="008613A7">
        <w:rPr>
          <w:i/>
          <w:spacing w:val="-4"/>
          <w:sz w:val="20"/>
        </w:rPr>
        <w:t xml:space="preserve"> </w:t>
      </w:r>
      <w:r w:rsidR="00C66CE6" w:rsidRPr="008613A7">
        <w:rPr>
          <w:i/>
          <w:spacing w:val="-2"/>
          <w:sz w:val="20"/>
        </w:rPr>
        <w:t>f</w:t>
      </w:r>
      <w:r w:rsidR="00C66CE6" w:rsidRPr="008613A7">
        <w:rPr>
          <w:i/>
          <w:spacing w:val="1"/>
          <w:sz w:val="20"/>
        </w:rPr>
        <w:t>r</w:t>
      </w:r>
      <w:r w:rsidR="00C66CE6" w:rsidRPr="008613A7">
        <w:rPr>
          <w:i/>
          <w:spacing w:val="3"/>
          <w:sz w:val="20"/>
        </w:rPr>
        <w:t>o</w:t>
      </w:r>
      <w:r w:rsidR="00C66CE6" w:rsidRPr="008613A7">
        <w:rPr>
          <w:i/>
          <w:sz w:val="20"/>
        </w:rPr>
        <w:t>m</w:t>
      </w:r>
      <w:r w:rsidR="00C66CE6" w:rsidRPr="008613A7">
        <w:rPr>
          <w:i/>
          <w:spacing w:val="-5"/>
          <w:sz w:val="20"/>
        </w:rPr>
        <w:t xml:space="preserve"> Dale Bickel, Senior Engineer</w:t>
      </w:r>
      <w:r w:rsidR="00C66CE6" w:rsidRPr="008613A7">
        <w:rPr>
          <w:i/>
          <w:sz w:val="20"/>
        </w:rPr>
        <w:t>,</w:t>
      </w:r>
      <w:r w:rsidR="00C66CE6" w:rsidRPr="008613A7">
        <w:rPr>
          <w:i/>
          <w:spacing w:val="-2"/>
          <w:sz w:val="20"/>
        </w:rPr>
        <w:t xml:space="preserve"> </w:t>
      </w:r>
      <w:r w:rsidR="00C66CE6" w:rsidRPr="008613A7">
        <w:rPr>
          <w:i/>
          <w:sz w:val="20"/>
        </w:rPr>
        <w:t>A</w:t>
      </w:r>
      <w:r w:rsidR="00C66CE6" w:rsidRPr="008613A7">
        <w:rPr>
          <w:i/>
          <w:spacing w:val="-1"/>
          <w:sz w:val="20"/>
        </w:rPr>
        <w:t>u</w:t>
      </w:r>
      <w:r w:rsidR="00C66CE6" w:rsidRPr="008613A7">
        <w:rPr>
          <w:i/>
          <w:spacing w:val="1"/>
          <w:sz w:val="20"/>
        </w:rPr>
        <w:t>d</w:t>
      </w:r>
      <w:r w:rsidR="00C66CE6" w:rsidRPr="008613A7">
        <w:rPr>
          <w:i/>
          <w:sz w:val="20"/>
        </w:rPr>
        <w:t>io</w:t>
      </w:r>
      <w:r w:rsidR="00C66CE6" w:rsidRPr="008613A7">
        <w:rPr>
          <w:i/>
          <w:spacing w:val="-4"/>
          <w:sz w:val="20"/>
        </w:rPr>
        <w:t xml:space="preserve"> </w:t>
      </w:r>
      <w:r w:rsidR="00C66CE6" w:rsidRPr="008613A7">
        <w:rPr>
          <w:i/>
          <w:sz w:val="20"/>
        </w:rPr>
        <w:t>Di</w:t>
      </w:r>
      <w:r w:rsidR="00C66CE6" w:rsidRPr="008613A7">
        <w:rPr>
          <w:i/>
          <w:spacing w:val="-1"/>
          <w:sz w:val="20"/>
        </w:rPr>
        <w:t>v</w:t>
      </w:r>
      <w:r w:rsidR="00C66CE6" w:rsidRPr="008613A7">
        <w:rPr>
          <w:i/>
          <w:spacing w:val="2"/>
          <w:sz w:val="20"/>
        </w:rPr>
        <w:t>i</w:t>
      </w:r>
      <w:r w:rsidR="00C66CE6" w:rsidRPr="008613A7">
        <w:rPr>
          <w:i/>
          <w:spacing w:val="-1"/>
          <w:sz w:val="20"/>
        </w:rPr>
        <w:t>s</w:t>
      </w:r>
      <w:r w:rsidR="00C66CE6" w:rsidRPr="008613A7">
        <w:rPr>
          <w:i/>
          <w:spacing w:val="2"/>
          <w:sz w:val="20"/>
        </w:rPr>
        <w:t>i</w:t>
      </w:r>
      <w:r w:rsidR="00C66CE6" w:rsidRPr="008613A7">
        <w:rPr>
          <w:i/>
          <w:spacing w:val="1"/>
          <w:sz w:val="20"/>
        </w:rPr>
        <w:t>o</w:t>
      </w:r>
      <w:r w:rsidR="00C66CE6" w:rsidRPr="008613A7">
        <w:rPr>
          <w:i/>
          <w:spacing w:val="-1"/>
          <w:sz w:val="20"/>
        </w:rPr>
        <w:t>n</w:t>
      </w:r>
      <w:r w:rsidR="00C66CE6" w:rsidRPr="008613A7">
        <w:rPr>
          <w:i/>
          <w:sz w:val="20"/>
        </w:rPr>
        <w:t>,</w:t>
      </w:r>
      <w:r w:rsidR="00C66CE6" w:rsidRPr="008613A7">
        <w:rPr>
          <w:i/>
          <w:spacing w:val="-6"/>
          <w:sz w:val="20"/>
        </w:rPr>
        <w:t xml:space="preserve"> </w:t>
      </w:r>
      <w:r w:rsidR="00C66CE6" w:rsidRPr="008613A7">
        <w:rPr>
          <w:i/>
          <w:sz w:val="20"/>
        </w:rPr>
        <w:t>M</w:t>
      </w:r>
      <w:r w:rsidR="00C66CE6" w:rsidRPr="008613A7">
        <w:rPr>
          <w:i/>
          <w:spacing w:val="1"/>
          <w:sz w:val="20"/>
        </w:rPr>
        <w:t>ed</w:t>
      </w:r>
      <w:r w:rsidR="00C66CE6" w:rsidRPr="008613A7">
        <w:rPr>
          <w:i/>
          <w:sz w:val="20"/>
        </w:rPr>
        <w:t>ia</w:t>
      </w:r>
      <w:r w:rsidR="00C66CE6" w:rsidRPr="008613A7">
        <w:rPr>
          <w:i/>
          <w:spacing w:val="-5"/>
          <w:sz w:val="20"/>
        </w:rPr>
        <w:t xml:space="preserve"> </w:t>
      </w:r>
      <w:r w:rsidR="00C66CE6" w:rsidRPr="008613A7">
        <w:rPr>
          <w:i/>
          <w:spacing w:val="1"/>
          <w:sz w:val="20"/>
        </w:rPr>
        <w:t>B</w:t>
      </w:r>
      <w:r w:rsidR="00C66CE6" w:rsidRPr="008613A7">
        <w:rPr>
          <w:i/>
          <w:spacing w:val="-1"/>
          <w:sz w:val="20"/>
        </w:rPr>
        <w:t>u</w:t>
      </w:r>
      <w:r w:rsidR="00C66CE6" w:rsidRPr="008613A7">
        <w:rPr>
          <w:i/>
          <w:spacing w:val="1"/>
          <w:sz w:val="20"/>
        </w:rPr>
        <w:t>r</w:t>
      </w:r>
      <w:r w:rsidR="00C66CE6" w:rsidRPr="008613A7">
        <w:rPr>
          <w:i/>
          <w:sz w:val="20"/>
        </w:rPr>
        <w:t>e</w:t>
      </w:r>
      <w:r w:rsidR="00C66CE6" w:rsidRPr="008613A7">
        <w:rPr>
          <w:i/>
          <w:spacing w:val="1"/>
          <w:sz w:val="20"/>
        </w:rPr>
        <w:t>a</w:t>
      </w:r>
      <w:r w:rsidR="00C66CE6" w:rsidRPr="008613A7">
        <w:rPr>
          <w:i/>
          <w:spacing w:val="-1"/>
          <w:sz w:val="20"/>
        </w:rPr>
        <w:t>u</w:t>
      </w:r>
      <w:r w:rsidR="00C66CE6" w:rsidRPr="008613A7">
        <w:rPr>
          <w:i/>
          <w:sz w:val="20"/>
        </w:rPr>
        <w:t>,</w:t>
      </w:r>
      <w:r w:rsidR="00C66CE6" w:rsidRPr="008613A7">
        <w:rPr>
          <w:i/>
          <w:spacing w:val="-5"/>
          <w:sz w:val="20"/>
        </w:rPr>
        <w:t xml:space="preserve"> </w:t>
      </w:r>
      <w:r w:rsidR="00C66CE6" w:rsidRPr="008613A7">
        <w:rPr>
          <w:i/>
          <w:sz w:val="20"/>
        </w:rPr>
        <w:t>to</w:t>
      </w:r>
      <w:r w:rsidR="00C66CE6" w:rsidRPr="008613A7">
        <w:rPr>
          <w:i/>
          <w:spacing w:val="-1"/>
          <w:sz w:val="20"/>
        </w:rPr>
        <w:t xml:space="preserve"> </w:t>
      </w:r>
      <w:r w:rsidR="00C66CE6" w:rsidRPr="008613A7">
        <w:rPr>
          <w:i/>
          <w:spacing w:val="2"/>
          <w:sz w:val="20"/>
        </w:rPr>
        <w:t>Harry C. Martin, Counsel for Lazer</w:t>
      </w:r>
      <w:r w:rsidR="00C66CE6" w:rsidRPr="008613A7">
        <w:rPr>
          <w:spacing w:val="-3"/>
          <w:sz w:val="20"/>
        </w:rPr>
        <w:t xml:space="preserve"> </w:t>
      </w:r>
      <w:r w:rsidR="00C66CE6" w:rsidRPr="008613A7">
        <w:rPr>
          <w:spacing w:val="1"/>
          <w:sz w:val="20"/>
        </w:rPr>
        <w:t>(d</w:t>
      </w:r>
      <w:r w:rsidR="00C66CE6" w:rsidRPr="008613A7">
        <w:rPr>
          <w:sz w:val="20"/>
        </w:rPr>
        <w:t>ated</w:t>
      </w:r>
      <w:r w:rsidR="00C66CE6" w:rsidRPr="008613A7">
        <w:rPr>
          <w:spacing w:val="-2"/>
          <w:sz w:val="20"/>
        </w:rPr>
        <w:t xml:space="preserve"> </w:t>
      </w:r>
      <w:r w:rsidR="00C66CE6" w:rsidRPr="008613A7">
        <w:rPr>
          <w:sz w:val="20"/>
        </w:rPr>
        <w:t>May 22,</w:t>
      </w:r>
      <w:r w:rsidR="00C66CE6" w:rsidRPr="008613A7">
        <w:rPr>
          <w:spacing w:val="-4"/>
          <w:sz w:val="20"/>
        </w:rPr>
        <w:t xml:space="preserve"> </w:t>
      </w:r>
      <w:r w:rsidR="00C66CE6" w:rsidRPr="008613A7">
        <w:rPr>
          <w:spacing w:val="1"/>
          <w:sz w:val="20"/>
        </w:rPr>
        <w:t>20</w:t>
      </w:r>
      <w:r w:rsidR="00C66CE6" w:rsidRPr="008613A7">
        <w:rPr>
          <w:spacing w:val="-1"/>
          <w:sz w:val="20"/>
        </w:rPr>
        <w:t>1</w:t>
      </w:r>
      <w:r w:rsidR="00C66CE6" w:rsidRPr="008613A7">
        <w:rPr>
          <w:spacing w:val="1"/>
          <w:sz w:val="20"/>
        </w:rPr>
        <w:t>4</w:t>
      </w:r>
      <w:r w:rsidR="00C66CE6" w:rsidRPr="008613A7">
        <w:rPr>
          <w:spacing w:val="2"/>
          <w:sz w:val="20"/>
        </w:rPr>
        <w:t>)</w:t>
      </w:r>
      <w:r w:rsidR="00C66CE6" w:rsidRPr="008613A7">
        <w:rPr>
          <w:sz w:val="20"/>
        </w:rPr>
        <w:t xml:space="preserve">; </w:t>
      </w:r>
      <w:r w:rsidR="00F25D1D" w:rsidRPr="008613A7">
        <w:rPr>
          <w:sz w:val="20"/>
        </w:rPr>
        <w:t xml:space="preserve">Extension of Existing Engineering STA, </w:t>
      </w:r>
      <w:r w:rsidR="00C66CE6" w:rsidRPr="008613A7">
        <w:rPr>
          <w:sz w:val="20"/>
        </w:rPr>
        <w:t xml:space="preserve">File No. BESTA-20141110AFO; </w:t>
      </w:r>
      <w:r w:rsidR="00C66CE6" w:rsidRPr="008613A7">
        <w:rPr>
          <w:i/>
          <w:spacing w:val="-2"/>
          <w:sz w:val="20"/>
        </w:rPr>
        <w:t>L</w:t>
      </w:r>
      <w:r w:rsidR="00C66CE6" w:rsidRPr="008613A7">
        <w:rPr>
          <w:i/>
          <w:sz w:val="20"/>
        </w:rPr>
        <w:t>etter</w:t>
      </w:r>
      <w:r w:rsidR="00C66CE6" w:rsidRPr="008613A7">
        <w:rPr>
          <w:i/>
          <w:spacing w:val="-4"/>
          <w:sz w:val="20"/>
        </w:rPr>
        <w:t xml:space="preserve"> </w:t>
      </w:r>
      <w:r w:rsidR="00C66CE6" w:rsidRPr="008613A7">
        <w:rPr>
          <w:i/>
          <w:spacing w:val="-2"/>
          <w:sz w:val="20"/>
        </w:rPr>
        <w:t>f</w:t>
      </w:r>
      <w:r w:rsidR="00C66CE6" w:rsidRPr="008613A7">
        <w:rPr>
          <w:i/>
          <w:spacing w:val="1"/>
          <w:sz w:val="20"/>
        </w:rPr>
        <w:t>r</w:t>
      </w:r>
      <w:r w:rsidR="00C66CE6" w:rsidRPr="008613A7">
        <w:rPr>
          <w:i/>
          <w:spacing w:val="3"/>
          <w:sz w:val="20"/>
        </w:rPr>
        <w:t>o</w:t>
      </w:r>
      <w:r w:rsidR="00C66CE6" w:rsidRPr="008613A7">
        <w:rPr>
          <w:i/>
          <w:sz w:val="20"/>
        </w:rPr>
        <w:t>m</w:t>
      </w:r>
      <w:r w:rsidR="00C66CE6" w:rsidRPr="008613A7">
        <w:rPr>
          <w:i/>
          <w:spacing w:val="-5"/>
          <w:sz w:val="20"/>
        </w:rPr>
        <w:t xml:space="preserve"> Dale Bickel, Senior Engineer</w:t>
      </w:r>
      <w:r w:rsidR="00C66CE6" w:rsidRPr="008613A7">
        <w:rPr>
          <w:i/>
          <w:sz w:val="20"/>
        </w:rPr>
        <w:t>,</w:t>
      </w:r>
      <w:r w:rsidR="00C66CE6" w:rsidRPr="008613A7">
        <w:rPr>
          <w:i/>
          <w:spacing w:val="-2"/>
          <w:sz w:val="20"/>
        </w:rPr>
        <w:t xml:space="preserve"> </w:t>
      </w:r>
      <w:r w:rsidR="00C66CE6" w:rsidRPr="008613A7">
        <w:rPr>
          <w:i/>
          <w:sz w:val="20"/>
        </w:rPr>
        <w:t>A</w:t>
      </w:r>
      <w:r w:rsidR="00C66CE6" w:rsidRPr="008613A7">
        <w:rPr>
          <w:i/>
          <w:spacing w:val="-1"/>
          <w:sz w:val="20"/>
        </w:rPr>
        <w:t>u</w:t>
      </w:r>
      <w:r w:rsidR="00C66CE6" w:rsidRPr="008613A7">
        <w:rPr>
          <w:i/>
          <w:spacing w:val="1"/>
          <w:sz w:val="20"/>
        </w:rPr>
        <w:t>d</w:t>
      </w:r>
      <w:r w:rsidR="00C66CE6" w:rsidRPr="008613A7">
        <w:rPr>
          <w:i/>
          <w:sz w:val="20"/>
        </w:rPr>
        <w:t>io</w:t>
      </w:r>
      <w:r w:rsidR="00C66CE6" w:rsidRPr="008613A7">
        <w:rPr>
          <w:i/>
          <w:spacing w:val="-4"/>
          <w:sz w:val="20"/>
        </w:rPr>
        <w:t xml:space="preserve"> </w:t>
      </w:r>
      <w:r w:rsidR="00C66CE6" w:rsidRPr="008613A7">
        <w:rPr>
          <w:i/>
          <w:sz w:val="20"/>
        </w:rPr>
        <w:t>Di</w:t>
      </w:r>
      <w:r w:rsidR="00C66CE6" w:rsidRPr="008613A7">
        <w:rPr>
          <w:i/>
          <w:spacing w:val="-1"/>
          <w:sz w:val="20"/>
        </w:rPr>
        <w:t>v</w:t>
      </w:r>
      <w:r w:rsidR="00C66CE6" w:rsidRPr="008613A7">
        <w:rPr>
          <w:i/>
          <w:spacing w:val="2"/>
          <w:sz w:val="20"/>
        </w:rPr>
        <w:t>i</w:t>
      </w:r>
      <w:r w:rsidR="00C66CE6" w:rsidRPr="008613A7">
        <w:rPr>
          <w:i/>
          <w:spacing w:val="-1"/>
          <w:sz w:val="20"/>
        </w:rPr>
        <w:t>s</w:t>
      </w:r>
      <w:r w:rsidR="00C66CE6" w:rsidRPr="008613A7">
        <w:rPr>
          <w:i/>
          <w:spacing w:val="2"/>
          <w:sz w:val="20"/>
        </w:rPr>
        <w:t>i</w:t>
      </w:r>
      <w:r w:rsidR="00C66CE6" w:rsidRPr="008613A7">
        <w:rPr>
          <w:i/>
          <w:spacing w:val="1"/>
          <w:sz w:val="20"/>
        </w:rPr>
        <w:t>o</w:t>
      </w:r>
      <w:r w:rsidR="00C66CE6" w:rsidRPr="008613A7">
        <w:rPr>
          <w:i/>
          <w:spacing w:val="-1"/>
          <w:sz w:val="20"/>
        </w:rPr>
        <w:t>n</w:t>
      </w:r>
      <w:r w:rsidR="00C66CE6" w:rsidRPr="008613A7">
        <w:rPr>
          <w:i/>
          <w:sz w:val="20"/>
        </w:rPr>
        <w:t>,</w:t>
      </w:r>
      <w:r w:rsidR="00C66CE6" w:rsidRPr="008613A7">
        <w:rPr>
          <w:i/>
          <w:spacing w:val="-6"/>
          <w:sz w:val="20"/>
        </w:rPr>
        <w:t xml:space="preserve"> </w:t>
      </w:r>
      <w:r w:rsidR="00C66CE6" w:rsidRPr="008613A7">
        <w:rPr>
          <w:i/>
          <w:sz w:val="20"/>
        </w:rPr>
        <w:t>M</w:t>
      </w:r>
      <w:r w:rsidR="00C66CE6" w:rsidRPr="008613A7">
        <w:rPr>
          <w:i/>
          <w:spacing w:val="1"/>
          <w:sz w:val="20"/>
        </w:rPr>
        <w:t>ed</w:t>
      </w:r>
      <w:r w:rsidR="00C66CE6" w:rsidRPr="008613A7">
        <w:rPr>
          <w:i/>
          <w:sz w:val="20"/>
        </w:rPr>
        <w:t>ia</w:t>
      </w:r>
      <w:r w:rsidR="00C66CE6" w:rsidRPr="008613A7">
        <w:rPr>
          <w:i/>
          <w:spacing w:val="-5"/>
          <w:sz w:val="20"/>
        </w:rPr>
        <w:t xml:space="preserve"> </w:t>
      </w:r>
      <w:r w:rsidR="00C66CE6" w:rsidRPr="008613A7">
        <w:rPr>
          <w:i/>
          <w:spacing w:val="1"/>
          <w:sz w:val="20"/>
        </w:rPr>
        <w:t>B</w:t>
      </w:r>
      <w:r w:rsidR="00C66CE6" w:rsidRPr="008613A7">
        <w:rPr>
          <w:i/>
          <w:spacing w:val="-1"/>
          <w:sz w:val="20"/>
        </w:rPr>
        <w:t>u</w:t>
      </w:r>
      <w:r w:rsidR="00C66CE6" w:rsidRPr="008613A7">
        <w:rPr>
          <w:i/>
          <w:spacing w:val="1"/>
          <w:sz w:val="20"/>
        </w:rPr>
        <w:t>r</w:t>
      </w:r>
      <w:r w:rsidR="00C66CE6" w:rsidRPr="008613A7">
        <w:rPr>
          <w:i/>
          <w:sz w:val="20"/>
        </w:rPr>
        <w:t>e</w:t>
      </w:r>
      <w:r w:rsidR="00C66CE6" w:rsidRPr="008613A7">
        <w:rPr>
          <w:i/>
          <w:spacing w:val="1"/>
          <w:sz w:val="20"/>
        </w:rPr>
        <w:t>a</w:t>
      </w:r>
      <w:r w:rsidR="00C66CE6" w:rsidRPr="008613A7">
        <w:rPr>
          <w:i/>
          <w:spacing w:val="-1"/>
          <w:sz w:val="20"/>
        </w:rPr>
        <w:t>u</w:t>
      </w:r>
      <w:r w:rsidR="00C66CE6" w:rsidRPr="008613A7">
        <w:rPr>
          <w:i/>
          <w:sz w:val="20"/>
        </w:rPr>
        <w:t>,</w:t>
      </w:r>
      <w:r w:rsidR="00C66CE6" w:rsidRPr="008613A7">
        <w:rPr>
          <w:i/>
          <w:spacing w:val="-5"/>
          <w:sz w:val="20"/>
        </w:rPr>
        <w:t xml:space="preserve"> </w:t>
      </w:r>
      <w:r w:rsidR="00C66CE6" w:rsidRPr="008613A7">
        <w:rPr>
          <w:i/>
          <w:sz w:val="20"/>
        </w:rPr>
        <w:t>to</w:t>
      </w:r>
      <w:r w:rsidR="00C66CE6" w:rsidRPr="008613A7">
        <w:rPr>
          <w:i/>
          <w:spacing w:val="-1"/>
          <w:sz w:val="20"/>
        </w:rPr>
        <w:t xml:space="preserve"> </w:t>
      </w:r>
      <w:r w:rsidR="00C66CE6" w:rsidRPr="008613A7">
        <w:rPr>
          <w:i/>
          <w:spacing w:val="2"/>
          <w:sz w:val="20"/>
        </w:rPr>
        <w:t>Harry C. Martin, Counsel for Lazer</w:t>
      </w:r>
      <w:r w:rsidR="00C66CE6" w:rsidRPr="008613A7">
        <w:rPr>
          <w:spacing w:val="-3"/>
          <w:sz w:val="20"/>
        </w:rPr>
        <w:t xml:space="preserve"> </w:t>
      </w:r>
      <w:r w:rsidR="00C66CE6" w:rsidRPr="008613A7">
        <w:rPr>
          <w:spacing w:val="1"/>
          <w:sz w:val="20"/>
        </w:rPr>
        <w:t>(d</w:t>
      </w:r>
      <w:r w:rsidR="00C66CE6" w:rsidRPr="008613A7">
        <w:rPr>
          <w:sz w:val="20"/>
        </w:rPr>
        <w:t>ated</w:t>
      </w:r>
      <w:r w:rsidR="00C66CE6" w:rsidRPr="008613A7">
        <w:rPr>
          <w:spacing w:val="-2"/>
          <w:sz w:val="20"/>
        </w:rPr>
        <w:t xml:space="preserve"> </w:t>
      </w:r>
      <w:r w:rsidR="00C66CE6" w:rsidRPr="008613A7">
        <w:rPr>
          <w:sz w:val="20"/>
        </w:rPr>
        <w:t>Dec. 18,</w:t>
      </w:r>
      <w:r w:rsidR="00C66CE6" w:rsidRPr="008613A7">
        <w:rPr>
          <w:spacing w:val="-4"/>
          <w:sz w:val="20"/>
        </w:rPr>
        <w:t xml:space="preserve"> </w:t>
      </w:r>
      <w:r w:rsidR="00C66CE6" w:rsidRPr="008613A7">
        <w:rPr>
          <w:spacing w:val="1"/>
          <w:sz w:val="20"/>
        </w:rPr>
        <w:t>20</w:t>
      </w:r>
      <w:r w:rsidR="00C66CE6" w:rsidRPr="008613A7">
        <w:rPr>
          <w:spacing w:val="-1"/>
          <w:sz w:val="20"/>
        </w:rPr>
        <w:t>14</w:t>
      </w:r>
      <w:r w:rsidR="00C66CE6" w:rsidRPr="008613A7">
        <w:rPr>
          <w:spacing w:val="2"/>
          <w:sz w:val="20"/>
        </w:rPr>
        <w:t>)</w:t>
      </w:r>
      <w:r w:rsidR="00C66CE6" w:rsidRPr="008613A7">
        <w:rPr>
          <w:sz w:val="20"/>
        </w:rPr>
        <w:t>.</w:t>
      </w:r>
    </w:p>
  </w:footnote>
  <w:footnote w:id="8">
    <w:p w:rsidR="00E06264" w:rsidRPr="008613A7" w:rsidRDefault="00E06264" w:rsidP="008613A7">
      <w:pPr>
        <w:pStyle w:val="FootnoteText"/>
      </w:pPr>
      <w:r w:rsidRPr="008613A7">
        <w:rPr>
          <w:rStyle w:val="FootnoteReference"/>
        </w:rPr>
        <w:footnoteRef/>
      </w:r>
      <w:r w:rsidR="00BA4893" w:rsidRPr="008613A7">
        <w:rPr>
          <w:i/>
        </w:rPr>
        <w:t xml:space="preserve"> </w:t>
      </w:r>
      <w:r w:rsidR="00B96842">
        <w:t>Minor Change Objection at 6</w:t>
      </w:r>
      <w:r w:rsidR="00AA4371" w:rsidRPr="008613A7">
        <w:rPr>
          <w:i/>
        </w:rPr>
        <w:t>.</w:t>
      </w:r>
    </w:p>
  </w:footnote>
  <w:footnote w:id="9">
    <w:p w:rsidR="00BD1C7B" w:rsidRPr="008613A7" w:rsidRDefault="00BD1C7B" w:rsidP="008613A7">
      <w:pPr>
        <w:pStyle w:val="FootnoteText"/>
      </w:pPr>
      <w:r w:rsidRPr="008613A7">
        <w:rPr>
          <w:rStyle w:val="FootnoteReference"/>
        </w:rPr>
        <w:footnoteRef/>
      </w:r>
      <w:r w:rsidRPr="008613A7">
        <w:t xml:space="preserve"> </w:t>
      </w:r>
      <w:r w:rsidRPr="008613A7">
        <w:rPr>
          <w:i/>
        </w:rPr>
        <w:t>See M&amp;M Broadcasters, Ltd</w:t>
      </w:r>
      <w:r w:rsidRPr="008613A7">
        <w:t>., Letter, 25 FCC Rcd 4942, 4946 (MB 2010) (finding informal objection amounted to untimely petition for reconsideration).</w:t>
      </w:r>
    </w:p>
  </w:footnote>
  <w:footnote w:id="10">
    <w:p w:rsidR="00BD1C7B" w:rsidRPr="008613A7" w:rsidRDefault="00BD1C7B" w:rsidP="008613A7">
      <w:pPr>
        <w:pStyle w:val="FootnoteText"/>
      </w:pPr>
      <w:r w:rsidRPr="008613A7">
        <w:rPr>
          <w:rStyle w:val="FootnoteReference"/>
        </w:rPr>
        <w:footnoteRef/>
      </w:r>
      <w:r w:rsidRPr="008613A7">
        <w:t xml:space="preserve"> </w:t>
      </w:r>
      <w:r w:rsidRPr="008613A7">
        <w:rPr>
          <w:i/>
        </w:rPr>
        <w:t>See</w:t>
      </w:r>
      <w:r w:rsidRPr="008613A7">
        <w:t xml:space="preserve"> 47 U.S.C. § 405</w:t>
      </w:r>
      <w:r w:rsidR="00EB1C08" w:rsidRPr="008613A7">
        <w:t xml:space="preserve"> (“A petition for reconsideration must be filed within thirty days from the date upon which public notice is given of the order, decision, report or action complained of.”)</w:t>
      </w:r>
      <w:r w:rsidRPr="008613A7">
        <w:t xml:space="preserve">.  </w:t>
      </w:r>
      <w:r w:rsidRPr="008613A7">
        <w:rPr>
          <w:i/>
        </w:rPr>
        <w:t xml:space="preserve">See also </w:t>
      </w:r>
      <w:r w:rsidRPr="008613A7">
        <w:t>47 C.F.R. § 1.106(f).</w:t>
      </w:r>
      <w:r w:rsidR="00510411" w:rsidRPr="008613A7">
        <w:t xml:space="preserve">  </w:t>
      </w:r>
    </w:p>
  </w:footnote>
  <w:footnote w:id="11">
    <w:p w:rsidR="00CF2D76" w:rsidRPr="008613A7" w:rsidRDefault="00CF2D76" w:rsidP="008613A7">
      <w:pPr>
        <w:pStyle w:val="FootnoteText"/>
      </w:pPr>
      <w:r w:rsidRPr="008613A7">
        <w:rPr>
          <w:rStyle w:val="FootnoteReference"/>
        </w:rPr>
        <w:footnoteRef/>
      </w:r>
      <w:r w:rsidRPr="008613A7">
        <w:t xml:space="preserve"> </w:t>
      </w:r>
      <w:r w:rsidRPr="008613A7">
        <w:rPr>
          <w:i/>
          <w:iCs/>
        </w:rPr>
        <w:t>See Reuters Ltd. v. FCC</w:t>
      </w:r>
      <w:r w:rsidRPr="008613A7">
        <w:t>, 781 F.2d 946, 952 (D.C. Cir. 1986) (</w:t>
      </w:r>
      <w:r w:rsidR="00253F64" w:rsidRPr="008613A7">
        <w:t>“</w:t>
      </w:r>
      <w:r w:rsidRPr="008613A7">
        <w:t>[W]e conclude that the Commission acted beyond its lawful authority when it entertained the belated petition for reconsideration.</w:t>
      </w:r>
      <w:r w:rsidR="00253F64" w:rsidRPr="008613A7">
        <w:t>”</w:t>
      </w:r>
      <w:r w:rsidRPr="008613A7">
        <w:t xml:space="preserve">). </w:t>
      </w:r>
      <w:r w:rsidR="00253F64" w:rsidRPr="008613A7">
        <w:t xml:space="preserve"> </w:t>
      </w:r>
      <w:r w:rsidRPr="008613A7">
        <w:rPr>
          <w:i/>
          <w:iCs/>
        </w:rPr>
        <w:t>See also Metromedia Inc</w:t>
      </w:r>
      <w:r w:rsidRPr="008613A7">
        <w:t>., Memorandum Opinion an</w:t>
      </w:r>
      <w:r w:rsidR="00253F64" w:rsidRPr="008613A7">
        <w:t>d Order, 56 FCC 2d 909, 909-10 ¶</w:t>
      </w:r>
      <w:r w:rsidRPr="008613A7">
        <w:t xml:space="preserve"> 2 (1975) (Commission may not waive 30-day filing period to accept a petition for reconsideration filed one day late); </w:t>
      </w:r>
      <w:r w:rsidRPr="008613A7">
        <w:rPr>
          <w:i/>
          <w:iCs/>
        </w:rPr>
        <w:t>Fortuna Systems Corp</w:t>
      </w:r>
      <w:r w:rsidRPr="008613A7">
        <w:t>., Order on Reconsideration, 3 FCC Rcd 5122, 5123</w:t>
      </w:r>
      <w:r w:rsidR="00253F64" w:rsidRPr="008613A7">
        <w:t xml:space="preserve"> ¶</w:t>
      </w:r>
      <w:r w:rsidRPr="008613A7">
        <w:t xml:space="preserve"> 9(CCB 1988). </w:t>
      </w:r>
      <w:r w:rsidR="00253F64" w:rsidRPr="008613A7">
        <w:t xml:space="preserve"> </w:t>
      </w:r>
      <w:r w:rsidRPr="008613A7">
        <w:t>Specifically, the courts have held that the Commission may not accept untimely reconsideration petitions in the absence of e</w:t>
      </w:r>
      <w:r w:rsidR="00253F64" w:rsidRPr="008613A7">
        <w:t xml:space="preserve">xtremely unusual circumstances.  </w:t>
      </w:r>
      <w:r w:rsidRPr="008613A7">
        <w:rPr>
          <w:i/>
          <w:iCs/>
        </w:rPr>
        <w:t>See, e.g., Virgin Islands Tel. Corp. v. FCC</w:t>
      </w:r>
      <w:r w:rsidRPr="008613A7">
        <w:t>, 989 F.2d 1231, 1237 (D.C. Cir. 1993).</w:t>
      </w:r>
    </w:p>
  </w:footnote>
  <w:footnote w:id="12">
    <w:p w:rsidR="00D77B0F" w:rsidRPr="008613A7" w:rsidRDefault="00D77B0F" w:rsidP="008613A7">
      <w:pPr>
        <w:pStyle w:val="FootnoteText"/>
      </w:pPr>
      <w:r w:rsidRPr="008613A7">
        <w:rPr>
          <w:rStyle w:val="FootnoteReference"/>
        </w:rPr>
        <w:footnoteRef/>
      </w:r>
      <w:r w:rsidRPr="008613A7">
        <w:t xml:space="preserve"> </w:t>
      </w:r>
      <w:r w:rsidRPr="008613A7">
        <w:rPr>
          <w:i/>
          <w:iCs/>
        </w:rPr>
        <w:t>Motions for Declaratory Rulings Regarding Commission Rules and Policies for Frequency Coordination in the Private Land Mobile Radio Services</w:t>
      </w:r>
      <w:r w:rsidRPr="008613A7">
        <w:t xml:space="preserve">, Memorandum Opinion and Order, 14 FCC Rcd 12752, 12757 </w:t>
      </w:r>
      <w:r w:rsidR="0079682B" w:rsidRPr="008613A7">
        <w:t>¶ 11</w:t>
      </w:r>
      <w:r w:rsidRPr="008613A7">
        <w:t xml:space="preserve">(1999); </w:t>
      </w:r>
      <w:r w:rsidRPr="008613A7">
        <w:rPr>
          <w:i/>
          <w:iCs/>
        </w:rPr>
        <w:t>MCI Telecommunications Corp. v. Pacific Northwest Bell Telephone Co</w:t>
      </w:r>
      <w:r w:rsidRPr="008613A7">
        <w:t>., Memorandum Opinion and Order, 5 FCC Rcd 216,</w:t>
      </w:r>
      <w:r w:rsidR="0079682B" w:rsidRPr="008613A7">
        <w:t xml:space="preserve"> 228</w:t>
      </w:r>
      <w:r w:rsidRPr="008613A7">
        <w:t xml:space="preserve"> n. 38 (1990) </w:t>
      </w:r>
      <w:r w:rsidRPr="008613A7">
        <w:rPr>
          <w:i/>
          <w:iCs/>
        </w:rPr>
        <w:t>recon denied</w:t>
      </w:r>
      <w:r w:rsidRPr="008613A7">
        <w:t xml:space="preserve">, 5 FCC Rcd 3463 (1990) </w:t>
      </w:r>
      <w:r w:rsidRPr="008613A7">
        <w:rPr>
          <w:i/>
          <w:iCs/>
        </w:rPr>
        <w:t>appeal dismissed sub nom. Mountain States Tel. and Tel. Co. v. FCC</w:t>
      </w:r>
      <w:r w:rsidRPr="008613A7">
        <w:t>, 951 F. 2d 1259 (10th Cir. 1991)(</w:t>
      </w:r>
      <w:r w:rsidRPr="008613A7">
        <w:rPr>
          <w:i/>
          <w:iCs/>
        </w:rPr>
        <w:t>per curium</w:t>
      </w:r>
      <w:r w:rsidRPr="008613A7">
        <w:t>).</w:t>
      </w:r>
    </w:p>
  </w:footnote>
  <w:footnote w:id="13">
    <w:p w:rsidR="0096650A" w:rsidRPr="008613A7" w:rsidRDefault="0096650A" w:rsidP="008613A7">
      <w:pPr>
        <w:pStyle w:val="FootnoteText"/>
      </w:pPr>
      <w:r w:rsidRPr="008613A7">
        <w:rPr>
          <w:rStyle w:val="FootnoteReference"/>
        </w:rPr>
        <w:footnoteRef/>
      </w:r>
      <w:r w:rsidRPr="008613A7">
        <w:t xml:space="preserve"> </w:t>
      </w:r>
      <w:r w:rsidRPr="008613A7">
        <w:rPr>
          <w:i/>
          <w:iCs/>
        </w:rPr>
        <w:t xml:space="preserve">See Contemporary Media, Inc., v. FCC, </w:t>
      </w:r>
      <w:r w:rsidRPr="008613A7">
        <w:rPr>
          <w:iCs/>
        </w:rPr>
        <w:t>214 F</w:t>
      </w:r>
      <w:r w:rsidR="00B0203E">
        <w:rPr>
          <w:iCs/>
        </w:rPr>
        <w:t>.3d 187, 193 (D.C. Cir. 2000)</w:t>
      </w:r>
      <w:r w:rsidRPr="008613A7">
        <w:rPr>
          <w:i/>
          <w:iCs/>
        </w:rPr>
        <w:t xml:space="preserve">.  </w:t>
      </w:r>
    </w:p>
  </w:footnote>
  <w:footnote w:id="14">
    <w:p w:rsidR="0096650A" w:rsidRPr="00BE5F84" w:rsidRDefault="0096650A" w:rsidP="008613A7">
      <w:pPr>
        <w:pStyle w:val="FootnoteText"/>
        <w:rPr>
          <w:b/>
        </w:rPr>
      </w:pPr>
      <w:r w:rsidRPr="008613A7">
        <w:rPr>
          <w:rStyle w:val="FootnoteReference"/>
        </w:rPr>
        <w:footnoteRef/>
      </w:r>
      <w:r w:rsidRPr="008613A7">
        <w:t xml:space="preserve"> </w:t>
      </w:r>
      <w:r w:rsidR="009F2745">
        <w:rPr>
          <w:i/>
        </w:rPr>
        <w:t xml:space="preserve">Policy Regarding </w:t>
      </w:r>
      <w:r w:rsidRPr="008613A7">
        <w:rPr>
          <w:i/>
          <w:iCs/>
        </w:rPr>
        <w:t xml:space="preserve">Character </w:t>
      </w:r>
      <w:r w:rsidR="009F2745">
        <w:rPr>
          <w:i/>
          <w:iCs/>
        </w:rPr>
        <w:t>Qualifications in Broadcast Licensing</w:t>
      </w:r>
      <w:r w:rsidRPr="008613A7">
        <w:rPr>
          <w:iCs/>
        </w:rPr>
        <w:t xml:space="preserve">, </w:t>
      </w:r>
      <w:r w:rsidR="009F2745">
        <w:rPr>
          <w:iCs/>
        </w:rPr>
        <w:t xml:space="preserve">Report, Order and Policy Statement, </w:t>
      </w:r>
      <w:r w:rsidRPr="008613A7">
        <w:rPr>
          <w:iCs/>
        </w:rPr>
        <w:t xml:space="preserve">102 FCC 2d </w:t>
      </w:r>
      <w:r w:rsidR="009F2745">
        <w:rPr>
          <w:iCs/>
        </w:rPr>
        <w:t>1179,</w:t>
      </w:r>
      <w:r w:rsidR="009F2745" w:rsidRPr="008613A7">
        <w:rPr>
          <w:iCs/>
        </w:rPr>
        <w:t xml:space="preserve"> </w:t>
      </w:r>
      <w:r w:rsidRPr="008613A7">
        <w:rPr>
          <w:iCs/>
        </w:rPr>
        <w:t>1210-11</w:t>
      </w:r>
      <w:r w:rsidR="009F2745">
        <w:rPr>
          <w:iCs/>
        </w:rPr>
        <w:t xml:space="preserve"> ¶¶60-61 (1986)</w:t>
      </w:r>
      <w:r w:rsidRPr="008613A7">
        <w:rPr>
          <w:i/>
          <w:iCs/>
        </w:rPr>
        <w:t>.</w:t>
      </w:r>
      <w:r w:rsidR="00BE5F84">
        <w:rPr>
          <w:i/>
          <w:iCs/>
        </w:rPr>
        <w:t xml:space="preserve">  </w:t>
      </w:r>
    </w:p>
  </w:footnote>
  <w:footnote w:id="15">
    <w:p w:rsidR="00133DD0" w:rsidRPr="00133DD0" w:rsidRDefault="00133DD0">
      <w:pPr>
        <w:pStyle w:val="FootnoteText"/>
      </w:pPr>
      <w:r>
        <w:rPr>
          <w:rStyle w:val="FootnoteReference"/>
        </w:rPr>
        <w:footnoteRef/>
      </w:r>
      <w:r>
        <w:t xml:space="preserve"> </w:t>
      </w:r>
      <w:r>
        <w:rPr>
          <w:i/>
        </w:rPr>
        <w:t>See, e.g., Applications for Consent to Transfer of Control from License Subsidiaries of Allbritton Communications Co. to Sinclair Television Group, Inc.</w:t>
      </w:r>
      <w:r>
        <w:t>, 29 FCC Rcd 9156 (MB 2014</w:t>
      </w:r>
      <w:r w:rsidR="008A2365">
        <w:t>)</w:t>
      </w:r>
      <w:r>
        <w:t xml:space="preserve"> (considering character-related allegations related to earlier applications in evaluating later-filed ones); </w:t>
      </w:r>
      <w:r>
        <w:rPr>
          <w:i/>
        </w:rPr>
        <w:t xml:space="preserve"> </w:t>
      </w:r>
      <w:r w:rsidRPr="00CC160F">
        <w:rPr>
          <w:i/>
          <w:iCs/>
        </w:rPr>
        <w:t>Apple 107.1</w:t>
      </w:r>
      <w:r w:rsidRPr="00CC160F">
        <w:t>,</w:t>
      </w:r>
      <w:r w:rsidRPr="00CC160F">
        <w:rPr>
          <w:i/>
          <w:iCs/>
        </w:rPr>
        <w:t xml:space="preserve"> Inc.</w:t>
      </w:r>
      <w:r w:rsidRPr="00CC160F">
        <w:t>, Memorandum Opinion and Order and Notice of Apparent Liability for Forfeiture, 28 FCC Rcd 15722 (MB 2013) (considering allegations of misrepresentation or lack of candor with respect to an earlier application when evaluating a later-filed one).</w:t>
      </w:r>
    </w:p>
  </w:footnote>
  <w:footnote w:id="16">
    <w:p w:rsidR="00C90389" w:rsidRPr="008613A7" w:rsidRDefault="00C90389" w:rsidP="008613A7">
      <w:pPr>
        <w:pStyle w:val="FootnoteText"/>
      </w:pPr>
      <w:r w:rsidRPr="008613A7">
        <w:rPr>
          <w:rStyle w:val="FootnoteReference"/>
        </w:rPr>
        <w:footnoteRef/>
      </w:r>
      <w:r w:rsidRPr="008613A7">
        <w:t xml:space="preserve"> A misrepresentation is a false statement of fact made with intent to deceive the Commission.  </w:t>
      </w:r>
      <w:r w:rsidRPr="008613A7">
        <w:rPr>
          <w:i/>
          <w:iCs/>
        </w:rPr>
        <w:t xml:space="preserve">Fox River Broadcasting, Inc., </w:t>
      </w:r>
      <w:r w:rsidRPr="008613A7">
        <w:rPr>
          <w:iCs/>
        </w:rPr>
        <w:t xml:space="preserve">Order, 93 F.C.C.2d 127, 129 (1983).  </w:t>
      </w:r>
      <w:r w:rsidRPr="008613A7">
        <w:t xml:space="preserve">A false certification also may constitute a misrepresentation.  </w:t>
      </w:r>
      <w:r w:rsidRPr="008613A7">
        <w:rPr>
          <w:i/>
          <w:iCs/>
        </w:rPr>
        <w:t xml:space="preserve">San Francisco Unified School District, </w:t>
      </w:r>
      <w:r w:rsidRPr="008613A7">
        <w:rPr>
          <w:iCs/>
        </w:rPr>
        <w:t xml:space="preserve">Hearing Designation Order and Notice of Apparent Liability for Forfeiture, 19 FCC Rcd 13326, 13334 nn.40-41 (2004) </w:t>
      </w:r>
      <w:r w:rsidRPr="008613A7">
        <w:t>(subsequent history omitted)</w:t>
      </w:r>
      <w:r w:rsidR="00021BCE" w:rsidRPr="008613A7">
        <w:t xml:space="preserve"> (“</w:t>
      </w:r>
      <w:r w:rsidR="00021BCE" w:rsidRPr="008613A7">
        <w:rPr>
          <w:i/>
        </w:rPr>
        <w:t>SFUSD</w:t>
      </w:r>
      <w:r w:rsidR="00021BCE" w:rsidRPr="008613A7">
        <w:t>”)</w:t>
      </w:r>
      <w:r w:rsidRPr="008613A7">
        <w:t>.</w:t>
      </w:r>
    </w:p>
  </w:footnote>
  <w:footnote w:id="17">
    <w:p w:rsidR="00D43597" w:rsidRPr="008613A7" w:rsidRDefault="00D43597" w:rsidP="008613A7">
      <w:pPr>
        <w:tabs>
          <w:tab w:val="left" w:pos="720"/>
          <w:tab w:val="left" w:pos="9270"/>
        </w:tabs>
        <w:spacing w:after="120"/>
        <w:rPr>
          <w:i/>
          <w:sz w:val="20"/>
        </w:rPr>
      </w:pPr>
      <w:r w:rsidRPr="008613A7">
        <w:rPr>
          <w:rStyle w:val="FootnoteReference"/>
        </w:rPr>
        <w:footnoteRef/>
      </w:r>
      <w:r w:rsidRPr="008613A7">
        <w:rPr>
          <w:sz w:val="20"/>
        </w:rPr>
        <w:t xml:space="preserve"> </w:t>
      </w:r>
      <w:r w:rsidR="00E06264" w:rsidRPr="008613A7">
        <w:rPr>
          <w:sz w:val="20"/>
        </w:rPr>
        <w:t>Minor Change Objection at 2.</w:t>
      </w:r>
    </w:p>
  </w:footnote>
  <w:footnote w:id="18">
    <w:p w:rsidR="000058B8" w:rsidRPr="008613A7" w:rsidRDefault="000058B8" w:rsidP="008613A7">
      <w:pPr>
        <w:pStyle w:val="FootnoteText"/>
        <w:rPr>
          <w:b/>
        </w:rPr>
      </w:pPr>
      <w:r w:rsidRPr="008613A7">
        <w:rPr>
          <w:rStyle w:val="FootnoteReference"/>
        </w:rPr>
        <w:footnoteRef/>
      </w:r>
      <w:r w:rsidRPr="008613A7">
        <w:t xml:space="preserve"> </w:t>
      </w:r>
      <w:r w:rsidR="000E30EC" w:rsidRPr="008613A7">
        <w:rPr>
          <w:i/>
        </w:rPr>
        <w:t xml:space="preserve">Id. </w:t>
      </w:r>
      <w:r w:rsidR="00E06264" w:rsidRPr="008613A7">
        <w:t>at 3-4.</w:t>
      </w:r>
      <w:r w:rsidR="00E06264" w:rsidRPr="008613A7">
        <w:rPr>
          <w:b/>
        </w:rPr>
        <w:t xml:space="preserve">  </w:t>
      </w:r>
      <w:r w:rsidR="009701E5" w:rsidRPr="008613A7">
        <w:t xml:space="preserve">Mount Wilson cites Lazer’s certification at Section 1, </w:t>
      </w:r>
      <w:r w:rsidR="005A3FE7">
        <w:t>I</w:t>
      </w:r>
      <w:r w:rsidR="009701E5" w:rsidRPr="008613A7">
        <w:t xml:space="preserve">tem 7 of FCC Form 302-FM, that “the facility was constructed as authorized in the underlying construction permit or complies with 47 C.F.R. §73.1690.”  </w:t>
      </w:r>
      <w:r w:rsidR="000E30EC" w:rsidRPr="008613A7">
        <w:rPr>
          <w:i/>
        </w:rPr>
        <w:t xml:space="preserve">Id. </w:t>
      </w:r>
      <w:r w:rsidR="00E06264" w:rsidRPr="008613A7">
        <w:t>at 2.</w:t>
      </w:r>
      <w:r w:rsidR="005A3FE7">
        <w:t xml:space="preserve">  </w:t>
      </w:r>
    </w:p>
  </w:footnote>
  <w:footnote w:id="19">
    <w:p w:rsidR="000058B8" w:rsidRPr="008613A7" w:rsidRDefault="000058B8" w:rsidP="008613A7">
      <w:pPr>
        <w:pStyle w:val="FootnoteText"/>
        <w:rPr>
          <w:b/>
        </w:rPr>
      </w:pPr>
      <w:r w:rsidRPr="008613A7">
        <w:rPr>
          <w:rStyle w:val="FootnoteReference"/>
        </w:rPr>
        <w:footnoteRef/>
      </w:r>
      <w:r w:rsidRPr="008613A7">
        <w:t xml:space="preserve"> </w:t>
      </w:r>
      <w:r w:rsidR="000E30EC" w:rsidRPr="008613A7">
        <w:rPr>
          <w:i/>
        </w:rPr>
        <w:t>Id.</w:t>
      </w:r>
      <w:r w:rsidR="000E30EC" w:rsidRPr="008613A7">
        <w:t xml:space="preserve">, </w:t>
      </w:r>
      <w:r w:rsidR="008208D0" w:rsidRPr="008613A7">
        <w:t>Attach. 7.</w:t>
      </w:r>
    </w:p>
  </w:footnote>
  <w:footnote w:id="20">
    <w:p w:rsidR="00130819" w:rsidRPr="008613A7" w:rsidRDefault="00130819" w:rsidP="008613A7">
      <w:pPr>
        <w:pStyle w:val="FootnoteText"/>
      </w:pPr>
      <w:r w:rsidRPr="008613A7">
        <w:rPr>
          <w:rStyle w:val="FootnoteReference"/>
        </w:rPr>
        <w:footnoteRef/>
      </w:r>
      <w:r w:rsidRPr="008613A7">
        <w:t xml:space="preserve"> Minor Change Opposition at </w:t>
      </w:r>
      <w:r w:rsidR="008208D0" w:rsidRPr="008613A7">
        <w:t>1-2.</w:t>
      </w:r>
    </w:p>
  </w:footnote>
  <w:footnote w:id="21">
    <w:p w:rsidR="002239FE" w:rsidRPr="008613A7" w:rsidRDefault="002239FE" w:rsidP="008613A7">
      <w:pPr>
        <w:pStyle w:val="FootnoteText"/>
      </w:pPr>
      <w:r w:rsidRPr="008613A7">
        <w:rPr>
          <w:rStyle w:val="FootnoteReference"/>
        </w:rPr>
        <w:footnoteRef/>
      </w:r>
      <w:r w:rsidRPr="008613A7">
        <w:t xml:space="preserve"> </w:t>
      </w:r>
      <w:r w:rsidR="000E30EC" w:rsidRPr="008613A7">
        <w:rPr>
          <w:i/>
        </w:rPr>
        <w:t>Id.</w:t>
      </w:r>
      <w:r w:rsidRPr="008613A7">
        <w:t xml:space="preserve"> at </w:t>
      </w:r>
      <w:r w:rsidR="008208D0" w:rsidRPr="008613A7">
        <w:t>2.</w:t>
      </w:r>
    </w:p>
  </w:footnote>
  <w:footnote w:id="22">
    <w:p w:rsidR="00766380" w:rsidRPr="008613A7" w:rsidRDefault="00766380" w:rsidP="008613A7">
      <w:pPr>
        <w:pStyle w:val="FootnoteText"/>
      </w:pPr>
      <w:r w:rsidRPr="008613A7">
        <w:rPr>
          <w:rStyle w:val="FootnoteReference"/>
        </w:rPr>
        <w:footnoteRef/>
      </w:r>
      <w:r w:rsidRPr="008613A7">
        <w:t xml:space="preserve"> </w:t>
      </w:r>
      <w:r w:rsidR="000E30EC" w:rsidRPr="008613A7">
        <w:rPr>
          <w:i/>
        </w:rPr>
        <w:t>Id.</w:t>
      </w:r>
      <w:r w:rsidR="008208D0" w:rsidRPr="008613A7">
        <w:t>, Decl. of Lloyd M. Moss.</w:t>
      </w:r>
    </w:p>
  </w:footnote>
  <w:footnote w:id="23">
    <w:p w:rsidR="00D43597" w:rsidRPr="008613A7" w:rsidRDefault="00D43597" w:rsidP="008613A7">
      <w:pPr>
        <w:pStyle w:val="FootnoteText"/>
      </w:pPr>
      <w:r w:rsidRPr="008613A7">
        <w:rPr>
          <w:rStyle w:val="FootnoteReference"/>
        </w:rPr>
        <w:footnoteRef/>
      </w:r>
      <w:r w:rsidRPr="008613A7">
        <w:t xml:space="preserve"> </w:t>
      </w:r>
      <w:r w:rsidR="000E30EC" w:rsidRPr="008613A7">
        <w:rPr>
          <w:i/>
        </w:rPr>
        <w:t>Id.</w:t>
      </w:r>
      <w:r w:rsidR="000E30EC" w:rsidRPr="008613A7">
        <w:t>,</w:t>
      </w:r>
      <w:r w:rsidR="00AA6768" w:rsidRPr="008613A7">
        <w:t xml:space="preserve"> Exhs. 2 and 3.  </w:t>
      </w:r>
      <w:r w:rsidRPr="008613A7">
        <w:t xml:space="preserve">Mr. Moss states that Exhibit 2 consists of photographs of the constructed tower and antenna taken during station broadcasts conducted on July 10, 2012, and that Exhibit 3 consists of photographs of the tower and antenna taken on August 18, 2012.  </w:t>
      </w:r>
      <w:r w:rsidR="000E30EC" w:rsidRPr="008613A7">
        <w:rPr>
          <w:i/>
        </w:rPr>
        <w:t>Id.</w:t>
      </w:r>
      <w:r w:rsidR="00AA6768" w:rsidRPr="008613A7">
        <w:t>, Decl. of Lloyd M. Moss.</w:t>
      </w:r>
    </w:p>
  </w:footnote>
  <w:footnote w:id="24">
    <w:p w:rsidR="00D43597" w:rsidRPr="008613A7" w:rsidRDefault="00D43597" w:rsidP="008613A7">
      <w:pPr>
        <w:pStyle w:val="FootnoteText"/>
      </w:pPr>
      <w:r w:rsidRPr="008613A7">
        <w:rPr>
          <w:rStyle w:val="FootnoteReference"/>
        </w:rPr>
        <w:footnoteRef/>
      </w:r>
      <w:r w:rsidRPr="008613A7">
        <w:t xml:space="preserve"> </w:t>
      </w:r>
      <w:r w:rsidRPr="00216D0B">
        <w:rPr>
          <w:i/>
        </w:rPr>
        <w:t>See</w:t>
      </w:r>
      <w:r w:rsidRPr="008613A7">
        <w:t xml:space="preserve"> </w:t>
      </w:r>
      <w:r w:rsidR="00141856" w:rsidRPr="008613A7">
        <w:rPr>
          <w:i/>
        </w:rPr>
        <w:t>Id.</w:t>
      </w:r>
      <w:r w:rsidRPr="008613A7">
        <w:t>, Exh</w:t>
      </w:r>
      <w:r w:rsidR="00141856" w:rsidRPr="008613A7">
        <w:t>.</w:t>
      </w:r>
      <w:r w:rsidRPr="008613A7">
        <w:t xml:space="preserve"> 1.  The lease term cover</w:t>
      </w:r>
      <w:r w:rsidR="00AC34EB" w:rsidRPr="008613A7">
        <w:t>s</w:t>
      </w:r>
      <w:r w:rsidRPr="008613A7">
        <w:t xml:space="preserve"> the period of construction and licensing, extending from July 1, 2012, through September 30, 2012.</w:t>
      </w:r>
    </w:p>
  </w:footnote>
  <w:footnote w:id="25">
    <w:p w:rsidR="00AC34EB" w:rsidRPr="008613A7" w:rsidRDefault="00AC34EB" w:rsidP="008613A7">
      <w:pPr>
        <w:pStyle w:val="FootnoteText"/>
      </w:pPr>
      <w:r w:rsidRPr="008613A7">
        <w:rPr>
          <w:rStyle w:val="FootnoteReference"/>
        </w:rPr>
        <w:footnoteRef/>
      </w:r>
      <w:r w:rsidRPr="008613A7">
        <w:t xml:space="preserve"> Minor Change Reply at </w:t>
      </w:r>
      <w:r w:rsidR="005C19CA" w:rsidRPr="008613A7">
        <w:t>3.</w:t>
      </w:r>
    </w:p>
  </w:footnote>
  <w:footnote w:id="26">
    <w:p w:rsidR="00863314" w:rsidRPr="008613A7" w:rsidRDefault="00863314" w:rsidP="008613A7">
      <w:pPr>
        <w:pStyle w:val="FootnoteText"/>
      </w:pPr>
      <w:r w:rsidRPr="008613A7">
        <w:rPr>
          <w:rStyle w:val="FootnoteReference"/>
        </w:rPr>
        <w:footnoteRef/>
      </w:r>
      <w:r w:rsidRPr="008613A7">
        <w:t xml:space="preserve"> </w:t>
      </w:r>
      <w:r w:rsidR="00141856" w:rsidRPr="008613A7">
        <w:rPr>
          <w:i/>
        </w:rPr>
        <w:t>Id.</w:t>
      </w:r>
      <w:r w:rsidR="005C19CA" w:rsidRPr="008613A7">
        <w:t xml:space="preserve"> at 3</w:t>
      </w:r>
      <w:r w:rsidRPr="008613A7">
        <w:t>.</w:t>
      </w:r>
    </w:p>
  </w:footnote>
  <w:footnote w:id="27">
    <w:p w:rsidR="00863314" w:rsidRPr="008613A7" w:rsidRDefault="00863314" w:rsidP="008613A7">
      <w:pPr>
        <w:pStyle w:val="FootnoteText"/>
      </w:pPr>
      <w:r w:rsidRPr="008613A7">
        <w:rPr>
          <w:rStyle w:val="FootnoteReference"/>
        </w:rPr>
        <w:footnoteRef/>
      </w:r>
      <w:r w:rsidRPr="008613A7">
        <w:t xml:space="preserve"> </w:t>
      </w:r>
      <w:r w:rsidR="00141856" w:rsidRPr="008613A7">
        <w:rPr>
          <w:i/>
        </w:rPr>
        <w:t>Id.</w:t>
      </w:r>
    </w:p>
  </w:footnote>
  <w:footnote w:id="28">
    <w:p w:rsidR="00FA231F" w:rsidRPr="008613A7" w:rsidRDefault="00FA231F" w:rsidP="008613A7">
      <w:pPr>
        <w:pStyle w:val="FootnoteText"/>
      </w:pPr>
      <w:r w:rsidRPr="008613A7">
        <w:rPr>
          <w:rStyle w:val="FootnoteReference"/>
        </w:rPr>
        <w:footnoteRef/>
      </w:r>
      <w:r w:rsidRPr="008613A7">
        <w:t xml:space="preserve"> </w:t>
      </w:r>
      <w:r w:rsidRPr="008613A7">
        <w:rPr>
          <w:i/>
        </w:rPr>
        <w:t>See</w:t>
      </w:r>
      <w:r w:rsidRPr="008613A7">
        <w:t xml:space="preserve"> Moss Supplemental Declaration at </w:t>
      </w:r>
      <w:r w:rsidR="00342535" w:rsidRPr="008613A7">
        <w:t>2</w:t>
      </w:r>
      <w:r w:rsidRPr="008613A7">
        <w:t>.</w:t>
      </w:r>
    </w:p>
  </w:footnote>
  <w:footnote w:id="29">
    <w:p w:rsidR="00FA231F" w:rsidRPr="008613A7" w:rsidRDefault="00FA231F" w:rsidP="008613A7">
      <w:pPr>
        <w:pStyle w:val="FootnoteText"/>
      </w:pPr>
      <w:r w:rsidRPr="008613A7">
        <w:rPr>
          <w:rStyle w:val="FootnoteReference"/>
        </w:rPr>
        <w:footnoteRef/>
      </w:r>
      <w:r w:rsidRPr="008613A7">
        <w:t xml:space="preserve"> </w:t>
      </w:r>
      <w:r w:rsidRPr="008613A7">
        <w:rPr>
          <w:i/>
        </w:rPr>
        <w:t>See</w:t>
      </w:r>
      <w:r w:rsidR="00141856" w:rsidRPr="008613A7">
        <w:t xml:space="preserve"> </w:t>
      </w:r>
      <w:r w:rsidR="00C1347A" w:rsidRPr="00C1347A">
        <w:rPr>
          <w:i/>
        </w:rPr>
        <w:t>i</w:t>
      </w:r>
      <w:r w:rsidR="00141856" w:rsidRPr="008613A7">
        <w:rPr>
          <w:i/>
        </w:rPr>
        <w:t>d</w:t>
      </w:r>
      <w:r w:rsidRPr="008613A7">
        <w:t>.</w:t>
      </w:r>
    </w:p>
  </w:footnote>
  <w:footnote w:id="30">
    <w:p w:rsidR="00D43597" w:rsidRPr="008613A7" w:rsidRDefault="00D43597" w:rsidP="008613A7">
      <w:pPr>
        <w:pStyle w:val="FootnoteText"/>
      </w:pPr>
      <w:r w:rsidRPr="008613A7">
        <w:rPr>
          <w:rStyle w:val="FootnoteReference"/>
        </w:rPr>
        <w:footnoteRef/>
      </w:r>
      <w:r w:rsidRPr="008613A7">
        <w:t xml:space="preserve"> </w:t>
      </w:r>
      <w:r w:rsidRPr="008613A7">
        <w:rPr>
          <w:i/>
        </w:rPr>
        <w:t>See</w:t>
      </w:r>
      <w:r w:rsidR="00141856" w:rsidRPr="008613A7">
        <w:t xml:space="preserve"> </w:t>
      </w:r>
      <w:r w:rsidR="00C1347A">
        <w:rPr>
          <w:i/>
        </w:rPr>
        <w:t>i</w:t>
      </w:r>
      <w:r w:rsidR="00141856" w:rsidRPr="008613A7">
        <w:rPr>
          <w:i/>
        </w:rPr>
        <w:t>d</w:t>
      </w:r>
      <w:r w:rsidRPr="008613A7">
        <w:t>.</w:t>
      </w:r>
    </w:p>
  </w:footnote>
  <w:footnote w:id="31">
    <w:p w:rsidR="009515CC" w:rsidRPr="008613A7" w:rsidRDefault="009515CC" w:rsidP="008613A7">
      <w:pPr>
        <w:pStyle w:val="FootnoteText"/>
      </w:pPr>
      <w:r w:rsidRPr="008613A7">
        <w:rPr>
          <w:rStyle w:val="FootnoteReference"/>
        </w:rPr>
        <w:footnoteRef/>
      </w:r>
      <w:r w:rsidRPr="008613A7">
        <w:t xml:space="preserve"> In the Minor Change Objection, Mount Wilson includes a Google Map photograph of the construction permit coordinates, which it describes as depicting “a heavily forested area which does not indicate the presence of any 35 meter antenna structure.</w:t>
      </w:r>
      <w:r w:rsidRPr="008613A7">
        <w:rPr>
          <w:rStyle w:val="FootnoteReference"/>
        </w:rPr>
        <w:t>”</w:t>
      </w:r>
      <w:r w:rsidRPr="008613A7">
        <w:t xml:space="preserve">  Minor Change Objection at 3.  Subsequently, in its Minor Change Reply, Mount Wilson states that its employee visited the coordinates specified in the Station’s construction permit on August 3, 2013, and that he “discovered the installation would have been in the middle of a drive way to a home.  Very close to the home.”  </w:t>
      </w:r>
      <w:r w:rsidR="00141856" w:rsidRPr="008613A7">
        <w:t>Minor Change Reply at 3.</w:t>
      </w:r>
      <w:r w:rsidR="00232DCF">
        <w:t xml:space="preserve">  </w:t>
      </w:r>
      <w:r w:rsidRPr="008613A7">
        <w:t>Mount Wilson makes no attempt to reconcile its conflicting statements.</w:t>
      </w:r>
    </w:p>
  </w:footnote>
  <w:footnote w:id="32">
    <w:p w:rsidR="00C90389" w:rsidRPr="008613A7" w:rsidRDefault="00C90389" w:rsidP="008613A7">
      <w:pPr>
        <w:pStyle w:val="FootnoteText"/>
      </w:pPr>
      <w:r w:rsidRPr="008613A7">
        <w:rPr>
          <w:rStyle w:val="FootnoteReference"/>
        </w:rPr>
        <w:footnoteRef/>
      </w:r>
      <w:r w:rsidRPr="008613A7">
        <w:t xml:space="preserve"> Lack of candor is a concealment, evasion, or other failure to be fully informative, accompanied by intent to deceive the Commission.  </w:t>
      </w:r>
      <w:r w:rsidR="00021BCE" w:rsidRPr="008613A7">
        <w:rPr>
          <w:i/>
          <w:iCs/>
        </w:rPr>
        <w:t>SFUSD,</w:t>
      </w:r>
      <w:r w:rsidR="00A170B9">
        <w:rPr>
          <w:i/>
          <w:iCs/>
        </w:rPr>
        <w:t xml:space="preserve"> </w:t>
      </w:r>
      <w:r w:rsidR="00021BCE" w:rsidRPr="008613A7">
        <w:rPr>
          <w:iCs/>
        </w:rPr>
        <w:t>19 FCC Rcd at 13334 nn.40-41</w:t>
      </w:r>
      <w:r w:rsidR="00021BCE" w:rsidRPr="008613A7">
        <w:t>.</w:t>
      </w:r>
    </w:p>
  </w:footnote>
  <w:footnote w:id="33">
    <w:p w:rsidR="00D45026" w:rsidRPr="008613A7" w:rsidRDefault="00D45026" w:rsidP="008613A7">
      <w:pPr>
        <w:pStyle w:val="FootnoteText"/>
      </w:pPr>
      <w:r w:rsidRPr="008613A7">
        <w:rPr>
          <w:rStyle w:val="FootnoteReference"/>
        </w:rPr>
        <w:footnoteRef/>
      </w:r>
      <w:r w:rsidRPr="008613A7">
        <w:t xml:space="preserve"> Minor Change Objection at </w:t>
      </w:r>
      <w:r w:rsidR="00342535" w:rsidRPr="008613A7">
        <w:t>4.</w:t>
      </w:r>
    </w:p>
  </w:footnote>
  <w:footnote w:id="34">
    <w:p w:rsidR="00FC7A49" w:rsidRPr="008613A7" w:rsidRDefault="00FC7A49" w:rsidP="008613A7">
      <w:pPr>
        <w:pStyle w:val="FootnoteText"/>
      </w:pPr>
      <w:r w:rsidRPr="008613A7">
        <w:rPr>
          <w:rStyle w:val="FootnoteReference"/>
        </w:rPr>
        <w:footnoteRef/>
      </w:r>
      <w:r w:rsidRPr="008613A7">
        <w:t xml:space="preserve"> </w:t>
      </w:r>
      <w:r w:rsidR="00342535" w:rsidRPr="008613A7">
        <w:t>Renewal</w:t>
      </w:r>
      <w:r w:rsidR="00D45026" w:rsidRPr="008613A7">
        <w:t xml:space="preserve"> </w:t>
      </w:r>
      <w:r w:rsidR="00342535" w:rsidRPr="008613A7">
        <w:t>Opposition at 2</w:t>
      </w:r>
      <w:r w:rsidR="00D45026" w:rsidRPr="008613A7">
        <w:t xml:space="preserve">, </w:t>
      </w:r>
      <w:r w:rsidR="00D45026" w:rsidRPr="008613A7">
        <w:rPr>
          <w:i/>
        </w:rPr>
        <w:t xml:space="preserve">citing </w:t>
      </w:r>
      <w:r w:rsidRPr="008613A7">
        <w:t>47 C.F.R. § 73.3598(a).</w:t>
      </w:r>
    </w:p>
  </w:footnote>
  <w:footnote w:id="35">
    <w:p w:rsidR="00FC7A49" w:rsidRPr="008613A7" w:rsidRDefault="00FC7A49" w:rsidP="008613A7">
      <w:pPr>
        <w:pStyle w:val="FootnoteText"/>
      </w:pPr>
      <w:r w:rsidRPr="008613A7">
        <w:rPr>
          <w:rStyle w:val="FootnoteReference"/>
        </w:rPr>
        <w:footnoteRef/>
      </w:r>
      <w:r w:rsidRPr="008613A7">
        <w:t xml:space="preserve"> </w:t>
      </w:r>
      <w:r w:rsidR="00141856" w:rsidRPr="008613A7">
        <w:rPr>
          <w:i/>
        </w:rPr>
        <w:t>Id.</w:t>
      </w:r>
      <w:r w:rsidR="00342535" w:rsidRPr="008613A7">
        <w:t>,</w:t>
      </w:r>
      <w:r w:rsidR="00540A5B" w:rsidRPr="008613A7">
        <w:rPr>
          <w:i/>
        </w:rPr>
        <w:t xml:space="preserve"> citing </w:t>
      </w:r>
      <w:r w:rsidRPr="008613A7">
        <w:t>47 C.F.R. § 73.1740(a)(4).</w:t>
      </w:r>
    </w:p>
  </w:footnote>
  <w:footnote w:id="36">
    <w:p w:rsidR="00D43597" w:rsidRPr="008613A7" w:rsidRDefault="00D43597" w:rsidP="008613A7">
      <w:pPr>
        <w:pStyle w:val="FootnoteText"/>
      </w:pPr>
      <w:r w:rsidRPr="008613A7">
        <w:rPr>
          <w:rStyle w:val="FootnoteReference"/>
        </w:rPr>
        <w:footnoteRef/>
      </w:r>
      <w:r w:rsidR="00C90FCF" w:rsidRPr="008613A7">
        <w:t xml:space="preserve"> </w:t>
      </w:r>
      <w:r w:rsidR="00141856" w:rsidRPr="008613A7">
        <w:rPr>
          <w:i/>
        </w:rPr>
        <w:t>Id</w:t>
      </w:r>
      <w:r w:rsidR="00342535" w:rsidRPr="008613A7">
        <w:t>.</w:t>
      </w:r>
      <w:r w:rsidR="00C90FCF" w:rsidRPr="008613A7">
        <w:t xml:space="preserve">  </w:t>
      </w:r>
    </w:p>
  </w:footnote>
  <w:footnote w:id="37">
    <w:p w:rsidR="00752B7F" w:rsidRDefault="00752B7F">
      <w:pPr>
        <w:pStyle w:val="FootnoteText"/>
      </w:pPr>
      <w:r>
        <w:rPr>
          <w:rStyle w:val="FootnoteReference"/>
        </w:rPr>
        <w:footnoteRef/>
      </w:r>
      <w:r>
        <w:t xml:space="preserve"> </w:t>
      </w:r>
      <w:r w:rsidRPr="008613A7">
        <w:t>47 C.F.R. § 1.65(a).</w:t>
      </w:r>
    </w:p>
  </w:footnote>
  <w:footnote w:id="38">
    <w:p w:rsidR="00C90FCF" w:rsidRPr="00752B7F" w:rsidRDefault="00C90FCF" w:rsidP="008613A7">
      <w:pPr>
        <w:pStyle w:val="FootnoteText"/>
      </w:pPr>
      <w:r w:rsidRPr="008613A7">
        <w:rPr>
          <w:rStyle w:val="FootnoteReference"/>
        </w:rPr>
        <w:footnoteRef/>
      </w:r>
      <w:r w:rsidRPr="008613A7">
        <w:t xml:space="preserve"> </w:t>
      </w:r>
      <w:r w:rsidR="00752B7F">
        <w:rPr>
          <w:i/>
        </w:rPr>
        <w:t>Id.</w:t>
      </w:r>
    </w:p>
  </w:footnote>
  <w:footnote w:id="39">
    <w:p w:rsidR="00C90FCF" w:rsidRPr="008613A7" w:rsidRDefault="00C90FCF" w:rsidP="008613A7">
      <w:pPr>
        <w:pStyle w:val="FootnoteText"/>
        <w:rPr>
          <w:i/>
        </w:rPr>
      </w:pPr>
      <w:r w:rsidRPr="008613A7">
        <w:rPr>
          <w:rStyle w:val="FootnoteReference"/>
        </w:rPr>
        <w:footnoteRef/>
      </w:r>
      <w:r w:rsidRPr="008613A7">
        <w:t xml:space="preserve"> </w:t>
      </w:r>
      <w:r w:rsidR="00141856" w:rsidRPr="008613A7">
        <w:rPr>
          <w:i/>
        </w:rPr>
        <w:t>Id.</w:t>
      </w:r>
    </w:p>
  </w:footnote>
  <w:footnote w:id="40">
    <w:p w:rsidR="00795FBE" w:rsidRPr="0058547E" w:rsidRDefault="00795FBE" w:rsidP="008613A7">
      <w:pPr>
        <w:pStyle w:val="FootnoteText"/>
      </w:pPr>
      <w:r w:rsidRPr="008613A7">
        <w:rPr>
          <w:rStyle w:val="FootnoteReference"/>
        </w:rPr>
        <w:footnoteRef/>
      </w:r>
      <w:r w:rsidRPr="008613A7">
        <w:t xml:space="preserve"> </w:t>
      </w:r>
      <w:r w:rsidR="006E3F52">
        <w:t>Centro de Intercesi</w:t>
      </w:r>
      <w:r w:rsidR="0003281F">
        <w:t>ó</w:t>
      </w:r>
      <w:r w:rsidR="006E3F52">
        <w:t>n y Adoaci</w:t>
      </w:r>
      <w:r w:rsidR="0003281F">
        <w:t>ó</w:t>
      </w:r>
      <w:r w:rsidR="006E3F52">
        <w:t>n</w:t>
      </w:r>
      <w:r w:rsidR="0003281F">
        <w:t xml:space="preserve"> Inernacional</w:t>
      </w:r>
      <w:r w:rsidR="006E3F52">
        <w:t>,</w:t>
      </w:r>
      <w:r w:rsidR="0003281F">
        <w:t xml:space="preserve"> Inc.</w:t>
      </w:r>
      <w:r w:rsidR="006E3F52">
        <w:t xml:space="preserve"> Letter</w:t>
      </w:r>
      <w:r w:rsidR="0003281F">
        <w:t>, DA 15-613,</w:t>
      </w:r>
      <w:r w:rsidR="006E3F52">
        <w:t xml:space="preserve"> at 4 (rel. May 21, 2015)</w:t>
      </w:r>
    </w:p>
  </w:footnote>
  <w:footnote w:id="41">
    <w:p w:rsidR="006E3F52" w:rsidRPr="006E3F52" w:rsidRDefault="006E3F52">
      <w:pPr>
        <w:pStyle w:val="FootnoteText"/>
      </w:pPr>
      <w:r>
        <w:rPr>
          <w:rStyle w:val="FootnoteReference"/>
        </w:rPr>
        <w:footnoteRef/>
      </w:r>
      <w:r>
        <w:t xml:space="preserve"> </w:t>
      </w:r>
      <w:r>
        <w:rPr>
          <w:i/>
        </w:rPr>
        <w:t xml:space="preserve">Id. </w:t>
      </w:r>
      <w:r>
        <w:t>at 5.</w:t>
      </w:r>
    </w:p>
  </w:footnote>
  <w:footnote w:id="42">
    <w:p w:rsidR="001D711A" w:rsidRPr="008613A7" w:rsidRDefault="001D711A" w:rsidP="008613A7">
      <w:pPr>
        <w:pStyle w:val="FootnoteText"/>
      </w:pPr>
      <w:r w:rsidRPr="008613A7">
        <w:rPr>
          <w:rStyle w:val="FootnoteReference"/>
        </w:rPr>
        <w:footnoteRef/>
      </w:r>
      <w:r w:rsidRPr="008613A7">
        <w:t xml:space="preserve"> </w:t>
      </w:r>
      <w:r w:rsidR="00F805E9" w:rsidRPr="008613A7">
        <w:rPr>
          <w:i/>
        </w:rPr>
        <w:t xml:space="preserve">See </w:t>
      </w:r>
      <w:r w:rsidRPr="008613A7">
        <w:t>47 C.F.R. § 1.17</w:t>
      </w:r>
      <w:r w:rsidR="00F805E9" w:rsidRPr="008613A7">
        <w:t>.</w:t>
      </w:r>
    </w:p>
  </w:footnote>
  <w:footnote w:id="43">
    <w:p w:rsidR="002438DF" w:rsidRPr="008613A7" w:rsidRDefault="002438DF" w:rsidP="008613A7">
      <w:pPr>
        <w:pStyle w:val="FootnoteText"/>
      </w:pPr>
      <w:r w:rsidRPr="008613A7">
        <w:rPr>
          <w:rStyle w:val="FootnoteReference"/>
        </w:rPr>
        <w:footnoteRef/>
      </w:r>
      <w:r w:rsidRPr="008613A7">
        <w:t xml:space="preserve"> </w:t>
      </w:r>
      <w:r w:rsidRPr="008613A7">
        <w:rPr>
          <w:i/>
        </w:rPr>
        <w:t xml:space="preserve">See Modification of FM and TV Authorizations to Specify a New Community of License, </w:t>
      </w:r>
      <w:r w:rsidRPr="008613A7">
        <w:t xml:space="preserve">Report and Order, 4 FCC Rcd 4870, 4872-74 </w:t>
      </w:r>
      <w:r w:rsidR="003B3CAB">
        <w:t xml:space="preserve">¶¶ 15-35 </w:t>
      </w:r>
      <w:r w:rsidRPr="008613A7">
        <w:t xml:space="preserve">(1989), </w:t>
      </w:r>
      <w:r w:rsidRPr="008613A7">
        <w:rPr>
          <w:i/>
        </w:rPr>
        <w:t xml:space="preserve">recon. granted in part, </w:t>
      </w:r>
      <w:r w:rsidRPr="008613A7">
        <w:t>Memorandum Opinion and Order, 5 FCC Rcd 7094 (1990).</w:t>
      </w:r>
    </w:p>
  </w:footnote>
  <w:footnote w:id="44">
    <w:p w:rsidR="002438DF" w:rsidRPr="008613A7" w:rsidRDefault="002438DF" w:rsidP="008613A7">
      <w:pPr>
        <w:pStyle w:val="FootnoteText"/>
        <w:rPr>
          <w:b/>
        </w:rPr>
      </w:pPr>
      <w:r w:rsidRPr="008613A7">
        <w:rPr>
          <w:rStyle w:val="FootnoteReference"/>
        </w:rPr>
        <w:footnoteRef/>
      </w:r>
      <w:r w:rsidRPr="008613A7">
        <w:t xml:space="preserve"> </w:t>
      </w:r>
      <w:r w:rsidR="00FC524A" w:rsidRPr="008613A7">
        <w:t xml:space="preserve">The proposed change of community satisfies the mutual exclusivity requirement of Section 73.3573(g)(2), </w:t>
      </w:r>
      <w:r w:rsidR="00E53672" w:rsidRPr="008613A7">
        <w:t>47 C.F.R. § 73.7373(g</w:t>
      </w:r>
      <w:r w:rsidR="00C06D28">
        <w:t>)</w:t>
      </w:r>
      <w:r w:rsidR="00E53672" w:rsidRPr="008613A7">
        <w:t xml:space="preserve">(2), </w:t>
      </w:r>
      <w:r w:rsidR="00FC524A" w:rsidRPr="008613A7">
        <w:t xml:space="preserve">because Channel 236A is the fifty-fourth adjacent channel to Channel 290A, and the transmitter sites for Carmel Valley and Gonzales, respectively, are less than the required spacing of </w:t>
      </w:r>
      <w:r w:rsidR="00C06D28">
        <w:t>10</w:t>
      </w:r>
      <w:r w:rsidR="00FC524A" w:rsidRPr="008613A7">
        <w:t xml:space="preserve"> kilometers apart.  See 47 C.F.R. §207(b)(1), Table A.</w:t>
      </w:r>
    </w:p>
  </w:footnote>
  <w:footnote w:id="45">
    <w:p w:rsidR="00E53672" w:rsidRPr="008613A7" w:rsidRDefault="00E53672" w:rsidP="008613A7">
      <w:pPr>
        <w:pStyle w:val="FootnoteText"/>
      </w:pPr>
      <w:r w:rsidRPr="008613A7">
        <w:rPr>
          <w:rStyle w:val="FootnoteReference"/>
        </w:rPr>
        <w:footnoteRef/>
      </w:r>
      <w:r w:rsidRPr="008613A7">
        <w:t xml:space="preserve"> </w:t>
      </w:r>
      <w:r w:rsidRPr="008613A7">
        <w:rPr>
          <w:i/>
        </w:rPr>
        <w:t xml:space="preserve">See Revision of FM Assignment Policies and Procedures, </w:t>
      </w:r>
      <w:r w:rsidRPr="008613A7">
        <w:t xml:space="preserve">Second Report and Order, 90 FCC 2d 88 (1982).  The FM allotment priorities are: (1) First fulltime aural service, (2) Second fulltime aural service, (3) First local service and (4) Other public interest matters.  Co-equal weight is given to Priorities (2) and (3).  Because there is no claim that Station KMLY would provide a first local service, we need not consider applicability of the Urbanized Area Service Presumption.  </w:t>
      </w:r>
      <w:r w:rsidRPr="008613A7">
        <w:rPr>
          <w:i/>
        </w:rPr>
        <w:t xml:space="preserve">See Policies to Promote Rural Radio Service and to Streamline Allotment and Assignment Procedures, </w:t>
      </w:r>
      <w:r w:rsidRPr="008613A7">
        <w:t>Second Report and Order, First Order On Reconsideration, and Second Further Notice of Proposed Ru</w:t>
      </w:r>
      <w:r w:rsidR="00C06D28">
        <w:t>le Making, 26 FCC Rcd 2556, 2572</w:t>
      </w:r>
      <w:r w:rsidRPr="008613A7">
        <w:t>-77</w:t>
      </w:r>
      <w:r w:rsidR="00C06D28">
        <w:t xml:space="preserve"> ¶¶ 30-35</w:t>
      </w:r>
      <w:r w:rsidRPr="008613A7">
        <w:t xml:space="preserve"> (2011) (“</w:t>
      </w:r>
      <w:r w:rsidRPr="008613A7">
        <w:rPr>
          <w:i/>
        </w:rPr>
        <w:t>Rural Radio Second R&amp;O</w:t>
      </w:r>
      <w:r w:rsidRPr="008613A7">
        <w:t>”).</w:t>
      </w:r>
    </w:p>
  </w:footnote>
  <w:footnote w:id="46">
    <w:p w:rsidR="00E53672" w:rsidRPr="008613A7" w:rsidRDefault="00E53672" w:rsidP="008613A7">
      <w:pPr>
        <w:pStyle w:val="FootnoteText"/>
      </w:pPr>
      <w:r w:rsidRPr="008613A7">
        <w:rPr>
          <w:rStyle w:val="FootnoteReference"/>
        </w:rPr>
        <w:footnoteRef/>
      </w:r>
      <w:r w:rsidRPr="008613A7">
        <w:t xml:space="preserve"> From 2000 to 2010, the population of Gonzales increased from 7,525 to 8,187 persons.</w:t>
      </w:r>
    </w:p>
  </w:footnote>
  <w:footnote w:id="47">
    <w:p w:rsidR="00E53672" w:rsidRPr="008613A7" w:rsidRDefault="00E53672" w:rsidP="008613A7">
      <w:pPr>
        <w:pStyle w:val="FootnoteText"/>
      </w:pPr>
      <w:r w:rsidRPr="008613A7">
        <w:rPr>
          <w:rStyle w:val="FootnoteReference"/>
        </w:rPr>
        <w:footnoteRef/>
      </w:r>
      <w:r w:rsidRPr="008613A7">
        <w:t xml:space="preserve"> Lazer states that Carmel Valley’s 2010 population of 4,407 persons is a decrease from 4,700 at the 2000 census.</w:t>
      </w:r>
    </w:p>
  </w:footnote>
  <w:footnote w:id="48">
    <w:p w:rsidR="002438DF" w:rsidRPr="008613A7" w:rsidRDefault="002438DF" w:rsidP="008613A7">
      <w:pPr>
        <w:pStyle w:val="FootnoteText"/>
      </w:pPr>
      <w:r w:rsidRPr="008613A7">
        <w:rPr>
          <w:rStyle w:val="FootnoteReference"/>
        </w:rPr>
        <w:footnoteRef/>
      </w:r>
      <w:r w:rsidRPr="008613A7">
        <w:t xml:space="preserve"> Gonzales has a police department, a fire department, a planning commission, a recreation commission, a community development director, a city attorney, a public works department, a fire </w:t>
      </w:r>
      <w:r w:rsidR="00B034E2" w:rsidRPr="008613A7">
        <w:t>marshal</w:t>
      </w:r>
      <w:r w:rsidRPr="008613A7">
        <w:t xml:space="preserve">, and an emergency services director.  </w:t>
      </w:r>
    </w:p>
  </w:footnote>
  <w:footnote w:id="49">
    <w:p w:rsidR="002438DF" w:rsidRPr="008613A7" w:rsidRDefault="002438DF" w:rsidP="008613A7">
      <w:pPr>
        <w:tabs>
          <w:tab w:val="left" w:pos="720"/>
          <w:tab w:val="left" w:pos="9270"/>
        </w:tabs>
        <w:spacing w:after="120"/>
        <w:rPr>
          <w:sz w:val="20"/>
        </w:rPr>
      </w:pPr>
      <w:r w:rsidRPr="008613A7">
        <w:rPr>
          <w:rStyle w:val="FootnoteReference"/>
        </w:rPr>
        <w:footnoteRef/>
      </w:r>
      <w:r w:rsidRPr="008613A7">
        <w:rPr>
          <w:sz w:val="20"/>
        </w:rPr>
        <w:t xml:space="preserve"> Gonzales has its own elementary, middle and high schools, in addition to a continuing education program.</w:t>
      </w:r>
    </w:p>
  </w:footnote>
  <w:footnote w:id="50">
    <w:p w:rsidR="002438DF" w:rsidRPr="008613A7" w:rsidRDefault="002438DF" w:rsidP="008613A7">
      <w:pPr>
        <w:pStyle w:val="FootnoteText"/>
      </w:pPr>
      <w:r w:rsidRPr="008613A7">
        <w:rPr>
          <w:rStyle w:val="FootnoteReference"/>
        </w:rPr>
        <w:footnoteRef/>
      </w:r>
      <w:r w:rsidRPr="008613A7">
        <w:t xml:space="preserve"> Our engineering analysis estimates a net loss of 237,416 persons.</w:t>
      </w:r>
    </w:p>
  </w:footnote>
  <w:footnote w:id="51">
    <w:p w:rsidR="00E53672" w:rsidRPr="008613A7" w:rsidRDefault="00E53672" w:rsidP="008613A7">
      <w:pPr>
        <w:pStyle w:val="FootnoteText"/>
      </w:pPr>
      <w:r w:rsidRPr="008613A7">
        <w:rPr>
          <w:rStyle w:val="FootnoteReference"/>
        </w:rPr>
        <w:footnoteRef/>
      </w:r>
      <w:r w:rsidRPr="008613A7">
        <w:t xml:space="preserve"> Lazer also points out that that the Station is “100% Hispanic-owned and operated and broadcasts in Spanish,” and that the population of Gonzales “is 88.9% Hispanic or Latino…(of any race).”  To the extent that Lazer is implying that Gonzales’s Latino population would benefit from programming targeted to a Latino audience, we note that the Commission has rejected public interest showings premised on the argument that specific types of programming are uniquely appealing to certain population segments of a station’s potential audience.  </w:t>
      </w:r>
      <w:r w:rsidRPr="008613A7">
        <w:rPr>
          <w:i/>
        </w:rPr>
        <w:t>See Suburbanaire, Inc.,</w:t>
      </w:r>
      <w:r w:rsidRPr="008613A7">
        <w:t xml:space="preserve"> Decision, 104 FCC2d 909 (Rev.</w:t>
      </w:r>
      <w:r w:rsidR="00B034E2">
        <w:t xml:space="preserve"> Bd. 1986), </w:t>
      </w:r>
      <w:r w:rsidRPr="00B034E2">
        <w:rPr>
          <w:i/>
        </w:rPr>
        <w:t>citing</w:t>
      </w:r>
      <w:r w:rsidRPr="008613A7">
        <w:t xml:space="preserve"> </w:t>
      </w:r>
      <w:r w:rsidRPr="008613A7">
        <w:rPr>
          <w:i/>
        </w:rPr>
        <w:t>Debra D. Carrigan</w:t>
      </w:r>
      <w:r w:rsidRPr="008613A7">
        <w:t>, Decision, 100 FCC2d 721 (Rev.</w:t>
      </w:r>
      <w:r w:rsidR="00B034E2">
        <w:t xml:space="preserve"> Bd. 1985) </w:t>
      </w:r>
      <w:r w:rsidR="00B034E2" w:rsidRPr="008613A7">
        <w:t>(“Section 307(b) addresses the needs and entitlements of competing ‘communities’ for new or improved broadcast services, not on indigenous applicant (or audience) cha</w:t>
      </w:r>
      <w:r w:rsidR="00B034E2">
        <w:t>racteristics.</w:t>
      </w:r>
      <w:r w:rsidR="00B034E2" w:rsidRPr="008613A7">
        <w:t>”</w:t>
      </w:r>
      <w:r w:rsidR="00B034E2">
        <w:t>)</w:t>
      </w:r>
      <w:r w:rsidRPr="008613A7">
        <w:t xml:space="preserve">. </w:t>
      </w:r>
      <w:r w:rsidR="00B034E2">
        <w:t xml:space="preserve"> </w:t>
      </w:r>
      <w:r w:rsidRPr="008613A7">
        <w:t xml:space="preserve">Moreover, we note that the station is free to change its format and programming at any time.  </w:t>
      </w:r>
      <w:r w:rsidRPr="008613A7">
        <w:rPr>
          <w:i/>
        </w:rPr>
        <w:t>See FCC v. WNCN Listeners Guild</w:t>
      </w:r>
      <w:r w:rsidRPr="008613A7">
        <w:t xml:space="preserve">, 450 US 582 (1981) (upholding Commission reliance on market forces, rather than licensing procedures, to influence licensee format and programming decisions).  </w:t>
      </w:r>
      <w:r w:rsidRPr="008613A7">
        <w:rPr>
          <w:i/>
        </w:rPr>
        <w:t xml:space="preserve">See also Mr. Rod Kovel and John W. Zucker, Esq., </w:t>
      </w:r>
      <w:r w:rsidRPr="008613A7">
        <w:t>Letter, 23 FCC Rcd 1884 (MB 2008) (rejecting license renewal objections based on format and programming issues).</w:t>
      </w:r>
    </w:p>
  </w:footnote>
  <w:footnote w:id="52">
    <w:p w:rsidR="002438DF" w:rsidRPr="008613A7" w:rsidRDefault="002438DF" w:rsidP="008613A7">
      <w:pPr>
        <w:pStyle w:val="FootnoteText"/>
      </w:pPr>
      <w:r w:rsidRPr="008613A7">
        <w:rPr>
          <w:rStyle w:val="FootnoteReference"/>
        </w:rPr>
        <w:footnoteRef/>
      </w:r>
      <w:r w:rsidRPr="008613A7">
        <w:t xml:space="preserve"> </w:t>
      </w:r>
      <w:r w:rsidRPr="008613A7">
        <w:rPr>
          <w:i/>
        </w:rPr>
        <w:t>See</w:t>
      </w:r>
      <w:r w:rsidRPr="008613A7">
        <w:t xml:space="preserve"> </w:t>
      </w:r>
      <w:r w:rsidRPr="008613A7">
        <w:rPr>
          <w:i/>
        </w:rPr>
        <w:t>Rural Radio Second R&amp;O</w:t>
      </w:r>
      <w:r w:rsidRPr="008613A7">
        <w:t>, 26 FCC Rcd</w:t>
      </w:r>
      <w:r w:rsidR="00E95509">
        <w:t xml:space="preserve"> at 2578</w:t>
      </w:r>
      <w:r w:rsidRPr="008613A7">
        <w:t xml:space="preserve"> ¶ 39 (“With regard to Priority (4) claims, we seek to limit the presumption that raw net population gains, in and of themselves, represent a preferential arrangement of allotments or assignments under Section 307(b)… [U]nder Priority (4) applicants may offer any other information they believe to be pertinent to a public interest showing…”). </w:t>
      </w:r>
      <w:r w:rsidRPr="008613A7">
        <w:rPr>
          <w:i/>
        </w:rPr>
        <w:t>See also Dulac, Louisiana</w:t>
      </w:r>
      <w:r w:rsidRPr="008613A7">
        <w:t>, Report and Order, 24 FCC Rcd 10154, 10155 (MB 2009) (“net loss is acceptable because it is outweighed by the overall public interest benefits of the hybrid application-rulemaking proposa</w:t>
      </w:r>
      <w:r w:rsidR="00E95509">
        <w:t>l”)</w:t>
      </w:r>
      <w:r w:rsidRPr="008613A7">
        <w:t>.</w:t>
      </w:r>
    </w:p>
  </w:footnote>
  <w:footnote w:id="53">
    <w:p w:rsidR="004066D6" w:rsidRPr="008613A7" w:rsidRDefault="004066D6" w:rsidP="008613A7">
      <w:pPr>
        <w:pStyle w:val="FootnoteText"/>
      </w:pPr>
      <w:r w:rsidRPr="008613A7">
        <w:rPr>
          <w:rStyle w:val="FootnoteReference"/>
        </w:rPr>
        <w:footnoteRef/>
      </w:r>
      <w:r w:rsidRPr="008613A7">
        <w:t xml:space="preserve"> </w:t>
      </w:r>
      <w:r w:rsidRPr="008613A7">
        <w:rPr>
          <w:i/>
        </w:rPr>
        <w:t>See Suburban Community Policy, Berwick Doctrine, and De Facto Reallocation Policy</w:t>
      </w:r>
      <w:r w:rsidRPr="008613A7">
        <w:t>, Report and Order, 93 FCC 2d 436, 456</w:t>
      </w:r>
      <w:r w:rsidR="00E95509">
        <w:t xml:space="preserve"> ¶ 38</w:t>
      </w:r>
      <w:r w:rsidRPr="008613A7">
        <w:t xml:space="preserve"> (1983), </w:t>
      </w:r>
      <w:r w:rsidRPr="008613A7">
        <w:rPr>
          <w:i/>
        </w:rPr>
        <w:t>recon. denied</w:t>
      </w:r>
      <w:r w:rsidRPr="008613A7">
        <w:t>, 56 RR 2d 835 (1984).</w:t>
      </w:r>
    </w:p>
  </w:footnote>
  <w:footnote w:id="54">
    <w:p w:rsidR="004066D6" w:rsidRPr="008613A7" w:rsidRDefault="004066D6" w:rsidP="008613A7">
      <w:pPr>
        <w:pStyle w:val="FootnoteText"/>
      </w:pPr>
      <w:r w:rsidRPr="008613A7">
        <w:rPr>
          <w:rStyle w:val="FootnoteReference"/>
        </w:rPr>
        <w:footnoteRef/>
      </w:r>
      <w:r w:rsidRPr="008613A7">
        <w:t xml:space="preserve"> 47 U.S.C. § 309(k).</w:t>
      </w:r>
    </w:p>
  </w:footnote>
  <w:footnote w:id="55">
    <w:p w:rsidR="004066D6" w:rsidRPr="008613A7" w:rsidRDefault="004066D6" w:rsidP="008613A7">
      <w:pPr>
        <w:pStyle w:val="FootnoteText"/>
      </w:pPr>
      <w:r w:rsidRPr="008613A7">
        <w:rPr>
          <w:rStyle w:val="FootnoteReference"/>
        </w:rPr>
        <w:footnoteRef/>
      </w:r>
      <w:r w:rsidRPr="008613A7">
        <w:t xml:space="preserve"> 47 U.S.C. § 309(k)(1).  The renewal standard was amended to read as described by Section 204(a) of the Telecommunications Act of 1996, Pub. L. No. 104-104, 110 Stat. 56 (1996).  </w:t>
      </w:r>
      <w:r w:rsidRPr="008613A7">
        <w:rPr>
          <w:i/>
        </w:rPr>
        <w:t>See Implementation of Sections 204(a) and 204(c) of the Telecommunications Act of 1996 (Broadcast License Renewal Procedures)</w:t>
      </w:r>
      <w:r w:rsidRPr="008613A7">
        <w:t>, Order, 11 FCC Rcd 6363 (1996).</w:t>
      </w:r>
    </w:p>
  </w:footnote>
  <w:footnote w:id="56">
    <w:p w:rsidR="004066D6" w:rsidRPr="008613A7" w:rsidRDefault="004066D6" w:rsidP="008613A7">
      <w:pPr>
        <w:pStyle w:val="FootnoteText"/>
      </w:pPr>
      <w:r w:rsidRPr="008613A7">
        <w:rPr>
          <w:rStyle w:val="FootnoteReference"/>
        </w:rPr>
        <w:footnoteRef/>
      </w:r>
      <w:r w:rsidRPr="008613A7">
        <w:t xml:space="preserve"> 47 U.S.C. §§ 309(k)(2), 309(k)(3).</w:t>
      </w:r>
    </w:p>
  </w:footnote>
  <w:footnote w:id="57">
    <w:p w:rsidR="00186BE7" w:rsidRPr="008613A7" w:rsidRDefault="00186BE7" w:rsidP="008613A7">
      <w:pPr>
        <w:pStyle w:val="FootnoteText"/>
        <w:jc w:val="both"/>
      </w:pPr>
      <w:r w:rsidRPr="008613A7">
        <w:rPr>
          <w:rStyle w:val="FootnoteReference"/>
        </w:rPr>
        <w:footnoteRef/>
      </w:r>
      <w:r w:rsidRPr="008613A7">
        <w:t xml:space="preserve"> </w:t>
      </w:r>
      <w:r w:rsidRPr="008613A7">
        <w:rPr>
          <w:i/>
        </w:rPr>
        <w:t>Birach Broadcasting Corp.</w:t>
      </w:r>
      <w:r w:rsidRPr="008613A7">
        <w:t>, Memorandum Opinion and Order, 16 FCC Rcd 5015, 5020</w:t>
      </w:r>
      <w:r w:rsidR="00CF52A0">
        <w:t xml:space="preserve"> ¶ 13</w:t>
      </w:r>
      <w:r w:rsidRPr="008613A7">
        <w:t xml:space="preserve"> (2001) (“</w:t>
      </w:r>
      <w:r w:rsidRPr="008613A7">
        <w:rPr>
          <w:i/>
        </w:rPr>
        <w:t>Birach</w:t>
      </w:r>
      <w:r w:rsidRPr="008613A7">
        <w:t>”).</w:t>
      </w:r>
    </w:p>
  </w:footnote>
  <w:footnote w:id="58">
    <w:p w:rsidR="00DD5CCF" w:rsidRPr="008613A7" w:rsidRDefault="00DD5CCF" w:rsidP="008613A7">
      <w:pPr>
        <w:pStyle w:val="FootnoteText"/>
      </w:pPr>
      <w:r w:rsidRPr="008613A7">
        <w:rPr>
          <w:rStyle w:val="FootnoteReference"/>
        </w:rPr>
        <w:footnoteRef/>
      </w:r>
      <w:r w:rsidRPr="008613A7">
        <w:t xml:space="preserve"> </w:t>
      </w:r>
      <w:r w:rsidRPr="008613A7">
        <w:rPr>
          <w:i/>
        </w:rPr>
        <w:t>See</w:t>
      </w:r>
      <w:r w:rsidRPr="008613A7">
        <w:t xml:space="preserve"> 47 U.S.C. § 309(k)(2).</w:t>
      </w:r>
    </w:p>
  </w:footnote>
  <w:footnote w:id="59">
    <w:p w:rsidR="00DD5CCF" w:rsidRPr="008613A7" w:rsidRDefault="00DD5CCF" w:rsidP="008613A7">
      <w:pPr>
        <w:pStyle w:val="Footer"/>
        <w:spacing w:after="120"/>
        <w:rPr>
          <w:sz w:val="20"/>
        </w:rPr>
      </w:pPr>
      <w:r w:rsidRPr="008613A7">
        <w:rPr>
          <w:rStyle w:val="FootnoteReference"/>
        </w:rPr>
        <w:footnoteRef/>
      </w:r>
      <w:r w:rsidRPr="008613A7">
        <w:rPr>
          <w:sz w:val="20"/>
        </w:rPr>
        <w:t xml:space="preserve"> </w:t>
      </w:r>
      <w:r w:rsidRPr="008613A7">
        <w:rPr>
          <w:i/>
          <w:sz w:val="20"/>
        </w:rPr>
        <w:t>See, e.g., Visionary Related Entertainment, LLC</w:t>
      </w:r>
      <w:r w:rsidRPr="008613A7">
        <w:rPr>
          <w:sz w:val="20"/>
        </w:rPr>
        <w:t>, Memorandum Opinion and Order, 27 FCC Rcd 1392 (MB 2012) (one-year renewal granted based on Licensee’s willful and repeated violations of the Commission’s radiofrequency radiation exposure guidelines at two stations);</w:t>
      </w:r>
      <w:r w:rsidRPr="008613A7">
        <w:rPr>
          <w:i/>
          <w:sz w:val="20"/>
        </w:rPr>
        <w:t xml:space="preserve"> South Seas Broadcasting, Inc., </w:t>
      </w:r>
      <w:r w:rsidRPr="008613A7">
        <w:rPr>
          <w:sz w:val="20"/>
        </w:rPr>
        <w:t xml:space="preserve">Memorandum Opinion and Order and Notice of Apparent Liability, 24 FCC Rcd 6474 (MB 2008) (two-year renewal granted, NAL issued, for willfully and repeatedly violating 47 C.F.R § 73.1350 by engaging in operation of the station at an unauthorized site and willfully and repeatedly violating 47 C.F.R § 73.1740 by leaving the station silent without the proper authorization); </w:t>
      </w:r>
      <w:r w:rsidRPr="008613A7">
        <w:rPr>
          <w:i/>
          <w:sz w:val="20"/>
        </w:rPr>
        <w:t>Enid Public Radio Association</w:t>
      </w:r>
      <w:r w:rsidRPr="008613A7">
        <w:rPr>
          <w:sz w:val="20"/>
        </w:rPr>
        <w:t>, Memorandum Opinion and Order and Notice of Apparent Liability for Forfeiture, 25 FCC Rcd 9138 (MB 2010) (six-year renewal granted, NAL issued, after finding a pattern of abuse where “‘the number, nature and extent’ of the violations on the record, coupled with the licensee’s apparent disregard for a prior admonition regarding those violations and refusal to address the allegations, indicate that ‘the licensee cannot be relied upon to operate [the station] in the future in accordance with the requirements of its licenses and the Commission's Rules’”).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E94" w:rsidRDefault="00236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7A4" w:rsidRPr="006665F5" w:rsidRDefault="009717A4" w:rsidP="008B26F7">
    <w:pPr>
      <w:pStyle w:val="Header"/>
      <w:pBdr>
        <w:bottom w:val="single" w:sz="12" w:space="1" w:color="auto"/>
      </w:pBdr>
      <w:rPr>
        <w:rStyle w:val="Emphasis"/>
      </w:rPr>
    </w:pPr>
    <w:r>
      <w:rPr>
        <w:spacing w:val="-2"/>
      </w:rPr>
      <w:tab/>
    </w:r>
    <w:r w:rsidR="006665F5">
      <w:t xml:space="preserve">Federal Communications Commission </w:t>
    </w:r>
    <w:r w:rsidR="006665F5">
      <w:tab/>
      <w:t xml:space="preserve">                          DA </w:t>
    </w:r>
    <w:r w:rsidR="008B26F7" w:rsidRPr="008B26F7">
      <w:t>15-720</w:t>
    </w:r>
  </w:p>
  <w:p w:rsidR="009717A4" w:rsidRDefault="009717A4">
    <w:pPr>
      <w:tabs>
        <w:tab w:val="left" w:pos="-720"/>
      </w:tabs>
      <w:suppressAutoHyphens/>
      <w:spacing w:line="19" w:lineRule="exact"/>
      <w:rPr>
        <w:spacing w:val="-2"/>
      </w:rPr>
    </w:pPr>
  </w:p>
  <w:p w:rsidR="009717A4" w:rsidRDefault="009717A4">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7A4" w:rsidRDefault="009717A4">
    <w:pPr>
      <w:pStyle w:val="Header"/>
      <w:pBdr>
        <w:bottom w:val="single" w:sz="12" w:space="1" w:color="auto"/>
      </w:pBdr>
      <w:rPr>
        <w:b w:val="0"/>
      </w:rPr>
    </w:pPr>
    <w:r>
      <w:tab/>
      <w:t xml:space="preserve">Federal Communications Commission </w:t>
    </w:r>
    <w:r>
      <w:tab/>
      <w:t xml:space="preserve">                          DA </w:t>
    </w:r>
    <w:r w:rsidR="008B26F7" w:rsidRPr="008B26F7">
      <w:t>15-720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97531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D0F1B3D"/>
    <w:multiLevelType w:val="multilevel"/>
    <w:tmpl w:val="A0A66B76"/>
    <w:lvl w:ilvl="0">
      <w:start w:val="1"/>
      <w:numFmt w:val="decimal"/>
      <w:lvlText w:val="%1."/>
      <w:lvlJc w:val="left"/>
      <w:pPr>
        <w:tabs>
          <w:tab w:val="num" w:pos="2250"/>
        </w:tabs>
        <w:ind w:left="1170"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Roman"/>
      <w:lvlText w:val="%2."/>
      <w:lvlJc w:val="left"/>
      <w:pPr>
        <w:tabs>
          <w:tab w:val="num" w:pos="2160"/>
        </w:tabs>
        <w:ind w:left="2160" w:hanging="720"/>
      </w:pPr>
      <w:rPr>
        <w:rFonts w:cs="Times New Roman"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A43675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8"/>
  </w:num>
  <w:num w:numId="3">
    <w:abstractNumId w:val="4"/>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7"/>
  </w:num>
  <w:num w:numId="12">
    <w:abstractNumId w:val="6"/>
  </w:num>
  <w:num w:numId="13">
    <w:abstractNumId w:val="2"/>
  </w:num>
  <w:num w:numId="14">
    <w:abstractNumId w:val="0"/>
  </w:num>
  <w:num w:numId="15">
    <w:abstractNumId w:val="3"/>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143"/>
    <w:rsid w:val="000009D7"/>
    <w:rsid w:val="0000174B"/>
    <w:rsid w:val="000058B8"/>
    <w:rsid w:val="00005D17"/>
    <w:rsid w:val="000153DF"/>
    <w:rsid w:val="00015E3D"/>
    <w:rsid w:val="00020A9E"/>
    <w:rsid w:val="00020F24"/>
    <w:rsid w:val="00021BCE"/>
    <w:rsid w:val="00027693"/>
    <w:rsid w:val="000317F1"/>
    <w:rsid w:val="0003281F"/>
    <w:rsid w:val="00036599"/>
    <w:rsid w:val="00044BCB"/>
    <w:rsid w:val="00045B61"/>
    <w:rsid w:val="000475BF"/>
    <w:rsid w:val="00051758"/>
    <w:rsid w:val="0005768C"/>
    <w:rsid w:val="00062196"/>
    <w:rsid w:val="00062B04"/>
    <w:rsid w:val="00067671"/>
    <w:rsid w:val="00073458"/>
    <w:rsid w:val="00083843"/>
    <w:rsid w:val="00083884"/>
    <w:rsid w:val="00095607"/>
    <w:rsid w:val="00096732"/>
    <w:rsid w:val="00096FB1"/>
    <w:rsid w:val="00097762"/>
    <w:rsid w:val="000A18F9"/>
    <w:rsid w:val="000A4241"/>
    <w:rsid w:val="000A5B71"/>
    <w:rsid w:val="000B6CBA"/>
    <w:rsid w:val="000B6E5C"/>
    <w:rsid w:val="000B6F19"/>
    <w:rsid w:val="000C1271"/>
    <w:rsid w:val="000C4645"/>
    <w:rsid w:val="000D0527"/>
    <w:rsid w:val="000D1F50"/>
    <w:rsid w:val="000D35C0"/>
    <w:rsid w:val="000D36BF"/>
    <w:rsid w:val="000D4F08"/>
    <w:rsid w:val="000D6EB9"/>
    <w:rsid w:val="000E257D"/>
    <w:rsid w:val="000E30EC"/>
    <w:rsid w:val="000E64B6"/>
    <w:rsid w:val="000E6D9A"/>
    <w:rsid w:val="000F1909"/>
    <w:rsid w:val="000F481B"/>
    <w:rsid w:val="00102279"/>
    <w:rsid w:val="00111C98"/>
    <w:rsid w:val="001140AF"/>
    <w:rsid w:val="00117901"/>
    <w:rsid w:val="001227E4"/>
    <w:rsid w:val="001249C2"/>
    <w:rsid w:val="00126D1A"/>
    <w:rsid w:val="00130819"/>
    <w:rsid w:val="001316C9"/>
    <w:rsid w:val="00131730"/>
    <w:rsid w:val="001322B0"/>
    <w:rsid w:val="00133DD0"/>
    <w:rsid w:val="00135BAF"/>
    <w:rsid w:val="00141856"/>
    <w:rsid w:val="00145486"/>
    <w:rsid w:val="00145EBF"/>
    <w:rsid w:val="00146AC3"/>
    <w:rsid w:val="00147858"/>
    <w:rsid w:val="0015206A"/>
    <w:rsid w:val="0015336E"/>
    <w:rsid w:val="00157FC2"/>
    <w:rsid w:val="00167C98"/>
    <w:rsid w:val="001703F1"/>
    <w:rsid w:val="00170C6A"/>
    <w:rsid w:val="00172EE2"/>
    <w:rsid w:val="00181E0E"/>
    <w:rsid w:val="001860D5"/>
    <w:rsid w:val="00186BE7"/>
    <w:rsid w:val="00194D2A"/>
    <w:rsid w:val="0019649F"/>
    <w:rsid w:val="001A2552"/>
    <w:rsid w:val="001A3CAE"/>
    <w:rsid w:val="001A5196"/>
    <w:rsid w:val="001A6A23"/>
    <w:rsid w:val="001B49B6"/>
    <w:rsid w:val="001B63F2"/>
    <w:rsid w:val="001C17E4"/>
    <w:rsid w:val="001C485A"/>
    <w:rsid w:val="001C4C2F"/>
    <w:rsid w:val="001D711A"/>
    <w:rsid w:val="001E0AF3"/>
    <w:rsid w:val="001E1073"/>
    <w:rsid w:val="001F33F3"/>
    <w:rsid w:val="001F50DC"/>
    <w:rsid w:val="001F671B"/>
    <w:rsid w:val="001F705A"/>
    <w:rsid w:val="002032C5"/>
    <w:rsid w:val="00207D2C"/>
    <w:rsid w:val="0021111B"/>
    <w:rsid w:val="00211BFE"/>
    <w:rsid w:val="00214DD7"/>
    <w:rsid w:val="00215541"/>
    <w:rsid w:val="00216D0B"/>
    <w:rsid w:val="0022121D"/>
    <w:rsid w:val="0022294D"/>
    <w:rsid w:val="002239FE"/>
    <w:rsid w:val="002257C7"/>
    <w:rsid w:val="00227CE1"/>
    <w:rsid w:val="002315F3"/>
    <w:rsid w:val="00231D80"/>
    <w:rsid w:val="00232DCF"/>
    <w:rsid w:val="00236E94"/>
    <w:rsid w:val="002438DF"/>
    <w:rsid w:val="00245396"/>
    <w:rsid w:val="00253F64"/>
    <w:rsid w:val="0025757E"/>
    <w:rsid w:val="002579CA"/>
    <w:rsid w:val="0026158F"/>
    <w:rsid w:val="0026537E"/>
    <w:rsid w:val="002663B3"/>
    <w:rsid w:val="00275622"/>
    <w:rsid w:val="002773BE"/>
    <w:rsid w:val="0028001F"/>
    <w:rsid w:val="0028045C"/>
    <w:rsid w:val="00282AF3"/>
    <w:rsid w:val="00287836"/>
    <w:rsid w:val="00287AA1"/>
    <w:rsid w:val="0029366C"/>
    <w:rsid w:val="00293F5C"/>
    <w:rsid w:val="002954C8"/>
    <w:rsid w:val="00296142"/>
    <w:rsid w:val="002A46D2"/>
    <w:rsid w:val="002A52AF"/>
    <w:rsid w:val="002B0BBF"/>
    <w:rsid w:val="002B2A61"/>
    <w:rsid w:val="002B4380"/>
    <w:rsid w:val="002B551D"/>
    <w:rsid w:val="002B7CB4"/>
    <w:rsid w:val="002D146D"/>
    <w:rsid w:val="002D2B96"/>
    <w:rsid w:val="002D57A3"/>
    <w:rsid w:val="002D68E7"/>
    <w:rsid w:val="002E1E9B"/>
    <w:rsid w:val="002E346E"/>
    <w:rsid w:val="002E7039"/>
    <w:rsid w:val="002E752C"/>
    <w:rsid w:val="002F1930"/>
    <w:rsid w:val="002F3B06"/>
    <w:rsid w:val="002F5FDD"/>
    <w:rsid w:val="002F67D9"/>
    <w:rsid w:val="002F7FC6"/>
    <w:rsid w:val="00300040"/>
    <w:rsid w:val="00301AE5"/>
    <w:rsid w:val="00301BAF"/>
    <w:rsid w:val="00307D5F"/>
    <w:rsid w:val="003148F8"/>
    <w:rsid w:val="0032176E"/>
    <w:rsid w:val="0033030F"/>
    <w:rsid w:val="00331C89"/>
    <w:rsid w:val="00340416"/>
    <w:rsid w:val="00340954"/>
    <w:rsid w:val="00341782"/>
    <w:rsid w:val="00341F6E"/>
    <w:rsid w:val="00342535"/>
    <w:rsid w:val="003430DA"/>
    <w:rsid w:val="00354975"/>
    <w:rsid w:val="003558EE"/>
    <w:rsid w:val="00355F32"/>
    <w:rsid w:val="00356909"/>
    <w:rsid w:val="003604A7"/>
    <w:rsid w:val="003610B7"/>
    <w:rsid w:val="0036681B"/>
    <w:rsid w:val="0037220F"/>
    <w:rsid w:val="00374942"/>
    <w:rsid w:val="0037619F"/>
    <w:rsid w:val="003769CC"/>
    <w:rsid w:val="00380598"/>
    <w:rsid w:val="00382A40"/>
    <w:rsid w:val="00383A62"/>
    <w:rsid w:val="003845F6"/>
    <w:rsid w:val="003901F6"/>
    <w:rsid w:val="003917C2"/>
    <w:rsid w:val="00397F07"/>
    <w:rsid w:val="003A041A"/>
    <w:rsid w:val="003A1814"/>
    <w:rsid w:val="003A25F1"/>
    <w:rsid w:val="003B3CAB"/>
    <w:rsid w:val="003C12ED"/>
    <w:rsid w:val="003C4E96"/>
    <w:rsid w:val="003D0100"/>
    <w:rsid w:val="003D14F2"/>
    <w:rsid w:val="003D4B95"/>
    <w:rsid w:val="003E0345"/>
    <w:rsid w:val="003E20D8"/>
    <w:rsid w:val="003E20EF"/>
    <w:rsid w:val="003E3811"/>
    <w:rsid w:val="003E3B01"/>
    <w:rsid w:val="003E440E"/>
    <w:rsid w:val="003E4424"/>
    <w:rsid w:val="003E6C0C"/>
    <w:rsid w:val="00404802"/>
    <w:rsid w:val="004064BB"/>
    <w:rsid w:val="004066D6"/>
    <w:rsid w:val="0041144D"/>
    <w:rsid w:val="00412F9D"/>
    <w:rsid w:val="0041400C"/>
    <w:rsid w:val="004157E4"/>
    <w:rsid w:val="0042191A"/>
    <w:rsid w:val="00421D41"/>
    <w:rsid w:val="004231BE"/>
    <w:rsid w:val="00443651"/>
    <w:rsid w:val="004438D4"/>
    <w:rsid w:val="00444B5D"/>
    <w:rsid w:val="00451C76"/>
    <w:rsid w:val="00452A9D"/>
    <w:rsid w:val="00455DCE"/>
    <w:rsid w:val="0045628B"/>
    <w:rsid w:val="00457D3F"/>
    <w:rsid w:val="00460A1A"/>
    <w:rsid w:val="00473234"/>
    <w:rsid w:val="004740EC"/>
    <w:rsid w:val="00474420"/>
    <w:rsid w:val="00474FB9"/>
    <w:rsid w:val="004772A5"/>
    <w:rsid w:val="00481296"/>
    <w:rsid w:val="0049442B"/>
    <w:rsid w:val="004960F0"/>
    <w:rsid w:val="004A0D4C"/>
    <w:rsid w:val="004A26F6"/>
    <w:rsid w:val="004A2ED5"/>
    <w:rsid w:val="004A30E5"/>
    <w:rsid w:val="004A3F95"/>
    <w:rsid w:val="004A45A0"/>
    <w:rsid w:val="004B3888"/>
    <w:rsid w:val="004C0BE2"/>
    <w:rsid w:val="004C3D5B"/>
    <w:rsid w:val="004C3D92"/>
    <w:rsid w:val="004D2C22"/>
    <w:rsid w:val="004E2D61"/>
    <w:rsid w:val="004E3810"/>
    <w:rsid w:val="004E6531"/>
    <w:rsid w:val="004F63A2"/>
    <w:rsid w:val="004F7413"/>
    <w:rsid w:val="00500B46"/>
    <w:rsid w:val="00502454"/>
    <w:rsid w:val="00510411"/>
    <w:rsid w:val="00512D1C"/>
    <w:rsid w:val="00520FBD"/>
    <w:rsid w:val="00526087"/>
    <w:rsid w:val="005269DC"/>
    <w:rsid w:val="0052730B"/>
    <w:rsid w:val="00530308"/>
    <w:rsid w:val="00534271"/>
    <w:rsid w:val="00540A5B"/>
    <w:rsid w:val="0054154B"/>
    <w:rsid w:val="0054175E"/>
    <w:rsid w:val="0054372A"/>
    <w:rsid w:val="005438E1"/>
    <w:rsid w:val="00543B42"/>
    <w:rsid w:val="0054484C"/>
    <w:rsid w:val="00546816"/>
    <w:rsid w:val="00547853"/>
    <w:rsid w:val="005524A9"/>
    <w:rsid w:val="0055308D"/>
    <w:rsid w:val="00560A69"/>
    <w:rsid w:val="00561EAB"/>
    <w:rsid w:val="005640B7"/>
    <w:rsid w:val="00565199"/>
    <w:rsid w:val="005657CB"/>
    <w:rsid w:val="00576D36"/>
    <w:rsid w:val="00577EA5"/>
    <w:rsid w:val="00580169"/>
    <w:rsid w:val="005820C4"/>
    <w:rsid w:val="00583B43"/>
    <w:rsid w:val="005840DD"/>
    <w:rsid w:val="00585375"/>
    <w:rsid w:val="0058547E"/>
    <w:rsid w:val="00586291"/>
    <w:rsid w:val="00587881"/>
    <w:rsid w:val="00590812"/>
    <w:rsid w:val="00593177"/>
    <w:rsid w:val="00595C2D"/>
    <w:rsid w:val="005A0D27"/>
    <w:rsid w:val="005A39C3"/>
    <w:rsid w:val="005A3B9C"/>
    <w:rsid w:val="005A3FE7"/>
    <w:rsid w:val="005A4799"/>
    <w:rsid w:val="005A6239"/>
    <w:rsid w:val="005A62BE"/>
    <w:rsid w:val="005A725A"/>
    <w:rsid w:val="005A776E"/>
    <w:rsid w:val="005B1253"/>
    <w:rsid w:val="005B6328"/>
    <w:rsid w:val="005B6D5E"/>
    <w:rsid w:val="005C0BB6"/>
    <w:rsid w:val="005C19CA"/>
    <w:rsid w:val="005C4C61"/>
    <w:rsid w:val="005D23A5"/>
    <w:rsid w:val="005D240B"/>
    <w:rsid w:val="005E329E"/>
    <w:rsid w:val="005E35C2"/>
    <w:rsid w:val="005E5830"/>
    <w:rsid w:val="005F2D54"/>
    <w:rsid w:val="005F31CB"/>
    <w:rsid w:val="005F3C89"/>
    <w:rsid w:val="005F4E54"/>
    <w:rsid w:val="00600E03"/>
    <w:rsid w:val="0060217D"/>
    <w:rsid w:val="006038FC"/>
    <w:rsid w:val="00603B37"/>
    <w:rsid w:val="0060724D"/>
    <w:rsid w:val="00616163"/>
    <w:rsid w:val="00621C3D"/>
    <w:rsid w:val="00625306"/>
    <w:rsid w:val="00627944"/>
    <w:rsid w:val="00631CF7"/>
    <w:rsid w:val="006415A1"/>
    <w:rsid w:val="00642E7C"/>
    <w:rsid w:val="00651D7B"/>
    <w:rsid w:val="0065286F"/>
    <w:rsid w:val="0065498C"/>
    <w:rsid w:val="006567D8"/>
    <w:rsid w:val="00660369"/>
    <w:rsid w:val="00661324"/>
    <w:rsid w:val="00663E12"/>
    <w:rsid w:val="00664273"/>
    <w:rsid w:val="006665F5"/>
    <w:rsid w:val="0066732A"/>
    <w:rsid w:val="00667630"/>
    <w:rsid w:val="00670432"/>
    <w:rsid w:val="00674791"/>
    <w:rsid w:val="00681CAF"/>
    <w:rsid w:val="00683D9B"/>
    <w:rsid w:val="006912A1"/>
    <w:rsid w:val="00693940"/>
    <w:rsid w:val="00696237"/>
    <w:rsid w:val="006978CD"/>
    <w:rsid w:val="006A0677"/>
    <w:rsid w:val="006A2DAD"/>
    <w:rsid w:val="006A6E61"/>
    <w:rsid w:val="006B4546"/>
    <w:rsid w:val="006C1B66"/>
    <w:rsid w:val="006C52D3"/>
    <w:rsid w:val="006D1382"/>
    <w:rsid w:val="006D37D9"/>
    <w:rsid w:val="006D4A63"/>
    <w:rsid w:val="006D6823"/>
    <w:rsid w:val="006E05FB"/>
    <w:rsid w:val="006E2562"/>
    <w:rsid w:val="006E3A2A"/>
    <w:rsid w:val="006E3F52"/>
    <w:rsid w:val="006E6ADB"/>
    <w:rsid w:val="006F2A6F"/>
    <w:rsid w:val="006F2D1E"/>
    <w:rsid w:val="007035C5"/>
    <w:rsid w:val="00706A6B"/>
    <w:rsid w:val="00712193"/>
    <w:rsid w:val="00712A06"/>
    <w:rsid w:val="00715F9C"/>
    <w:rsid w:val="00716245"/>
    <w:rsid w:val="00722A52"/>
    <w:rsid w:val="00724107"/>
    <w:rsid w:val="007252FE"/>
    <w:rsid w:val="007267A5"/>
    <w:rsid w:val="007333C4"/>
    <w:rsid w:val="00737FE8"/>
    <w:rsid w:val="00742529"/>
    <w:rsid w:val="00743AAE"/>
    <w:rsid w:val="00747D33"/>
    <w:rsid w:val="00751332"/>
    <w:rsid w:val="00752B7F"/>
    <w:rsid w:val="00752F6B"/>
    <w:rsid w:val="0075736B"/>
    <w:rsid w:val="007637A6"/>
    <w:rsid w:val="007662AC"/>
    <w:rsid w:val="00766380"/>
    <w:rsid w:val="00767019"/>
    <w:rsid w:val="00772143"/>
    <w:rsid w:val="00786BA9"/>
    <w:rsid w:val="007920F9"/>
    <w:rsid w:val="00793120"/>
    <w:rsid w:val="00795FBE"/>
    <w:rsid w:val="0079682B"/>
    <w:rsid w:val="007A1530"/>
    <w:rsid w:val="007A4870"/>
    <w:rsid w:val="007B07B4"/>
    <w:rsid w:val="007B2794"/>
    <w:rsid w:val="007B482C"/>
    <w:rsid w:val="007B7E7F"/>
    <w:rsid w:val="007C0B12"/>
    <w:rsid w:val="007C1539"/>
    <w:rsid w:val="007C1894"/>
    <w:rsid w:val="007C1EC7"/>
    <w:rsid w:val="007C21E9"/>
    <w:rsid w:val="007C4E0F"/>
    <w:rsid w:val="007D06CE"/>
    <w:rsid w:val="007D1A21"/>
    <w:rsid w:val="007D525F"/>
    <w:rsid w:val="007E29D4"/>
    <w:rsid w:val="007E4428"/>
    <w:rsid w:val="007E5529"/>
    <w:rsid w:val="007F0EE9"/>
    <w:rsid w:val="007F12E9"/>
    <w:rsid w:val="007F633C"/>
    <w:rsid w:val="007F640F"/>
    <w:rsid w:val="007F76CB"/>
    <w:rsid w:val="007F7923"/>
    <w:rsid w:val="008004C7"/>
    <w:rsid w:val="00804298"/>
    <w:rsid w:val="008044B2"/>
    <w:rsid w:val="00805C03"/>
    <w:rsid w:val="008208D0"/>
    <w:rsid w:val="0082364F"/>
    <w:rsid w:val="00830A5E"/>
    <w:rsid w:val="00834D02"/>
    <w:rsid w:val="00841827"/>
    <w:rsid w:val="008454C2"/>
    <w:rsid w:val="00846D01"/>
    <w:rsid w:val="00853F98"/>
    <w:rsid w:val="0085515D"/>
    <w:rsid w:val="0085572C"/>
    <w:rsid w:val="00856007"/>
    <w:rsid w:val="00856C99"/>
    <w:rsid w:val="00857AF1"/>
    <w:rsid w:val="008613A7"/>
    <w:rsid w:val="008614AB"/>
    <w:rsid w:val="00863314"/>
    <w:rsid w:val="0087480D"/>
    <w:rsid w:val="008764AA"/>
    <w:rsid w:val="008814B2"/>
    <w:rsid w:val="00882E3D"/>
    <w:rsid w:val="00883242"/>
    <w:rsid w:val="0088485F"/>
    <w:rsid w:val="00885D97"/>
    <w:rsid w:val="00892F36"/>
    <w:rsid w:val="00893F6A"/>
    <w:rsid w:val="008968FB"/>
    <w:rsid w:val="008A024A"/>
    <w:rsid w:val="008A0770"/>
    <w:rsid w:val="008A1CF9"/>
    <w:rsid w:val="008A2365"/>
    <w:rsid w:val="008A2CC8"/>
    <w:rsid w:val="008A72EA"/>
    <w:rsid w:val="008B26F7"/>
    <w:rsid w:val="008B3F0B"/>
    <w:rsid w:val="008B4A8A"/>
    <w:rsid w:val="008B63E4"/>
    <w:rsid w:val="008C00C3"/>
    <w:rsid w:val="008C1646"/>
    <w:rsid w:val="008C5A50"/>
    <w:rsid w:val="008E1064"/>
    <w:rsid w:val="008E3A5C"/>
    <w:rsid w:val="008E5665"/>
    <w:rsid w:val="008F1F07"/>
    <w:rsid w:val="008F4861"/>
    <w:rsid w:val="008F6307"/>
    <w:rsid w:val="008F6927"/>
    <w:rsid w:val="008F7E21"/>
    <w:rsid w:val="00901457"/>
    <w:rsid w:val="0090216F"/>
    <w:rsid w:val="00902755"/>
    <w:rsid w:val="00905B31"/>
    <w:rsid w:val="009061C7"/>
    <w:rsid w:val="009202C2"/>
    <w:rsid w:val="00923B98"/>
    <w:rsid w:val="0093095C"/>
    <w:rsid w:val="0093104E"/>
    <w:rsid w:val="0093154F"/>
    <w:rsid w:val="00932AD7"/>
    <w:rsid w:val="00940D03"/>
    <w:rsid w:val="00942F53"/>
    <w:rsid w:val="0094481B"/>
    <w:rsid w:val="009507F7"/>
    <w:rsid w:val="009515CC"/>
    <w:rsid w:val="0095483E"/>
    <w:rsid w:val="00954FFE"/>
    <w:rsid w:val="009565EE"/>
    <w:rsid w:val="0096650A"/>
    <w:rsid w:val="009701E5"/>
    <w:rsid w:val="009717A4"/>
    <w:rsid w:val="00971DFB"/>
    <w:rsid w:val="0097344F"/>
    <w:rsid w:val="0097709F"/>
    <w:rsid w:val="009804B5"/>
    <w:rsid w:val="009921F2"/>
    <w:rsid w:val="00995F6D"/>
    <w:rsid w:val="0099664B"/>
    <w:rsid w:val="009A2719"/>
    <w:rsid w:val="009B2A83"/>
    <w:rsid w:val="009B4A8E"/>
    <w:rsid w:val="009C0BE7"/>
    <w:rsid w:val="009C77F1"/>
    <w:rsid w:val="009D2757"/>
    <w:rsid w:val="009D293B"/>
    <w:rsid w:val="009D3584"/>
    <w:rsid w:val="009E0335"/>
    <w:rsid w:val="009E57CD"/>
    <w:rsid w:val="009F2745"/>
    <w:rsid w:val="009F3719"/>
    <w:rsid w:val="00A0252D"/>
    <w:rsid w:val="00A02634"/>
    <w:rsid w:val="00A02CC7"/>
    <w:rsid w:val="00A13225"/>
    <w:rsid w:val="00A1452B"/>
    <w:rsid w:val="00A14F90"/>
    <w:rsid w:val="00A15784"/>
    <w:rsid w:val="00A170B9"/>
    <w:rsid w:val="00A171F8"/>
    <w:rsid w:val="00A21F5F"/>
    <w:rsid w:val="00A225E8"/>
    <w:rsid w:val="00A227D9"/>
    <w:rsid w:val="00A24F89"/>
    <w:rsid w:val="00A27029"/>
    <w:rsid w:val="00A32DE0"/>
    <w:rsid w:val="00A36351"/>
    <w:rsid w:val="00A36620"/>
    <w:rsid w:val="00A40E69"/>
    <w:rsid w:val="00A427AC"/>
    <w:rsid w:val="00A52846"/>
    <w:rsid w:val="00A57E01"/>
    <w:rsid w:val="00A649F3"/>
    <w:rsid w:val="00A7418B"/>
    <w:rsid w:val="00A77869"/>
    <w:rsid w:val="00A77E73"/>
    <w:rsid w:val="00A80DCE"/>
    <w:rsid w:val="00A81451"/>
    <w:rsid w:val="00A90CBC"/>
    <w:rsid w:val="00A90F74"/>
    <w:rsid w:val="00A9241F"/>
    <w:rsid w:val="00A93244"/>
    <w:rsid w:val="00A9656D"/>
    <w:rsid w:val="00A97368"/>
    <w:rsid w:val="00AA1045"/>
    <w:rsid w:val="00AA2244"/>
    <w:rsid w:val="00AA2AAE"/>
    <w:rsid w:val="00AA4371"/>
    <w:rsid w:val="00AA586E"/>
    <w:rsid w:val="00AA6768"/>
    <w:rsid w:val="00AB0100"/>
    <w:rsid w:val="00AB04D6"/>
    <w:rsid w:val="00AB0963"/>
    <w:rsid w:val="00AB2E02"/>
    <w:rsid w:val="00AB565E"/>
    <w:rsid w:val="00AC1D32"/>
    <w:rsid w:val="00AC288C"/>
    <w:rsid w:val="00AC34EB"/>
    <w:rsid w:val="00AC6F3E"/>
    <w:rsid w:val="00AC7027"/>
    <w:rsid w:val="00AD2584"/>
    <w:rsid w:val="00AD2B9A"/>
    <w:rsid w:val="00AD3AC4"/>
    <w:rsid w:val="00AE3E71"/>
    <w:rsid w:val="00AE5F17"/>
    <w:rsid w:val="00AE5FF0"/>
    <w:rsid w:val="00AE7B71"/>
    <w:rsid w:val="00AF1CFD"/>
    <w:rsid w:val="00AF3438"/>
    <w:rsid w:val="00B00953"/>
    <w:rsid w:val="00B01352"/>
    <w:rsid w:val="00B0203E"/>
    <w:rsid w:val="00B034E2"/>
    <w:rsid w:val="00B04D1F"/>
    <w:rsid w:val="00B0580D"/>
    <w:rsid w:val="00B07990"/>
    <w:rsid w:val="00B10D06"/>
    <w:rsid w:val="00B2051C"/>
    <w:rsid w:val="00B22B5A"/>
    <w:rsid w:val="00B22E8D"/>
    <w:rsid w:val="00B238E2"/>
    <w:rsid w:val="00B275BE"/>
    <w:rsid w:val="00B31240"/>
    <w:rsid w:val="00B3451F"/>
    <w:rsid w:val="00B366AA"/>
    <w:rsid w:val="00B37F96"/>
    <w:rsid w:val="00B4507A"/>
    <w:rsid w:val="00B46B34"/>
    <w:rsid w:val="00B5310D"/>
    <w:rsid w:val="00B55E5C"/>
    <w:rsid w:val="00B6096B"/>
    <w:rsid w:val="00B656CF"/>
    <w:rsid w:val="00B664BC"/>
    <w:rsid w:val="00B6773C"/>
    <w:rsid w:val="00B70837"/>
    <w:rsid w:val="00B80569"/>
    <w:rsid w:val="00B823DF"/>
    <w:rsid w:val="00B919AF"/>
    <w:rsid w:val="00B96842"/>
    <w:rsid w:val="00BA056F"/>
    <w:rsid w:val="00BA3328"/>
    <w:rsid w:val="00BA452C"/>
    <w:rsid w:val="00BA4893"/>
    <w:rsid w:val="00BA49B2"/>
    <w:rsid w:val="00BA5C3E"/>
    <w:rsid w:val="00BA6111"/>
    <w:rsid w:val="00BA7381"/>
    <w:rsid w:val="00BB2972"/>
    <w:rsid w:val="00BB3691"/>
    <w:rsid w:val="00BB63A8"/>
    <w:rsid w:val="00BB798A"/>
    <w:rsid w:val="00BC0AF4"/>
    <w:rsid w:val="00BC20DA"/>
    <w:rsid w:val="00BC34D9"/>
    <w:rsid w:val="00BC6DFC"/>
    <w:rsid w:val="00BC7933"/>
    <w:rsid w:val="00BC7B80"/>
    <w:rsid w:val="00BD0752"/>
    <w:rsid w:val="00BD1C7B"/>
    <w:rsid w:val="00BD2D3A"/>
    <w:rsid w:val="00BD370C"/>
    <w:rsid w:val="00BD5DF9"/>
    <w:rsid w:val="00BD7116"/>
    <w:rsid w:val="00BE47A6"/>
    <w:rsid w:val="00BE5F84"/>
    <w:rsid w:val="00BF18D3"/>
    <w:rsid w:val="00C01BB7"/>
    <w:rsid w:val="00C0254E"/>
    <w:rsid w:val="00C026A4"/>
    <w:rsid w:val="00C05544"/>
    <w:rsid w:val="00C06068"/>
    <w:rsid w:val="00C06D28"/>
    <w:rsid w:val="00C10FB2"/>
    <w:rsid w:val="00C130BA"/>
    <w:rsid w:val="00C1347A"/>
    <w:rsid w:val="00C168D0"/>
    <w:rsid w:val="00C260D1"/>
    <w:rsid w:val="00C27FD5"/>
    <w:rsid w:val="00C30ECC"/>
    <w:rsid w:val="00C31766"/>
    <w:rsid w:val="00C327B6"/>
    <w:rsid w:val="00C3291A"/>
    <w:rsid w:val="00C32DBA"/>
    <w:rsid w:val="00C3357A"/>
    <w:rsid w:val="00C3719C"/>
    <w:rsid w:val="00C419A2"/>
    <w:rsid w:val="00C479E1"/>
    <w:rsid w:val="00C53D6A"/>
    <w:rsid w:val="00C6108A"/>
    <w:rsid w:val="00C66CE6"/>
    <w:rsid w:val="00C67A65"/>
    <w:rsid w:val="00C67AB8"/>
    <w:rsid w:val="00C70FBE"/>
    <w:rsid w:val="00C727EC"/>
    <w:rsid w:val="00C861B2"/>
    <w:rsid w:val="00C90389"/>
    <w:rsid w:val="00C90FCF"/>
    <w:rsid w:val="00C97969"/>
    <w:rsid w:val="00CA415A"/>
    <w:rsid w:val="00CA4D84"/>
    <w:rsid w:val="00CB13F3"/>
    <w:rsid w:val="00CB5C31"/>
    <w:rsid w:val="00CB6333"/>
    <w:rsid w:val="00CC160F"/>
    <w:rsid w:val="00CD1631"/>
    <w:rsid w:val="00CD5AE5"/>
    <w:rsid w:val="00CD5D81"/>
    <w:rsid w:val="00CE329F"/>
    <w:rsid w:val="00CE6176"/>
    <w:rsid w:val="00CF2D1C"/>
    <w:rsid w:val="00CF2D76"/>
    <w:rsid w:val="00CF3571"/>
    <w:rsid w:val="00CF52A0"/>
    <w:rsid w:val="00D0141A"/>
    <w:rsid w:val="00D02E27"/>
    <w:rsid w:val="00D06862"/>
    <w:rsid w:val="00D07F8E"/>
    <w:rsid w:val="00D14557"/>
    <w:rsid w:val="00D161B4"/>
    <w:rsid w:val="00D169C9"/>
    <w:rsid w:val="00D230C9"/>
    <w:rsid w:val="00D24210"/>
    <w:rsid w:val="00D2480C"/>
    <w:rsid w:val="00D255DD"/>
    <w:rsid w:val="00D320CF"/>
    <w:rsid w:val="00D34311"/>
    <w:rsid w:val="00D352A4"/>
    <w:rsid w:val="00D35811"/>
    <w:rsid w:val="00D43597"/>
    <w:rsid w:val="00D44A53"/>
    <w:rsid w:val="00D45026"/>
    <w:rsid w:val="00D475AF"/>
    <w:rsid w:val="00D67822"/>
    <w:rsid w:val="00D74F49"/>
    <w:rsid w:val="00D77B0F"/>
    <w:rsid w:val="00D80ECF"/>
    <w:rsid w:val="00D85452"/>
    <w:rsid w:val="00D87C5B"/>
    <w:rsid w:val="00D93A3A"/>
    <w:rsid w:val="00D93CE7"/>
    <w:rsid w:val="00D943CD"/>
    <w:rsid w:val="00D9460C"/>
    <w:rsid w:val="00D95FAD"/>
    <w:rsid w:val="00DA6333"/>
    <w:rsid w:val="00DA6C5D"/>
    <w:rsid w:val="00DB7A9F"/>
    <w:rsid w:val="00DD1D7A"/>
    <w:rsid w:val="00DD5CCF"/>
    <w:rsid w:val="00DD639B"/>
    <w:rsid w:val="00DD7972"/>
    <w:rsid w:val="00DE0350"/>
    <w:rsid w:val="00DE4B61"/>
    <w:rsid w:val="00DE5FF4"/>
    <w:rsid w:val="00DE7E42"/>
    <w:rsid w:val="00DF0860"/>
    <w:rsid w:val="00DF0EE2"/>
    <w:rsid w:val="00DF4A4E"/>
    <w:rsid w:val="00E06264"/>
    <w:rsid w:val="00E146F2"/>
    <w:rsid w:val="00E159F1"/>
    <w:rsid w:val="00E174C5"/>
    <w:rsid w:val="00E25B29"/>
    <w:rsid w:val="00E30B4C"/>
    <w:rsid w:val="00E37A52"/>
    <w:rsid w:val="00E4252C"/>
    <w:rsid w:val="00E42A39"/>
    <w:rsid w:val="00E451B4"/>
    <w:rsid w:val="00E45B54"/>
    <w:rsid w:val="00E50C6A"/>
    <w:rsid w:val="00E53672"/>
    <w:rsid w:val="00E616BB"/>
    <w:rsid w:val="00E63BC6"/>
    <w:rsid w:val="00E64634"/>
    <w:rsid w:val="00E67801"/>
    <w:rsid w:val="00E67BD1"/>
    <w:rsid w:val="00E71371"/>
    <w:rsid w:val="00E7315C"/>
    <w:rsid w:val="00E777FB"/>
    <w:rsid w:val="00E82169"/>
    <w:rsid w:val="00E870B4"/>
    <w:rsid w:val="00E92B78"/>
    <w:rsid w:val="00E93F7A"/>
    <w:rsid w:val="00E94E9C"/>
    <w:rsid w:val="00E95509"/>
    <w:rsid w:val="00E97D64"/>
    <w:rsid w:val="00EA12EF"/>
    <w:rsid w:val="00EA1DFA"/>
    <w:rsid w:val="00EA1FB5"/>
    <w:rsid w:val="00EA59A2"/>
    <w:rsid w:val="00EB0AD4"/>
    <w:rsid w:val="00EB1C08"/>
    <w:rsid w:val="00EB3E9A"/>
    <w:rsid w:val="00EB7575"/>
    <w:rsid w:val="00EC15C3"/>
    <w:rsid w:val="00EC64C6"/>
    <w:rsid w:val="00EC6BD4"/>
    <w:rsid w:val="00ED2035"/>
    <w:rsid w:val="00ED6291"/>
    <w:rsid w:val="00EE04E1"/>
    <w:rsid w:val="00EE24EE"/>
    <w:rsid w:val="00EE4AE8"/>
    <w:rsid w:val="00EE4CAE"/>
    <w:rsid w:val="00EE6577"/>
    <w:rsid w:val="00EF0F99"/>
    <w:rsid w:val="00EF24FD"/>
    <w:rsid w:val="00EF64F7"/>
    <w:rsid w:val="00F009B4"/>
    <w:rsid w:val="00F02870"/>
    <w:rsid w:val="00F02D86"/>
    <w:rsid w:val="00F07F1E"/>
    <w:rsid w:val="00F135B8"/>
    <w:rsid w:val="00F15D21"/>
    <w:rsid w:val="00F16E62"/>
    <w:rsid w:val="00F22A7D"/>
    <w:rsid w:val="00F25D1D"/>
    <w:rsid w:val="00F30026"/>
    <w:rsid w:val="00F32033"/>
    <w:rsid w:val="00F34436"/>
    <w:rsid w:val="00F352B9"/>
    <w:rsid w:val="00F357FB"/>
    <w:rsid w:val="00F35A18"/>
    <w:rsid w:val="00F42D38"/>
    <w:rsid w:val="00F434CA"/>
    <w:rsid w:val="00F472EE"/>
    <w:rsid w:val="00F47F26"/>
    <w:rsid w:val="00F55210"/>
    <w:rsid w:val="00F55290"/>
    <w:rsid w:val="00F56B3F"/>
    <w:rsid w:val="00F60376"/>
    <w:rsid w:val="00F6260E"/>
    <w:rsid w:val="00F647A2"/>
    <w:rsid w:val="00F6508B"/>
    <w:rsid w:val="00F70D6A"/>
    <w:rsid w:val="00F724AE"/>
    <w:rsid w:val="00F72B99"/>
    <w:rsid w:val="00F805E9"/>
    <w:rsid w:val="00F80CFF"/>
    <w:rsid w:val="00F81AA3"/>
    <w:rsid w:val="00F84854"/>
    <w:rsid w:val="00F873DF"/>
    <w:rsid w:val="00F87B2B"/>
    <w:rsid w:val="00F87C1B"/>
    <w:rsid w:val="00F91510"/>
    <w:rsid w:val="00F932E1"/>
    <w:rsid w:val="00FA1300"/>
    <w:rsid w:val="00FA231F"/>
    <w:rsid w:val="00FA3E8C"/>
    <w:rsid w:val="00FA646B"/>
    <w:rsid w:val="00FB3A4F"/>
    <w:rsid w:val="00FC07CC"/>
    <w:rsid w:val="00FC4947"/>
    <w:rsid w:val="00FC524A"/>
    <w:rsid w:val="00FC7A49"/>
    <w:rsid w:val="00FD52BE"/>
    <w:rsid w:val="00FE1CF6"/>
    <w:rsid w:val="00FE227A"/>
    <w:rsid w:val="00FE3380"/>
    <w:rsid w:val="00FE68FF"/>
    <w:rsid w:val="00FF30AD"/>
    <w:rsid w:val="00FF6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D3F"/>
    <w:pPr>
      <w:widowControl w:val="0"/>
    </w:pPr>
    <w:rPr>
      <w:snapToGrid w:val="0"/>
      <w:kern w:val="28"/>
      <w:sz w:val="22"/>
    </w:rPr>
  </w:style>
  <w:style w:type="paragraph" w:styleId="Heading1">
    <w:name w:val="heading 1"/>
    <w:basedOn w:val="Normal"/>
    <w:next w:val="ParaNum"/>
    <w:qFormat/>
    <w:rsid w:val="00457D3F"/>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57D3F"/>
    <w:pPr>
      <w:keepNext/>
      <w:numPr>
        <w:ilvl w:val="1"/>
        <w:numId w:val="1"/>
      </w:numPr>
      <w:spacing w:after="120"/>
      <w:outlineLvl w:val="1"/>
    </w:pPr>
    <w:rPr>
      <w:b/>
    </w:rPr>
  </w:style>
  <w:style w:type="paragraph" w:styleId="Heading3">
    <w:name w:val="heading 3"/>
    <w:basedOn w:val="Normal"/>
    <w:next w:val="ParaNum"/>
    <w:qFormat/>
    <w:rsid w:val="00457D3F"/>
    <w:pPr>
      <w:keepNext/>
      <w:numPr>
        <w:ilvl w:val="2"/>
        <w:numId w:val="1"/>
      </w:numPr>
      <w:tabs>
        <w:tab w:val="left" w:pos="2160"/>
      </w:tabs>
      <w:spacing w:after="120"/>
      <w:outlineLvl w:val="2"/>
    </w:pPr>
    <w:rPr>
      <w:b/>
    </w:rPr>
  </w:style>
  <w:style w:type="paragraph" w:styleId="Heading4">
    <w:name w:val="heading 4"/>
    <w:basedOn w:val="Normal"/>
    <w:next w:val="ParaNum"/>
    <w:qFormat/>
    <w:rsid w:val="00457D3F"/>
    <w:pPr>
      <w:keepNext/>
      <w:numPr>
        <w:ilvl w:val="3"/>
        <w:numId w:val="1"/>
      </w:numPr>
      <w:tabs>
        <w:tab w:val="left" w:pos="2880"/>
      </w:tabs>
      <w:spacing w:after="120"/>
      <w:outlineLvl w:val="3"/>
    </w:pPr>
    <w:rPr>
      <w:b/>
    </w:rPr>
  </w:style>
  <w:style w:type="paragraph" w:styleId="Heading5">
    <w:name w:val="heading 5"/>
    <w:basedOn w:val="Normal"/>
    <w:next w:val="ParaNum"/>
    <w:qFormat/>
    <w:rsid w:val="00457D3F"/>
    <w:pPr>
      <w:keepNext/>
      <w:numPr>
        <w:ilvl w:val="4"/>
        <w:numId w:val="1"/>
      </w:numPr>
      <w:tabs>
        <w:tab w:val="left" w:pos="3600"/>
      </w:tabs>
      <w:suppressAutoHyphens/>
      <w:spacing w:after="120"/>
      <w:outlineLvl w:val="4"/>
    </w:pPr>
    <w:rPr>
      <w:b/>
    </w:rPr>
  </w:style>
  <w:style w:type="paragraph" w:styleId="Heading6">
    <w:name w:val="heading 6"/>
    <w:basedOn w:val="Normal"/>
    <w:next w:val="ParaNum"/>
    <w:qFormat/>
    <w:rsid w:val="00457D3F"/>
    <w:pPr>
      <w:numPr>
        <w:ilvl w:val="5"/>
        <w:numId w:val="1"/>
      </w:numPr>
      <w:tabs>
        <w:tab w:val="left" w:pos="4320"/>
      </w:tabs>
      <w:spacing w:after="120"/>
      <w:outlineLvl w:val="5"/>
    </w:pPr>
    <w:rPr>
      <w:b/>
    </w:rPr>
  </w:style>
  <w:style w:type="paragraph" w:styleId="Heading7">
    <w:name w:val="heading 7"/>
    <w:basedOn w:val="Normal"/>
    <w:next w:val="ParaNum"/>
    <w:qFormat/>
    <w:rsid w:val="00457D3F"/>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457D3F"/>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ParaNum"/>
    <w:qFormat/>
    <w:rsid w:val="00457D3F"/>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57D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7D3F"/>
  </w:style>
  <w:style w:type="paragraph" w:customStyle="1" w:styleId="ParaNum">
    <w:name w:val="ParaNum"/>
    <w:basedOn w:val="Normal"/>
    <w:rsid w:val="00457D3F"/>
    <w:pPr>
      <w:numPr>
        <w:numId w:val="11"/>
      </w:numPr>
      <w:tabs>
        <w:tab w:val="clear" w:pos="1080"/>
        <w:tab w:val="num" w:pos="1440"/>
      </w:tabs>
      <w:spacing w:after="120"/>
    </w:pPr>
  </w:style>
  <w:style w:type="paragraph" w:styleId="EndnoteText">
    <w:name w:val="endnote text"/>
    <w:basedOn w:val="Normal"/>
    <w:semiHidden/>
    <w:rsid w:val="00457D3F"/>
    <w:rPr>
      <w:sz w:val="20"/>
    </w:rPr>
  </w:style>
  <w:style w:type="character" w:styleId="EndnoteReference">
    <w:name w:val="endnote reference"/>
    <w:semiHidden/>
    <w:rsid w:val="00457D3F"/>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n Char,fn,f"/>
    <w:link w:val="FootnoteTextChar2"/>
    <w:rsid w:val="00457D3F"/>
    <w:pPr>
      <w:spacing w:after="120"/>
    </w:pPr>
  </w:style>
  <w:style w:type="character" w:styleId="FootnoteReference">
    <w:name w:val="footnote reference"/>
    <w:aliases w:val="Style 12,(NECG) Footnote Reference,Appel note de bas de p,Style 124,o,fr,Style 3,Style 13"/>
    <w:rsid w:val="00457D3F"/>
    <w:rPr>
      <w:rFonts w:ascii="Times New Roman" w:hAnsi="Times New Roman"/>
      <w:dstrike w:val="0"/>
      <w:color w:val="auto"/>
      <w:sz w:val="20"/>
      <w:vertAlign w:val="superscript"/>
    </w:rPr>
  </w:style>
  <w:style w:type="paragraph" w:styleId="TOC1">
    <w:name w:val="toc 1"/>
    <w:basedOn w:val="Normal"/>
    <w:next w:val="Normal"/>
    <w:semiHidden/>
    <w:rsid w:val="00457D3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57D3F"/>
    <w:pPr>
      <w:tabs>
        <w:tab w:val="left" w:pos="720"/>
        <w:tab w:val="right" w:leader="dot" w:pos="9360"/>
      </w:tabs>
      <w:suppressAutoHyphens/>
      <w:ind w:left="720" w:right="720" w:hanging="360"/>
    </w:pPr>
    <w:rPr>
      <w:noProof/>
    </w:rPr>
  </w:style>
  <w:style w:type="paragraph" w:styleId="TOC3">
    <w:name w:val="toc 3"/>
    <w:basedOn w:val="Normal"/>
    <w:next w:val="Normal"/>
    <w:semiHidden/>
    <w:rsid w:val="00457D3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57D3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57D3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57D3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57D3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57D3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57D3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57D3F"/>
    <w:pPr>
      <w:tabs>
        <w:tab w:val="right" w:pos="9360"/>
      </w:tabs>
      <w:suppressAutoHyphens/>
    </w:pPr>
  </w:style>
  <w:style w:type="character" w:customStyle="1" w:styleId="EquationCaption">
    <w:name w:val="_Equation Caption"/>
    <w:rsid w:val="00457D3F"/>
  </w:style>
  <w:style w:type="paragraph" w:styleId="Header">
    <w:name w:val="header"/>
    <w:basedOn w:val="Normal"/>
    <w:autoRedefine/>
    <w:rsid w:val="00457D3F"/>
    <w:pPr>
      <w:tabs>
        <w:tab w:val="center" w:pos="4680"/>
        <w:tab w:val="right" w:pos="9360"/>
      </w:tabs>
    </w:pPr>
    <w:rPr>
      <w:b/>
    </w:rPr>
  </w:style>
  <w:style w:type="paragraph" w:styleId="Footer">
    <w:name w:val="footer"/>
    <w:basedOn w:val="Normal"/>
    <w:rsid w:val="00457D3F"/>
    <w:pPr>
      <w:tabs>
        <w:tab w:val="center" w:pos="4320"/>
        <w:tab w:val="right" w:pos="8640"/>
      </w:tabs>
    </w:pPr>
  </w:style>
  <w:style w:type="character" w:styleId="PageNumber">
    <w:name w:val="page number"/>
    <w:basedOn w:val="DefaultParagraphFont"/>
    <w:rsid w:val="00457D3F"/>
  </w:style>
  <w:style w:type="paragraph" w:styleId="BlockText">
    <w:name w:val="Block Text"/>
    <w:basedOn w:val="Normal"/>
    <w:rsid w:val="00457D3F"/>
    <w:pPr>
      <w:spacing w:after="240"/>
      <w:ind w:left="1440" w:right="1440"/>
    </w:pPr>
  </w:style>
  <w:style w:type="paragraph" w:styleId="Title">
    <w:name w:val="Title"/>
    <w:basedOn w:val="Normal"/>
    <w:qFormat/>
    <w:pPr>
      <w:jc w:val="center"/>
    </w:pPr>
    <w:rPr>
      <w:b/>
    </w:rPr>
  </w:style>
  <w:style w:type="paragraph" w:customStyle="1" w:styleId="Bullet">
    <w:name w:val="Bullet"/>
    <w:basedOn w:val="Normal"/>
    <w:rsid w:val="00457D3F"/>
    <w:pPr>
      <w:tabs>
        <w:tab w:val="left" w:pos="2160"/>
      </w:tabs>
      <w:spacing w:after="220"/>
      <w:ind w:left="2160" w:hanging="720"/>
    </w:pPr>
  </w:style>
  <w:style w:type="paragraph" w:customStyle="1" w:styleId="TableFormat">
    <w:name w:val="TableFormat"/>
    <w:basedOn w:val="Bullet"/>
    <w:rsid w:val="00457D3F"/>
    <w:pPr>
      <w:tabs>
        <w:tab w:val="clear" w:pos="2160"/>
        <w:tab w:val="left" w:pos="5040"/>
      </w:tabs>
      <w:ind w:left="5040" w:hanging="3600"/>
    </w:pPr>
  </w:style>
  <w:style w:type="paragraph" w:styleId="BodyText">
    <w:name w:val="Body Text"/>
    <w:basedOn w:val="Normal"/>
    <w:rPr>
      <w:sz w:val="24"/>
    </w:rPr>
  </w:style>
  <w:style w:type="paragraph" w:styleId="BodyText2">
    <w:name w:val="Body Text 2"/>
    <w:basedOn w:val="Normal"/>
    <w:rPr>
      <w:sz w:val="24"/>
      <w:u w:val="single"/>
    </w:rPr>
  </w:style>
  <w:style w:type="paragraph" w:styleId="BalloonText">
    <w:name w:val="Balloon Text"/>
    <w:basedOn w:val="Normal"/>
    <w:semiHidden/>
    <w:rsid w:val="000E257D"/>
    <w:rPr>
      <w:rFonts w:ascii="Tahoma" w:hAnsi="Tahoma" w:cs="Tahoma"/>
      <w:sz w:val="16"/>
      <w:szCs w:val="16"/>
    </w:rPr>
  </w:style>
  <w:style w:type="paragraph" w:styleId="ListParagraph">
    <w:name w:val="List Paragraph"/>
    <w:basedOn w:val="Normal"/>
    <w:uiPriority w:val="34"/>
    <w:qFormat/>
    <w:rsid w:val="000D1F50"/>
    <w:pPr>
      <w:ind w:left="720"/>
    </w:pPr>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f Char"/>
    <w:link w:val="FootnoteText"/>
    <w:locked/>
    <w:rsid w:val="000D1F50"/>
  </w:style>
  <w:style w:type="character" w:customStyle="1" w:styleId="apple-converted-space">
    <w:name w:val="apple-converted-space"/>
    <w:basedOn w:val="DefaultParagraphFont"/>
    <w:rsid w:val="00621C3D"/>
  </w:style>
  <w:style w:type="character" w:styleId="Hyperlink">
    <w:name w:val="Hyperlink"/>
    <w:rsid w:val="00457D3F"/>
    <w:rPr>
      <w:color w:val="0000FF"/>
      <w:u w:val="single"/>
    </w:rPr>
  </w:style>
  <w:style w:type="table" w:styleId="TableGrid">
    <w:name w:val="Table Grid"/>
    <w:basedOn w:val="TableNormal"/>
    <w:rsid w:val="003558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A1045"/>
    <w:rPr>
      <w:sz w:val="16"/>
      <w:szCs w:val="16"/>
    </w:rPr>
  </w:style>
  <w:style w:type="paragraph" w:styleId="CommentText">
    <w:name w:val="annotation text"/>
    <w:basedOn w:val="Normal"/>
    <w:link w:val="CommentTextChar"/>
    <w:rsid w:val="00AA1045"/>
    <w:rPr>
      <w:sz w:val="20"/>
    </w:rPr>
  </w:style>
  <w:style w:type="character" w:customStyle="1" w:styleId="CommentTextChar">
    <w:name w:val="Comment Text Char"/>
    <w:basedOn w:val="DefaultParagraphFont"/>
    <w:link w:val="CommentText"/>
    <w:rsid w:val="00AA1045"/>
    <w:rPr>
      <w:snapToGrid w:val="0"/>
      <w:kern w:val="28"/>
    </w:rPr>
  </w:style>
  <w:style w:type="paragraph" w:styleId="CommentSubject">
    <w:name w:val="annotation subject"/>
    <w:basedOn w:val="CommentText"/>
    <w:next w:val="CommentText"/>
    <w:link w:val="CommentSubjectChar"/>
    <w:rsid w:val="00AA1045"/>
    <w:rPr>
      <w:b/>
      <w:bCs/>
    </w:rPr>
  </w:style>
  <w:style w:type="character" w:customStyle="1" w:styleId="CommentSubjectChar">
    <w:name w:val="Comment Subject Char"/>
    <w:basedOn w:val="CommentTextChar"/>
    <w:link w:val="CommentSubject"/>
    <w:rsid w:val="00AA1045"/>
    <w:rPr>
      <w:b/>
      <w:bCs/>
      <w:snapToGrid w:val="0"/>
      <w:kern w:val="28"/>
    </w:rPr>
  </w:style>
  <w:style w:type="paragraph" w:customStyle="1" w:styleId="Paratitle">
    <w:name w:val="Para title"/>
    <w:basedOn w:val="Normal"/>
    <w:rsid w:val="00457D3F"/>
    <w:pPr>
      <w:tabs>
        <w:tab w:val="center" w:pos="9270"/>
      </w:tabs>
      <w:spacing w:after="240"/>
    </w:pPr>
    <w:rPr>
      <w:spacing w:val="-2"/>
    </w:rPr>
  </w:style>
  <w:style w:type="paragraph" w:customStyle="1" w:styleId="TOCTitle">
    <w:name w:val="TOC Title"/>
    <w:basedOn w:val="Normal"/>
    <w:rsid w:val="00457D3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57D3F"/>
    <w:pPr>
      <w:jc w:val="center"/>
    </w:pPr>
    <w:rPr>
      <w:rFonts w:ascii="Times New Roman Bold" w:hAnsi="Times New Roman Bold"/>
      <w:b/>
      <w:bCs/>
      <w:caps/>
      <w:szCs w:val="22"/>
    </w:rPr>
  </w:style>
  <w:style w:type="character" w:styleId="Emphasis">
    <w:name w:val="Emphasis"/>
    <w:qFormat/>
    <w:rsid w:val="0054154B"/>
    <w:rPr>
      <w:i/>
      <w:iCs/>
    </w:rPr>
  </w:style>
  <w:style w:type="character" w:customStyle="1" w:styleId="apple-style-span">
    <w:name w:val="apple-style-span"/>
    <w:basedOn w:val="DefaultParagraphFont"/>
    <w:rsid w:val="0054154B"/>
  </w:style>
  <w:style w:type="character" w:customStyle="1" w:styleId="FootnoteTextChar2Char1">
    <w:name w:val="Footnote Text Char2 Char1"/>
    <w:aliases w:val="Footnote Text Char1 Char Char1,Footnote Text Char Char Char Char1,Footnote Text Char2 Char Char Char Char1,Footnote Text Char1 Char1 Char Char Char Char1,Footnote Text Char Char Char Char Char Char Char1"/>
    <w:basedOn w:val="DefaultParagraphFont"/>
    <w:locked/>
    <w:rsid w:val="0096650A"/>
    <w:rPr>
      <w:rFonts w:cs="Times New Roman"/>
      <w:lang w:val="en-US" w:eastAsia="en-US" w:bidi="ar-SA"/>
    </w:rPr>
  </w:style>
  <w:style w:type="character" w:customStyle="1" w:styleId="term1">
    <w:name w:val="term1"/>
    <w:basedOn w:val="DefaultParagraphFont"/>
    <w:rsid w:val="00D77B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D3F"/>
    <w:pPr>
      <w:widowControl w:val="0"/>
    </w:pPr>
    <w:rPr>
      <w:snapToGrid w:val="0"/>
      <w:kern w:val="28"/>
      <w:sz w:val="22"/>
    </w:rPr>
  </w:style>
  <w:style w:type="paragraph" w:styleId="Heading1">
    <w:name w:val="heading 1"/>
    <w:basedOn w:val="Normal"/>
    <w:next w:val="ParaNum"/>
    <w:qFormat/>
    <w:rsid w:val="00457D3F"/>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57D3F"/>
    <w:pPr>
      <w:keepNext/>
      <w:numPr>
        <w:ilvl w:val="1"/>
        <w:numId w:val="1"/>
      </w:numPr>
      <w:spacing w:after="120"/>
      <w:outlineLvl w:val="1"/>
    </w:pPr>
    <w:rPr>
      <w:b/>
    </w:rPr>
  </w:style>
  <w:style w:type="paragraph" w:styleId="Heading3">
    <w:name w:val="heading 3"/>
    <w:basedOn w:val="Normal"/>
    <w:next w:val="ParaNum"/>
    <w:qFormat/>
    <w:rsid w:val="00457D3F"/>
    <w:pPr>
      <w:keepNext/>
      <w:numPr>
        <w:ilvl w:val="2"/>
        <w:numId w:val="1"/>
      </w:numPr>
      <w:tabs>
        <w:tab w:val="left" w:pos="2160"/>
      </w:tabs>
      <w:spacing w:after="120"/>
      <w:outlineLvl w:val="2"/>
    </w:pPr>
    <w:rPr>
      <w:b/>
    </w:rPr>
  </w:style>
  <w:style w:type="paragraph" w:styleId="Heading4">
    <w:name w:val="heading 4"/>
    <w:basedOn w:val="Normal"/>
    <w:next w:val="ParaNum"/>
    <w:qFormat/>
    <w:rsid w:val="00457D3F"/>
    <w:pPr>
      <w:keepNext/>
      <w:numPr>
        <w:ilvl w:val="3"/>
        <w:numId w:val="1"/>
      </w:numPr>
      <w:tabs>
        <w:tab w:val="left" w:pos="2880"/>
      </w:tabs>
      <w:spacing w:after="120"/>
      <w:outlineLvl w:val="3"/>
    </w:pPr>
    <w:rPr>
      <w:b/>
    </w:rPr>
  </w:style>
  <w:style w:type="paragraph" w:styleId="Heading5">
    <w:name w:val="heading 5"/>
    <w:basedOn w:val="Normal"/>
    <w:next w:val="ParaNum"/>
    <w:qFormat/>
    <w:rsid w:val="00457D3F"/>
    <w:pPr>
      <w:keepNext/>
      <w:numPr>
        <w:ilvl w:val="4"/>
        <w:numId w:val="1"/>
      </w:numPr>
      <w:tabs>
        <w:tab w:val="left" w:pos="3600"/>
      </w:tabs>
      <w:suppressAutoHyphens/>
      <w:spacing w:after="120"/>
      <w:outlineLvl w:val="4"/>
    </w:pPr>
    <w:rPr>
      <w:b/>
    </w:rPr>
  </w:style>
  <w:style w:type="paragraph" w:styleId="Heading6">
    <w:name w:val="heading 6"/>
    <w:basedOn w:val="Normal"/>
    <w:next w:val="ParaNum"/>
    <w:qFormat/>
    <w:rsid w:val="00457D3F"/>
    <w:pPr>
      <w:numPr>
        <w:ilvl w:val="5"/>
        <w:numId w:val="1"/>
      </w:numPr>
      <w:tabs>
        <w:tab w:val="left" w:pos="4320"/>
      </w:tabs>
      <w:spacing w:after="120"/>
      <w:outlineLvl w:val="5"/>
    </w:pPr>
    <w:rPr>
      <w:b/>
    </w:rPr>
  </w:style>
  <w:style w:type="paragraph" w:styleId="Heading7">
    <w:name w:val="heading 7"/>
    <w:basedOn w:val="Normal"/>
    <w:next w:val="ParaNum"/>
    <w:qFormat/>
    <w:rsid w:val="00457D3F"/>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457D3F"/>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ParaNum"/>
    <w:qFormat/>
    <w:rsid w:val="00457D3F"/>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57D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7D3F"/>
  </w:style>
  <w:style w:type="paragraph" w:customStyle="1" w:styleId="ParaNum">
    <w:name w:val="ParaNum"/>
    <w:basedOn w:val="Normal"/>
    <w:rsid w:val="00457D3F"/>
    <w:pPr>
      <w:numPr>
        <w:numId w:val="11"/>
      </w:numPr>
      <w:tabs>
        <w:tab w:val="clear" w:pos="1080"/>
        <w:tab w:val="num" w:pos="1440"/>
      </w:tabs>
      <w:spacing w:after="120"/>
    </w:pPr>
  </w:style>
  <w:style w:type="paragraph" w:styleId="EndnoteText">
    <w:name w:val="endnote text"/>
    <w:basedOn w:val="Normal"/>
    <w:semiHidden/>
    <w:rsid w:val="00457D3F"/>
    <w:rPr>
      <w:sz w:val="20"/>
    </w:rPr>
  </w:style>
  <w:style w:type="character" w:styleId="EndnoteReference">
    <w:name w:val="endnote reference"/>
    <w:semiHidden/>
    <w:rsid w:val="00457D3F"/>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n Char,fn,f"/>
    <w:link w:val="FootnoteTextChar2"/>
    <w:rsid w:val="00457D3F"/>
    <w:pPr>
      <w:spacing w:after="120"/>
    </w:pPr>
  </w:style>
  <w:style w:type="character" w:styleId="FootnoteReference">
    <w:name w:val="footnote reference"/>
    <w:aliases w:val="Style 12,(NECG) Footnote Reference,Appel note de bas de p,Style 124,o,fr,Style 3,Style 13"/>
    <w:rsid w:val="00457D3F"/>
    <w:rPr>
      <w:rFonts w:ascii="Times New Roman" w:hAnsi="Times New Roman"/>
      <w:dstrike w:val="0"/>
      <w:color w:val="auto"/>
      <w:sz w:val="20"/>
      <w:vertAlign w:val="superscript"/>
    </w:rPr>
  </w:style>
  <w:style w:type="paragraph" w:styleId="TOC1">
    <w:name w:val="toc 1"/>
    <w:basedOn w:val="Normal"/>
    <w:next w:val="Normal"/>
    <w:semiHidden/>
    <w:rsid w:val="00457D3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57D3F"/>
    <w:pPr>
      <w:tabs>
        <w:tab w:val="left" w:pos="720"/>
        <w:tab w:val="right" w:leader="dot" w:pos="9360"/>
      </w:tabs>
      <w:suppressAutoHyphens/>
      <w:ind w:left="720" w:right="720" w:hanging="360"/>
    </w:pPr>
    <w:rPr>
      <w:noProof/>
    </w:rPr>
  </w:style>
  <w:style w:type="paragraph" w:styleId="TOC3">
    <w:name w:val="toc 3"/>
    <w:basedOn w:val="Normal"/>
    <w:next w:val="Normal"/>
    <w:semiHidden/>
    <w:rsid w:val="00457D3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57D3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57D3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57D3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57D3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57D3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57D3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57D3F"/>
    <w:pPr>
      <w:tabs>
        <w:tab w:val="right" w:pos="9360"/>
      </w:tabs>
      <w:suppressAutoHyphens/>
    </w:pPr>
  </w:style>
  <w:style w:type="character" w:customStyle="1" w:styleId="EquationCaption">
    <w:name w:val="_Equation Caption"/>
    <w:rsid w:val="00457D3F"/>
  </w:style>
  <w:style w:type="paragraph" w:styleId="Header">
    <w:name w:val="header"/>
    <w:basedOn w:val="Normal"/>
    <w:autoRedefine/>
    <w:rsid w:val="00457D3F"/>
    <w:pPr>
      <w:tabs>
        <w:tab w:val="center" w:pos="4680"/>
        <w:tab w:val="right" w:pos="9360"/>
      </w:tabs>
    </w:pPr>
    <w:rPr>
      <w:b/>
    </w:rPr>
  </w:style>
  <w:style w:type="paragraph" w:styleId="Footer">
    <w:name w:val="footer"/>
    <w:basedOn w:val="Normal"/>
    <w:rsid w:val="00457D3F"/>
    <w:pPr>
      <w:tabs>
        <w:tab w:val="center" w:pos="4320"/>
        <w:tab w:val="right" w:pos="8640"/>
      </w:tabs>
    </w:pPr>
  </w:style>
  <w:style w:type="character" w:styleId="PageNumber">
    <w:name w:val="page number"/>
    <w:basedOn w:val="DefaultParagraphFont"/>
    <w:rsid w:val="00457D3F"/>
  </w:style>
  <w:style w:type="paragraph" w:styleId="BlockText">
    <w:name w:val="Block Text"/>
    <w:basedOn w:val="Normal"/>
    <w:rsid w:val="00457D3F"/>
    <w:pPr>
      <w:spacing w:after="240"/>
      <w:ind w:left="1440" w:right="1440"/>
    </w:pPr>
  </w:style>
  <w:style w:type="paragraph" w:styleId="Title">
    <w:name w:val="Title"/>
    <w:basedOn w:val="Normal"/>
    <w:qFormat/>
    <w:pPr>
      <w:jc w:val="center"/>
    </w:pPr>
    <w:rPr>
      <w:b/>
    </w:rPr>
  </w:style>
  <w:style w:type="paragraph" w:customStyle="1" w:styleId="Bullet">
    <w:name w:val="Bullet"/>
    <w:basedOn w:val="Normal"/>
    <w:rsid w:val="00457D3F"/>
    <w:pPr>
      <w:tabs>
        <w:tab w:val="left" w:pos="2160"/>
      </w:tabs>
      <w:spacing w:after="220"/>
      <w:ind w:left="2160" w:hanging="720"/>
    </w:pPr>
  </w:style>
  <w:style w:type="paragraph" w:customStyle="1" w:styleId="TableFormat">
    <w:name w:val="TableFormat"/>
    <w:basedOn w:val="Bullet"/>
    <w:rsid w:val="00457D3F"/>
    <w:pPr>
      <w:tabs>
        <w:tab w:val="clear" w:pos="2160"/>
        <w:tab w:val="left" w:pos="5040"/>
      </w:tabs>
      <w:ind w:left="5040" w:hanging="3600"/>
    </w:pPr>
  </w:style>
  <w:style w:type="paragraph" w:styleId="BodyText">
    <w:name w:val="Body Text"/>
    <w:basedOn w:val="Normal"/>
    <w:rPr>
      <w:sz w:val="24"/>
    </w:rPr>
  </w:style>
  <w:style w:type="paragraph" w:styleId="BodyText2">
    <w:name w:val="Body Text 2"/>
    <w:basedOn w:val="Normal"/>
    <w:rPr>
      <w:sz w:val="24"/>
      <w:u w:val="single"/>
    </w:rPr>
  </w:style>
  <w:style w:type="paragraph" w:styleId="BalloonText">
    <w:name w:val="Balloon Text"/>
    <w:basedOn w:val="Normal"/>
    <w:semiHidden/>
    <w:rsid w:val="000E257D"/>
    <w:rPr>
      <w:rFonts w:ascii="Tahoma" w:hAnsi="Tahoma" w:cs="Tahoma"/>
      <w:sz w:val="16"/>
      <w:szCs w:val="16"/>
    </w:rPr>
  </w:style>
  <w:style w:type="paragraph" w:styleId="ListParagraph">
    <w:name w:val="List Paragraph"/>
    <w:basedOn w:val="Normal"/>
    <w:uiPriority w:val="34"/>
    <w:qFormat/>
    <w:rsid w:val="000D1F50"/>
    <w:pPr>
      <w:ind w:left="720"/>
    </w:pPr>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f Char"/>
    <w:link w:val="FootnoteText"/>
    <w:locked/>
    <w:rsid w:val="000D1F50"/>
  </w:style>
  <w:style w:type="character" w:customStyle="1" w:styleId="apple-converted-space">
    <w:name w:val="apple-converted-space"/>
    <w:basedOn w:val="DefaultParagraphFont"/>
    <w:rsid w:val="00621C3D"/>
  </w:style>
  <w:style w:type="character" w:styleId="Hyperlink">
    <w:name w:val="Hyperlink"/>
    <w:rsid w:val="00457D3F"/>
    <w:rPr>
      <w:color w:val="0000FF"/>
      <w:u w:val="single"/>
    </w:rPr>
  </w:style>
  <w:style w:type="table" w:styleId="TableGrid">
    <w:name w:val="Table Grid"/>
    <w:basedOn w:val="TableNormal"/>
    <w:rsid w:val="003558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A1045"/>
    <w:rPr>
      <w:sz w:val="16"/>
      <w:szCs w:val="16"/>
    </w:rPr>
  </w:style>
  <w:style w:type="paragraph" w:styleId="CommentText">
    <w:name w:val="annotation text"/>
    <w:basedOn w:val="Normal"/>
    <w:link w:val="CommentTextChar"/>
    <w:rsid w:val="00AA1045"/>
    <w:rPr>
      <w:sz w:val="20"/>
    </w:rPr>
  </w:style>
  <w:style w:type="character" w:customStyle="1" w:styleId="CommentTextChar">
    <w:name w:val="Comment Text Char"/>
    <w:basedOn w:val="DefaultParagraphFont"/>
    <w:link w:val="CommentText"/>
    <w:rsid w:val="00AA1045"/>
    <w:rPr>
      <w:snapToGrid w:val="0"/>
      <w:kern w:val="28"/>
    </w:rPr>
  </w:style>
  <w:style w:type="paragraph" w:styleId="CommentSubject">
    <w:name w:val="annotation subject"/>
    <w:basedOn w:val="CommentText"/>
    <w:next w:val="CommentText"/>
    <w:link w:val="CommentSubjectChar"/>
    <w:rsid w:val="00AA1045"/>
    <w:rPr>
      <w:b/>
      <w:bCs/>
    </w:rPr>
  </w:style>
  <w:style w:type="character" w:customStyle="1" w:styleId="CommentSubjectChar">
    <w:name w:val="Comment Subject Char"/>
    <w:basedOn w:val="CommentTextChar"/>
    <w:link w:val="CommentSubject"/>
    <w:rsid w:val="00AA1045"/>
    <w:rPr>
      <w:b/>
      <w:bCs/>
      <w:snapToGrid w:val="0"/>
      <w:kern w:val="28"/>
    </w:rPr>
  </w:style>
  <w:style w:type="paragraph" w:customStyle="1" w:styleId="Paratitle">
    <w:name w:val="Para title"/>
    <w:basedOn w:val="Normal"/>
    <w:rsid w:val="00457D3F"/>
    <w:pPr>
      <w:tabs>
        <w:tab w:val="center" w:pos="9270"/>
      </w:tabs>
      <w:spacing w:after="240"/>
    </w:pPr>
    <w:rPr>
      <w:spacing w:val="-2"/>
    </w:rPr>
  </w:style>
  <w:style w:type="paragraph" w:customStyle="1" w:styleId="TOCTitle">
    <w:name w:val="TOC Title"/>
    <w:basedOn w:val="Normal"/>
    <w:rsid w:val="00457D3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57D3F"/>
    <w:pPr>
      <w:jc w:val="center"/>
    </w:pPr>
    <w:rPr>
      <w:rFonts w:ascii="Times New Roman Bold" w:hAnsi="Times New Roman Bold"/>
      <w:b/>
      <w:bCs/>
      <w:caps/>
      <w:szCs w:val="22"/>
    </w:rPr>
  </w:style>
  <w:style w:type="character" w:styleId="Emphasis">
    <w:name w:val="Emphasis"/>
    <w:qFormat/>
    <w:rsid w:val="0054154B"/>
    <w:rPr>
      <w:i/>
      <w:iCs/>
    </w:rPr>
  </w:style>
  <w:style w:type="character" w:customStyle="1" w:styleId="apple-style-span">
    <w:name w:val="apple-style-span"/>
    <w:basedOn w:val="DefaultParagraphFont"/>
    <w:rsid w:val="0054154B"/>
  </w:style>
  <w:style w:type="character" w:customStyle="1" w:styleId="FootnoteTextChar2Char1">
    <w:name w:val="Footnote Text Char2 Char1"/>
    <w:aliases w:val="Footnote Text Char1 Char Char1,Footnote Text Char Char Char Char1,Footnote Text Char2 Char Char Char Char1,Footnote Text Char1 Char1 Char Char Char Char1,Footnote Text Char Char Char Char Char Char Char1"/>
    <w:basedOn w:val="DefaultParagraphFont"/>
    <w:locked/>
    <w:rsid w:val="0096650A"/>
    <w:rPr>
      <w:rFonts w:cs="Times New Roman"/>
      <w:lang w:val="en-US" w:eastAsia="en-US" w:bidi="ar-SA"/>
    </w:rPr>
  </w:style>
  <w:style w:type="character" w:customStyle="1" w:styleId="term1">
    <w:name w:val="term1"/>
    <w:basedOn w:val="DefaultParagraphFont"/>
    <w:rsid w:val="00D77B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3011</Words>
  <Characters>16393</Characters>
  <Application>Microsoft Office Word</Application>
  <DocSecurity>0</DocSecurity>
  <Lines>256</Lines>
  <Paragraphs>61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19518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2012-05-22T18:56:00Z</cp:lastPrinted>
  <dcterms:created xsi:type="dcterms:W3CDTF">2015-06-19T12:33:00Z</dcterms:created>
  <dcterms:modified xsi:type="dcterms:W3CDTF">2015-06-19T12:33:00Z</dcterms:modified>
  <cp:category> </cp:category>
  <cp:contentStatus> </cp:contentStatus>
</cp:coreProperties>
</file>